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header5.xml" ContentType="application/vnd.openxmlformats-officedocument.wordprocessingml.header+xml"/>
  <Override PartName="/word/footer7.xml" ContentType="application/vnd.openxmlformats-officedocument.wordprocessingml.footer+xml"/>
  <Override PartName="/word/header6.xml" ContentType="application/vnd.openxmlformats-officedocument.wordprocessingml.header+xml"/>
  <Override PartName="/word/footer8.xml" ContentType="application/vnd.openxmlformats-officedocument.wordprocessingml.footer+xml"/>
  <Override PartName="/word/header7.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5" type="#_x0000_t75" alt="B58F244A-0C3A-4A1D-9094-5F59DB0B0DC1" style="width:451.25pt;height:392.65pt">
            <v:imagedata r:id="rId9" o:title=""/>
          </v:shape>
        </w:pict>
      </w:r>
    </w:p>
    <w:p>
      <w:pPr>
        <w:rPr>
          <w:noProof/>
        </w:rPr>
        <w:sectPr>
          <w:headerReference w:type="even" r:id="rId10"/>
          <w:headerReference w:type="default" r:id="rId11"/>
          <w:footerReference w:type="even" r:id="rId12"/>
          <w:footerReference w:type="default" r:id="rId13"/>
          <w:headerReference w:type="first" r:id="rId14"/>
          <w:footerReference w:type="first" r:id="rId15"/>
          <w:pgSz w:w="11907" w:h="16839"/>
          <w:pgMar w:top="1134" w:right="1417" w:bottom="1134" w:left="1417" w:header="709" w:footer="709" w:gutter="0"/>
          <w:pgNumType w:start="0"/>
          <w:cols w:space="720"/>
          <w:docGrid w:linePitch="360"/>
        </w:sectPr>
      </w:pPr>
    </w:p>
    <w:p>
      <w:pPr>
        <w:pStyle w:val="Exposdesmotifstitre"/>
        <w:rPr>
          <w:noProof/>
        </w:rPr>
      </w:pPr>
      <w:bookmarkStart w:id="0" w:name="_GoBack"/>
      <w:bookmarkEnd w:id="0"/>
      <w:r>
        <w:rPr>
          <w:noProof/>
        </w:rPr>
        <w:lastRenderedPageBreak/>
        <w:t>EXPLANATORY MEMORANDUM</w:t>
      </w:r>
    </w:p>
    <w:p>
      <w:pPr>
        <w:pStyle w:val="ManualHeading1"/>
        <w:rPr>
          <w:noProof/>
        </w:rPr>
      </w:pPr>
      <w:r>
        <w:rPr>
          <w:noProof/>
        </w:rPr>
        <w:t>1.</w:t>
      </w:r>
      <w:r>
        <w:rPr>
          <w:noProof/>
        </w:rPr>
        <w:tab/>
        <w:t>CONTEXT OF THE PROPOSAL</w:t>
      </w:r>
    </w:p>
    <w:p>
      <w:pPr>
        <w:pStyle w:val="ManualHeading2"/>
        <w:rPr>
          <w:rFonts w:eastAsia="Arial Unicode MS"/>
          <w:noProof/>
        </w:rPr>
      </w:pPr>
      <w:r>
        <w:rPr>
          <w:rFonts w:eastAsia="Arial Unicode MS"/>
          <w:noProof/>
          <w:color w:val="000000"/>
          <w:u w:color="000000"/>
          <w:bdr w:val="nil"/>
        </w:rPr>
        <w:t>•</w:t>
      </w:r>
      <w:r>
        <w:rPr>
          <w:rFonts w:eastAsia="Arial Unicode MS"/>
          <w:noProof/>
          <w:color w:val="000000"/>
          <w:u w:color="000000"/>
          <w:bdr w:val="nil"/>
        </w:rPr>
        <w:tab/>
        <w:t>Background</w:t>
      </w:r>
      <w:r>
        <w:rPr>
          <w:rFonts w:eastAsia="Arial Unicode MS"/>
          <w:noProof/>
        </w:rPr>
        <w:t xml:space="preserve"> of the proposal</w:t>
      </w:r>
    </w:p>
    <w:p>
      <w:pPr>
        <w:spacing w:before="100" w:beforeAutospacing="1" w:after="100" w:afterAutospacing="1"/>
        <w:rPr>
          <w:noProof/>
        </w:rPr>
      </w:pPr>
      <w:r>
        <w:rPr>
          <w:noProof/>
        </w:rPr>
        <w:t>In the past three years, the EU has experienced an increase in irregular border crossings into the EU, and an evolving and ongoing threat to internal security as demonstrated by a series of terrorist attacks. EU citizens expect external border controls on persons, and checks within the Schengen area, to be effective, to enable effective management of migration and to contribute to internal security. These challenges have brought into sharper focus the urgent need to join up and strengthen in a comprehensive manner the EU’s information tools for border management, migration and security.</w:t>
      </w:r>
    </w:p>
    <w:p>
      <w:pPr>
        <w:spacing w:before="100" w:beforeAutospacing="1" w:after="100" w:afterAutospacing="1"/>
        <w:rPr>
          <w:noProof/>
          <w:szCs w:val="24"/>
        </w:rPr>
      </w:pPr>
      <w:r>
        <w:rPr>
          <w:noProof/>
          <w:szCs w:val="24"/>
        </w:rPr>
        <w:t xml:space="preserve">Information management in the EU can and must be made more effective and efficient, in full respect of fundamental rights including, in particular, the right to the protection of personal data, in order to better protect the EU’s external borders, improve the management of migration and enhance internal security for the benefit of all citizens. </w:t>
      </w:r>
      <w:r>
        <w:rPr>
          <w:rFonts w:cstheme="minorBidi"/>
          <w:noProof/>
        </w:rPr>
        <w:t xml:space="preserve">There are already a number of information systems at EU level, and more systems are being developed, to provide border guards, immigration and law enforcement officers with relevant information on persons. For this support to be effective, the information provided by EU information systems needs to be complete, accurate and reliable. However, there are structural shortcomings in the EU information management architecture. </w:t>
      </w:r>
      <w:r>
        <w:rPr>
          <w:noProof/>
          <w:szCs w:val="24"/>
        </w:rPr>
        <w:t xml:space="preserve">National authorities face a complex landscape of differently governed information systems. Moreover, the architecture of data management for borders and security is fragmented, as information is stored separately in unconnected systems. This leads to blind spots. As a consequence, </w:t>
      </w:r>
      <w:r>
        <w:rPr>
          <w:b/>
          <w:noProof/>
          <w:szCs w:val="24"/>
        </w:rPr>
        <w:t>the various information systems at EU level are currently not interoperable</w:t>
      </w:r>
      <w:r>
        <w:rPr>
          <w:noProof/>
          <w:szCs w:val="24"/>
        </w:rPr>
        <w:t xml:space="preserve"> — that is, </w:t>
      </w:r>
      <w:r>
        <w:rPr>
          <w:rFonts w:cstheme="minorBidi"/>
          <w:noProof/>
        </w:rPr>
        <w:t>able to exchange data and share information so that</w:t>
      </w:r>
      <w:r>
        <w:rPr>
          <w:noProof/>
          <w:szCs w:val="24"/>
        </w:rPr>
        <w:t xml:space="preserve"> </w:t>
      </w:r>
      <w:r>
        <w:rPr>
          <w:rFonts w:cstheme="minorBidi"/>
          <w:noProof/>
        </w:rPr>
        <w:t xml:space="preserve">authorities and competent officials have the information they need, when and where they need it. </w:t>
      </w:r>
      <w:r>
        <w:rPr>
          <w:noProof/>
          <w:szCs w:val="24"/>
        </w:rPr>
        <w:t>Interoperability of EU-level information systems can significantly contribute to</w:t>
      </w:r>
      <w:r>
        <w:rPr>
          <w:i/>
          <w:noProof/>
          <w:szCs w:val="24"/>
        </w:rPr>
        <w:t xml:space="preserve"> </w:t>
      </w:r>
      <w:r>
        <w:rPr>
          <w:noProof/>
          <w:szCs w:val="24"/>
        </w:rPr>
        <w:t>eliminating the current blind spots where persons, including those possibly involved in terrorist activities, can be recorded in different, unconnected databases under different aliases.</w:t>
      </w:r>
    </w:p>
    <w:p>
      <w:pPr>
        <w:spacing w:before="100" w:beforeAutospacing="1" w:after="100" w:afterAutospacing="1"/>
        <w:rPr>
          <w:noProof/>
          <w:szCs w:val="24"/>
        </w:rPr>
      </w:pPr>
      <w:r>
        <w:rPr>
          <w:noProof/>
          <w:szCs w:val="24"/>
        </w:rPr>
        <w:t xml:space="preserve">In April 2016, the Commission presented a </w:t>
      </w:r>
      <w:r>
        <w:rPr>
          <w:b/>
          <w:noProof/>
          <w:szCs w:val="24"/>
        </w:rPr>
        <w:t xml:space="preserve">Communication </w:t>
      </w:r>
      <w:r>
        <w:rPr>
          <w:b/>
          <w:i/>
          <w:iCs/>
          <w:noProof/>
          <w:szCs w:val="24"/>
        </w:rPr>
        <w:t>Stronger and smarter information systems for borders and security</w:t>
      </w:r>
      <w:r>
        <w:rPr>
          <w:rStyle w:val="FootnoteReference"/>
          <w:noProof/>
        </w:rPr>
        <w:footnoteReference w:id="1"/>
      </w:r>
      <w:r>
        <w:rPr>
          <w:iCs/>
          <w:noProof/>
          <w:szCs w:val="24"/>
        </w:rPr>
        <w:t xml:space="preserve"> to address a number of structural shortcomings related to information systems.</w:t>
      </w:r>
      <w:r>
        <w:rPr>
          <w:rStyle w:val="FootnoteReference"/>
          <w:noProof/>
        </w:rPr>
        <w:footnoteReference w:id="2"/>
      </w:r>
      <w:r>
        <w:rPr>
          <w:i/>
          <w:iCs/>
          <w:noProof/>
          <w:szCs w:val="24"/>
        </w:rPr>
        <w:t xml:space="preserve"> </w:t>
      </w:r>
      <w:r>
        <w:rPr>
          <w:noProof/>
          <w:szCs w:val="24"/>
        </w:rPr>
        <w:t xml:space="preserve">The aim of the April 2016 Communication was to initiate a discussion on how information systems in the European Union can better enhance border and migration management and internal security. The </w:t>
      </w:r>
      <w:r>
        <w:rPr>
          <w:b/>
          <w:noProof/>
          <w:szCs w:val="24"/>
        </w:rPr>
        <w:t>Council</w:t>
      </w:r>
      <w:r>
        <w:rPr>
          <w:noProof/>
          <w:szCs w:val="24"/>
        </w:rPr>
        <w:t xml:space="preserve">, for its part, similarly recognised the urgent need for action in this area. In June 2016, it endorsed a </w:t>
      </w:r>
      <w:r>
        <w:rPr>
          <w:b/>
          <w:noProof/>
          <w:szCs w:val="24"/>
        </w:rPr>
        <w:t>roadmap to enhance information exchange and information management</w:t>
      </w:r>
      <w:r>
        <w:rPr>
          <w:noProof/>
          <w:szCs w:val="24"/>
        </w:rPr>
        <w:t xml:space="preserve"> including interoperability solutions in the Justice and Home Affairs area.</w:t>
      </w:r>
      <w:r>
        <w:rPr>
          <w:rStyle w:val="FootnoteReference"/>
          <w:noProof/>
        </w:rPr>
        <w:footnoteReference w:id="3"/>
      </w:r>
      <w:r>
        <w:rPr>
          <w:noProof/>
          <w:szCs w:val="24"/>
        </w:rPr>
        <w:t xml:space="preserve"> The purpose of the roadmap was to support operational investigations and to swiftly provide front-line practitioners — such as police officers, border guards, public prosecutors, immigration officers and others — with comprehensive, topical and high-quality information to cooperate and act effectively. The </w:t>
      </w:r>
      <w:r>
        <w:rPr>
          <w:b/>
          <w:noProof/>
          <w:szCs w:val="24"/>
        </w:rPr>
        <w:t>European Parliament</w:t>
      </w:r>
      <w:r>
        <w:rPr>
          <w:noProof/>
          <w:szCs w:val="24"/>
        </w:rPr>
        <w:t xml:space="preserve"> has </w:t>
      </w:r>
      <w:r>
        <w:rPr>
          <w:noProof/>
          <w:szCs w:val="24"/>
        </w:rPr>
        <w:lastRenderedPageBreak/>
        <w:t>also urged action in this area. In its July 2016 Resolution</w:t>
      </w:r>
      <w:r>
        <w:rPr>
          <w:rStyle w:val="FootnoteReference"/>
          <w:noProof/>
        </w:rPr>
        <w:footnoteReference w:id="4"/>
      </w:r>
      <w:r>
        <w:rPr>
          <w:noProof/>
          <w:szCs w:val="24"/>
        </w:rPr>
        <w:t xml:space="preserve"> on the Commission’s work programme for 2017, the European Parliament called for ‘</w:t>
      </w:r>
      <w:r>
        <w:rPr>
          <w:i/>
          <w:noProof/>
          <w:szCs w:val="24"/>
        </w:rPr>
        <w:t>proposals to improve and develop existing information systems, address information gaps and move towards interoperability, as well as proposals for compulsory information sharing at EU level, accompanied by necessary data protection safeguards</w:t>
      </w:r>
      <w:r>
        <w:rPr>
          <w:noProof/>
          <w:szCs w:val="24"/>
        </w:rPr>
        <w:t>’. President Juncker's State of the Union address in September 2016</w:t>
      </w:r>
      <w:r>
        <w:rPr>
          <w:rStyle w:val="FootnoteReference"/>
          <w:noProof/>
        </w:rPr>
        <w:footnoteReference w:id="5"/>
      </w:r>
      <w:r>
        <w:rPr>
          <w:noProof/>
          <w:szCs w:val="24"/>
        </w:rPr>
        <w:t xml:space="preserve"> and the European Council conclusions of December 2016</w:t>
      </w:r>
      <w:r>
        <w:rPr>
          <w:rStyle w:val="FootnoteReference"/>
          <w:noProof/>
        </w:rPr>
        <w:footnoteReference w:id="6"/>
      </w:r>
      <w:r>
        <w:rPr>
          <w:noProof/>
          <w:szCs w:val="24"/>
        </w:rPr>
        <w:t xml:space="preserve"> highlighted the importance of overcoming the current shortcomings in data management and of improving the interoperability of existing information systems.</w:t>
      </w:r>
    </w:p>
    <w:p>
      <w:pPr>
        <w:spacing w:before="100" w:beforeAutospacing="1" w:after="100" w:afterAutospacing="1"/>
        <w:rPr>
          <w:noProof/>
          <w:szCs w:val="24"/>
        </w:rPr>
      </w:pPr>
      <w:r>
        <w:rPr>
          <w:noProof/>
          <w:szCs w:val="24"/>
        </w:rPr>
        <w:t xml:space="preserve">In June 2016, as a follow-up to the April 2016 Communication, the Commission set up a </w:t>
      </w:r>
      <w:r>
        <w:rPr>
          <w:b/>
          <w:noProof/>
          <w:szCs w:val="24"/>
        </w:rPr>
        <w:t>high-level expert group on information systems and interoperability</w:t>
      </w:r>
      <w:r>
        <w:rPr>
          <w:rStyle w:val="FootnoteReference"/>
          <w:noProof/>
        </w:rPr>
        <w:footnoteReference w:id="7"/>
      </w:r>
      <w:r>
        <w:rPr>
          <w:noProof/>
          <w:szCs w:val="24"/>
        </w:rPr>
        <w:t xml:space="preserve"> in order to address the legal, technical and operational challenges of enhancing interoperability between central EU systems for borders and security, including their necessity, technical feasibility, proportionality and data protection implications. The </w:t>
      </w:r>
      <w:r>
        <w:rPr>
          <w:b/>
          <w:noProof/>
          <w:szCs w:val="24"/>
        </w:rPr>
        <w:t xml:space="preserve">final report </w:t>
      </w:r>
      <w:r>
        <w:rPr>
          <w:noProof/>
        </w:rPr>
        <w:t>of the high-level expert group</w:t>
      </w:r>
      <w:r>
        <w:rPr>
          <w:noProof/>
          <w:szCs w:val="24"/>
        </w:rPr>
        <w:t xml:space="preserve"> was published in May 2017.</w:t>
      </w:r>
      <w:r>
        <w:rPr>
          <w:rStyle w:val="FootnoteReference"/>
          <w:noProof/>
        </w:rPr>
        <w:footnoteReference w:id="8"/>
      </w:r>
      <w:r>
        <w:rPr>
          <w:noProof/>
          <w:szCs w:val="24"/>
        </w:rPr>
        <w:t xml:space="preserve"> It set out a range of recommendations to strengthen and develop the EU’s information systems and their interoperability. The EU Agency for Fundamental Rights, the European Data Protection Supervisor and the EU Counter-Terrorism Coordinator all participated actively in the work of the expert group. Each submitted supportive statements, while acknowledging that wider issues on fundamental rights and data protection had to be addressed in moving forward. Representatives of the Secretariat of the European Parliament’s Committee on Civil Liberties, Justice and Home Affairs and of the General Secretariat of the Council attended as observers. The high-level expert group concluded that it is </w:t>
      </w:r>
      <w:r>
        <w:rPr>
          <w:b/>
          <w:noProof/>
          <w:szCs w:val="24"/>
        </w:rPr>
        <w:t>necessary and technically feasible to work towards practical solutions for interoperability</w:t>
      </w:r>
      <w:r>
        <w:rPr>
          <w:noProof/>
          <w:szCs w:val="24"/>
        </w:rPr>
        <w:t xml:space="preserve"> and that they can, in principle, both deliver operational gains and be established in compliance with data protection requirements.</w:t>
      </w:r>
    </w:p>
    <w:p>
      <w:pPr>
        <w:spacing w:before="100" w:beforeAutospacing="1" w:after="100" w:afterAutospacing="1"/>
        <w:rPr>
          <w:noProof/>
          <w:szCs w:val="24"/>
        </w:rPr>
      </w:pPr>
      <w:r>
        <w:rPr>
          <w:noProof/>
          <w:szCs w:val="24"/>
        </w:rPr>
        <w:t xml:space="preserve">Building on the expert group’s report and recommendations, the Commission set out, in the </w:t>
      </w:r>
      <w:r>
        <w:rPr>
          <w:i/>
          <w:noProof/>
          <w:szCs w:val="24"/>
        </w:rPr>
        <w:t>Seventh progress report towards an effective and genuine Security Union,</w:t>
      </w:r>
      <w:r>
        <w:rPr>
          <w:rStyle w:val="FootnoteReference"/>
          <w:noProof/>
        </w:rPr>
        <w:footnoteReference w:id="9"/>
      </w:r>
      <w:r>
        <w:rPr>
          <w:rFonts w:cstheme="minorBidi"/>
          <w:noProof/>
        </w:rPr>
        <w:t xml:space="preserve"> a </w:t>
      </w:r>
      <w:r>
        <w:rPr>
          <w:rFonts w:cstheme="minorBidi"/>
          <w:b/>
          <w:noProof/>
        </w:rPr>
        <w:t xml:space="preserve">new approach to the management of data </w:t>
      </w:r>
      <w:r>
        <w:rPr>
          <w:noProof/>
        </w:rPr>
        <w:t>for borders</w:t>
      </w:r>
      <w:r>
        <w:rPr>
          <w:rFonts w:cstheme="minorBidi"/>
          <w:noProof/>
        </w:rPr>
        <w:t xml:space="preserve">, </w:t>
      </w:r>
      <w:r>
        <w:rPr>
          <w:noProof/>
        </w:rPr>
        <w:t xml:space="preserve">security </w:t>
      </w:r>
      <w:r>
        <w:rPr>
          <w:rFonts w:cstheme="minorBidi"/>
          <w:noProof/>
        </w:rPr>
        <w:t>and migration management where all centralised EU information systems for security, border and migration management are interoperable in full respect of fundamental rights. The Commission announced its inte</w:t>
      </w:r>
      <w:r>
        <w:rPr>
          <w:noProof/>
          <w:szCs w:val="24"/>
        </w:rPr>
        <w:t>ntion to pursue work towards creating a European search portal capable of querying simultaneously all relevant EU systems in the areas of security, border and migration management, possibly with more streamlined rules for law enforcement access, and to develop for these systems a shared biometric matching service (possibly with a hit-flagging functionality</w:t>
      </w:r>
      <w:r>
        <w:rPr>
          <w:rStyle w:val="FootnoteReference"/>
          <w:noProof/>
        </w:rPr>
        <w:footnoteReference w:id="10"/>
      </w:r>
      <w:r>
        <w:rPr>
          <w:noProof/>
          <w:szCs w:val="24"/>
        </w:rPr>
        <w:t xml:space="preserve">) and a </w:t>
      </w:r>
      <w:r>
        <w:rPr>
          <w:noProof/>
          <w:szCs w:val="24"/>
        </w:rPr>
        <w:lastRenderedPageBreak/>
        <w:t>common identity repository. It announced its intention to present, as soon as possible, a legislative proposal on interoperability.</w:t>
      </w:r>
    </w:p>
    <w:p>
      <w:pPr>
        <w:spacing w:before="100" w:beforeAutospacing="1" w:after="100" w:afterAutospacing="1"/>
        <w:rPr>
          <w:rFonts w:cstheme="minorBidi"/>
          <w:noProof/>
        </w:rPr>
      </w:pPr>
      <w:r>
        <w:rPr>
          <w:noProof/>
          <w:szCs w:val="24"/>
        </w:rPr>
        <w:t>The European Council conclusions of June 2017</w:t>
      </w:r>
      <w:r>
        <w:rPr>
          <w:rStyle w:val="FootnoteReference"/>
          <w:noProof/>
        </w:rPr>
        <w:footnoteReference w:id="11"/>
      </w:r>
      <w:r>
        <w:rPr>
          <w:noProof/>
          <w:szCs w:val="24"/>
        </w:rPr>
        <w:t xml:space="preserve"> reiterated the need to act. Building on the June 2017 conclusions</w:t>
      </w:r>
      <w:r>
        <w:rPr>
          <w:rStyle w:val="FootnoteReference"/>
          <w:noProof/>
        </w:rPr>
        <w:footnoteReference w:id="12"/>
      </w:r>
      <w:r>
        <w:rPr>
          <w:noProof/>
          <w:szCs w:val="24"/>
        </w:rPr>
        <w:t xml:space="preserve"> of the Justice and Home Affairs Council, the European Council invited the Commission to prepare, as soon as possible, draft legislation enacting the recommendations made by the high-level expert group. This initiative also responds to the Council’s call for a comprehensive framework for law enforcement access to the various databases in the area of justice and home affairs, with a view to greater simplification, consistency, effectiveness and attention to operational needs</w:t>
      </w:r>
      <w:r>
        <w:rPr>
          <w:rStyle w:val="FootnoteReference"/>
          <w:noProof/>
        </w:rPr>
        <w:footnoteReference w:id="13"/>
      </w:r>
      <w:r>
        <w:rPr>
          <w:noProof/>
          <w:szCs w:val="24"/>
        </w:rPr>
        <w:t>. In order to reinforce the efforts to make the European Union a safer society, in full compliance with fundamental rights, the Commission announced, in the context of its 2018 Work Programme</w:t>
      </w:r>
      <w:r>
        <w:rPr>
          <w:rStyle w:val="FootnoteReference"/>
          <w:noProof/>
        </w:rPr>
        <w:footnoteReference w:id="14"/>
      </w:r>
      <w:r>
        <w:rPr>
          <w:noProof/>
          <w:szCs w:val="24"/>
        </w:rPr>
        <w:t>, a proposal on the interoperability of information systems to be presented by the end of 2017.</w:t>
      </w:r>
    </w:p>
    <w:p>
      <w:pPr>
        <w:pStyle w:val="ManualHeading2"/>
        <w:rPr>
          <w:rFonts w:eastAsia="Arial Unicode MS"/>
          <w:noProof/>
          <w:color w:val="000000"/>
          <w:u w:color="000000"/>
          <w:bdr w:val="nil"/>
        </w:rPr>
      </w:pPr>
      <w:r>
        <w:rPr>
          <w:rFonts w:eastAsia="Arial Unicode MS"/>
          <w:noProof/>
          <w:color w:val="000000"/>
          <w:u w:color="000000"/>
          <w:bdr w:val="nil"/>
        </w:rPr>
        <w:t>•</w:t>
      </w:r>
      <w:r>
        <w:rPr>
          <w:rFonts w:eastAsia="Arial Unicode MS"/>
          <w:noProof/>
          <w:color w:val="000000"/>
          <w:u w:color="000000"/>
          <w:bdr w:val="nil"/>
        </w:rPr>
        <w:tab/>
        <w:t>Objectives of the proposal</w:t>
      </w:r>
    </w:p>
    <w:p>
      <w:pPr>
        <w:spacing w:before="100" w:beforeAutospacing="1" w:after="100" w:afterAutospacing="1"/>
        <w:rPr>
          <w:noProof/>
          <w:szCs w:val="24"/>
        </w:rPr>
      </w:pPr>
      <w:r>
        <w:rPr>
          <w:noProof/>
          <w:szCs w:val="24"/>
        </w:rPr>
        <w:t>The general objectives of this initiative result from the Treaty-based goals of improving the management of the Schengen external borders and contributing to the internal security of the European Union. They also stem from policy decisions by the Commission and relevant (European) Council Conclusions. These objectives are further elaborated in the European Agenda on Migration and subsequent communications, including the Communication on preserving and strengthening Schengen,</w:t>
      </w:r>
      <w:r>
        <w:rPr>
          <w:rStyle w:val="FootnoteReference"/>
          <w:noProof/>
        </w:rPr>
        <w:footnoteReference w:id="15"/>
      </w:r>
      <w:r>
        <w:rPr>
          <w:noProof/>
          <w:szCs w:val="24"/>
        </w:rPr>
        <w:t xml:space="preserve"> the European Agenda on Security</w:t>
      </w:r>
      <w:r>
        <w:rPr>
          <w:rStyle w:val="FootnoteReference"/>
          <w:noProof/>
        </w:rPr>
        <w:footnoteReference w:id="16"/>
      </w:r>
      <w:r>
        <w:rPr>
          <w:noProof/>
          <w:szCs w:val="24"/>
        </w:rPr>
        <w:t xml:space="preserve"> and the Commission’s work and progress reports towards an effective and genuine Security Union.</w:t>
      </w:r>
      <w:r>
        <w:rPr>
          <w:rStyle w:val="FootnoteReference"/>
          <w:noProof/>
        </w:rPr>
        <w:footnoteReference w:id="17"/>
      </w:r>
      <w:r>
        <w:rPr>
          <w:noProof/>
          <w:szCs w:val="24"/>
        </w:rPr>
        <w:t xml:space="preserve"> </w:t>
      </w:r>
    </w:p>
    <w:p>
      <w:pPr>
        <w:spacing w:before="100" w:beforeAutospacing="1" w:after="100" w:afterAutospacing="1"/>
        <w:rPr>
          <w:noProof/>
          <w:szCs w:val="24"/>
        </w:rPr>
      </w:pPr>
      <w:r>
        <w:rPr>
          <w:noProof/>
          <w:szCs w:val="24"/>
        </w:rPr>
        <w:t>Whilst building in particular on the April 2016 Communication and the findings of the high-level expert group, the objectives of this proposal are intrinsically linked to the above.</w:t>
      </w:r>
    </w:p>
    <w:p>
      <w:pPr>
        <w:spacing w:before="100" w:beforeAutospacing="1" w:after="100" w:afterAutospacing="1"/>
        <w:rPr>
          <w:noProof/>
          <w:szCs w:val="24"/>
        </w:rPr>
      </w:pPr>
      <w:r>
        <w:rPr>
          <w:noProof/>
          <w:szCs w:val="24"/>
        </w:rPr>
        <w:t>The specific objectives of this proposal are to:</w:t>
      </w:r>
    </w:p>
    <w:p>
      <w:pPr>
        <w:pStyle w:val="Point0number"/>
        <w:numPr>
          <w:ilvl w:val="0"/>
          <w:numId w:val="106"/>
        </w:numPr>
        <w:rPr>
          <w:noProof/>
        </w:rPr>
      </w:pPr>
      <w:r>
        <w:rPr>
          <w:noProof/>
        </w:rPr>
        <w:t xml:space="preserve">ensure that end-users, particularly border guards, law enforcement officers, immigration officials and judicial authorities have </w:t>
      </w:r>
      <w:r>
        <w:rPr>
          <w:b/>
          <w:noProof/>
        </w:rPr>
        <w:t>fast, seamless, systematic and controlled access</w:t>
      </w:r>
      <w:r>
        <w:rPr>
          <w:noProof/>
        </w:rPr>
        <w:t xml:space="preserve"> to the information that they need to perform their tasks;</w:t>
      </w:r>
    </w:p>
    <w:p>
      <w:pPr>
        <w:pStyle w:val="Point0number"/>
        <w:rPr>
          <w:noProof/>
        </w:rPr>
      </w:pPr>
      <w:r>
        <w:rPr>
          <w:noProof/>
        </w:rPr>
        <w:t xml:space="preserve">provide a solution to </w:t>
      </w:r>
      <w:r>
        <w:rPr>
          <w:b/>
          <w:noProof/>
        </w:rPr>
        <w:t>detect multiple identities</w:t>
      </w:r>
      <w:r>
        <w:rPr>
          <w:noProof/>
        </w:rPr>
        <w:t xml:space="preserve"> linked to the same set of biometric data, with the dual purpose of ensuring the correct identification of </w:t>
      </w:r>
      <w:r>
        <w:rPr>
          <w:rFonts w:cstheme="minorBidi"/>
          <w:i/>
          <w:noProof/>
        </w:rPr>
        <w:t>bona fide</w:t>
      </w:r>
      <w:r>
        <w:rPr>
          <w:noProof/>
        </w:rPr>
        <w:t xml:space="preserve"> persons and </w:t>
      </w:r>
      <w:r>
        <w:rPr>
          <w:b/>
          <w:noProof/>
        </w:rPr>
        <w:t>combating identity fraud</w:t>
      </w:r>
      <w:r>
        <w:rPr>
          <w:noProof/>
        </w:rPr>
        <w:t>;</w:t>
      </w:r>
    </w:p>
    <w:p>
      <w:pPr>
        <w:pStyle w:val="Point0number"/>
        <w:rPr>
          <w:noProof/>
        </w:rPr>
      </w:pPr>
      <w:r>
        <w:rPr>
          <w:noProof/>
        </w:rPr>
        <w:t xml:space="preserve">facilitate </w:t>
      </w:r>
      <w:r>
        <w:rPr>
          <w:b/>
          <w:noProof/>
        </w:rPr>
        <w:t>identity checks of third-country nationals</w:t>
      </w:r>
      <w:r>
        <w:rPr>
          <w:noProof/>
        </w:rPr>
        <w:t>, on the territory of a Member State, by police authorities; and</w:t>
      </w:r>
    </w:p>
    <w:p>
      <w:pPr>
        <w:pStyle w:val="Point0number"/>
        <w:rPr>
          <w:noProof/>
        </w:rPr>
      </w:pPr>
      <w:r>
        <w:rPr>
          <w:noProof/>
        </w:rPr>
        <w:lastRenderedPageBreak/>
        <w:t xml:space="preserve">facilitate and </w:t>
      </w:r>
      <w:r>
        <w:rPr>
          <w:b/>
          <w:noProof/>
        </w:rPr>
        <w:t>streamline access by law enforcement authorities</w:t>
      </w:r>
      <w:r>
        <w:rPr>
          <w:noProof/>
        </w:rPr>
        <w:t xml:space="preserve"> to non-law enforcement information systems at EU level, where necessary for the prevention, investigation, detection or prosecution of serious crime and terrorism.</w:t>
      </w:r>
    </w:p>
    <w:p>
      <w:pPr>
        <w:spacing w:before="0" w:after="0"/>
        <w:contextualSpacing/>
        <w:rPr>
          <w:rFonts w:eastAsia="Calibri"/>
          <w:noProof/>
          <w:szCs w:val="24"/>
        </w:rPr>
      </w:pPr>
    </w:p>
    <w:p>
      <w:pPr>
        <w:spacing w:before="0" w:after="0"/>
        <w:contextualSpacing/>
        <w:rPr>
          <w:rFonts w:eastAsia="Calibri"/>
          <w:noProof/>
          <w:szCs w:val="24"/>
        </w:rPr>
      </w:pPr>
      <w:r>
        <w:rPr>
          <w:rFonts w:eastAsia="Calibri"/>
          <w:noProof/>
          <w:szCs w:val="24"/>
        </w:rPr>
        <w:t>In addition to these primary operational objectives, this proposal will also contribute to:</w:t>
      </w:r>
    </w:p>
    <w:p>
      <w:pPr>
        <w:spacing w:before="0" w:after="0"/>
        <w:ind w:left="240"/>
        <w:contextualSpacing/>
        <w:rPr>
          <w:rFonts w:eastAsia="Calibri"/>
          <w:noProof/>
          <w:szCs w:val="24"/>
        </w:rPr>
      </w:pPr>
    </w:p>
    <w:p>
      <w:pPr>
        <w:pStyle w:val="Bullet0"/>
        <w:numPr>
          <w:ilvl w:val="0"/>
          <w:numId w:val="107"/>
        </w:numPr>
        <w:rPr>
          <w:noProof/>
        </w:rPr>
      </w:pPr>
      <w:r>
        <w:rPr>
          <w:noProof/>
        </w:rPr>
        <w:t xml:space="preserve">facilitating the technical and operational </w:t>
      </w:r>
      <w:r>
        <w:rPr>
          <w:b/>
          <w:noProof/>
        </w:rPr>
        <w:t>implementation by Member States</w:t>
      </w:r>
      <w:r>
        <w:rPr>
          <w:noProof/>
        </w:rPr>
        <w:t xml:space="preserve"> of existing and future new information systems;</w:t>
      </w:r>
    </w:p>
    <w:p>
      <w:pPr>
        <w:pStyle w:val="Bullet0"/>
        <w:rPr>
          <w:noProof/>
        </w:rPr>
      </w:pPr>
      <w:r>
        <w:rPr>
          <w:noProof/>
        </w:rPr>
        <w:t xml:space="preserve">strengthening and streamlining the </w:t>
      </w:r>
      <w:r>
        <w:rPr>
          <w:b/>
          <w:noProof/>
        </w:rPr>
        <w:t>data security and data protection conditions</w:t>
      </w:r>
      <w:r>
        <w:rPr>
          <w:noProof/>
        </w:rPr>
        <w:t xml:space="preserve"> that govern the respective systems; and</w:t>
      </w:r>
    </w:p>
    <w:p>
      <w:pPr>
        <w:pStyle w:val="Bullet0"/>
        <w:rPr>
          <w:noProof/>
        </w:rPr>
      </w:pPr>
      <w:r>
        <w:rPr>
          <w:noProof/>
        </w:rPr>
        <w:t xml:space="preserve">improving and harmonising </w:t>
      </w:r>
      <w:r>
        <w:rPr>
          <w:b/>
          <w:noProof/>
        </w:rPr>
        <w:t xml:space="preserve">data quality </w:t>
      </w:r>
      <w:r>
        <w:rPr>
          <w:noProof/>
        </w:rPr>
        <w:t>requirements of the respective systems.</w:t>
      </w:r>
    </w:p>
    <w:p>
      <w:pPr>
        <w:spacing w:before="100" w:beforeAutospacing="1" w:after="100" w:afterAutospacing="1"/>
        <w:contextualSpacing/>
        <w:rPr>
          <w:rFonts w:eastAsia="Calibri"/>
          <w:noProof/>
          <w:szCs w:val="24"/>
        </w:rPr>
      </w:pPr>
    </w:p>
    <w:p>
      <w:pPr>
        <w:spacing w:before="100" w:beforeAutospacing="1" w:after="100" w:afterAutospacing="1"/>
        <w:contextualSpacing/>
        <w:rPr>
          <w:noProof/>
          <w:szCs w:val="24"/>
        </w:rPr>
      </w:pPr>
      <w:r>
        <w:rPr>
          <w:rFonts w:eastAsia="Calibri"/>
          <w:noProof/>
          <w:szCs w:val="24"/>
        </w:rPr>
        <w:t xml:space="preserve">Finally, this proposal includes provisions for the establishment and governance of the Universal Message Format (UMF) as an EU standard for the development of information systems in the area of justice and home affairs, and the establishment of a central repository for reporting and statistics. </w:t>
      </w:r>
    </w:p>
    <w:p>
      <w:pPr>
        <w:pStyle w:val="ManualHeading2"/>
        <w:rPr>
          <w:rFonts w:eastAsia="Arial Unicode MS"/>
          <w:noProof/>
          <w:color w:val="000000"/>
          <w:u w:color="000000"/>
          <w:bdr w:val="nil"/>
        </w:rPr>
      </w:pPr>
      <w:r>
        <w:rPr>
          <w:rFonts w:eastAsia="Arial Unicode MS"/>
          <w:noProof/>
          <w:color w:val="000000"/>
          <w:u w:color="000000"/>
          <w:bdr w:val="nil"/>
        </w:rPr>
        <w:t>•</w:t>
      </w:r>
      <w:r>
        <w:rPr>
          <w:rFonts w:eastAsia="Arial Unicode MS"/>
          <w:noProof/>
          <w:color w:val="000000"/>
          <w:u w:color="000000"/>
          <w:bdr w:val="nil"/>
        </w:rPr>
        <w:tab/>
        <w:t>Scope of the proposal</w:t>
      </w:r>
    </w:p>
    <w:p>
      <w:pPr>
        <w:tabs>
          <w:tab w:val="left" w:pos="2302"/>
        </w:tabs>
        <w:spacing w:before="100" w:beforeAutospacing="1" w:after="100" w:afterAutospacing="1"/>
        <w:rPr>
          <w:noProof/>
        </w:rPr>
      </w:pPr>
      <w:r>
        <w:rPr>
          <w:noProof/>
        </w:rPr>
        <w:t>Together with its sister proposal presented the same day, this interoperability proposal focuses on the EU information systems for security, border and migration management that are operated at the central level, three of them existing, one on the brink of development, and two others at the stage of proposals under discussion between co-legislators. Each system has its own objectives, purposes, legal bases, rules, user groups and institutional context.</w:t>
      </w:r>
    </w:p>
    <w:p>
      <w:pPr>
        <w:tabs>
          <w:tab w:val="left" w:pos="2302"/>
        </w:tabs>
        <w:spacing w:before="100" w:beforeAutospacing="1" w:after="100" w:afterAutospacing="1"/>
        <w:rPr>
          <w:noProof/>
        </w:rPr>
      </w:pPr>
      <w:r>
        <w:rPr>
          <w:noProof/>
        </w:rPr>
        <w:t>The three existing centralised information systems so far are:</w:t>
      </w:r>
    </w:p>
    <w:p>
      <w:pPr>
        <w:pStyle w:val="Bullet0"/>
        <w:rPr>
          <w:noProof/>
        </w:rPr>
      </w:pPr>
      <w:r>
        <w:rPr>
          <w:noProof/>
        </w:rPr>
        <w:t xml:space="preserve">the </w:t>
      </w:r>
      <w:r>
        <w:rPr>
          <w:b/>
          <w:noProof/>
        </w:rPr>
        <w:t>Schengen Information System (SIS)</w:t>
      </w:r>
      <w:r>
        <w:rPr>
          <w:noProof/>
        </w:rPr>
        <w:t xml:space="preserve"> with a broad spectrum of alerts on persons (refusals of entry or stay, EU arrest warrant, missing persons, judicial procedure assistance, discreet and specific checks) and objects (including lost, stolen and invalidated identity or travel documents);</w:t>
      </w:r>
      <w:r>
        <w:rPr>
          <w:rStyle w:val="FootnoteReference"/>
          <w:noProof/>
        </w:rPr>
        <w:footnoteReference w:id="18"/>
      </w:r>
    </w:p>
    <w:p>
      <w:pPr>
        <w:pStyle w:val="Bullet0"/>
        <w:rPr>
          <w:noProof/>
        </w:rPr>
      </w:pPr>
      <w:r>
        <w:rPr>
          <w:noProof/>
        </w:rPr>
        <w:t xml:space="preserve">the </w:t>
      </w:r>
      <w:r>
        <w:rPr>
          <w:b/>
          <w:noProof/>
        </w:rPr>
        <w:t>Eurodac</w:t>
      </w:r>
      <w:r>
        <w:rPr>
          <w:noProof/>
        </w:rPr>
        <w:t xml:space="preserve"> system with fingerprint data of asylum applicants and third-country nationals who have crossed the external borders irregularly or who are illegally staying in a Member State; and</w:t>
      </w:r>
    </w:p>
    <w:p>
      <w:pPr>
        <w:pStyle w:val="Bullet0"/>
        <w:rPr>
          <w:noProof/>
        </w:rPr>
      </w:pPr>
      <w:r>
        <w:rPr>
          <w:noProof/>
        </w:rPr>
        <w:t xml:space="preserve">the </w:t>
      </w:r>
      <w:r>
        <w:rPr>
          <w:b/>
          <w:noProof/>
        </w:rPr>
        <w:t>Visa Information System (VIS)</w:t>
      </w:r>
      <w:r>
        <w:rPr>
          <w:noProof/>
        </w:rPr>
        <w:t xml:space="preserve"> with data on short-stay visas.</w:t>
      </w:r>
    </w:p>
    <w:p>
      <w:pPr>
        <w:tabs>
          <w:tab w:val="left" w:pos="2302"/>
        </w:tabs>
        <w:spacing w:before="100" w:beforeAutospacing="1" w:after="100" w:afterAutospacing="1"/>
        <w:rPr>
          <w:noProof/>
        </w:rPr>
      </w:pPr>
      <w:r>
        <w:rPr>
          <w:noProof/>
        </w:rPr>
        <w:t>In addition to these existing systems, the Commission proposed in 2016-2017 three new centralised EU information systems:</w:t>
      </w:r>
    </w:p>
    <w:p>
      <w:pPr>
        <w:pStyle w:val="Bullet0"/>
        <w:rPr>
          <w:noProof/>
        </w:rPr>
      </w:pPr>
      <w:r>
        <w:rPr>
          <w:noProof/>
        </w:rPr>
        <w:t xml:space="preserve">the </w:t>
      </w:r>
      <w:r>
        <w:rPr>
          <w:b/>
          <w:noProof/>
        </w:rPr>
        <w:t>Entry/Exit System (EES)</w:t>
      </w:r>
      <w:r>
        <w:rPr>
          <w:noProof/>
        </w:rPr>
        <w:t>, for which the legal basis has just been agreed, which will replace the current system of manual stamping of passports and will electronically register the name, type of travel document, biometrics and the date and place of entry and exit of third-country nationals visiting the Schengen area for a short stay;</w:t>
      </w:r>
    </w:p>
    <w:p>
      <w:pPr>
        <w:pStyle w:val="Bullet0"/>
        <w:rPr>
          <w:noProof/>
        </w:rPr>
      </w:pPr>
      <w:r>
        <w:rPr>
          <w:noProof/>
        </w:rPr>
        <w:lastRenderedPageBreak/>
        <w:t xml:space="preserve">the proposed </w:t>
      </w:r>
      <w:r>
        <w:rPr>
          <w:b/>
          <w:noProof/>
        </w:rPr>
        <w:t>European Travel Information and Authorisation System (ETIAS)</w:t>
      </w:r>
      <w:r>
        <w:rPr>
          <w:noProof/>
        </w:rPr>
        <w:t>, which would, once adopted, be a largely automated system that would gather and verify information submitted by visa-exempt third-country nationals ahead of their travel to the Schengen area; and</w:t>
      </w:r>
    </w:p>
    <w:p>
      <w:pPr>
        <w:pStyle w:val="Bullet0"/>
        <w:rPr>
          <w:noProof/>
        </w:rPr>
      </w:pPr>
      <w:r>
        <w:rPr>
          <w:noProof/>
        </w:rPr>
        <w:t xml:space="preserve">the proposed </w:t>
      </w:r>
      <w:r>
        <w:rPr>
          <w:b/>
          <w:noProof/>
        </w:rPr>
        <w:t>European Criminal Record Information System for third-country nationals (ECRIS-TCN system)</w:t>
      </w:r>
      <w:r>
        <w:rPr>
          <w:noProof/>
        </w:rPr>
        <w:t>, which would be an electronic system for exchanging information on previous convictions handed down against third-country nationals by criminal courts in the EU.</w:t>
      </w:r>
    </w:p>
    <w:p>
      <w:pPr>
        <w:tabs>
          <w:tab w:val="left" w:pos="2302"/>
        </w:tabs>
        <w:spacing w:before="100" w:beforeAutospacing="1" w:after="100" w:afterAutospacing="1"/>
        <w:rPr>
          <w:noProof/>
        </w:rPr>
      </w:pPr>
      <w:r>
        <w:rPr>
          <w:noProof/>
        </w:rPr>
        <w:t xml:space="preserve">These six systems are complementary and — with the exception of the Schengen Information System (SIS) — exclusively focused on third-country nationals. The systems support national authorities in managing borders, migration, visa processing and asylum, and in fighting crime and terrorism. The latter applies in particular to the SIS, which is the most widely used law enforcement information-sharing instrument today. </w:t>
      </w:r>
    </w:p>
    <w:p>
      <w:pPr>
        <w:spacing w:before="0"/>
        <w:rPr>
          <w:rFonts w:cstheme="minorBidi"/>
          <w:noProof/>
        </w:rPr>
      </w:pPr>
      <w:r>
        <w:rPr>
          <w:rFonts w:cstheme="minorBidi"/>
          <w:noProof/>
        </w:rPr>
        <w:t xml:space="preserve">In addition to these information systems, centrally managed at EU level, the scope of this proposal also includes </w:t>
      </w:r>
      <w:r>
        <w:rPr>
          <w:b/>
          <w:noProof/>
        </w:rPr>
        <w:t>Interpol</w:t>
      </w:r>
      <w:r>
        <w:rPr>
          <w:rFonts w:cstheme="minorBidi"/>
          <w:noProof/>
        </w:rPr>
        <w:t xml:space="preserve">’s Stolen and Lost Travel Documents (SLTD) database, which pursuant to the provisions of the Schengen Borders Code is systematically queried at the EU’s external borders, and Interpol's Travel Documents Associated with Notices (TDAWN) database. It also covers </w:t>
      </w:r>
      <w:r>
        <w:rPr>
          <w:b/>
          <w:noProof/>
        </w:rPr>
        <w:t>Europol</w:t>
      </w:r>
      <w:r>
        <w:rPr>
          <w:rFonts w:cstheme="minorBidi"/>
          <w:noProof/>
        </w:rPr>
        <w:t xml:space="preserve"> data, as far as this is relevant for the functioning of the proposed ETIAS system and for assisting Member States when querying data on serious crime and terrorism. </w:t>
      </w:r>
    </w:p>
    <w:p>
      <w:pPr>
        <w:spacing w:before="0"/>
        <w:rPr>
          <w:rFonts w:cstheme="minorBidi"/>
          <w:noProof/>
        </w:rPr>
      </w:pPr>
      <w:r>
        <w:rPr>
          <w:rFonts w:cstheme="minorBidi"/>
          <w:noProof/>
        </w:rPr>
        <w:t>National information systems and decentralised EU information systems are outside the scope of this initiative. Provided that the necessity will be demonstrated, decentralised systems such as those operated under the Prüm framework,</w:t>
      </w:r>
      <w:r>
        <w:rPr>
          <w:rStyle w:val="FootnoteReference"/>
          <w:noProof/>
        </w:rPr>
        <w:footnoteReference w:id="19"/>
      </w:r>
      <w:r>
        <w:rPr>
          <w:rFonts w:cstheme="minorBidi"/>
          <w:noProof/>
        </w:rPr>
        <w:t xml:space="preserve"> the Passenger Name Record (PNR) Directive</w:t>
      </w:r>
      <w:r>
        <w:rPr>
          <w:rStyle w:val="FootnoteReference"/>
          <w:noProof/>
        </w:rPr>
        <w:footnoteReference w:id="20"/>
      </w:r>
      <w:r>
        <w:rPr>
          <w:rFonts w:cstheme="minorBidi"/>
          <w:noProof/>
        </w:rPr>
        <w:t xml:space="preserve"> and the Advance Passenger Information Directive</w:t>
      </w:r>
      <w:r>
        <w:rPr>
          <w:rStyle w:val="FootnoteReference"/>
          <w:noProof/>
        </w:rPr>
        <w:footnoteReference w:id="21"/>
      </w:r>
      <w:r>
        <w:rPr>
          <w:rFonts w:cstheme="minorBidi"/>
          <w:noProof/>
        </w:rPr>
        <w:t xml:space="preserve"> may at a later stage be linked up to one or more of the components proposed under this initiative.</w:t>
      </w:r>
      <w:r>
        <w:rPr>
          <w:rStyle w:val="FootnoteReference"/>
          <w:rFonts w:cstheme="minorBidi"/>
          <w:noProof/>
        </w:rPr>
        <w:footnoteReference w:id="22"/>
      </w:r>
    </w:p>
    <w:p>
      <w:pPr>
        <w:spacing w:before="0"/>
        <w:rPr>
          <w:rFonts w:cstheme="minorBidi"/>
          <w:noProof/>
        </w:rPr>
      </w:pPr>
      <w:r>
        <w:rPr>
          <w:rFonts w:cstheme="minorBidi"/>
          <w:noProof/>
        </w:rPr>
        <w:t>To respect the distinction between the matters which constitute a development of the Schengen acquis regarding borders and visa on the one hand and other systems which concern the Schengen acquis on police cooperation or are not related to the Schengen acquis on the other, this proposal deals with access to the Visa Information System, the Schengen Information System as currently regulated by Regulation (EC) No 1987/2006, the Entry-Exit System and the European Travel information and Authorisation System.</w:t>
      </w:r>
    </w:p>
    <w:p>
      <w:pPr>
        <w:spacing w:before="0"/>
        <w:rPr>
          <w:noProof/>
        </w:rPr>
      </w:pPr>
    </w:p>
    <w:p>
      <w:pPr>
        <w:pStyle w:val="ManualHeading2"/>
        <w:rPr>
          <w:rFonts w:eastAsia="Arial Unicode MS"/>
          <w:noProof/>
          <w:color w:val="000000"/>
          <w:u w:color="000000"/>
          <w:bdr w:val="nil"/>
        </w:rPr>
      </w:pPr>
      <w:r>
        <w:rPr>
          <w:rFonts w:eastAsia="Arial Unicode MS"/>
          <w:noProof/>
          <w:color w:val="000000"/>
          <w:u w:color="000000"/>
          <w:bdr w:val="nil"/>
        </w:rPr>
        <w:t>•</w:t>
      </w:r>
      <w:r>
        <w:rPr>
          <w:rFonts w:eastAsia="Arial Unicode MS"/>
          <w:noProof/>
          <w:color w:val="000000"/>
          <w:u w:color="000000"/>
          <w:bdr w:val="nil"/>
        </w:rPr>
        <w:tab/>
        <w:t>The necessary technical components to achieve interoperability</w:t>
      </w:r>
    </w:p>
    <w:p>
      <w:pPr>
        <w:pStyle w:val="ManualHeading2"/>
        <w:ind w:left="0" w:firstLine="0"/>
        <w:rPr>
          <w:b w:val="0"/>
          <w:noProof/>
        </w:rPr>
      </w:pPr>
      <w:r>
        <w:rPr>
          <w:rFonts w:eastAsia="Arial Unicode MS"/>
          <w:b w:val="0"/>
          <w:noProof/>
        </w:rPr>
        <w:t>In order</w:t>
      </w:r>
      <w:r>
        <w:rPr>
          <w:b w:val="0"/>
          <w:noProof/>
        </w:rPr>
        <w:t xml:space="preserve"> to achieve the objectives of this proposal, four interoperability components need to be established:</w:t>
      </w:r>
    </w:p>
    <w:p>
      <w:pPr>
        <w:pStyle w:val="Bullet0"/>
        <w:rPr>
          <w:noProof/>
        </w:rPr>
      </w:pPr>
      <w:r>
        <w:rPr>
          <w:noProof/>
        </w:rPr>
        <w:t>European search portal — ESP</w:t>
      </w:r>
    </w:p>
    <w:p>
      <w:pPr>
        <w:pStyle w:val="Bullet0"/>
        <w:rPr>
          <w:b/>
          <w:noProof/>
        </w:rPr>
      </w:pPr>
      <w:r>
        <w:rPr>
          <w:noProof/>
        </w:rPr>
        <w:lastRenderedPageBreak/>
        <w:t>Shared biometric matching service — shared BMS</w:t>
      </w:r>
    </w:p>
    <w:p>
      <w:pPr>
        <w:pStyle w:val="Bullet0"/>
        <w:rPr>
          <w:b/>
          <w:noProof/>
        </w:rPr>
      </w:pPr>
      <w:r>
        <w:rPr>
          <w:noProof/>
        </w:rPr>
        <w:t>Common identity repository — CIR</w:t>
      </w:r>
    </w:p>
    <w:p>
      <w:pPr>
        <w:pStyle w:val="Bullet0"/>
        <w:rPr>
          <w:b/>
          <w:noProof/>
        </w:rPr>
      </w:pPr>
      <w:r>
        <w:rPr>
          <w:noProof/>
        </w:rPr>
        <w:t>Multiple-identity detector — MID</w:t>
      </w:r>
    </w:p>
    <w:p>
      <w:pPr>
        <w:pStyle w:val="Text1"/>
        <w:ind w:left="0"/>
        <w:rPr>
          <w:noProof/>
        </w:rPr>
      </w:pPr>
      <w:r>
        <w:rPr>
          <w:noProof/>
        </w:rPr>
        <w:t xml:space="preserve">Each of these components is described in detail in the Commission Staff Working Document on the impact assessment accompanying this proposal.  </w:t>
      </w:r>
    </w:p>
    <w:p>
      <w:pPr>
        <w:pStyle w:val="Text1"/>
        <w:ind w:left="0"/>
        <w:rPr>
          <w:noProof/>
        </w:rPr>
      </w:pPr>
      <w:r>
        <w:rPr>
          <w:noProof/>
        </w:rPr>
        <w:t>The four components combined lead to the following interoperability solution:</w:t>
      </w:r>
    </w:p>
    <w:p>
      <w:pPr>
        <w:pStyle w:val="Text1"/>
        <w:ind w:left="0"/>
        <w:rPr>
          <w:noProof/>
        </w:rPr>
      </w:pPr>
      <w:bookmarkStart w:id="1" w:name="_Toc496614916"/>
      <w:bookmarkStart w:id="2" w:name="_Toc496618263"/>
      <w:bookmarkStart w:id="3" w:name="_Toc496619915"/>
      <w:bookmarkStart w:id="4" w:name="_Toc496621490"/>
      <w:bookmarkStart w:id="5" w:name="_Toc496624668"/>
      <w:bookmarkStart w:id="6" w:name="_Toc496623487"/>
      <w:bookmarkStart w:id="7" w:name="_Toc496625023"/>
      <w:bookmarkStart w:id="8" w:name="_Toc496626176"/>
      <w:bookmarkStart w:id="9" w:name="_Toc496627790"/>
      <w:bookmarkStart w:id="10" w:name="_Toc496628355"/>
      <w:bookmarkStart w:id="11" w:name="_Toc496628944"/>
      <w:bookmarkStart w:id="12" w:name="_Toc496629067"/>
      <w:bookmarkStart w:id="13" w:name="_Toc496629189"/>
      <w:bookmarkStart w:id="14" w:name="_Toc496629312"/>
      <w:bookmarkStart w:id="15" w:name="_Toc496629527"/>
      <w:bookmarkStart w:id="16" w:name="_Toc496630709"/>
      <w:bookmarkStart w:id="17" w:name="_Toc496630992"/>
      <w:bookmarkStart w:id="18" w:name="_Toc496631277"/>
      <w:bookmarkStart w:id="19" w:name="_Toc496614917"/>
      <w:bookmarkStart w:id="20" w:name="_Toc496618264"/>
      <w:bookmarkStart w:id="21" w:name="_Toc496619916"/>
      <w:bookmarkStart w:id="22" w:name="_Toc496621491"/>
      <w:bookmarkStart w:id="23" w:name="_Toc496624669"/>
      <w:bookmarkStart w:id="24" w:name="_Toc496623488"/>
      <w:bookmarkStart w:id="25" w:name="_Toc496625024"/>
      <w:bookmarkStart w:id="26" w:name="_Toc496626177"/>
      <w:bookmarkStart w:id="27" w:name="_Toc496627791"/>
      <w:bookmarkStart w:id="28" w:name="_Toc496628356"/>
      <w:bookmarkStart w:id="29" w:name="_Toc496628945"/>
      <w:bookmarkStart w:id="30" w:name="_Toc496629068"/>
      <w:bookmarkStart w:id="31" w:name="_Toc496629190"/>
      <w:bookmarkStart w:id="32" w:name="_Toc496629313"/>
      <w:bookmarkStart w:id="33" w:name="_Toc496629528"/>
      <w:bookmarkStart w:id="34" w:name="_Toc496630710"/>
      <w:bookmarkStart w:id="35" w:name="_Toc496630993"/>
      <w:bookmarkStart w:id="36" w:name="_Toc496631278"/>
      <w:bookmarkStart w:id="37" w:name="_Toc496614918"/>
      <w:bookmarkStart w:id="38" w:name="_Toc496618265"/>
      <w:bookmarkStart w:id="39" w:name="_Toc496619917"/>
      <w:bookmarkStart w:id="40" w:name="_Toc496621492"/>
      <w:bookmarkStart w:id="41" w:name="_Toc496624670"/>
      <w:bookmarkStart w:id="42" w:name="_Toc496623489"/>
      <w:bookmarkStart w:id="43" w:name="_Toc496625025"/>
      <w:bookmarkStart w:id="44" w:name="_Toc496626178"/>
      <w:bookmarkStart w:id="45" w:name="_Toc496627792"/>
      <w:bookmarkStart w:id="46" w:name="_Toc496628357"/>
      <w:bookmarkStart w:id="47" w:name="_Toc496628946"/>
      <w:bookmarkStart w:id="48" w:name="_Toc496629069"/>
      <w:bookmarkStart w:id="49" w:name="_Toc496629191"/>
      <w:bookmarkStart w:id="50" w:name="_Toc496629314"/>
      <w:bookmarkStart w:id="51" w:name="_Toc496629529"/>
      <w:bookmarkStart w:id="52" w:name="_Toc496630711"/>
      <w:bookmarkStart w:id="53" w:name="_Toc496630994"/>
      <w:bookmarkStart w:id="54" w:name="_Toc496631279"/>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r>
        <w:rPr>
          <w:noProof/>
        </w:rPr>
        <w:t xml:space="preserve"> </w:t>
      </w:r>
      <w:r>
        <w:rPr>
          <w:noProof/>
          <w:lang w:val="en-US"/>
        </w:rPr>
        <w:drawing>
          <wp:inline distT="0" distB="0" distL="0" distR="0">
            <wp:extent cx="5761355" cy="2175904"/>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761355" cy="2175904"/>
                    </a:xfrm>
                    <a:prstGeom prst="rect">
                      <a:avLst/>
                    </a:prstGeom>
                    <a:noFill/>
                    <a:ln>
                      <a:noFill/>
                    </a:ln>
                  </pic:spPr>
                </pic:pic>
              </a:graphicData>
            </a:graphic>
          </wp:inline>
        </w:drawing>
      </w:r>
    </w:p>
    <w:p>
      <w:pPr>
        <w:pStyle w:val="Text1"/>
        <w:ind w:left="-708"/>
        <w:rPr>
          <w:i/>
          <w:noProof/>
        </w:rPr>
      </w:pPr>
      <w:bookmarkStart w:id="55" w:name="_Toc497491335"/>
      <w:bookmarkStart w:id="56" w:name="_Toc497491710"/>
      <w:bookmarkStart w:id="57" w:name="_Toc497493160"/>
      <w:bookmarkStart w:id="58" w:name="_Toc497493376"/>
      <w:bookmarkStart w:id="59" w:name="_Toc497493686"/>
      <w:bookmarkStart w:id="60" w:name="_Toc497494175"/>
      <w:bookmarkStart w:id="61" w:name="_Toc497494376"/>
      <w:bookmarkStart w:id="62" w:name="_Toc497495259"/>
      <w:bookmarkEnd w:id="55"/>
      <w:bookmarkEnd w:id="56"/>
      <w:bookmarkEnd w:id="57"/>
      <w:bookmarkEnd w:id="58"/>
      <w:bookmarkEnd w:id="59"/>
      <w:bookmarkEnd w:id="60"/>
      <w:bookmarkEnd w:id="61"/>
      <w:bookmarkEnd w:id="62"/>
    </w:p>
    <w:p>
      <w:pPr>
        <w:pStyle w:val="Text1"/>
        <w:ind w:left="0"/>
        <w:rPr>
          <w:noProof/>
        </w:rPr>
      </w:pPr>
      <w:r>
        <w:rPr>
          <w:noProof/>
        </w:rPr>
        <w:t>The objectives and functioning of these four components can be summarised as follows:</w:t>
      </w:r>
    </w:p>
    <w:p>
      <w:pPr>
        <w:spacing w:before="100" w:beforeAutospacing="1" w:after="100" w:afterAutospacing="1"/>
        <w:ind w:left="426" w:hanging="426"/>
        <w:rPr>
          <w:noProof/>
        </w:rPr>
      </w:pPr>
      <w:r>
        <w:rPr>
          <w:noProof/>
        </w:rPr>
        <w:t xml:space="preserve">(1) </w:t>
      </w:r>
      <w:r>
        <w:rPr>
          <w:noProof/>
        </w:rPr>
        <w:tab/>
      </w:r>
      <w:r>
        <w:rPr>
          <w:noProof/>
          <w:szCs w:val="24"/>
        </w:rPr>
        <w:t xml:space="preserve">The </w:t>
      </w:r>
      <w:r>
        <w:rPr>
          <w:b/>
          <w:noProof/>
        </w:rPr>
        <w:t>European search portal (ESP)</w:t>
      </w:r>
      <w:r>
        <w:rPr>
          <w:noProof/>
          <w:szCs w:val="24"/>
        </w:rPr>
        <w:t xml:space="preserve"> is the component that would enable the simultaneous query of multiple systems (Central-SIS, Eurodac, VIS, the future EES, and the </w:t>
      </w:r>
      <w:r>
        <w:rPr>
          <w:rFonts w:cstheme="minorBidi"/>
          <w:noProof/>
        </w:rPr>
        <w:t xml:space="preserve">proposed </w:t>
      </w:r>
      <w:r>
        <w:rPr>
          <w:noProof/>
          <w:szCs w:val="24"/>
        </w:rPr>
        <w:t>ETIAS and ECRIS-TCN</w:t>
      </w:r>
      <w:r>
        <w:rPr>
          <w:noProof/>
        </w:rPr>
        <w:t xml:space="preserve"> systems</w:t>
      </w:r>
      <w:r>
        <w:rPr>
          <w:noProof/>
          <w:szCs w:val="24"/>
        </w:rPr>
        <w:t xml:space="preserve">, as well as the relevant Interpol systems and Europol data) using identity data (both biographical and biometric). </w:t>
      </w:r>
      <w:r>
        <w:rPr>
          <w:noProof/>
        </w:rPr>
        <w:t>It would ensure that users of the EU information systems have fast, seamless, efficient, systematic and controlled access to all information that they need to perform their tasks.</w:t>
      </w:r>
    </w:p>
    <w:p>
      <w:pPr>
        <w:spacing w:before="100" w:beforeAutospacing="1" w:after="100" w:afterAutospacing="1"/>
        <w:ind w:left="426"/>
        <w:rPr>
          <w:noProof/>
          <w:szCs w:val="24"/>
        </w:rPr>
      </w:pPr>
      <w:r>
        <w:rPr>
          <w:noProof/>
          <w:szCs w:val="24"/>
        </w:rPr>
        <w:t>A query through the European search portal would immediately, in a matter of seconds, return information from the various systems to which the user has legal access. Depending on the purpose of the query, and the corresponding access rights, the ESP would be provided with specific configurations.</w:t>
      </w:r>
    </w:p>
    <w:p>
      <w:pPr>
        <w:spacing w:before="100" w:beforeAutospacing="1" w:after="100" w:afterAutospacing="1"/>
        <w:ind w:left="426"/>
        <w:rPr>
          <w:rFonts w:eastAsia="Arial Unicode MS"/>
          <w:noProof/>
        </w:rPr>
      </w:pPr>
      <w:r>
        <w:rPr>
          <w:noProof/>
          <w:szCs w:val="24"/>
        </w:rPr>
        <w:t>The ESP does not process any new data, and it does not store any data; it would act as a single window or ‘message broker’ to query various central systems and retrieve the necessary information seamlessly, and would do so in full respect of the access</w:t>
      </w:r>
      <w:r>
        <w:rPr>
          <w:noProof/>
        </w:rPr>
        <w:t xml:space="preserve"> </w:t>
      </w:r>
      <w:r>
        <w:rPr>
          <w:noProof/>
          <w:szCs w:val="24"/>
        </w:rPr>
        <w:t>control and data protection requirements of the underlying systems. The ESP would</w:t>
      </w:r>
      <w:r>
        <w:rPr>
          <w:rFonts w:eastAsia="Arial Unicode MS"/>
          <w:noProof/>
        </w:rPr>
        <w:t xml:space="preserve"> facilitate the correct and authorised use of each of the existing EU information systems, and would make it easier and cheaper for Member States to consult and use the systems, in line with the legal instruments that govern these systems. </w:t>
      </w:r>
    </w:p>
    <w:p>
      <w:pPr>
        <w:spacing w:before="100" w:beforeAutospacing="1" w:after="100" w:afterAutospacing="1"/>
        <w:ind w:left="426" w:hanging="426"/>
        <w:rPr>
          <w:noProof/>
          <w:szCs w:val="24"/>
        </w:rPr>
      </w:pPr>
      <w:r>
        <w:rPr>
          <w:noProof/>
        </w:rPr>
        <w:t xml:space="preserve">(2) </w:t>
      </w:r>
      <w:r>
        <w:rPr>
          <w:noProof/>
        </w:rPr>
        <w:tab/>
        <w:t xml:space="preserve">The </w:t>
      </w:r>
      <w:r>
        <w:rPr>
          <w:b/>
          <w:noProof/>
        </w:rPr>
        <w:t>shared biometric matching service (shared BMS)</w:t>
      </w:r>
      <w:r>
        <w:rPr>
          <w:noProof/>
        </w:rPr>
        <w:t xml:space="preserve"> would</w:t>
      </w:r>
      <w:r>
        <w:rPr>
          <w:noProof/>
          <w:szCs w:val="24"/>
        </w:rPr>
        <w:t xml:space="preserve"> enable the querying and comparison of biometric data (fingerprints and facial images) from several central systems (in particular, SIS, Eurodac, VIS, the future EES and </w:t>
      </w:r>
      <w:r>
        <w:rPr>
          <w:rFonts w:cstheme="minorBidi"/>
          <w:noProof/>
          <w:szCs w:val="24"/>
        </w:rPr>
        <w:t xml:space="preserve">the proposed </w:t>
      </w:r>
      <w:r>
        <w:rPr>
          <w:noProof/>
          <w:szCs w:val="24"/>
        </w:rPr>
        <w:t>ECRIS-TCN system). The proposed ETIAS will not contain biometric data and would therefore not be linked to the shared BMS.</w:t>
      </w:r>
    </w:p>
    <w:p>
      <w:pPr>
        <w:spacing w:before="100" w:beforeAutospacing="1" w:after="100" w:afterAutospacing="1"/>
        <w:ind w:left="426"/>
        <w:rPr>
          <w:noProof/>
          <w:szCs w:val="24"/>
        </w:rPr>
      </w:pPr>
      <w:r>
        <w:rPr>
          <w:noProof/>
          <w:szCs w:val="24"/>
        </w:rPr>
        <w:lastRenderedPageBreak/>
        <w:t>Where each existing central system (SIS, Eurodac, VIS) currently has a dedicated, proprietary search engine for biometric data</w:t>
      </w:r>
      <w:r>
        <w:rPr>
          <w:rStyle w:val="FootnoteReference"/>
          <w:noProof/>
        </w:rPr>
        <w:footnoteReference w:id="23"/>
      </w:r>
      <w:r>
        <w:rPr>
          <w:noProof/>
          <w:szCs w:val="24"/>
        </w:rPr>
        <w:t>, a shared biometric matching service would provide a common platform where the data is queried and compared simultaneously. The shared BMS would generate substantial benefits in terms of security, cost, maintenance and operation by relying on one unique technological component instead of five different ones. The biometric data (fingerprint and facial images) are exclusively retained by the underlying systems. The shared BMS would create and retain a mathematical representation of the biometric samples (a template) but would discard the actual data, which remains thus stored in one location, only once.</w:t>
      </w:r>
    </w:p>
    <w:p>
      <w:pPr>
        <w:spacing w:before="100" w:beforeAutospacing="1" w:after="100" w:afterAutospacing="1"/>
        <w:ind w:left="426"/>
        <w:rPr>
          <w:noProof/>
          <w:szCs w:val="24"/>
        </w:rPr>
      </w:pPr>
      <w:r>
        <w:rPr>
          <w:noProof/>
          <w:szCs w:val="24"/>
        </w:rPr>
        <w:t>The shared BMS would be a key enabler to help detect connections between data sets and different identities assumed by the same person in different central systems. Without a shared BMS, none of the other three components will be able to function.</w:t>
      </w:r>
    </w:p>
    <w:p>
      <w:pPr>
        <w:spacing w:before="100" w:beforeAutospacing="1" w:after="100" w:afterAutospacing="1"/>
        <w:ind w:left="426" w:hanging="426"/>
        <w:rPr>
          <w:noProof/>
          <w:szCs w:val="24"/>
        </w:rPr>
      </w:pPr>
      <w:r>
        <w:rPr>
          <w:noProof/>
        </w:rPr>
        <w:t xml:space="preserve">(3) The </w:t>
      </w:r>
      <w:r>
        <w:rPr>
          <w:b/>
          <w:noProof/>
        </w:rPr>
        <w:t xml:space="preserve">common identity repository (CIR) </w:t>
      </w:r>
      <w:r>
        <w:rPr>
          <w:noProof/>
        </w:rPr>
        <w:t>would</w:t>
      </w:r>
      <w:r>
        <w:rPr>
          <w:b/>
          <w:noProof/>
        </w:rPr>
        <w:t xml:space="preserve"> </w:t>
      </w:r>
      <w:r>
        <w:rPr>
          <w:noProof/>
        </w:rPr>
        <w:t>be the shared component</w:t>
      </w:r>
      <w:r>
        <w:rPr>
          <w:b/>
          <w:noProof/>
        </w:rPr>
        <w:t xml:space="preserve"> </w:t>
      </w:r>
      <w:r>
        <w:rPr>
          <w:rFonts w:cstheme="minorBidi"/>
          <w:noProof/>
        </w:rPr>
        <w:t>for storing biographical</w:t>
      </w:r>
      <w:r>
        <w:rPr>
          <w:rStyle w:val="FootnoteReference"/>
          <w:noProof/>
        </w:rPr>
        <w:footnoteReference w:id="24"/>
      </w:r>
      <w:r>
        <w:rPr>
          <w:rFonts w:cstheme="minorBidi"/>
          <w:noProof/>
        </w:rPr>
        <w:t xml:space="preserve"> and biometric identity data of third-country nationals recorded in Eurodac, VIS, the future EES, the proposed ETIAS and the proposed ECRIS-TCN system. </w:t>
      </w:r>
      <w:r>
        <w:rPr>
          <w:noProof/>
          <w:szCs w:val="24"/>
        </w:rPr>
        <w:t xml:space="preserve">Each of these five central systems records or will record biographical data on specific persons for specific reasons. This would not change. The relevant identity data would be stored in the CIR but would continue to 'belong' to the respective underlying systems that recorded this data. </w:t>
      </w:r>
    </w:p>
    <w:p>
      <w:pPr>
        <w:spacing w:before="100" w:beforeAutospacing="1" w:after="100" w:afterAutospacing="1"/>
        <w:ind w:left="426"/>
        <w:rPr>
          <w:noProof/>
          <w:szCs w:val="24"/>
        </w:rPr>
      </w:pPr>
      <w:r>
        <w:rPr>
          <w:noProof/>
          <w:szCs w:val="24"/>
        </w:rPr>
        <w:t xml:space="preserve">The CIR would not contain SIS data. The complex technical architecture of SIS containing national copies, partial national copies and possible national biometric matching systems would make the CIR very complex to a degree where it may no longer be technically and financially feasible. </w:t>
      </w:r>
    </w:p>
    <w:p>
      <w:pPr>
        <w:spacing w:before="100" w:beforeAutospacing="1" w:after="100" w:afterAutospacing="1"/>
        <w:ind w:left="426"/>
        <w:rPr>
          <w:noProof/>
          <w:szCs w:val="24"/>
        </w:rPr>
      </w:pPr>
      <w:r>
        <w:rPr>
          <w:noProof/>
          <w:szCs w:val="24"/>
        </w:rPr>
        <w:t xml:space="preserve">The key objective of the CIR is to facilitate the biographical identification of a third-country national. It would offer increased speed of operations, improved efficiency and economies of scale. The establishment of the CIR is necessary to enable effective identity checks of third-country nationals, including on the territory of a Member State. </w:t>
      </w:r>
      <w:r>
        <w:rPr>
          <w:noProof/>
        </w:rPr>
        <w:t>In addition,</w:t>
      </w:r>
      <w:r>
        <w:rPr>
          <w:noProof/>
          <w:szCs w:val="24"/>
        </w:rPr>
        <w:t xml:space="preserve"> by adding</w:t>
      </w:r>
      <w:r>
        <w:rPr>
          <w:noProof/>
        </w:rPr>
        <w:t xml:space="preserve"> a ‘hit-flag functionality’ </w:t>
      </w:r>
      <w:r>
        <w:rPr>
          <w:noProof/>
          <w:szCs w:val="24"/>
        </w:rPr>
        <w:t xml:space="preserve">to the CIR it would be possible to </w:t>
      </w:r>
      <w:r>
        <w:rPr>
          <w:noProof/>
        </w:rPr>
        <w:t>check the presence (or non-existence) of data in any of the systems covered by the CIR</w:t>
      </w:r>
      <w:r>
        <w:rPr>
          <w:noProof/>
          <w:szCs w:val="24"/>
        </w:rPr>
        <w:t xml:space="preserve"> through a simple hit/no-hit notification. This way, the CIR would also help streamlining of access by law enforcement authorities to non-law enforcement information systems, while maintaining a high data protection safeguard (see the section on the two-step approach to law enforcement access, hereunder). </w:t>
      </w:r>
    </w:p>
    <w:p>
      <w:pPr>
        <w:spacing w:before="100" w:beforeAutospacing="1" w:after="100" w:afterAutospacing="1"/>
        <w:ind w:left="426"/>
        <w:rPr>
          <w:noProof/>
          <w:szCs w:val="24"/>
        </w:rPr>
      </w:pPr>
      <w:r>
        <w:rPr>
          <w:noProof/>
          <w:szCs w:val="24"/>
        </w:rPr>
        <w:t xml:space="preserve">Out of the five systems to be covered by the CIR, the future EES, the proposed ETIAS and the proposed ECRIS-TCN system are new systems that still need to be developed. The current Eurodac does not have biographical data; this extension will be developed once the new legal base for Eurodac is adopted. The current VIS does contain biographical data, but the necessary interactions between VIS and the future EES will require an upgrading of the existing VIS. The creation of the CIR therefore would arrive at the right moment. It would not in any way involve duplicating existing data. Technically, the CIR would be developed on the basis of the EES/ETIAS platform.  </w:t>
      </w:r>
    </w:p>
    <w:p>
      <w:pPr>
        <w:spacing w:before="100" w:beforeAutospacing="1" w:after="100" w:afterAutospacing="1"/>
        <w:ind w:left="426" w:hanging="426"/>
        <w:rPr>
          <w:noProof/>
        </w:rPr>
      </w:pPr>
      <w:r>
        <w:rPr>
          <w:noProof/>
        </w:rPr>
        <w:lastRenderedPageBreak/>
        <w:t xml:space="preserve">(4) The </w:t>
      </w:r>
      <w:r>
        <w:rPr>
          <w:b/>
          <w:noProof/>
        </w:rPr>
        <w:t>multiple-identity detector (MID)</w:t>
      </w:r>
      <w:r>
        <w:rPr>
          <w:noProof/>
        </w:rPr>
        <w:t xml:space="preserve"> would check whether the queried identity data exists in more than one of the systems connected to it. The MID covers the systems that store identity data in the CIR (Eurodac, VIS, the future EES, the proposed ETIAS and the proposed ECRIS-TCN</w:t>
      </w:r>
      <w:r>
        <w:rPr>
          <w:noProof/>
          <w:szCs w:val="24"/>
        </w:rPr>
        <w:t xml:space="preserve"> system</w:t>
      </w:r>
      <w:r>
        <w:rPr>
          <w:noProof/>
        </w:rPr>
        <w:t xml:space="preserve">) as well as the SIS. The MID would </w:t>
      </w:r>
      <w:r>
        <w:rPr>
          <w:noProof/>
          <w:szCs w:val="24"/>
        </w:rPr>
        <w:t>enable</w:t>
      </w:r>
      <w:r>
        <w:rPr>
          <w:noProof/>
        </w:rPr>
        <w:t xml:space="preserve"> the detection of multiple identities linked to the same set of biometric data, with the dual purpose of ensuring the correct identification of </w:t>
      </w:r>
      <w:r>
        <w:rPr>
          <w:i/>
          <w:noProof/>
        </w:rPr>
        <w:t>bona fide</w:t>
      </w:r>
      <w:r>
        <w:rPr>
          <w:noProof/>
        </w:rPr>
        <w:t xml:space="preserve"> persons and combating identity fraud.</w:t>
      </w:r>
    </w:p>
    <w:p>
      <w:pPr>
        <w:spacing w:before="100" w:beforeAutospacing="1" w:after="100" w:afterAutospacing="1"/>
        <w:ind w:left="426"/>
        <w:rPr>
          <w:noProof/>
          <w:szCs w:val="24"/>
        </w:rPr>
      </w:pPr>
      <w:r>
        <w:rPr>
          <w:noProof/>
          <w:szCs w:val="24"/>
        </w:rPr>
        <w:t xml:space="preserve">The MID would enable to establish that different names belong to the same identity. It is a necessary innovation to effectively address the fraudulent use of identities, which is a serious breach of security. The MID would only show those biographical identity records that have a link in different central systems. These links would be detected by using the shared biometric matching service on the basis of biometric data and would need to be confirmed or rejected by the authority that recorded the data in the information system that led to the creation of the link. To assist the authorised users of the MID in this task, the system would need to label the identified links in four categories:   </w:t>
      </w:r>
    </w:p>
    <w:p>
      <w:pPr>
        <w:pStyle w:val="Bullet0"/>
        <w:rPr>
          <w:noProof/>
        </w:rPr>
      </w:pPr>
      <w:r>
        <w:rPr>
          <w:noProof/>
        </w:rPr>
        <w:t>Yellow link -</w:t>
      </w:r>
      <w:r>
        <w:rPr>
          <w:noProof/>
        </w:rPr>
        <w:tab/>
        <w:t>potentially differing biographical identities on the same person</w:t>
      </w:r>
    </w:p>
    <w:p>
      <w:pPr>
        <w:pStyle w:val="Bullet0"/>
        <w:rPr>
          <w:noProof/>
        </w:rPr>
      </w:pPr>
      <w:r>
        <w:rPr>
          <w:noProof/>
        </w:rPr>
        <w:t xml:space="preserve">White link - confirmation that the different biographical identities belong to the same </w:t>
      </w:r>
      <w:r>
        <w:rPr>
          <w:i/>
          <w:noProof/>
        </w:rPr>
        <w:t>bona fide</w:t>
      </w:r>
      <w:r>
        <w:rPr>
          <w:noProof/>
        </w:rPr>
        <w:t xml:space="preserve"> person </w:t>
      </w:r>
    </w:p>
    <w:p>
      <w:pPr>
        <w:pStyle w:val="Bullet0"/>
        <w:rPr>
          <w:noProof/>
        </w:rPr>
      </w:pPr>
      <w:r>
        <w:rPr>
          <w:noProof/>
        </w:rPr>
        <w:t xml:space="preserve">Green link - confirmation that different </w:t>
      </w:r>
      <w:r>
        <w:rPr>
          <w:i/>
          <w:noProof/>
        </w:rPr>
        <w:t>bona fide</w:t>
      </w:r>
      <w:r>
        <w:rPr>
          <w:noProof/>
        </w:rPr>
        <w:t xml:space="preserve"> persons happen to share the same  biographic identity</w:t>
      </w:r>
    </w:p>
    <w:p>
      <w:pPr>
        <w:pStyle w:val="Bullet0"/>
        <w:rPr>
          <w:noProof/>
        </w:rPr>
      </w:pPr>
      <w:r>
        <w:rPr>
          <w:noProof/>
        </w:rPr>
        <w:t xml:space="preserve"> Red link - suspicion that different biographical identities are unlawfully used by the same person.</w:t>
      </w:r>
    </w:p>
    <w:p>
      <w:pPr>
        <w:spacing w:before="100" w:beforeAutospacing="1" w:after="100" w:afterAutospacing="1"/>
        <w:contextualSpacing/>
        <w:rPr>
          <w:noProof/>
          <w:szCs w:val="24"/>
        </w:rPr>
      </w:pPr>
    </w:p>
    <w:p>
      <w:pPr>
        <w:spacing w:before="100" w:beforeAutospacing="1" w:after="100" w:afterAutospacing="1"/>
        <w:ind w:left="426"/>
        <w:rPr>
          <w:noProof/>
        </w:rPr>
      </w:pPr>
      <w:r>
        <w:rPr>
          <w:noProof/>
          <w:szCs w:val="24"/>
        </w:rPr>
        <w:t xml:space="preserve">This proposal describes the procedures that would be put in place to handle these different categories. The identity of affected </w:t>
      </w:r>
      <w:r>
        <w:rPr>
          <w:i/>
          <w:noProof/>
        </w:rPr>
        <w:t>bona fide</w:t>
      </w:r>
      <w:r>
        <w:rPr>
          <w:noProof/>
          <w:szCs w:val="24"/>
        </w:rPr>
        <w:t xml:space="preserve"> persons should be disambiguated as quickly as possible, by turning the yellow link into a confirmed green or white link, so as to ensure that no unnecessary inconveniences will be faced. Where, on the other hand, the assessment leads to the confirmation of a red link, or a change from a yellow into a red link, appropriate action would need to be taken.   </w:t>
      </w:r>
    </w:p>
    <w:p>
      <w:pPr>
        <w:spacing w:before="100" w:beforeAutospacing="1" w:after="100" w:afterAutospacing="1"/>
        <w:contextualSpacing/>
        <w:rPr>
          <w:noProof/>
        </w:rPr>
      </w:pPr>
    </w:p>
    <w:p>
      <w:pPr>
        <w:spacing w:before="100" w:beforeAutospacing="1" w:after="100" w:afterAutospacing="1"/>
        <w:contextualSpacing/>
        <w:rPr>
          <w:rFonts w:eastAsia="Arial Unicode MS"/>
          <w:b/>
          <w:noProof/>
          <w:color w:val="000000"/>
          <w:u w:color="000000"/>
          <w:bdr w:val="nil"/>
        </w:rPr>
      </w:pPr>
      <w:r>
        <w:rPr>
          <w:rFonts w:eastAsia="Arial Unicode MS"/>
          <w:b/>
          <w:noProof/>
          <w:color w:val="000000"/>
          <w:u w:color="000000"/>
          <w:bdr w:val="nil"/>
        </w:rPr>
        <w:t>•</w:t>
      </w:r>
      <w:r>
        <w:rPr>
          <w:rFonts w:eastAsia="Arial Unicode MS"/>
          <w:b/>
          <w:noProof/>
          <w:color w:val="000000"/>
          <w:u w:color="000000"/>
          <w:bdr w:val="nil"/>
        </w:rPr>
        <w:tab/>
        <w:t xml:space="preserve">The two-step approach to law enforcement access as provided by the common </w:t>
      </w:r>
      <w:r>
        <w:rPr>
          <w:rFonts w:eastAsia="Arial Unicode MS"/>
          <w:b/>
          <w:noProof/>
          <w:color w:val="000000"/>
          <w:u w:color="000000"/>
          <w:bdr w:val="nil"/>
        </w:rPr>
        <w:tab/>
        <w:t>identity repository</w:t>
      </w:r>
    </w:p>
    <w:p>
      <w:pPr>
        <w:spacing w:before="100" w:beforeAutospacing="1" w:after="100" w:afterAutospacing="1"/>
        <w:contextualSpacing/>
        <w:rPr>
          <w:b/>
          <w:noProof/>
        </w:rPr>
      </w:pPr>
    </w:p>
    <w:p>
      <w:pPr>
        <w:spacing w:before="100" w:beforeAutospacing="1" w:after="100" w:afterAutospacing="1"/>
        <w:rPr>
          <w:noProof/>
        </w:rPr>
      </w:pPr>
      <w:r>
        <w:rPr>
          <w:noProof/>
        </w:rPr>
        <w:t>Law enforcement is defined as a secondary or ancillary objective of Eurodac, VIS, the future EES and the proposed ETIAS. As a result, the possibility of accessing data stored in these systems for the purpose of law enforcement is restricted. Law enforcement authorities can only consult directly these non-law enforcement information systems for the purpose of prevention, investigation, detection or prosecution of terrorism and other serious criminal offences. Moreover, the respective systems are governed by different access conditions and safeguards and some of those current rules</w:t>
      </w:r>
      <w:r>
        <w:rPr>
          <w:noProof/>
          <w:u w:val="single"/>
        </w:rPr>
        <w:t xml:space="preserve"> </w:t>
      </w:r>
      <w:r>
        <w:rPr>
          <w:noProof/>
        </w:rPr>
        <w:t>could hinder the speed</w:t>
      </w:r>
      <w:r>
        <w:rPr>
          <w:noProof/>
          <w:u w:val="single"/>
        </w:rPr>
        <w:t xml:space="preserve"> </w:t>
      </w:r>
      <w:r>
        <w:rPr>
          <w:noProof/>
        </w:rPr>
        <w:t xml:space="preserve">of the legitimate use of the systems by these authorities. More generally, the principle of prior search limits the possibility of Member State authorities to consult systems for justified law enforcement purposes and could thereby result in missed opportunities to uncover necessary information. </w:t>
      </w:r>
    </w:p>
    <w:p>
      <w:pPr>
        <w:spacing w:before="100" w:beforeAutospacing="1" w:after="100" w:afterAutospacing="1"/>
        <w:rPr>
          <w:noProof/>
        </w:rPr>
      </w:pPr>
      <w:r>
        <w:rPr>
          <w:noProof/>
        </w:rPr>
        <w:t xml:space="preserve">In its April 2016 Communication, the Commission acknowledged the need to optimise the existing tools for law enforcement purposes, whilst respecting data protection requirements. </w:t>
      </w:r>
      <w:r>
        <w:rPr>
          <w:noProof/>
        </w:rPr>
        <w:lastRenderedPageBreak/>
        <w:t xml:space="preserve">This necessity was confirmed and reiterated by Member States and relevant agencies in the framework of the high-level expert group.  </w:t>
      </w:r>
    </w:p>
    <w:p>
      <w:pPr>
        <w:spacing w:before="100" w:beforeAutospacing="1" w:after="100" w:afterAutospacing="1"/>
        <w:rPr>
          <w:noProof/>
          <w:u w:val="single"/>
        </w:rPr>
      </w:pPr>
      <w:r>
        <w:rPr>
          <w:noProof/>
        </w:rPr>
        <w:t xml:space="preserve">In light of the above, by creating the CIR with a so-called 'hit-flag functionality', this proposal introduces the </w:t>
      </w:r>
      <w:r>
        <w:rPr>
          <w:bCs/>
          <w:noProof/>
        </w:rPr>
        <w:t>possibility</w:t>
      </w:r>
      <w:r>
        <w:rPr>
          <w:noProof/>
        </w:rPr>
        <w:t xml:space="preserve"> for accessing the EES, the VIS, the ETIAS and Eurodac using a </w:t>
      </w:r>
      <w:r>
        <w:rPr>
          <w:b/>
          <w:bCs/>
          <w:noProof/>
        </w:rPr>
        <w:t>two-step data consultation approach</w:t>
      </w:r>
      <w:r>
        <w:rPr>
          <w:noProof/>
        </w:rPr>
        <w:t xml:space="preserve">. This two-step approach would not change the fact that law enforcement is a strictly ancillary objective of these systems and therefore needs to follow strict rules for access. </w:t>
      </w:r>
    </w:p>
    <w:p>
      <w:pPr>
        <w:spacing w:before="100" w:beforeAutospacing="1" w:after="100" w:afterAutospacing="1"/>
        <w:rPr>
          <w:noProof/>
        </w:rPr>
      </w:pPr>
      <w:r>
        <w:rPr>
          <w:noProof/>
        </w:rPr>
        <w:t xml:space="preserve">As a first step, a law enforcement officer would launch a query on a specific person using the person's identity data, travel document or biometric data to check whether information on the searched person is stored in the CIR. Where such data is present, the officer will receive </w:t>
      </w:r>
      <w:r>
        <w:rPr>
          <w:b/>
          <w:bCs/>
          <w:noProof/>
        </w:rPr>
        <w:t xml:space="preserve">a reply indicating which EU information system(s) </w:t>
      </w:r>
      <w:r>
        <w:rPr>
          <w:b/>
          <w:noProof/>
        </w:rPr>
        <w:t xml:space="preserve">contains data </w:t>
      </w:r>
      <w:r>
        <w:rPr>
          <w:noProof/>
        </w:rPr>
        <w:t xml:space="preserve">on this person (the </w:t>
      </w:r>
      <w:r>
        <w:rPr>
          <w:b/>
          <w:noProof/>
        </w:rPr>
        <w:t>hit-flag</w:t>
      </w:r>
      <w:r>
        <w:rPr>
          <w:noProof/>
        </w:rPr>
        <w:t xml:space="preserve">). The officer </w:t>
      </w:r>
      <w:r>
        <w:rPr>
          <w:bCs/>
          <w:noProof/>
        </w:rPr>
        <w:t>would not</w:t>
      </w:r>
      <w:r>
        <w:rPr>
          <w:noProof/>
        </w:rPr>
        <w:t xml:space="preserve"> have actual access to any data in any of the underlying systems. </w:t>
      </w:r>
    </w:p>
    <w:p>
      <w:pPr>
        <w:spacing w:before="100" w:beforeAutospacing="1" w:after="100" w:afterAutospacing="1"/>
        <w:rPr>
          <w:noProof/>
        </w:rPr>
      </w:pPr>
      <w:r>
        <w:rPr>
          <w:noProof/>
        </w:rPr>
        <w:t xml:space="preserve">As a second step, the officer may individually request access to each system that has been indicated as containing data, in order to obtain the complete file on the queried person, </w:t>
      </w:r>
      <w:r>
        <w:rPr>
          <w:b/>
          <w:bCs/>
          <w:noProof/>
        </w:rPr>
        <w:t xml:space="preserve">in line with the existing rules </w:t>
      </w:r>
      <w:r>
        <w:rPr>
          <w:b/>
          <w:noProof/>
        </w:rPr>
        <w:t xml:space="preserve">and procedures </w:t>
      </w:r>
      <w:r>
        <w:rPr>
          <w:b/>
          <w:bCs/>
          <w:noProof/>
        </w:rPr>
        <w:t>established by each system concerned</w:t>
      </w:r>
      <w:r>
        <w:rPr>
          <w:noProof/>
        </w:rPr>
        <w:t xml:space="preserve">. This second step access would remain subject to prior authorisation by a designated authority and would continue to require a specific user ID and logging. </w:t>
      </w:r>
    </w:p>
    <w:p>
      <w:pPr>
        <w:spacing w:before="100" w:beforeAutospacing="1" w:after="100" w:afterAutospacing="1"/>
        <w:rPr>
          <w:noProof/>
        </w:rPr>
      </w:pPr>
      <w:r>
        <w:rPr>
          <w:noProof/>
        </w:rPr>
        <w:t xml:space="preserve">This new approach would also bring added value to law enforcement authorities due to the </w:t>
      </w:r>
      <w:r>
        <w:rPr>
          <w:b/>
          <w:bCs/>
          <w:noProof/>
        </w:rPr>
        <w:t>existence of potential links</w:t>
      </w:r>
      <w:r>
        <w:rPr>
          <w:noProof/>
        </w:rPr>
        <w:t xml:space="preserve"> in the MID. The MID would help the CIR identifying existing links, which makes the search even more accurate. The MID would be able to indicate whether the person is </w:t>
      </w:r>
      <w:r>
        <w:rPr>
          <w:b/>
          <w:bCs/>
          <w:noProof/>
        </w:rPr>
        <w:t xml:space="preserve">known under different identities </w:t>
      </w:r>
      <w:r>
        <w:rPr>
          <w:noProof/>
        </w:rPr>
        <w:t>in different information systems.</w:t>
      </w:r>
    </w:p>
    <w:p>
      <w:pPr>
        <w:spacing w:before="100" w:beforeAutospacing="1" w:after="100" w:afterAutospacing="1"/>
        <w:rPr>
          <w:noProof/>
        </w:rPr>
      </w:pPr>
      <w:r>
        <w:rPr>
          <w:noProof/>
        </w:rPr>
        <w:t xml:space="preserve">The two-step data consultation approach is particularly valuable in cases where the suspect, perpetrator or suspected victim of a terrorist offence or other serious criminal offence </w:t>
      </w:r>
      <w:r>
        <w:rPr>
          <w:b/>
          <w:bCs/>
          <w:noProof/>
        </w:rPr>
        <w:t>is unknown</w:t>
      </w:r>
      <w:r>
        <w:rPr>
          <w:noProof/>
        </w:rPr>
        <w:t>. Indeed, in those cases, the CIR would enable identifying the information system that knows the person in one single search. By doing so, the existing conditions of prior searches in national databases and of a prior search in the automated fingerprint identification system of other Member States under Decision 2008/615/JHA ('Prüm check') become redundant.</w:t>
      </w:r>
    </w:p>
    <w:p>
      <w:pPr>
        <w:spacing w:before="100" w:beforeAutospacing="1" w:after="100" w:afterAutospacing="1"/>
        <w:rPr>
          <w:noProof/>
        </w:rPr>
      </w:pPr>
      <w:r>
        <w:rPr>
          <w:noProof/>
        </w:rPr>
        <w:t xml:space="preserve">The new two-step consultation approach would only </w:t>
      </w:r>
      <w:r>
        <w:rPr>
          <w:b/>
          <w:bCs/>
          <w:noProof/>
        </w:rPr>
        <w:t>enter into force</w:t>
      </w:r>
      <w:r>
        <w:rPr>
          <w:noProof/>
        </w:rPr>
        <w:t xml:space="preserve"> </w:t>
      </w:r>
      <w:r>
        <w:rPr>
          <w:b/>
          <w:bCs/>
          <w:noProof/>
        </w:rPr>
        <w:t>once</w:t>
      </w:r>
      <w:r>
        <w:rPr>
          <w:noProof/>
        </w:rPr>
        <w:t xml:space="preserve"> the necessary interoperability</w:t>
      </w:r>
      <w:r>
        <w:rPr>
          <w:b/>
          <w:bCs/>
          <w:noProof/>
        </w:rPr>
        <w:t xml:space="preserve"> components are fully operational</w:t>
      </w:r>
      <w:r>
        <w:rPr>
          <w:noProof/>
        </w:rPr>
        <w:t xml:space="preserve">.    </w:t>
      </w:r>
    </w:p>
    <w:p>
      <w:pPr>
        <w:pStyle w:val="ManualHeading2"/>
        <w:rPr>
          <w:rFonts w:eastAsia="Arial Unicode MS"/>
          <w:noProof/>
          <w:color w:val="000000"/>
          <w:u w:color="000000"/>
          <w:bdr w:val="nil"/>
        </w:rPr>
      </w:pPr>
      <w:r>
        <w:rPr>
          <w:rFonts w:eastAsia="Arial Unicode MS"/>
          <w:noProof/>
          <w:color w:val="000000"/>
          <w:u w:color="000000"/>
          <w:bdr w:val="nil"/>
        </w:rPr>
        <w:t>•</w:t>
      </w:r>
      <w:r>
        <w:rPr>
          <w:rFonts w:eastAsia="Arial Unicode MS"/>
          <w:noProof/>
          <w:color w:val="000000"/>
          <w:u w:color="000000"/>
          <w:bdr w:val="nil"/>
        </w:rPr>
        <w:tab/>
        <w:t>Additional elements of this proposal to support the interoperability components</w:t>
      </w:r>
    </w:p>
    <w:p>
      <w:pPr>
        <w:spacing w:before="100" w:beforeAutospacing="1" w:after="100" w:afterAutospacing="1"/>
        <w:ind w:left="426" w:hanging="426"/>
        <w:rPr>
          <w:rFonts w:eastAsia="Calibri"/>
          <w:noProof/>
        </w:rPr>
      </w:pPr>
      <w:r>
        <w:rPr>
          <w:rFonts w:eastAsia="Calibri"/>
          <w:noProof/>
          <w:szCs w:val="24"/>
        </w:rPr>
        <w:t xml:space="preserve">(1) </w:t>
      </w:r>
      <w:r>
        <w:rPr>
          <w:rFonts w:eastAsia="Calibri"/>
          <w:noProof/>
          <w:szCs w:val="24"/>
        </w:rPr>
        <w:tab/>
        <w:t>In addition to the above components, this</w:t>
      </w:r>
      <w:r>
        <w:rPr>
          <w:rFonts w:eastAsia="Calibri"/>
          <w:noProof/>
        </w:rPr>
        <w:t xml:space="preserve"> draft Regulation also includes the proposal to establish a </w:t>
      </w:r>
      <w:r>
        <w:rPr>
          <w:rFonts w:eastAsia="Calibri"/>
          <w:b/>
          <w:noProof/>
        </w:rPr>
        <w:t>central repository for reporting and statistics (CRRS)</w:t>
      </w:r>
      <w:r>
        <w:rPr>
          <w:rFonts w:eastAsia="Calibri"/>
          <w:noProof/>
        </w:rPr>
        <w:t xml:space="preserve">. </w:t>
      </w:r>
      <w:r>
        <w:rPr>
          <w:rFonts w:eastAsia="Calibri"/>
          <w:noProof/>
          <w:szCs w:val="24"/>
        </w:rPr>
        <w:t>This repository</w:t>
      </w:r>
      <w:r>
        <w:rPr>
          <w:rFonts w:eastAsia="Calibri"/>
          <w:noProof/>
        </w:rPr>
        <w:t xml:space="preserve"> is necessary to enable the creation and sharing of reports with (anonymous) statistical data for policy, operational and data quality purposes. The current practice of gathering statistical data only on the individual </w:t>
      </w:r>
      <w:r>
        <w:rPr>
          <w:rFonts w:eastAsia="Calibri"/>
          <w:noProof/>
          <w:szCs w:val="24"/>
        </w:rPr>
        <w:t>information</w:t>
      </w:r>
      <w:r>
        <w:rPr>
          <w:rFonts w:eastAsia="Calibri"/>
          <w:noProof/>
        </w:rPr>
        <w:t xml:space="preserve"> systems is detrimental to data security and performance and it does not enable the correlating of data across systems.</w:t>
      </w:r>
    </w:p>
    <w:p>
      <w:pPr>
        <w:spacing w:before="100" w:beforeAutospacing="1" w:after="100" w:afterAutospacing="1"/>
        <w:ind w:left="426"/>
        <w:rPr>
          <w:rFonts w:eastAsia="Calibri"/>
          <w:noProof/>
        </w:rPr>
      </w:pPr>
      <w:r>
        <w:rPr>
          <w:rFonts w:eastAsia="Calibri"/>
          <w:noProof/>
        </w:rPr>
        <w:t xml:space="preserve">The CRRS would provide a dedicated, separate repository for anonymous statistics extracted from SIS, VIS, Eurodac, the future EES, the proposed ETIAS, </w:t>
      </w:r>
      <w:r>
        <w:rPr>
          <w:noProof/>
          <w:szCs w:val="24"/>
        </w:rPr>
        <w:t xml:space="preserve">the proposed </w:t>
      </w:r>
      <w:r>
        <w:rPr>
          <w:rFonts w:eastAsia="Calibri"/>
          <w:noProof/>
        </w:rPr>
        <w:t xml:space="preserve">ECRIS-TCN system, the common identity repository, the multiple-identity detector and </w:t>
      </w:r>
      <w:r>
        <w:rPr>
          <w:noProof/>
          <w:szCs w:val="24"/>
        </w:rPr>
        <w:t xml:space="preserve">the </w:t>
      </w:r>
      <w:r>
        <w:rPr>
          <w:rFonts w:eastAsia="Calibri"/>
          <w:noProof/>
        </w:rPr>
        <w:t xml:space="preserve">shared biometric matching service. The repository would provide for the possibility of </w:t>
      </w:r>
      <w:r>
        <w:rPr>
          <w:rFonts w:eastAsia="Calibri"/>
          <w:noProof/>
        </w:rPr>
        <w:lastRenderedPageBreak/>
        <w:t>secured sharing of reports (as regulated by the respective legal instruments) to Member States, Commission (including Eurostat) and EU agencies.</w:t>
      </w:r>
    </w:p>
    <w:p>
      <w:pPr>
        <w:spacing w:before="100" w:beforeAutospacing="1" w:after="100" w:afterAutospacing="1"/>
        <w:ind w:left="426"/>
        <w:rPr>
          <w:rFonts w:eastAsia="Calibri"/>
          <w:noProof/>
        </w:rPr>
      </w:pPr>
      <w:r>
        <w:rPr>
          <w:rFonts w:eastAsia="Calibri"/>
          <w:noProof/>
          <w:szCs w:val="24"/>
        </w:rPr>
        <w:t xml:space="preserve">Developing one central repository instead of separate repositories for each system </w:t>
      </w:r>
      <w:r>
        <w:rPr>
          <w:rFonts w:eastAsia="Calibri"/>
          <w:noProof/>
        </w:rPr>
        <w:t>would lead to</w:t>
      </w:r>
      <w:r>
        <w:rPr>
          <w:rFonts w:eastAsia="Calibri"/>
          <w:noProof/>
          <w:szCs w:val="24"/>
        </w:rPr>
        <w:t xml:space="preserve"> </w:t>
      </w:r>
      <w:r>
        <w:rPr>
          <w:rFonts w:eastAsia="Calibri"/>
          <w:noProof/>
        </w:rPr>
        <w:t>a lower cost and less effort for its establishment, operations and maintenance</w:t>
      </w:r>
      <w:r>
        <w:rPr>
          <w:rFonts w:eastAsia="Calibri"/>
          <w:noProof/>
          <w:szCs w:val="24"/>
        </w:rPr>
        <w:t xml:space="preserve">. It would also bring a higher level of </w:t>
      </w:r>
      <w:r>
        <w:rPr>
          <w:rFonts w:eastAsia="Calibri"/>
          <w:noProof/>
        </w:rPr>
        <w:t>data security as data is stored and access control is managed in one repository</w:t>
      </w:r>
      <w:r>
        <w:rPr>
          <w:rFonts w:eastAsia="Calibri"/>
          <w:noProof/>
          <w:szCs w:val="24"/>
        </w:rPr>
        <w:t>.</w:t>
      </w:r>
    </w:p>
    <w:p>
      <w:pPr>
        <w:spacing w:before="100" w:beforeAutospacing="1" w:after="100" w:afterAutospacing="1"/>
        <w:ind w:left="426" w:hanging="426"/>
        <w:rPr>
          <w:rFonts w:eastAsia="Calibri"/>
          <w:noProof/>
        </w:rPr>
      </w:pPr>
      <w:r>
        <w:rPr>
          <w:rFonts w:eastAsia="Calibri"/>
          <w:noProof/>
          <w:szCs w:val="24"/>
        </w:rPr>
        <w:t xml:space="preserve">(2) </w:t>
      </w:r>
      <w:r>
        <w:rPr>
          <w:rFonts w:eastAsia="Calibri"/>
          <w:noProof/>
          <w:szCs w:val="24"/>
        </w:rPr>
        <w:tab/>
        <w:t>This draft Regulation also proposes to</w:t>
      </w:r>
      <w:r>
        <w:rPr>
          <w:rFonts w:eastAsia="Calibri"/>
          <w:noProof/>
        </w:rPr>
        <w:t xml:space="preserve"> establish the </w:t>
      </w:r>
      <w:r>
        <w:rPr>
          <w:rFonts w:eastAsia="Calibri"/>
          <w:b/>
          <w:noProof/>
        </w:rPr>
        <w:t>Universal Message Format (UMF)</w:t>
      </w:r>
      <w:r>
        <w:rPr>
          <w:rFonts w:eastAsia="Calibri"/>
          <w:noProof/>
        </w:rPr>
        <w:t xml:space="preserve"> as the standard </w:t>
      </w:r>
      <w:r>
        <w:rPr>
          <w:noProof/>
          <w:szCs w:val="24"/>
        </w:rPr>
        <w:t xml:space="preserve">that would be used at EU level to orchestrate interactions between multiple systems in an interoperable way, including the systems developed and managed by eu-LISA. The use of the standard by Europol and Interpol would also be encouraged. </w:t>
      </w:r>
    </w:p>
    <w:p>
      <w:pPr>
        <w:spacing w:before="100" w:beforeAutospacing="1" w:after="100" w:afterAutospacing="1"/>
        <w:ind w:left="425"/>
        <w:rPr>
          <w:rFonts w:eastAsia="Calibri"/>
          <w:noProof/>
        </w:rPr>
      </w:pPr>
      <w:r>
        <w:rPr>
          <w:rFonts w:eastAsia="Calibri"/>
          <w:noProof/>
        </w:rPr>
        <w:t xml:space="preserve">The UMF standard </w:t>
      </w:r>
      <w:r>
        <w:rPr>
          <w:rFonts w:eastAsia="Calibri"/>
          <w:noProof/>
          <w:szCs w:val="24"/>
        </w:rPr>
        <w:t>introduces</w:t>
      </w:r>
      <w:r>
        <w:rPr>
          <w:rFonts w:eastAsia="Calibri"/>
          <w:noProof/>
        </w:rPr>
        <w:t xml:space="preserve"> a common and unified technical language to describe and link data elements, in particular the elements relating to persons and (travel) documents. Using UMF when developing new information systems guarantees easier integration and interoperability with other systems, in particular for Member States needing to build interfaces to communicate with these new systems.</w:t>
      </w:r>
      <w:r>
        <w:rPr>
          <w:rFonts w:eastAsia="Calibri"/>
          <w:noProof/>
          <w:szCs w:val="24"/>
        </w:rPr>
        <w:t xml:space="preserve"> In this respect</w:t>
      </w:r>
      <w:r>
        <w:rPr>
          <w:rFonts w:eastAsia="Calibri"/>
          <w:noProof/>
        </w:rPr>
        <w:t>,</w:t>
      </w:r>
      <w:r>
        <w:rPr>
          <w:rFonts w:eastAsia="Calibri"/>
          <w:noProof/>
          <w:szCs w:val="24"/>
        </w:rPr>
        <w:t xml:space="preserve"> the compulsory use of UMF when developing new systems can be considered a necessary precondition for the introduction of the interoperability components proposed in this Regulation.</w:t>
      </w:r>
    </w:p>
    <w:p>
      <w:pPr>
        <w:spacing w:before="0" w:after="200"/>
        <w:ind w:left="425"/>
        <w:rPr>
          <w:rFonts w:eastAsia="Calibri"/>
          <w:noProof/>
          <w:szCs w:val="24"/>
        </w:rPr>
      </w:pPr>
      <w:r>
        <w:rPr>
          <w:rFonts w:eastAsia="Calibri"/>
          <w:noProof/>
        </w:rPr>
        <w:t xml:space="preserve">In order to ensure the complete roll-out across the EU of the UMF standard, an appropriate governance structure is proposed. The </w:t>
      </w:r>
      <w:r>
        <w:rPr>
          <w:noProof/>
          <w:szCs w:val="24"/>
        </w:rPr>
        <w:t xml:space="preserve">Commission would be responsible for establishing and developing the UMF standard, in the framework of an examination procedure with the Member States. Schengen associated states EU agencies and international bodies participating in the UMF projects (such as eu-LISA, Europol and Interpol) will also be involved. </w:t>
      </w:r>
      <w:r>
        <w:rPr>
          <w:rFonts w:eastAsia="Calibri"/>
          <w:noProof/>
        </w:rPr>
        <w:t xml:space="preserve">The </w:t>
      </w:r>
      <w:r>
        <w:rPr>
          <w:rFonts w:eastAsia="Calibri"/>
          <w:noProof/>
          <w:szCs w:val="24"/>
        </w:rPr>
        <w:t>proposed</w:t>
      </w:r>
      <w:r>
        <w:rPr>
          <w:rFonts w:eastAsia="Calibri"/>
          <w:noProof/>
        </w:rPr>
        <w:t xml:space="preserve"> governance structure is vital for the UMF in order to extend and expand the standard while guaranteeing maximum usability and applicability.</w:t>
      </w:r>
    </w:p>
    <w:p>
      <w:pPr>
        <w:spacing w:before="100" w:beforeAutospacing="1" w:after="100" w:afterAutospacing="1"/>
        <w:ind w:left="426" w:hanging="426"/>
        <w:rPr>
          <w:i/>
          <w:noProof/>
        </w:rPr>
      </w:pPr>
      <w:r>
        <w:rPr>
          <w:rFonts w:eastAsia="Calibri"/>
          <w:noProof/>
          <w:szCs w:val="24"/>
        </w:rPr>
        <w:t xml:space="preserve">(3) </w:t>
      </w:r>
      <w:r>
        <w:rPr>
          <w:rFonts w:eastAsia="Calibri"/>
          <w:noProof/>
          <w:szCs w:val="24"/>
        </w:rPr>
        <w:tab/>
        <w:t xml:space="preserve">This draft Regulation furthermore introduces the concepts of </w:t>
      </w:r>
      <w:r>
        <w:rPr>
          <w:b/>
          <w:noProof/>
        </w:rPr>
        <w:t>automated data quality control mechanisms</w:t>
      </w:r>
      <w:r>
        <w:rPr>
          <w:noProof/>
        </w:rPr>
        <w:t xml:space="preserve"> and common quality indicators, and the need for Member States to ensure the highest level of data quality when feeding and using the systems. If data is not of the highest quality, there can be consequences not just for not being able to identify wanted persons, but also by affecting the fundamental rights of innocent people. To overcome problems that can arise from the input of data by human operators, automatic validation rules can prevent operators from making mistakes. The goal would be</w:t>
      </w:r>
      <w:r>
        <w:rPr>
          <w:rFonts w:ascii="Verdana" w:hAnsi="Verdana" w:cs="Verdana"/>
          <w:noProof/>
          <w:color w:val="000000"/>
          <w:sz w:val="22"/>
        </w:rPr>
        <w:t xml:space="preserve"> </w:t>
      </w:r>
      <w:r>
        <w:rPr>
          <w:noProof/>
        </w:rPr>
        <w:t xml:space="preserve">to automatically identify apparently incorrect or inconsistent data submissions so that the originating Member State is able to verify the data and carry out any necessary remedial actions. This would be supplemented by regular data quality reports to be produced by </w:t>
      </w:r>
      <w:r>
        <w:rPr>
          <w:rFonts w:eastAsia="Arial Unicode MS"/>
          <w:noProof/>
        </w:rPr>
        <w:t xml:space="preserve">the </w:t>
      </w:r>
      <w:r>
        <w:rPr>
          <w:noProof/>
        </w:rPr>
        <w:t>eu-LISA.</w:t>
      </w:r>
    </w:p>
    <w:p>
      <w:pPr>
        <w:pStyle w:val="ManualHeading2"/>
        <w:ind w:left="0" w:firstLine="0"/>
        <w:rPr>
          <w:rFonts w:eastAsia="Arial Unicode MS"/>
          <w:noProof/>
          <w:color w:val="000000"/>
          <w:u w:color="000000"/>
          <w:bdr w:val="nil"/>
        </w:rPr>
      </w:pPr>
      <w:r>
        <w:rPr>
          <w:rFonts w:eastAsia="Arial Unicode MS"/>
          <w:noProof/>
        </w:rPr>
        <w:t>•</w:t>
      </w:r>
      <w:r>
        <w:rPr>
          <w:rFonts w:eastAsia="Arial Unicode MS"/>
          <w:noProof/>
        </w:rPr>
        <w:tab/>
        <w:t>Consequences for other legal instruments</w:t>
      </w:r>
    </w:p>
    <w:p>
      <w:pPr>
        <w:pStyle w:val="Text1"/>
        <w:ind w:left="0"/>
        <w:rPr>
          <w:rFonts w:eastAsia="Calibri"/>
          <w:noProof/>
          <w:szCs w:val="24"/>
        </w:rPr>
      </w:pPr>
      <w:r>
        <w:rPr>
          <w:rFonts w:eastAsia="Calibri"/>
          <w:noProof/>
          <w:szCs w:val="24"/>
        </w:rPr>
        <w:t>Together with its sister proposal, this draft Regulation introduces innovations that will require amendments of other legal instruments:</w:t>
      </w:r>
    </w:p>
    <w:p>
      <w:pPr>
        <w:pStyle w:val="Bullet0"/>
        <w:rPr>
          <w:noProof/>
        </w:rPr>
      </w:pPr>
      <w:r>
        <w:rPr>
          <w:noProof/>
        </w:rPr>
        <w:t xml:space="preserve">Regulation (EU) No 2016/399 (the Schengen Borders Code)  </w:t>
      </w:r>
    </w:p>
    <w:p>
      <w:pPr>
        <w:pStyle w:val="Bullet0"/>
        <w:rPr>
          <w:noProof/>
        </w:rPr>
      </w:pPr>
      <w:r>
        <w:rPr>
          <w:bCs/>
          <w:noProof/>
        </w:rPr>
        <w:t>Regulation (EU) 2017/2226</w:t>
      </w:r>
      <w:r>
        <w:rPr>
          <w:noProof/>
        </w:rPr>
        <w:t xml:space="preserve">  (the EES Regulation)</w:t>
      </w:r>
    </w:p>
    <w:p>
      <w:pPr>
        <w:pStyle w:val="Bullet0"/>
        <w:rPr>
          <w:noProof/>
        </w:rPr>
      </w:pPr>
      <w:r>
        <w:rPr>
          <w:noProof/>
        </w:rPr>
        <w:t>Regulation (EC) No 767/2008 (the VIS Regulation)</w:t>
      </w:r>
    </w:p>
    <w:p>
      <w:pPr>
        <w:pStyle w:val="Bullet0"/>
        <w:rPr>
          <w:noProof/>
        </w:rPr>
      </w:pPr>
      <w:r>
        <w:rPr>
          <w:noProof/>
        </w:rPr>
        <w:lastRenderedPageBreak/>
        <w:t>Council Decision 2004/512/EC (the VIS Decision)</w:t>
      </w:r>
    </w:p>
    <w:p>
      <w:pPr>
        <w:pStyle w:val="Bullet0"/>
        <w:rPr>
          <w:noProof/>
        </w:rPr>
      </w:pPr>
      <w:r>
        <w:rPr>
          <w:noProof/>
        </w:rPr>
        <w:t>Council Decision 2008/633/JHA (the VIS/law enforcement access Decision)</w:t>
      </w:r>
    </w:p>
    <w:p>
      <w:pPr>
        <w:pStyle w:val="Bullet0"/>
        <w:rPr>
          <w:noProof/>
        </w:rPr>
      </w:pPr>
      <w:r>
        <w:rPr>
          <w:noProof/>
        </w:rPr>
        <w:t>[the ETIAS Regulation]</w:t>
      </w:r>
    </w:p>
    <w:p>
      <w:pPr>
        <w:pStyle w:val="Bullet0"/>
        <w:rPr>
          <w:noProof/>
        </w:rPr>
      </w:pPr>
      <w:r>
        <w:rPr>
          <w:noProof/>
        </w:rPr>
        <w:t>[the Eurodac Regulation]</w:t>
      </w:r>
    </w:p>
    <w:p>
      <w:pPr>
        <w:pStyle w:val="Bullet0"/>
        <w:rPr>
          <w:noProof/>
        </w:rPr>
      </w:pPr>
      <w:r>
        <w:rPr>
          <w:noProof/>
        </w:rPr>
        <w:t>[the SIS Regulations]</w:t>
      </w:r>
    </w:p>
    <w:p>
      <w:pPr>
        <w:pStyle w:val="Bullet0"/>
        <w:rPr>
          <w:noProof/>
        </w:rPr>
      </w:pPr>
      <w:r>
        <w:rPr>
          <w:noProof/>
        </w:rPr>
        <w:t>[the ECRIS-TCN Regulation, including the corresponding provisions of Regulation (EU) 2016/1624 (the European Border and Coast Guard Regulation)]</w:t>
      </w:r>
    </w:p>
    <w:p>
      <w:pPr>
        <w:pStyle w:val="Bullet0"/>
        <w:rPr>
          <w:noProof/>
        </w:rPr>
      </w:pPr>
      <w:r>
        <w:rPr>
          <w:noProof/>
        </w:rPr>
        <w:t xml:space="preserve"> [the eu-LISA Regulation]</w:t>
      </w:r>
    </w:p>
    <w:p>
      <w:pPr>
        <w:rPr>
          <w:rFonts w:eastAsia="Calibri"/>
          <w:noProof/>
          <w:szCs w:val="24"/>
        </w:rPr>
      </w:pPr>
      <w:r>
        <w:rPr>
          <w:rFonts w:eastAsia="Calibri"/>
          <w:noProof/>
          <w:szCs w:val="24"/>
        </w:rPr>
        <w:t>This current proposal and its sister proposal include detailed provisions for the necessary changes to the legal instruments that are currently stable texts as adopted by the co-legislators: the Schengen Borders Code, the EES Regulation, the VIS Regulation</w:t>
      </w:r>
      <w:r>
        <w:rPr>
          <w:noProof/>
        </w:rPr>
        <w:t>, Council Decision 2008/633/JHA and Council Decision 2004/512/EC</w:t>
      </w:r>
      <w:r>
        <w:rPr>
          <w:rFonts w:eastAsia="Calibri"/>
          <w:noProof/>
          <w:szCs w:val="24"/>
        </w:rPr>
        <w:t xml:space="preserve">. </w:t>
      </w:r>
    </w:p>
    <w:p>
      <w:pPr>
        <w:pStyle w:val="Text1"/>
        <w:ind w:left="0"/>
        <w:rPr>
          <w:rFonts w:eastAsia="Calibri"/>
          <w:noProof/>
          <w:szCs w:val="24"/>
        </w:rPr>
      </w:pPr>
      <w:r>
        <w:rPr>
          <w:rFonts w:eastAsia="Calibri"/>
          <w:noProof/>
          <w:szCs w:val="24"/>
        </w:rPr>
        <w:t xml:space="preserve">The other listed instruments (Regulations on ETIAS, Eurodac, SIS, ECRIS-TCN, eu-LISA) are currently under negotiation in the European Parliament and Council. For these instruments, it is therefore not possible to set out the necessary amendments at this stage. The Commission will present such amendments for each of these instruments within two weeks of a political agreement on the respective draft Regulations being reached. </w:t>
      </w:r>
    </w:p>
    <w:p>
      <w:pPr>
        <w:pStyle w:val="Text1"/>
        <w:ind w:left="0"/>
        <w:rPr>
          <w:rFonts w:eastAsia="Calibri"/>
          <w:noProof/>
          <w:szCs w:val="24"/>
        </w:rPr>
      </w:pPr>
    </w:p>
    <w:p>
      <w:pPr>
        <w:pStyle w:val="ManualHeading2"/>
        <w:ind w:left="0" w:firstLine="0"/>
        <w:rPr>
          <w:rFonts w:eastAsia="Arial Unicode MS"/>
          <w:noProof/>
          <w:color w:val="000000"/>
          <w:u w:color="000000"/>
          <w:bdr w:val="nil"/>
        </w:rPr>
      </w:pPr>
      <w:r>
        <w:rPr>
          <w:rFonts w:eastAsia="Arial Unicode MS"/>
          <w:noProof/>
        </w:rPr>
        <w:t>•</w:t>
      </w:r>
      <w:r>
        <w:rPr>
          <w:rFonts w:eastAsia="Arial Unicode MS"/>
          <w:noProof/>
        </w:rPr>
        <w:tab/>
        <w:t>Consistency with existing policy provisions in the policy area</w:t>
      </w:r>
    </w:p>
    <w:p>
      <w:pPr>
        <w:pBdr>
          <w:top w:val="nil"/>
          <w:left w:val="nil"/>
          <w:bottom w:val="nil"/>
          <w:right w:val="nil"/>
          <w:between w:val="nil"/>
          <w:bar w:val="nil"/>
        </w:pBdr>
        <w:spacing w:before="0" w:after="240"/>
        <w:rPr>
          <w:iCs/>
          <w:noProof/>
          <w:szCs w:val="24"/>
        </w:rPr>
      </w:pPr>
      <w:r>
        <w:rPr>
          <w:noProof/>
        </w:rPr>
        <w:t>This proposal comes within the framework of the broader process that was launched by the</w:t>
      </w:r>
      <w:r>
        <w:rPr>
          <w:noProof/>
          <w:szCs w:val="24"/>
        </w:rPr>
        <w:t xml:space="preserve"> April 2016 Communication </w:t>
      </w:r>
      <w:r>
        <w:rPr>
          <w:i/>
          <w:noProof/>
        </w:rPr>
        <w:t>Stronger and smarter information systems for borders and security</w:t>
      </w:r>
      <w:r>
        <w:rPr>
          <w:iCs/>
          <w:noProof/>
          <w:szCs w:val="24"/>
        </w:rPr>
        <w:t>, and the subsequent work of the high-level expert group on information systems and interoperability. The aim is to pursue three objectives:</w:t>
      </w:r>
    </w:p>
    <w:p>
      <w:pPr>
        <w:pBdr>
          <w:top w:val="nil"/>
          <w:left w:val="nil"/>
          <w:bottom w:val="nil"/>
          <w:right w:val="nil"/>
          <w:between w:val="nil"/>
          <w:bar w:val="nil"/>
        </w:pBdr>
        <w:spacing w:before="0" w:after="240"/>
        <w:ind w:left="720"/>
        <w:rPr>
          <w:noProof/>
        </w:rPr>
      </w:pPr>
      <w:r>
        <w:rPr>
          <w:iCs/>
          <w:noProof/>
          <w:szCs w:val="24"/>
        </w:rPr>
        <w:t xml:space="preserve">(a) strengthen and maximize the benefits of </w:t>
      </w:r>
      <w:r>
        <w:rPr>
          <w:b/>
          <w:noProof/>
        </w:rPr>
        <w:t>existing information systems</w:t>
      </w:r>
      <w:r>
        <w:rPr>
          <w:iCs/>
          <w:noProof/>
          <w:szCs w:val="24"/>
        </w:rPr>
        <w:t xml:space="preserve">; </w:t>
      </w:r>
      <w:r>
        <w:rPr>
          <w:noProof/>
        </w:rPr>
        <w:t xml:space="preserve"> </w:t>
      </w:r>
    </w:p>
    <w:p>
      <w:pPr>
        <w:pBdr>
          <w:top w:val="nil"/>
          <w:left w:val="nil"/>
          <w:bottom w:val="nil"/>
          <w:right w:val="nil"/>
          <w:between w:val="nil"/>
          <w:bar w:val="nil"/>
        </w:pBdr>
        <w:spacing w:before="0" w:after="240"/>
        <w:ind w:left="720"/>
        <w:rPr>
          <w:noProof/>
        </w:rPr>
      </w:pPr>
      <w:r>
        <w:rPr>
          <w:noProof/>
        </w:rPr>
        <w:t>(b) address information gaps by establishing new information systems;</w:t>
      </w:r>
    </w:p>
    <w:p>
      <w:pPr>
        <w:pBdr>
          <w:top w:val="nil"/>
          <w:left w:val="nil"/>
          <w:bottom w:val="nil"/>
          <w:right w:val="nil"/>
          <w:between w:val="nil"/>
          <w:bar w:val="nil"/>
        </w:pBdr>
        <w:spacing w:before="0" w:after="240"/>
        <w:ind w:left="720"/>
        <w:rPr>
          <w:noProof/>
        </w:rPr>
      </w:pPr>
      <w:r>
        <w:rPr>
          <w:noProof/>
        </w:rPr>
        <w:t>(c) enhance interoperability between these systems.</w:t>
      </w:r>
    </w:p>
    <w:p>
      <w:pPr>
        <w:pBdr>
          <w:top w:val="nil"/>
          <w:left w:val="nil"/>
          <w:bottom w:val="nil"/>
          <w:right w:val="nil"/>
          <w:between w:val="nil"/>
          <w:bar w:val="nil"/>
        </w:pBdr>
        <w:spacing w:before="0" w:after="240"/>
        <w:rPr>
          <w:noProof/>
        </w:rPr>
      </w:pPr>
      <w:r>
        <w:rPr>
          <w:noProof/>
        </w:rPr>
        <w:t>On the first objective, the Commission adopted proposals in December 2016 for the further reinforcement of the existing Schengen Information System (SIS)</w:t>
      </w:r>
      <w:r>
        <w:rPr>
          <w:rStyle w:val="FootnoteReference"/>
          <w:rFonts w:eastAsia="Arial Unicode MS"/>
          <w:noProof/>
        </w:rPr>
        <w:footnoteReference w:id="25"/>
      </w:r>
      <w:r>
        <w:rPr>
          <w:noProof/>
        </w:rPr>
        <w:t>. On Eurodac, following the Commission’s proposal of May 2016</w:t>
      </w:r>
      <w:r>
        <w:rPr>
          <w:rStyle w:val="FootnoteReference"/>
          <w:rFonts w:eastAsia="Arial Unicode MS"/>
          <w:noProof/>
        </w:rPr>
        <w:footnoteReference w:id="26"/>
      </w:r>
      <w:r>
        <w:rPr>
          <w:noProof/>
        </w:rPr>
        <w:t>, negotiations on the revised legal basis were accelerated. A proposal for a new legal basis for the Visa Information System (VIS) is also under preparation, and will be submitted in the second quarter of 2018.</w:t>
      </w:r>
    </w:p>
    <w:p>
      <w:pPr>
        <w:pBdr>
          <w:top w:val="nil"/>
          <w:left w:val="nil"/>
          <w:bottom w:val="nil"/>
          <w:right w:val="nil"/>
          <w:between w:val="nil"/>
          <w:bar w:val="nil"/>
        </w:pBdr>
        <w:spacing w:before="0" w:after="240"/>
        <w:rPr>
          <w:noProof/>
        </w:rPr>
      </w:pPr>
      <w:r>
        <w:rPr>
          <w:noProof/>
        </w:rPr>
        <w:t>Regarding the second objective, negotiations on the Commission’s April 2016 proposal to establish an Entry/Exit System (EES)</w:t>
      </w:r>
      <w:r>
        <w:rPr>
          <w:rStyle w:val="FootnoteReference"/>
          <w:rFonts w:eastAsia="Arial Unicode MS"/>
          <w:noProof/>
        </w:rPr>
        <w:footnoteReference w:id="27"/>
      </w:r>
      <w:r>
        <w:rPr>
          <w:noProof/>
        </w:rPr>
        <w:t xml:space="preserve"> were concluded as early as July 2017, when the co-legislators reached a political agreement,</w:t>
      </w:r>
      <w:r>
        <w:rPr>
          <w:noProof/>
          <w:szCs w:val="24"/>
        </w:rPr>
        <w:t xml:space="preserve"> </w:t>
      </w:r>
      <w:r>
        <w:rPr>
          <w:rFonts w:eastAsia="Arial Unicode MS"/>
          <w:noProof/>
        </w:rPr>
        <w:t>confirmed by the European Parliament in October 2017 and formally adopted by the Council in November 2017</w:t>
      </w:r>
      <w:r>
        <w:rPr>
          <w:noProof/>
        </w:rPr>
        <w:t>. The legal base will enter into force in December 2017. Negotiations on the November 2016 proposal for the establishment of a European Travel Information and Authorisation System (ETIAS)</w:t>
      </w:r>
      <w:r>
        <w:rPr>
          <w:rStyle w:val="FootnoteReference"/>
          <w:rFonts w:eastAsia="Arial Unicode MS"/>
          <w:noProof/>
        </w:rPr>
        <w:footnoteReference w:id="28"/>
      </w:r>
      <w:r>
        <w:rPr>
          <w:noProof/>
        </w:rPr>
        <w:t xml:space="preserve"> have started and are </w:t>
      </w:r>
      <w:r>
        <w:rPr>
          <w:noProof/>
        </w:rPr>
        <w:lastRenderedPageBreak/>
        <w:t>expected to be finalised in the coming months. In June 2017, the Commission proposed a legal basis for addressing another information gap: the European Criminal Record Information System for third-country nationals (ECRIS-TCN system)</w:t>
      </w:r>
      <w:r>
        <w:rPr>
          <w:rStyle w:val="FootnoteReference"/>
          <w:rFonts w:eastAsia="Arial Unicode MS"/>
          <w:noProof/>
        </w:rPr>
        <w:footnoteReference w:id="29"/>
      </w:r>
      <w:r>
        <w:rPr>
          <w:noProof/>
        </w:rPr>
        <w:t>. Here again, the co-legislators have indicated that they aim for an early adoption of this legal basis.</w:t>
      </w:r>
    </w:p>
    <w:p>
      <w:pPr>
        <w:pBdr>
          <w:top w:val="nil"/>
          <w:left w:val="nil"/>
          <w:bottom w:val="nil"/>
          <w:right w:val="nil"/>
          <w:between w:val="nil"/>
          <w:bar w:val="nil"/>
        </w:pBdr>
        <w:spacing w:before="0" w:after="240"/>
        <w:rPr>
          <w:noProof/>
        </w:rPr>
      </w:pPr>
      <w:r>
        <w:rPr>
          <w:noProof/>
        </w:rPr>
        <w:t>This current proposal addresses the third objective identified in the April 2016 Communication.</w:t>
      </w:r>
    </w:p>
    <w:p>
      <w:pPr>
        <w:pStyle w:val="ManualHeading2"/>
        <w:rPr>
          <w:rFonts w:eastAsia="Arial Unicode MS"/>
          <w:noProof/>
        </w:rPr>
      </w:pPr>
      <w:r>
        <w:rPr>
          <w:rFonts w:eastAsia="Arial Unicode MS"/>
          <w:noProof/>
          <w:color w:val="000000"/>
          <w:u w:color="000000"/>
          <w:bdr w:val="nil"/>
        </w:rPr>
        <w:t>•</w:t>
      </w:r>
      <w:r>
        <w:rPr>
          <w:rFonts w:eastAsia="Arial Unicode MS"/>
          <w:noProof/>
          <w:color w:val="000000"/>
          <w:u w:color="000000"/>
          <w:bdr w:val="nil"/>
        </w:rPr>
        <w:tab/>
      </w:r>
      <w:r>
        <w:rPr>
          <w:rFonts w:eastAsia="Arial Unicode MS"/>
          <w:noProof/>
        </w:rPr>
        <w:t>Consistency with other Union policies in the area of Justice and Home Affairs</w:t>
      </w:r>
    </w:p>
    <w:p>
      <w:pPr>
        <w:spacing w:before="100" w:beforeAutospacing="1" w:after="100" w:afterAutospacing="1"/>
        <w:rPr>
          <w:rFonts w:eastAsia="Arial Unicode MS"/>
          <w:noProof/>
        </w:rPr>
      </w:pPr>
      <w:r>
        <w:rPr>
          <w:noProof/>
        </w:rPr>
        <w:t>This proposal t</w:t>
      </w:r>
      <w:r>
        <w:rPr>
          <w:rFonts w:eastAsia="Calibri"/>
          <w:noProof/>
          <w:szCs w:val="24"/>
        </w:rPr>
        <w:t>ogether with its sister proposal</w:t>
      </w:r>
      <w:r>
        <w:rPr>
          <w:noProof/>
        </w:rPr>
        <w:t xml:space="preserve"> delivers on, and is in line with, </w:t>
      </w:r>
      <w:r>
        <w:rPr>
          <w:noProof/>
          <w:szCs w:val="24"/>
        </w:rPr>
        <w:t>the European Agenda on Migration and subsequent communications, including the Communication on preserving and strengthening Schengen</w:t>
      </w:r>
      <w:r>
        <w:rPr>
          <w:rStyle w:val="FootnoteReference"/>
          <w:noProof/>
        </w:rPr>
        <w:footnoteReference w:id="30"/>
      </w:r>
      <w:r>
        <w:rPr>
          <w:noProof/>
          <w:szCs w:val="24"/>
        </w:rPr>
        <w:t>, as well as the European Agenda on Security</w:t>
      </w:r>
      <w:r>
        <w:rPr>
          <w:rStyle w:val="FootnoteReference"/>
          <w:noProof/>
        </w:rPr>
        <w:footnoteReference w:id="31"/>
      </w:r>
      <w:r>
        <w:rPr>
          <w:noProof/>
          <w:szCs w:val="24"/>
        </w:rPr>
        <w:t xml:space="preserve"> and the Commission’s work and progress reports towards an effective and genuine Security Union</w:t>
      </w:r>
      <w:r>
        <w:rPr>
          <w:rStyle w:val="FootnoteReference"/>
          <w:noProof/>
        </w:rPr>
        <w:footnoteReference w:id="32"/>
      </w:r>
      <w:r>
        <w:rPr>
          <w:noProof/>
          <w:szCs w:val="24"/>
        </w:rPr>
        <w:t xml:space="preserve">. It is </w:t>
      </w:r>
      <w:r>
        <w:rPr>
          <w:rFonts w:eastAsia="Arial Unicode MS"/>
          <w:noProof/>
        </w:rPr>
        <w:t>consistent with other Union policies, in particular as follows:</w:t>
      </w:r>
    </w:p>
    <w:p>
      <w:pPr>
        <w:pStyle w:val="Bullet0"/>
        <w:rPr>
          <w:noProof/>
        </w:rPr>
      </w:pPr>
      <w:r>
        <w:rPr>
          <w:noProof/>
        </w:rPr>
        <w:t>Internal security: the European Agenda on Security states that common high standards of border management are essential to prevent cross-border crime and terrorism. This proposal further contributes to achieving a high level of internal security by offering the means for authorities to have fast, seamless, systematic and controlled access to the information they require.</w:t>
      </w:r>
    </w:p>
    <w:p>
      <w:pPr>
        <w:pStyle w:val="Bullet0"/>
        <w:rPr>
          <w:noProof/>
        </w:rPr>
      </w:pPr>
      <w:r>
        <w:rPr>
          <w:noProof/>
        </w:rPr>
        <w:t>Asylum: the proposal includes Eurodac as one of the central EU systems to be covered by interoperability.</w:t>
      </w:r>
    </w:p>
    <w:p>
      <w:pPr>
        <w:pStyle w:val="Bullet0"/>
        <w:rPr>
          <w:noProof/>
        </w:rPr>
      </w:pPr>
      <w:r>
        <w:rPr>
          <w:noProof/>
        </w:rPr>
        <w:t>External border management and security: this proposal reinforces the SIS and VIS systems, which contribute to the efficient control of the Union’s external borders, as well as the future EES and the proposed ETIAS and ECRIS-TCN system.</w:t>
      </w:r>
    </w:p>
    <w:p>
      <w:pPr>
        <w:pStyle w:val="ManualHeading1"/>
        <w:rPr>
          <w:noProof/>
        </w:rPr>
      </w:pPr>
      <w:r>
        <w:rPr>
          <w:noProof/>
        </w:rPr>
        <w:t>2.</w:t>
      </w:r>
      <w:r>
        <w:rPr>
          <w:noProof/>
        </w:rPr>
        <w:tab/>
        <w:t>LEGAL BASIS, SUBSIDIARITY AND PROPORTIONALITY</w:t>
      </w:r>
    </w:p>
    <w:p>
      <w:pPr>
        <w:pStyle w:val="ManualHeading2"/>
        <w:rPr>
          <w:rFonts w:eastAsia="Arial Unicode MS"/>
          <w:noProof/>
          <w:u w:color="000000"/>
          <w:bdr w:val="nil"/>
        </w:rPr>
      </w:pPr>
      <w:r>
        <w:rPr>
          <w:rFonts w:eastAsia="Arial Unicode MS"/>
          <w:noProof/>
          <w:u w:color="000000"/>
          <w:bdr w:val="nil"/>
        </w:rPr>
        <w:t>•</w:t>
      </w:r>
      <w:r>
        <w:rPr>
          <w:rFonts w:eastAsia="Arial Unicode MS"/>
          <w:noProof/>
          <w:u w:color="000000"/>
          <w:bdr w:val="nil"/>
        </w:rPr>
        <w:tab/>
        <w:t>Legal basis</w:t>
      </w:r>
    </w:p>
    <w:p>
      <w:pPr>
        <w:pBdr>
          <w:top w:val="nil"/>
          <w:left w:val="nil"/>
          <w:bottom w:val="nil"/>
          <w:right w:val="nil"/>
          <w:between w:val="nil"/>
          <w:bar w:val="nil"/>
        </w:pBdr>
        <w:spacing w:before="0" w:after="240"/>
        <w:rPr>
          <w:rFonts w:eastAsia="Arial Unicode MS"/>
          <w:noProof/>
        </w:rPr>
      </w:pPr>
      <w:r>
        <w:rPr>
          <w:rFonts w:eastAsia="Arial Unicode MS"/>
          <w:noProof/>
        </w:rPr>
        <w:t xml:space="preserve">The main legal basis will be the following articles of the Treaty on the Functioning of the European Union: </w:t>
      </w:r>
      <w:r>
        <w:rPr>
          <w:noProof/>
        </w:rPr>
        <w:t>Article 16(2), Article 74, Article 77(2)(a) (b) (d) and (e)</w:t>
      </w:r>
      <w:r>
        <w:rPr>
          <w:rFonts w:eastAsia="Arial Unicode MS"/>
          <w:noProof/>
        </w:rPr>
        <w:t>.</w:t>
      </w:r>
    </w:p>
    <w:p>
      <w:pPr>
        <w:pBdr>
          <w:top w:val="nil"/>
          <w:left w:val="nil"/>
          <w:bottom w:val="nil"/>
          <w:right w:val="nil"/>
          <w:between w:val="nil"/>
          <w:bar w:val="nil"/>
        </w:pBdr>
        <w:spacing w:before="0" w:after="240"/>
        <w:rPr>
          <w:rFonts w:eastAsia="Arial Unicode MS"/>
          <w:noProof/>
        </w:rPr>
      </w:pPr>
      <w:r>
        <w:rPr>
          <w:rFonts w:eastAsia="Arial Unicode MS"/>
          <w:noProof/>
        </w:rPr>
        <w:t>Under Article 16(2), the Union has the power to adopt measures relating to the protection of individuals with regard to the processing of personal data by Union institutions, bodies, offices and agencies and by Member States when carrying out activities which fall within the scope of Union law, and the rules relating to the free movement of such data. Under Article 74, the Council can adopt measures to ensure administrative cooperation between departments of the Member States in the area of justice, liberty and security. Under Article 77(2), (a), (b), (d) and (e) respectively, the European Parliament and the Council can adopt measures concerning the common policy on visas and other short-stay residence permits, the checks to which persons crossing external borders are subject, any measure necessary for the gradual establishment of an integrated management system for external borders and the absence of any controls on persons, whatever their nationality, when crossing internal borders.</w:t>
      </w:r>
    </w:p>
    <w:p>
      <w:pPr>
        <w:pStyle w:val="ManualHeading2"/>
        <w:rPr>
          <w:rFonts w:eastAsia="Arial Unicode MS"/>
          <w:noProof/>
          <w:u w:color="000000"/>
          <w:bdr w:val="nil"/>
        </w:rPr>
      </w:pPr>
      <w:r>
        <w:rPr>
          <w:rFonts w:eastAsia="Arial Unicode MS"/>
          <w:noProof/>
          <w:u w:color="000000"/>
          <w:bdr w:val="nil"/>
        </w:rPr>
        <w:lastRenderedPageBreak/>
        <w:t>•</w:t>
      </w:r>
      <w:r>
        <w:rPr>
          <w:rFonts w:eastAsia="Arial Unicode MS"/>
          <w:noProof/>
          <w:u w:color="000000"/>
          <w:bdr w:val="nil"/>
        </w:rPr>
        <w:tab/>
        <w:t>Subsidiarity</w:t>
      </w:r>
    </w:p>
    <w:p>
      <w:pPr>
        <w:pBdr>
          <w:top w:val="nil"/>
          <w:left w:val="nil"/>
          <w:bottom w:val="nil"/>
          <w:right w:val="nil"/>
          <w:between w:val="nil"/>
          <w:bar w:val="nil"/>
        </w:pBdr>
        <w:spacing w:before="0" w:after="240"/>
        <w:rPr>
          <w:rFonts w:eastAsia="Arial Unicode MS"/>
          <w:noProof/>
        </w:rPr>
      </w:pPr>
      <w:r>
        <w:rPr>
          <w:rFonts w:eastAsia="Arial Unicode MS"/>
          <w:noProof/>
        </w:rPr>
        <w:t>Freedom of movement within the EU requires that the external borders of the Union are effectively managed to ensure security. Member States have therefore agreed to address these challenges collectively, especially by sharing information through centralised EU systems in the area of justice and home affairs. This is confirmed by the various conclusions that have been adopted by both the European Council and the Council, especially since 2015.</w:t>
      </w:r>
    </w:p>
    <w:p>
      <w:pPr>
        <w:pBdr>
          <w:top w:val="nil"/>
          <w:left w:val="nil"/>
          <w:bottom w:val="nil"/>
          <w:right w:val="nil"/>
          <w:between w:val="nil"/>
          <w:bar w:val="nil"/>
        </w:pBdr>
        <w:spacing w:before="0" w:after="240"/>
        <w:rPr>
          <w:rFonts w:eastAsia="Arial Unicode MS"/>
          <w:noProof/>
        </w:rPr>
      </w:pPr>
      <w:r>
        <w:rPr>
          <w:rFonts w:eastAsia="Arial Unicode MS"/>
          <w:noProof/>
        </w:rPr>
        <w:t>The absence of internal border controls requires sound management of the Schengen external borders, where each Member State or Schengen associated country has to control the external border on behalf of the other Schengen states. Consequently, no Member State alone is able to cope on its own with irregular migration and cross-border crime. Third-country nationals who enter the area without internal border controls are able to travel freely within it. In an area without internal borders, action against irregular immigration and international crime and terrorism, including through the detection of identity fraud, should be undertaken in common, and can only be successfully addressed at EU level.</w:t>
      </w:r>
    </w:p>
    <w:p>
      <w:pPr>
        <w:pBdr>
          <w:top w:val="nil"/>
          <w:left w:val="nil"/>
          <w:bottom w:val="nil"/>
          <w:right w:val="nil"/>
          <w:between w:val="nil"/>
          <w:bar w:val="nil"/>
        </w:pBdr>
        <w:spacing w:before="0" w:after="240"/>
        <w:rPr>
          <w:rFonts w:eastAsia="Arial Unicode MS"/>
          <w:noProof/>
        </w:rPr>
      </w:pPr>
      <w:r>
        <w:rPr>
          <w:rFonts w:eastAsia="Arial Unicode MS"/>
          <w:noProof/>
        </w:rPr>
        <w:t>Key common information systems at EU level are in place or in the process of being put in place. Enhanced interoperability among these information systems necessarily entails EU-level action. At the heart of the proposal is the improved efficiency and use of centralised systems managed by eu-LISA. By reason of the scale, effects and impact of the envisaged actions, the fundamental objectives can only be achieved efficiently and systematically at EU level.</w:t>
      </w:r>
    </w:p>
    <w:p>
      <w:pPr>
        <w:pStyle w:val="ManualHeading2"/>
        <w:rPr>
          <w:rFonts w:eastAsia="Arial Unicode MS"/>
          <w:noProof/>
          <w:u w:color="000000"/>
          <w:bdr w:val="nil"/>
        </w:rPr>
      </w:pPr>
      <w:r>
        <w:rPr>
          <w:rFonts w:eastAsia="Arial Unicode MS"/>
          <w:noProof/>
          <w:u w:color="000000"/>
          <w:bdr w:val="nil"/>
        </w:rPr>
        <w:t>•</w:t>
      </w:r>
      <w:r>
        <w:rPr>
          <w:rFonts w:eastAsia="Arial Unicode MS"/>
          <w:noProof/>
          <w:u w:color="000000"/>
          <w:bdr w:val="nil"/>
        </w:rPr>
        <w:tab/>
        <w:t>Proportionality</w:t>
      </w:r>
    </w:p>
    <w:p>
      <w:pPr>
        <w:pBdr>
          <w:top w:val="nil"/>
          <w:left w:val="nil"/>
          <w:bottom w:val="nil"/>
          <w:right w:val="nil"/>
          <w:between w:val="nil"/>
          <w:bar w:val="nil"/>
        </w:pBdr>
        <w:spacing w:before="0" w:after="240"/>
        <w:rPr>
          <w:rFonts w:eastAsia="Arial Unicode MS"/>
          <w:noProof/>
        </w:rPr>
      </w:pPr>
      <w:r>
        <w:rPr>
          <w:rFonts w:eastAsia="Arial Unicode MS"/>
          <w:noProof/>
        </w:rPr>
        <w:t xml:space="preserve">As </w:t>
      </w:r>
      <w:r>
        <w:rPr>
          <w:noProof/>
        </w:rPr>
        <w:t>explained in full detail in the impact assessment accompanying this proposed Regulation, the policy choices made in this proposal are considered proportionate. They do not go beyond what it necessary to achieve the agreed objectives.</w:t>
      </w:r>
    </w:p>
    <w:p>
      <w:pPr>
        <w:pBdr>
          <w:top w:val="nil"/>
          <w:left w:val="nil"/>
          <w:bottom w:val="nil"/>
          <w:right w:val="nil"/>
          <w:between w:val="nil"/>
          <w:bar w:val="nil"/>
        </w:pBdr>
        <w:spacing w:before="0" w:after="240"/>
        <w:rPr>
          <w:rFonts w:eastAsia="Arial Unicode MS"/>
          <w:noProof/>
        </w:rPr>
      </w:pPr>
      <w:r>
        <w:rPr>
          <w:rFonts w:eastAsia="Arial Unicode MS"/>
          <w:noProof/>
        </w:rPr>
        <w:t xml:space="preserve">The </w:t>
      </w:r>
      <w:r>
        <w:rPr>
          <w:rFonts w:eastAsia="Arial Unicode MS"/>
          <w:b/>
          <w:noProof/>
        </w:rPr>
        <w:t xml:space="preserve">European search portal (ESP) </w:t>
      </w:r>
      <w:r>
        <w:rPr>
          <w:rFonts w:eastAsia="Arial Unicode MS"/>
          <w:noProof/>
        </w:rPr>
        <w:t>is a necessary tool to reinforce the authorised use of the existing and future EU information systems. The impact of the ESP in terms of data processing is very limited. It will not store any data, except information regarding the various user profiles of the ESP, and the data and information systems to which they have access, and keeping track of their use by means of logs. The role of the ESP as a message broker, an enabler and a facilitator, is proportionate, necessary and limited in terms of searches and access rights under the mandates of the legal bases dealing with information systems and the proposed Regulation on interoperability.</w:t>
      </w:r>
    </w:p>
    <w:p>
      <w:pPr>
        <w:pBdr>
          <w:top w:val="nil"/>
          <w:left w:val="nil"/>
          <w:bottom w:val="nil"/>
          <w:right w:val="nil"/>
          <w:between w:val="nil"/>
          <w:bar w:val="nil"/>
        </w:pBdr>
        <w:spacing w:before="0" w:after="240"/>
        <w:rPr>
          <w:noProof/>
          <w:color w:val="000000"/>
          <w:sz w:val="23"/>
          <w:szCs w:val="23"/>
        </w:rPr>
      </w:pPr>
      <w:r>
        <w:rPr>
          <w:rFonts w:eastAsia="Arial Unicode MS"/>
          <w:noProof/>
        </w:rPr>
        <w:t xml:space="preserve">The </w:t>
      </w:r>
      <w:r>
        <w:rPr>
          <w:rFonts w:eastAsia="Arial Unicode MS"/>
          <w:b/>
          <w:noProof/>
        </w:rPr>
        <w:t>shared biometric matching service (shared BMS)</w:t>
      </w:r>
      <w:r>
        <w:rPr>
          <w:rFonts w:eastAsia="Arial Unicode MS"/>
          <w:noProof/>
        </w:rPr>
        <w:t xml:space="preserve"> is necessary for the functioning of the ESP, the common identity repository and the multiple-identity detector and facilitates the use and maintenance of the existing and future relevant EU information systems. Its functionality enables the performing of searches on biometric data from various sources in an efficient, seamless and systematic way. The biometric data are stored and retained by the underlying systems. The shared BMS creates templates but will discard the actual images. The data is thus stored in one location, only once.</w:t>
      </w:r>
    </w:p>
    <w:p>
      <w:pPr>
        <w:pBdr>
          <w:top w:val="nil"/>
          <w:left w:val="nil"/>
          <w:bottom w:val="nil"/>
          <w:right w:val="nil"/>
          <w:between w:val="nil"/>
          <w:bar w:val="nil"/>
        </w:pBdr>
        <w:spacing w:before="0" w:after="240"/>
        <w:rPr>
          <w:rFonts w:eastAsia="Arial Unicode MS"/>
          <w:noProof/>
        </w:rPr>
      </w:pPr>
      <w:r>
        <w:rPr>
          <w:rFonts w:eastAsia="Arial Unicode MS"/>
          <w:noProof/>
        </w:rPr>
        <w:t xml:space="preserve">The </w:t>
      </w:r>
      <w:r>
        <w:rPr>
          <w:rFonts w:eastAsia="Arial Unicode MS"/>
          <w:b/>
          <w:noProof/>
        </w:rPr>
        <w:t>common identity repository (CIR)</w:t>
      </w:r>
      <w:r>
        <w:rPr>
          <w:rFonts w:eastAsia="Arial Unicode MS"/>
          <w:noProof/>
        </w:rPr>
        <w:t xml:space="preserve"> is necessary in order to achieve the purpose of correct identification of a third-country national, e.g. during an identity check within the Schengen area. The CIR also supports the functioning of the multiple-identity detector and is therefore a necessary component to achieve the dual purpose of facilitating identity checks for </w:t>
      </w:r>
      <w:r>
        <w:rPr>
          <w:rFonts w:eastAsia="Arial Unicode MS"/>
          <w:i/>
          <w:iCs/>
          <w:noProof/>
        </w:rPr>
        <w:t xml:space="preserve">bona fide </w:t>
      </w:r>
      <w:r>
        <w:rPr>
          <w:rFonts w:eastAsia="Arial Unicode MS"/>
          <w:noProof/>
        </w:rPr>
        <w:t xml:space="preserve">travellers and combating identity fraud. Access to the CIR for this purpose is </w:t>
      </w:r>
      <w:r>
        <w:rPr>
          <w:rFonts w:eastAsia="Arial Unicode MS"/>
          <w:noProof/>
        </w:rPr>
        <w:lastRenderedPageBreak/>
        <w:t>limited to those users that need this information to carry out their tasks (which requires these checks to become a new ancillary purpose of Eurodac, VIS, the future EES, the proposed ETIAS and the proposed ECRIS-TCN system). The data processes are strictly limited to what is needed to achieve this goal, and adequate safeguards will be established to ensure access rights are respected and the data stored in the CIR is the minimum necessary.</w:t>
      </w:r>
      <w:r>
        <w:rPr>
          <w:noProof/>
        </w:rPr>
        <w:t xml:space="preserve"> In order to ensure data minimisation and to avoid unjustified duplication of data, the CIR holds the required biographic data of each of its underlying systems — stored, added, modified and deleted in accordance with their respective legal basis — without copying it. Data </w:t>
      </w:r>
      <w:r>
        <w:rPr>
          <w:rFonts w:eastAsia="Arial Unicode MS"/>
          <w:noProof/>
        </w:rPr>
        <w:t>retention terms are fully aligned with the data retention provisions of the underlying information systems providing the identity data.</w:t>
      </w:r>
    </w:p>
    <w:p>
      <w:pPr>
        <w:pBdr>
          <w:top w:val="nil"/>
          <w:left w:val="nil"/>
          <w:bottom w:val="nil"/>
          <w:right w:val="nil"/>
          <w:between w:val="nil"/>
          <w:bar w:val="nil"/>
        </w:pBdr>
        <w:spacing w:before="0" w:after="240"/>
        <w:rPr>
          <w:rFonts w:eastAsia="Arial Unicode MS"/>
          <w:noProof/>
        </w:rPr>
      </w:pPr>
      <w:r>
        <w:rPr>
          <w:rFonts w:eastAsia="Arial Unicode MS"/>
          <w:noProof/>
        </w:rPr>
        <w:t xml:space="preserve">The </w:t>
      </w:r>
      <w:r>
        <w:rPr>
          <w:rFonts w:eastAsia="Arial Unicode MS"/>
          <w:b/>
          <w:noProof/>
        </w:rPr>
        <w:t>multiple-identity detector (MID)</w:t>
      </w:r>
      <w:r>
        <w:rPr>
          <w:rFonts w:eastAsia="Arial Unicode MS"/>
          <w:noProof/>
        </w:rPr>
        <w:t xml:space="preserve"> is necessary to provide a solution for the detection of multiple identities with the dual purpose of facilitating identity checks for </w:t>
      </w:r>
      <w:r>
        <w:rPr>
          <w:rFonts w:eastAsia="Arial Unicode MS"/>
          <w:i/>
          <w:iCs/>
          <w:noProof/>
        </w:rPr>
        <w:t xml:space="preserve">bona fide </w:t>
      </w:r>
      <w:r>
        <w:rPr>
          <w:rFonts w:eastAsia="Arial Unicode MS"/>
          <w:noProof/>
        </w:rPr>
        <w:t>travellers and combating identity fraud. The MID will contain the links between individuals present in more than one central information system, strictly limited to the data needed to verify that a person is recorded lawfully or unlawfully under different biographical identities in different systems but also to clarify that two persons having similar biographical data may not be the same person.</w:t>
      </w:r>
      <w:r>
        <w:rPr>
          <w:noProof/>
          <w:color w:val="000000"/>
          <w:sz w:val="23"/>
          <w:szCs w:val="23"/>
        </w:rPr>
        <w:t xml:space="preserve"> </w:t>
      </w:r>
      <w:r>
        <w:rPr>
          <w:rFonts w:eastAsia="Arial Unicode MS"/>
          <w:noProof/>
        </w:rPr>
        <w:t>Data processing through the MID and the shared BMS in order to link individual files across individual systems is kept to an absolute minimum. The MID will include safeguards against potential discrimination or unfavourable decisions for persons with multiple lawful identities.</w:t>
      </w:r>
    </w:p>
    <w:p>
      <w:pPr>
        <w:pStyle w:val="ManualHeading2"/>
        <w:rPr>
          <w:rFonts w:eastAsia="Arial Unicode MS"/>
          <w:noProof/>
          <w:u w:color="000000"/>
          <w:bdr w:val="nil"/>
        </w:rPr>
      </w:pPr>
      <w:r>
        <w:rPr>
          <w:rFonts w:eastAsia="Arial Unicode MS"/>
          <w:noProof/>
          <w:u w:color="000000"/>
          <w:bdr w:val="nil"/>
        </w:rPr>
        <w:t>•</w:t>
      </w:r>
      <w:r>
        <w:rPr>
          <w:rFonts w:eastAsia="Arial Unicode MS"/>
          <w:noProof/>
          <w:u w:color="000000"/>
          <w:bdr w:val="nil"/>
        </w:rPr>
        <w:tab/>
        <w:t>Choice of the instrument</w:t>
      </w:r>
    </w:p>
    <w:p>
      <w:pPr>
        <w:pBdr>
          <w:top w:val="nil"/>
          <w:left w:val="nil"/>
          <w:bottom w:val="nil"/>
          <w:right w:val="nil"/>
          <w:between w:val="nil"/>
          <w:bar w:val="nil"/>
        </w:pBdr>
        <w:spacing w:before="0" w:after="240"/>
        <w:rPr>
          <w:rFonts w:eastAsia="Arial Unicode MS"/>
          <w:noProof/>
        </w:rPr>
      </w:pPr>
      <w:r>
        <w:rPr>
          <w:rFonts w:eastAsia="Arial Unicode MS"/>
          <w:noProof/>
        </w:rPr>
        <w:t>A Regulation of the European Parliament and the Council is proposed. The proposed legislation addresses directly the operation of central EU information systems for borders and security, all of which have been, or are proposed to be, established under Regulations. Similarly, eu-LISA, which will be responsible for the design and development, and in due course technical management, of the components is also established under a Regulation. A Regulation is therefore the appropriate choice of instrument.</w:t>
      </w:r>
    </w:p>
    <w:p>
      <w:pPr>
        <w:pStyle w:val="ManualHeading1"/>
        <w:rPr>
          <w:noProof/>
        </w:rPr>
      </w:pPr>
      <w:r>
        <w:rPr>
          <w:noProof/>
        </w:rPr>
        <w:t>3.</w:t>
      </w:r>
      <w:r>
        <w:rPr>
          <w:noProof/>
        </w:rPr>
        <w:tab/>
        <w:t>RESULTS OF STAKEHOLDER CONSULTATIONS AND IMPACT ASSESSMENTS</w:t>
      </w:r>
    </w:p>
    <w:p>
      <w:pPr>
        <w:pStyle w:val="ManualHeading2"/>
        <w:rPr>
          <w:rFonts w:eastAsia="Arial Unicode MS"/>
          <w:noProof/>
          <w:u w:color="000000"/>
          <w:bdr w:val="nil"/>
        </w:rPr>
      </w:pPr>
      <w:r>
        <w:rPr>
          <w:rFonts w:eastAsia="Arial Unicode MS"/>
          <w:noProof/>
          <w:u w:color="000000"/>
          <w:bdr w:val="nil"/>
        </w:rPr>
        <w:t>•</w:t>
      </w:r>
      <w:r>
        <w:rPr>
          <w:rFonts w:eastAsia="Arial Unicode MS"/>
          <w:noProof/>
          <w:u w:color="000000"/>
          <w:bdr w:val="nil"/>
        </w:rPr>
        <w:tab/>
        <w:t>Public consultation</w:t>
      </w:r>
    </w:p>
    <w:p>
      <w:pPr>
        <w:pBdr>
          <w:top w:val="nil"/>
          <w:left w:val="nil"/>
          <w:bottom w:val="nil"/>
          <w:right w:val="nil"/>
          <w:between w:val="nil"/>
          <w:bar w:val="nil"/>
        </w:pBdr>
        <w:spacing w:before="0" w:after="240"/>
        <w:rPr>
          <w:rFonts w:eastAsia="Arial Unicode MS"/>
          <w:noProof/>
        </w:rPr>
      </w:pPr>
      <w:r>
        <w:rPr>
          <w:noProof/>
        </w:rPr>
        <w:t xml:space="preserve">In preparation of this proposal the Commission launched in July 2017 a public consultation to collect the views of interested stakeholders on the subject of interoperability. </w:t>
      </w:r>
      <w:r>
        <w:rPr>
          <w:rFonts w:eastAsia="Arial Unicode MS"/>
          <w:noProof/>
        </w:rPr>
        <w:t>The consultation received 18 responses from a variety of stakeholders, including Member State governments, private sector organisations, other organisations such as NGOs and think tanks, as well as private citizens</w:t>
      </w:r>
      <w:r>
        <w:rPr>
          <w:rStyle w:val="FootnoteReference"/>
          <w:rFonts w:eastAsia="Arial Unicode MS"/>
          <w:noProof/>
        </w:rPr>
        <w:footnoteReference w:id="33"/>
      </w:r>
      <w:r>
        <w:rPr>
          <w:rFonts w:eastAsia="Arial Unicode MS"/>
          <w:noProof/>
        </w:rPr>
        <w:t xml:space="preserve">. Overall, the responses were broadly in favour of the underlying principles of this interoperability proposal. The vast majority of respondents agreed that the issues the consultation identified were the correct ones, and that the objectives that the interoperability package seeks to achieve are correct. In particular, respondents considered that the options outlined in the consultation paper would: </w:t>
      </w:r>
    </w:p>
    <w:p>
      <w:pPr>
        <w:pStyle w:val="Bullet0"/>
        <w:rPr>
          <w:noProof/>
        </w:rPr>
      </w:pPr>
      <w:r>
        <w:rPr>
          <w:noProof/>
        </w:rPr>
        <w:t>help staff on the ground access the information they need;</w:t>
      </w:r>
    </w:p>
    <w:p>
      <w:pPr>
        <w:pStyle w:val="Bullet0"/>
        <w:rPr>
          <w:noProof/>
        </w:rPr>
      </w:pPr>
      <w:r>
        <w:rPr>
          <w:noProof/>
        </w:rPr>
        <w:t>avoid duplication of data, reduce overlaps and highlight discrepancies in data;</w:t>
      </w:r>
    </w:p>
    <w:p>
      <w:pPr>
        <w:pStyle w:val="Bullet0"/>
        <w:rPr>
          <w:noProof/>
        </w:rPr>
      </w:pPr>
      <w:r>
        <w:rPr>
          <w:noProof/>
        </w:rPr>
        <w:lastRenderedPageBreak/>
        <w:t>identify people more reliably — including people with multiple identities — and reduce identity fraud.</w:t>
      </w:r>
    </w:p>
    <w:p>
      <w:pPr>
        <w:pBdr>
          <w:top w:val="nil"/>
          <w:left w:val="nil"/>
          <w:bottom w:val="nil"/>
          <w:right w:val="nil"/>
          <w:between w:val="nil"/>
          <w:bar w:val="nil"/>
        </w:pBdr>
        <w:spacing w:before="0" w:after="240"/>
        <w:rPr>
          <w:rFonts w:eastAsia="Arial Unicode MS"/>
          <w:noProof/>
        </w:rPr>
      </w:pPr>
      <w:r>
        <w:rPr>
          <w:rFonts w:eastAsia="Arial Unicode MS"/>
          <w:noProof/>
        </w:rPr>
        <w:t>A clear majority of respondents supported each of the proposed options and considered them to be necessary to achieve the objectives of this initiative, underlining in their responses the need for strong and clear data protection measures, particularly in relation to access to the information stored in the systems and data retention, and the need for up-to-date, high-quality data in the systems and measures to ensure this.</w:t>
      </w:r>
    </w:p>
    <w:p>
      <w:pPr>
        <w:pBdr>
          <w:top w:val="nil"/>
          <w:left w:val="nil"/>
          <w:bottom w:val="nil"/>
          <w:right w:val="nil"/>
          <w:between w:val="nil"/>
          <w:bar w:val="nil"/>
        </w:pBdr>
        <w:spacing w:before="0" w:after="240"/>
        <w:rPr>
          <w:rFonts w:eastAsia="Arial Unicode MS"/>
          <w:noProof/>
        </w:rPr>
      </w:pPr>
      <w:r>
        <w:rPr>
          <w:rFonts w:eastAsia="Arial Unicode MS"/>
          <w:noProof/>
        </w:rPr>
        <w:t>All the points raised have been taken into account in the preparation of this proposal.</w:t>
      </w:r>
    </w:p>
    <w:p>
      <w:pPr>
        <w:pStyle w:val="ManualHeading2"/>
        <w:rPr>
          <w:rFonts w:eastAsia="Arial Unicode MS"/>
          <w:noProof/>
          <w:u w:color="000000"/>
          <w:bdr w:val="nil"/>
        </w:rPr>
      </w:pPr>
      <w:r>
        <w:rPr>
          <w:rFonts w:eastAsia="Arial Unicode MS"/>
          <w:noProof/>
          <w:u w:color="000000"/>
          <w:bdr w:val="nil"/>
        </w:rPr>
        <w:t>•</w:t>
      </w:r>
      <w:r>
        <w:rPr>
          <w:rFonts w:eastAsia="Arial Unicode MS"/>
          <w:noProof/>
          <w:u w:color="000000"/>
          <w:bdr w:val="nil"/>
        </w:rPr>
        <w:tab/>
        <w:t>Eurobarometer survey</w:t>
      </w:r>
    </w:p>
    <w:p>
      <w:pPr>
        <w:rPr>
          <w:rFonts w:eastAsia="MS Mincho"/>
          <w:noProof/>
          <w:szCs w:val="24"/>
        </w:rPr>
      </w:pPr>
      <w:r>
        <w:rPr>
          <w:noProof/>
        </w:rPr>
        <w:t xml:space="preserve">In June 2017, </w:t>
      </w:r>
      <w:r>
        <w:rPr>
          <w:rFonts w:eastAsia="MS Mincho"/>
          <w:noProof/>
          <w:szCs w:val="24"/>
        </w:rPr>
        <w:t>a Special Eurobarometer</w:t>
      </w:r>
      <w:r>
        <w:rPr>
          <w:rStyle w:val="FootnoteReference"/>
          <w:rFonts w:eastAsia="MS Mincho"/>
          <w:noProof/>
        </w:rPr>
        <w:footnoteReference w:id="34"/>
      </w:r>
      <w:r>
        <w:rPr>
          <w:rFonts w:eastAsia="MS Mincho"/>
          <w:noProof/>
          <w:szCs w:val="24"/>
        </w:rPr>
        <w:t xml:space="preserve"> survey was conducted, showing that the EU’s strategy of sharing information at EU level to combat crime and terrorism has widespread public support: almost all respondents (92 %) agree that national authorities should share information with the authorities of other Member States to better fight crime and terrorism.</w:t>
      </w:r>
      <w:r>
        <w:rPr>
          <w:rFonts w:eastAsia="MS Mincho"/>
          <w:noProof/>
          <w:szCs w:val="24"/>
          <w:vertAlign w:val="superscript"/>
        </w:rPr>
        <w:t xml:space="preserve"> </w:t>
      </w:r>
    </w:p>
    <w:p>
      <w:pPr>
        <w:spacing w:before="100" w:beforeAutospacing="1" w:after="100" w:afterAutospacing="1"/>
        <w:rPr>
          <w:noProof/>
          <w:szCs w:val="24"/>
        </w:rPr>
      </w:pPr>
      <w:r>
        <w:rPr>
          <w:noProof/>
          <w:szCs w:val="24"/>
        </w:rPr>
        <w:t>A clear majority (69 %) of respondents expressed the view that the police and other national law enforcement authorities should share information with other EU countries on a systematic basis. In all Member States, a majority of respondents think that information should be shared in every case.</w:t>
      </w:r>
    </w:p>
    <w:p>
      <w:pPr>
        <w:pStyle w:val="ManualHeading2"/>
        <w:rPr>
          <w:rFonts w:eastAsia="Arial Unicode MS"/>
          <w:noProof/>
          <w:u w:color="000000"/>
          <w:bdr w:val="nil"/>
        </w:rPr>
      </w:pPr>
      <w:r>
        <w:rPr>
          <w:rFonts w:eastAsia="Arial Unicode MS"/>
          <w:noProof/>
          <w:u w:color="000000"/>
          <w:bdr w:val="nil"/>
        </w:rPr>
        <w:t>•</w:t>
      </w:r>
      <w:r>
        <w:rPr>
          <w:rFonts w:eastAsia="Arial Unicode MS"/>
          <w:noProof/>
          <w:u w:color="000000"/>
          <w:bdr w:val="nil"/>
        </w:rPr>
        <w:tab/>
        <w:t>High-level expert group on information systems and interoperability</w:t>
      </w:r>
    </w:p>
    <w:p>
      <w:pPr>
        <w:pBdr>
          <w:top w:val="nil"/>
          <w:left w:val="nil"/>
          <w:bottom w:val="nil"/>
          <w:right w:val="nil"/>
          <w:between w:val="nil"/>
          <w:bar w:val="nil"/>
        </w:pBdr>
        <w:spacing w:before="0" w:after="240"/>
        <w:rPr>
          <w:rFonts w:eastAsia="Arial Unicode MS"/>
          <w:noProof/>
        </w:rPr>
      </w:pPr>
      <w:r>
        <w:rPr>
          <w:rFonts w:eastAsia="Arial Unicode MS"/>
          <w:noProof/>
        </w:rPr>
        <w:t xml:space="preserve">As already indicated in the introduction, this current proposal builds on the recommendations of the </w:t>
      </w:r>
      <w:r>
        <w:rPr>
          <w:rFonts w:eastAsia="Arial Unicode MS"/>
          <w:b/>
          <w:bCs/>
          <w:noProof/>
        </w:rPr>
        <w:t>high-level expert group on information systems and interoperability</w:t>
      </w:r>
      <w:r>
        <w:rPr>
          <w:rStyle w:val="FootnoteReference"/>
          <w:rFonts w:eastAsia="Arial Unicode MS"/>
          <w:noProof/>
        </w:rPr>
        <w:footnoteReference w:id="35"/>
      </w:r>
      <w:r>
        <w:rPr>
          <w:rFonts w:eastAsia="Arial Unicode MS"/>
          <w:bCs/>
          <w:noProof/>
        </w:rPr>
        <w:t>.</w:t>
      </w:r>
      <w:r>
        <w:rPr>
          <w:rFonts w:eastAsia="Arial Unicode MS"/>
          <w:noProof/>
        </w:rPr>
        <w:t xml:space="preserve"> This</w:t>
      </w:r>
      <w:r>
        <w:rPr>
          <w:rFonts w:eastAsia="Arial Unicode MS"/>
          <w:bCs/>
          <w:noProof/>
        </w:rPr>
        <w:t xml:space="preserve"> group was established in June 2016 with the objective of </w:t>
      </w:r>
      <w:r>
        <w:rPr>
          <w:rFonts w:eastAsia="Arial Unicode MS"/>
          <w:noProof/>
        </w:rPr>
        <w:t xml:space="preserve">addressing the legal, technical and operational challenges of available options to achieve interoperability between central EU systems for borders and security. The group took a broad and comprehensive perspective on the data management architecture for border management and law enforcement, taking into account also the relevant roles, responsibilities and systems for customs authorities. </w:t>
      </w:r>
    </w:p>
    <w:p>
      <w:pPr>
        <w:pBdr>
          <w:top w:val="nil"/>
          <w:left w:val="nil"/>
          <w:bottom w:val="nil"/>
          <w:right w:val="nil"/>
          <w:between w:val="nil"/>
          <w:bar w:val="nil"/>
        </w:pBdr>
        <w:spacing w:before="0" w:after="240"/>
        <w:rPr>
          <w:rFonts w:eastAsia="Arial Unicode MS"/>
          <w:noProof/>
        </w:rPr>
      </w:pPr>
      <w:r>
        <w:rPr>
          <w:rFonts w:eastAsia="Arial Unicode MS"/>
          <w:noProof/>
        </w:rPr>
        <w:t>The group comprised experts from Member States and Schengen associated countries, and from the EU agencies eu-LISA, Europol, the European Asylum Support Office, the European Border and Coast Guard Agency and the EU Agency for Fundamental Rights. The EU Counter-Terrorism Coordinator and the European Data Protection Supervisor also participated as full members of the expert group. In addition, representatives of the secretariat of the European Parliament’s Committee on Civil Liberties, Justice and Home Affairs and of the General Secretariat of the Council attended as observers.</w:t>
      </w:r>
    </w:p>
    <w:p>
      <w:pPr>
        <w:pBdr>
          <w:top w:val="nil"/>
          <w:left w:val="nil"/>
          <w:bottom w:val="nil"/>
          <w:right w:val="nil"/>
          <w:between w:val="nil"/>
          <w:bar w:val="nil"/>
        </w:pBdr>
        <w:spacing w:before="0" w:after="240"/>
        <w:rPr>
          <w:noProof/>
        </w:rPr>
      </w:pPr>
      <w:r>
        <w:rPr>
          <w:rFonts w:eastAsia="Arial Unicode MS"/>
          <w:noProof/>
        </w:rPr>
        <w:t xml:space="preserve">The </w:t>
      </w:r>
      <w:r>
        <w:rPr>
          <w:rFonts w:eastAsia="Arial Unicode MS"/>
          <w:b/>
          <w:bCs/>
          <w:noProof/>
        </w:rPr>
        <w:t xml:space="preserve">final report of the high-level expert group </w:t>
      </w:r>
      <w:r>
        <w:rPr>
          <w:rFonts w:eastAsia="Arial Unicode MS"/>
          <w:noProof/>
        </w:rPr>
        <w:t>was published in May 2017</w:t>
      </w:r>
      <w:r>
        <w:rPr>
          <w:rStyle w:val="FootnoteReference"/>
          <w:rFonts w:eastAsia="Arial Unicode MS"/>
          <w:noProof/>
        </w:rPr>
        <w:footnoteReference w:id="36"/>
      </w:r>
      <w:r>
        <w:rPr>
          <w:rFonts w:eastAsia="Arial Unicode MS"/>
          <w:noProof/>
        </w:rPr>
        <w:t xml:space="preserve">. It underlined the need to act to address the structural shortcomings identified in the April 2016 Communication. It set out a range of recommendations to strengthen and develop the EU’s information systems and interoperability. It concluded that it is </w:t>
      </w:r>
      <w:r>
        <w:rPr>
          <w:rFonts w:eastAsia="Arial Unicode MS"/>
          <w:b/>
          <w:bCs/>
          <w:noProof/>
        </w:rPr>
        <w:t xml:space="preserve">necessary and technically </w:t>
      </w:r>
      <w:r>
        <w:rPr>
          <w:rFonts w:eastAsia="Arial Unicode MS"/>
          <w:b/>
          <w:bCs/>
          <w:noProof/>
        </w:rPr>
        <w:lastRenderedPageBreak/>
        <w:t xml:space="preserve">feasible to work towards the European search portal, the shared biometric matching service and the common identity repository as solutions for interoperability </w:t>
      </w:r>
      <w:r>
        <w:rPr>
          <w:rFonts w:eastAsia="Arial Unicode MS"/>
          <w:noProof/>
        </w:rPr>
        <w:t xml:space="preserve">and that they can, in principle, both deliver operational gains and be established in compliance with data protection requirements. The group also recommended </w:t>
      </w:r>
      <w:r>
        <w:rPr>
          <w:noProof/>
        </w:rPr>
        <w:t xml:space="preserve">considering the additional option of a two-step approach towards law enforcement access, based on a hit-flagging functionality. </w:t>
      </w:r>
    </w:p>
    <w:p>
      <w:pPr>
        <w:spacing w:before="100" w:beforeAutospacing="1" w:after="100" w:afterAutospacing="1"/>
        <w:rPr>
          <w:noProof/>
        </w:rPr>
      </w:pPr>
      <w:r>
        <w:rPr>
          <w:noProof/>
        </w:rPr>
        <w:t>This draft Regulation also responds to the high-level experts group’s recommendations on data quality, the Universal Message Format (UMF) and the establishment of a data warehouse (here presented as the central repository for reporting and statistics (CRRS)).</w:t>
      </w:r>
    </w:p>
    <w:p>
      <w:pPr>
        <w:spacing w:before="100" w:beforeAutospacing="1" w:after="100" w:afterAutospacing="1"/>
        <w:rPr>
          <w:rFonts w:eastAsia="Arial Unicode MS"/>
          <w:noProof/>
        </w:rPr>
      </w:pPr>
      <w:r>
        <w:rPr>
          <w:noProof/>
        </w:rPr>
        <w:t>The fourth interoperability component proposed in this draft Regulation (the multiple-identity detector) was not identified by the high-level expert group, but arose during the course of additional technical analysis and the proportionality assessment conducted by the Commission.</w:t>
      </w:r>
    </w:p>
    <w:p>
      <w:pPr>
        <w:pStyle w:val="ManualHeading2"/>
        <w:rPr>
          <w:rFonts w:eastAsia="Arial Unicode MS"/>
          <w:noProof/>
          <w:highlight w:val="yellow"/>
        </w:rPr>
      </w:pPr>
      <w:r>
        <w:rPr>
          <w:rFonts w:eastAsia="Arial Unicode MS"/>
          <w:noProof/>
          <w:u w:color="000000"/>
          <w:bdr w:val="nil"/>
        </w:rPr>
        <w:t>•</w:t>
      </w:r>
      <w:r>
        <w:rPr>
          <w:rFonts w:eastAsia="Arial Unicode MS"/>
          <w:noProof/>
          <w:u w:color="000000"/>
          <w:bdr w:val="nil"/>
        </w:rPr>
        <w:tab/>
        <w:t>Technical studies</w:t>
      </w:r>
    </w:p>
    <w:p>
      <w:pPr>
        <w:pBdr>
          <w:top w:val="nil"/>
          <w:left w:val="nil"/>
          <w:bottom w:val="nil"/>
          <w:right w:val="nil"/>
          <w:between w:val="nil"/>
          <w:bar w:val="nil"/>
        </w:pBdr>
        <w:spacing w:before="0" w:after="240"/>
        <w:rPr>
          <w:rFonts w:eastAsia="Arial Unicode MS"/>
          <w:noProof/>
        </w:rPr>
      </w:pPr>
      <w:r>
        <w:rPr>
          <w:rFonts w:eastAsia="Arial Unicode MS"/>
          <w:noProof/>
        </w:rPr>
        <w:t>Three studies were commissioned to support the preparation of the proposal. Contracted by the Commission, Unisys delivered a report on</w:t>
      </w:r>
      <w:r>
        <w:rPr>
          <w:noProof/>
          <w:color w:val="000000"/>
          <w:sz w:val="23"/>
          <w:szCs w:val="23"/>
        </w:rPr>
        <w:t xml:space="preserve"> a </w:t>
      </w:r>
      <w:r>
        <w:rPr>
          <w:rFonts w:eastAsia="Arial Unicode MS"/>
          <w:noProof/>
        </w:rPr>
        <w:t>feasibility study for the European search portal. eu-LISA commissioned a technical report from Gartner (with Unisys) to support the development of the shared biometric matching service. PWC delivered to the Commission a technical report on a common identity repository.</w:t>
      </w:r>
    </w:p>
    <w:p>
      <w:pPr>
        <w:pStyle w:val="ManualHeading2"/>
        <w:rPr>
          <w:rFonts w:eastAsia="Arial Unicode MS"/>
          <w:noProof/>
          <w:u w:color="000000"/>
          <w:bdr w:val="nil"/>
        </w:rPr>
      </w:pPr>
      <w:r>
        <w:rPr>
          <w:rFonts w:eastAsia="Arial Unicode MS"/>
          <w:noProof/>
          <w:u w:color="000000"/>
          <w:bdr w:val="nil"/>
        </w:rPr>
        <w:t>•</w:t>
      </w:r>
      <w:r>
        <w:rPr>
          <w:rFonts w:eastAsia="Arial Unicode MS"/>
          <w:noProof/>
          <w:u w:color="000000"/>
          <w:bdr w:val="nil"/>
        </w:rPr>
        <w:tab/>
        <w:t>Impact assessment</w:t>
      </w:r>
    </w:p>
    <w:p>
      <w:pPr>
        <w:pBdr>
          <w:top w:val="nil"/>
          <w:left w:val="nil"/>
          <w:bottom w:val="nil"/>
          <w:right w:val="nil"/>
          <w:between w:val="nil"/>
          <w:bar w:val="nil"/>
        </w:pBdr>
        <w:spacing w:before="0" w:after="240"/>
        <w:rPr>
          <w:rFonts w:eastAsia="Arial Unicode MS"/>
          <w:noProof/>
        </w:rPr>
      </w:pPr>
      <w:r>
        <w:rPr>
          <w:rFonts w:eastAsia="Arial Unicode MS"/>
          <w:noProof/>
        </w:rPr>
        <w:t>This proposal is supported by an impact assessment as presented in the accompanying Staff Working Document SWD(2017) 473.</w:t>
      </w:r>
    </w:p>
    <w:p>
      <w:pPr>
        <w:pBdr>
          <w:top w:val="nil"/>
          <w:left w:val="nil"/>
          <w:bottom w:val="nil"/>
          <w:right w:val="nil"/>
          <w:between w:val="nil"/>
          <w:bar w:val="nil"/>
        </w:pBdr>
        <w:spacing w:before="0" w:after="240"/>
        <w:rPr>
          <w:rFonts w:eastAsia="Arial Unicode MS"/>
          <w:noProof/>
        </w:rPr>
      </w:pPr>
      <w:r>
        <w:rPr>
          <w:rFonts w:eastAsia="Arial Unicode MS"/>
          <w:noProof/>
        </w:rPr>
        <w:t>The Regulatory Scrutiny Board reviewed the draft impact assessment at its meeting of 6 December 2017 and delivered its opinion (positive with reservations) on 8 December indicating that the impact assessment be adjusted in order to integrate the Board's recommendations on specific aspects. These related firstly to additional measures under the preferred option streamlining end-users' existing data access rights in EU information systems, and to illustrate associated safeguards for data protection and fundamental rights. The second main consideration was to clarify the integration of the Schengen Information System under option 2, including effectiveness and costs to facilitate its comparison with the preferred option 3. The Commission updated its impact assessment to respond to these main considerations and to address a number of other comments made by the Board.</w:t>
      </w:r>
    </w:p>
    <w:p>
      <w:pPr>
        <w:spacing w:before="100" w:beforeAutospacing="1" w:after="100" w:afterAutospacing="1"/>
        <w:rPr>
          <w:rFonts w:cstheme="minorBidi"/>
          <w:noProof/>
        </w:rPr>
      </w:pPr>
      <w:r>
        <w:rPr>
          <w:noProof/>
          <w:szCs w:val="24"/>
        </w:rPr>
        <w:t xml:space="preserve">The impact assessment evaluated if and how each of the identified objectives could be achieved by using one or more of the technical components identified by the high-level expert group and through subsequent analysis. Where necessary it also looked into sub-options necessary to meet these objectives, whilst respecting the data protection framework. </w:t>
      </w:r>
      <w:r>
        <w:rPr>
          <w:rFonts w:cstheme="minorBidi"/>
          <w:noProof/>
        </w:rPr>
        <w:t>The impact assessment concluded that:</w:t>
      </w:r>
    </w:p>
    <w:p>
      <w:pPr>
        <w:pStyle w:val="Bullet0"/>
        <w:rPr>
          <w:noProof/>
          <w:szCs w:val="24"/>
        </w:rPr>
      </w:pPr>
      <w:r>
        <w:rPr>
          <w:rFonts w:cstheme="minorBidi"/>
          <w:noProof/>
        </w:rPr>
        <w:t xml:space="preserve">To meet the </w:t>
      </w:r>
      <w:r>
        <w:rPr>
          <w:noProof/>
        </w:rPr>
        <w:t>objective of providing authorised users with</w:t>
      </w:r>
      <w:r>
        <w:rPr>
          <w:noProof/>
          <w:szCs w:val="24"/>
        </w:rPr>
        <w:t xml:space="preserve"> </w:t>
      </w:r>
      <w:r>
        <w:rPr>
          <w:noProof/>
        </w:rPr>
        <w:t>fast, seamless, systematic and controlled access</w:t>
      </w:r>
      <w:r>
        <w:rPr>
          <w:noProof/>
          <w:szCs w:val="24"/>
        </w:rPr>
        <w:t xml:space="preserve"> to relevant information systems</w:t>
      </w:r>
      <w:r>
        <w:rPr>
          <w:rFonts w:cstheme="minorBidi"/>
          <w:noProof/>
        </w:rPr>
        <w:t xml:space="preserve">, </w:t>
      </w:r>
      <w:r>
        <w:rPr>
          <w:noProof/>
        </w:rPr>
        <w:t>a European search portal (ESP) sh</w:t>
      </w:r>
      <w:r>
        <w:rPr>
          <w:noProof/>
          <w:szCs w:val="24"/>
        </w:rPr>
        <w:t>ould</w:t>
      </w:r>
      <w:r>
        <w:rPr>
          <w:noProof/>
        </w:rPr>
        <w:t xml:space="preserve"> be created, built on a shared biometric matching service (shared BMS) to address all databases.</w:t>
      </w:r>
    </w:p>
    <w:p>
      <w:pPr>
        <w:pStyle w:val="Bullet0"/>
        <w:rPr>
          <w:noProof/>
        </w:rPr>
      </w:pPr>
      <w:r>
        <w:rPr>
          <w:noProof/>
        </w:rPr>
        <w:t>To meet the objective of f</w:t>
      </w:r>
      <w:r>
        <w:rPr>
          <w:noProof/>
          <w:szCs w:val="24"/>
        </w:rPr>
        <w:t xml:space="preserve">acilitating </w:t>
      </w:r>
      <w:r>
        <w:rPr>
          <w:noProof/>
        </w:rPr>
        <w:t>identity checks of third-country nationals</w:t>
      </w:r>
      <w:r>
        <w:rPr>
          <w:noProof/>
          <w:szCs w:val="24"/>
        </w:rPr>
        <w:t>, on the territory of a Member State, by authorised officers,</w:t>
      </w:r>
      <w:r>
        <w:rPr>
          <w:rFonts w:cstheme="minorBidi"/>
          <w:noProof/>
        </w:rPr>
        <w:t xml:space="preserve"> a</w:t>
      </w:r>
      <w:r>
        <w:rPr>
          <w:noProof/>
        </w:rPr>
        <w:t xml:space="preserve"> common identity repository </w:t>
      </w:r>
      <w:r>
        <w:rPr>
          <w:noProof/>
        </w:rPr>
        <w:lastRenderedPageBreak/>
        <w:t>(CIR) sh</w:t>
      </w:r>
      <w:r>
        <w:rPr>
          <w:noProof/>
          <w:szCs w:val="24"/>
        </w:rPr>
        <w:t>ould</w:t>
      </w:r>
      <w:r>
        <w:rPr>
          <w:noProof/>
        </w:rPr>
        <w:t xml:space="preserve"> be created, containing the minimum set of identification data, and built on the same shared BMS.</w:t>
      </w:r>
    </w:p>
    <w:p>
      <w:pPr>
        <w:pStyle w:val="Bullet0"/>
        <w:rPr>
          <w:rFonts w:cstheme="minorBidi"/>
          <w:noProof/>
        </w:rPr>
      </w:pPr>
      <w:r>
        <w:rPr>
          <w:rFonts w:cstheme="minorBidi"/>
          <w:noProof/>
        </w:rPr>
        <w:t xml:space="preserve">To meet the objective of </w:t>
      </w:r>
      <w:r>
        <w:rPr>
          <w:noProof/>
        </w:rPr>
        <w:t>detecting multiple identities</w:t>
      </w:r>
      <w:r>
        <w:rPr>
          <w:noProof/>
          <w:szCs w:val="24"/>
        </w:rPr>
        <w:t xml:space="preserve"> linked to the same set of biometric data, with the dual purpose of facilitating identity checks for </w:t>
      </w:r>
      <w:r>
        <w:rPr>
          <w:rFonts w:cstheme="minorBidi"/>
          <w:i/>
          <w:noProof/>
        </w:rPr>
        <w:t>bona fide</w:t>
      </w:r>
      <w:r>
        <w:rPr>
          <w:noProof/>
          <w:szCs w:val="24"/>
        </w:rPr>
        <w:t xml:space="preserve"> travellers and </w:t>
      </w:r>
      <w:r>
        <w:rPr>
          <w:noProof/>
        </w:rPr>
        <w:t xml:space="preserve">combating identity fraud, a </w:t>
      </w:r>
      <w:r>
        <w:rPr>
          <w:rFonts w:cstheme="minorBidi"/>
          <w:noProof/>
        </w:rPr>
        <w:t>multiple-identity detector (MID) should be built, containing links between multiple identities across systems.</w:t>
      </w:r>
    </w:p>
    <w:p>
      <w:pPr>
        <w:pStyle w:val="Bullet0"/>
        <w:rPr>
          <w:rFonts w:cstheme="minorBidi"/>
          <w:noProof/>
        </w:rPr>
      </w:pPr>
      <w:r>
        <w:rPr>
          <w:rFonts w:cstheme="minorBidi"/>
          <w:noProof/>
        </w:rPr>
        <w:t>To meet the objective of faci</w:t>
      </w:r>
      <w:r>
        <w:rPr>
          <w:noProof/>
        </w:rPr>
        <w:t xml:space="preserve">litating and streamlining access by law enforcement authorities to non-law enforcement information systems, for the purpose of preventing, investigating, detecting or prosecuting serious crime and terrorism, </w:t>
      </w:r>
      <w:r>
        <w:rPr>
          <w:rFonts w:cstheme="minorBidi"/>
          <w:noProof/>
        </w:rPr>
        <w:t>a ‘hit-flag’ functionality should be included in the CIR.</w:t>
      </w:r>
    </w:p>
    <w:p>
      <w:pPr>
        <w:spacing w:before="0"/>
        <w:rPr>
          <w:rFonts w:cstheme="minorBidi"/>
          <w:noProof/>
        </w:rPr>
      </w:pPr>
      <w:r>
        <w:rPr>
          <w:rFonts w:cstheme="minorBidi"/>
          <w:noProof/>
        </w:rPr>
        <w:t xml:space="preserve">Since all objectives must be met, the </w:t>
      </w:r>
      <w:r>
        <w:rPr>
          <w:b/>
          <w:noProof/>
        </w:rPr>
        <w:t>complete solution is the combination of ESP, CIR (with hit flagging) and MID, all relying on the shared BMS</w:t>
      </w:r>
      <w:r>
        <w:rPr>
          <w:rFonts w:cstheme="minorBidi"/>
          <w:noProof/>
        </w:rPr>
        <w:t>.</w:t>
      </w:r>
    </w:p>
    <w:p>
      <w:pPr>
        <w:spacing w:before="100" w:beforeAutospacing="1" w:after="100" w:afterAutospacing="1"/>
        <w:rPr>
          <w:rFonts w:eastAsia="Arial Unicode MS"/>
          <w:noProof/>
        </w:rPr>
      </w:pPr>
      <w:r>
        <w:rPr>
          <w:rFonts w:eastAsia="Arial Unicode MS"/>
          <w:noProof/>
        </w:rPr>
        <w:t xml:space="preserve">The major positive impact will be the improvement of border management and increased internal security within the European Union. The new components will streamline and expedite access by national authorities to the necessary information and identification of third-country nationals. They will enable authorities to make cross-links to already existing, necessary information on individuals during border checks, for visa or asylum applications, and for police work. This will enable access to information that can support reliable decisions being made, whether relating to investigations of serious crime and terrorism or decisions in the field of migration and asylum. Whilst not directly affecting EU nationals (the </w:t>
      </w:r>
      <w:r>
        <w:rPr>
          <w:noProof/>
          <w:szCs w:val="24"/>
        </w:rPr>
        <w:t>proposed measures are primarily focused on third-country nationals whose data is recorded in an EU centralised information system), t</w:t>
      </w:r>
      <w:r>
        <w:rPr>
          <w:rFonts w:eastAsia="Arial Unicode MS"/>
          <w:noProof/>
        </w:rPr>
        <w:t>he proposals are expected to generate increased public trust by ensuring that their design and use increases the security of EU citizens.</w:t>
      </w:r>
    </w:p>
    <w:p>
      <w:pPr>
        <w:pBdr>
          <w:top w:val="nil"/>
          <w:left w:val="nil"/>
          <w:bottom w:val="nil"/>
          <w:right w:val="nil"/>
          <w:between w:val="nil"/>
          <w:bar w:val="nil"/>
        </w:pBdr>
        <w:spacing w:before="0" w:after="240"/>
        <w:rPr>
          <w:rFonts w:eastAsia="Arial Unicode MS"/>
          <w:noProof/>
        </w:rPr>
      </w:pPr>
      <w:r>
        <w:rPr>
          <w:rFonts w:eastAsia="Arial Unicode MS"/>
          <w:noProof/>
        </w:rPr>
        <w:t>The immediate financial and economic impacts of the proposal will be limited to the design, development and operation of the new facilities. The costs will fall to the EU budget and to Member State authorities operating the systems.</w:t>
      </w:r>
      <w:r>
        <w:rPr>
          <w:noProof/>
          <w:color w:val="000000"/>
          <w:sz w:val="23"/>
          <w:szCs w:val="23"/>
        </w:rPr>
        <w:t xml:space="preserve"> </w:t>
      </w:r>
      <w:r>
        <w:rPr>
          <w:rFonts w:eastAsia="Arial Unicode MS"/>
          <w:noProof/>
        </w:rPr>
        <w:t>The impact on tourism will be positive as the proposed measures will both improve the security of the European Union and should also be beneficial for a speedier border control. Similarly, the impact on airports, seaports and carriers is expected to be positive, in particular because of expedited border control checks.</w:t>
      </w:r>
    </w:p>
    <w:p>
      <w:pPr>
        <w:pStyle w:val="ManualHeading2"/>
        <w:rPr>
          <w:rFonts w:eastAsia="Arial Unicode MS"/>
          <w:noProof/>
          <w:u w:color="000000"/>
          <w:bdr w:val="nil"/>
        </w:rPr>
      </w:pPr>
      <w:r>
        <w:rPr>
          <w:rFonts w:eastAsia="Arial Unicode MS"/>
          <w:noProof/>
        </w:rPr>
        <w:t xml:space="preserve"> </w:t>
      </w:r>
      <w:r>
        <w:rPr>
          <w:rFonts w:eastAsia="Arial Unicode MS"/>
          <w:noProof/>
          <w:u w:color="000000"/>
          <w:bdr w:val="nil"/>
        </w:rPr>
        <w:t>•</w:t>
      </w:r>
      <w:r>
        <w:rPr>
          <w:rFonts w:eastAsia="Arial Unicode MS"/>
          <w:noProof/>
          <w:u w:color="000000"/>
          <w:bdr w:val="nil"/>
        </w:rPr>
        <w:tab/>
        <w:t>Fundamental rights</w:t>
      </w:r>
    </w:p>
    <w:p>
      <w:pPr>
        <w:pBdr>
          <w:top w:val="nil"/>
          <w:left w:val="nil"/>
          <w:bottom w:val="nil"/>
          <w:right w:val="nil"/>
          <w:between w:val="nil"/>
          <w:bar w:val="nil"/>
        </w:pBdr>
        <w:spacing w:before="0" w:after="240"/>
        <w:rPr>
          <w:rFonts w:eastAsia="Arial Unicode MS"/>
          <w:noProof/>
        </w:rPr>
      </w:pPr>
      <w:r>
        <w:rPr>
          <w:noProof/>
        </w:rPr>
        <w:t xml:space="preserve">The impact assessment looked in particular into the impacts of the proposed measures on fundamental rights and, in particular, to the right to data protection.  </w:t>
      </w:r>
    </w:p>
    <w:p>
      <w:pPr>
        <w:pBdr>
          <w:top w:val="nil"/>
          <w:left w:val="nil"/>
          <w:bottom w:val="nil"/>
          <w:right w:val="nil"/>
          <w:between w:val="nil"/>
          <w:bar w:val="nil"/>
        </w:pBdr>
        <w:spacing w:before="0" w:after="240"/>
        <w:rPr>
          <w:rFonts w:eastAsia="Arial Unicode MS"/>
          <w:noProof/>
        </w:rPr>
      </w:pPr>
      <w:r>
        <w:rPr>
          <w:rFonts w:eastAsia="Arial Unicode MS"/>
          <w:noProof/>
        </w:rPr>
        <w:t>In accordance with the Charter of Fundamental Rights of the EU, to which EU institutions and Member States, when they implement EU law, are bound (Article 51(1) of the Charter), the opportunities offered by interoperability as a measure to enhance security and the protection of the external border need to be balanced with the obligation to ensure that interferences with fundamental rights that may derive from the new interoperability environment are limited to what is strictly necessary to genuinely meet the objectives of general interest pursued, subject to the principle of proportionality (Article 52(1) of the Charter).</w:t>
      </w:r>
    </w:p>
    <w:p>
      <w:pPr>
        <w:pBdr>
          <w:top w:val="nil"/>
          <w:left w:val="nil"/>
          <w:bottom w:val="nil"/>
          <w:right w:val="nil"/>
          <w:between w:val="nil"/>
          <w:bar w:val="nil"/>
        </w:pBdr>
        <w:spacing w:before="0" w:after="240"/>
        <w:rPr>
          <w:rFonts w:eastAsia="Arial Unicode MS"/>
          <w:noProof/>
        </w:rPr>
      </w:pPr>
      <w:r>
        <w:rPr>
          <w:rFonts w:eastAsia="Arial Unicode MS"/>
          <w:noProof/>
        </w:rPr>
        <w:t>The proposed interoperability solutions are complementary components to existing systems. As such, they would not alter the balance already ensured by each of the existing central systems as regards their positive impact on fundamental rights.</w:t>
      </w:r>
    </w:p>
    <w:p>
      <w:pPr>
        <w:pBdr>
          <w:top w:val="nil"/>
          <w:left w:val="nil"/>
          <w:bottom w:val="nil"/>
          <w:right w:val="nil"/>
          <w:between w:val="nil"/>
          <w:bar w:val="nil"/>
        </w:pBdr>
        <w:spacing w:before="0" w:after="240"/>
        <w:rPr>
          <w:rFonts w:eastAsia="Arial Unicode MS"/>
          <w:noProof/>
        </w:rPr>
      </w:pPr>
      <w:r>
        <w:rPr>
          <w:rFonts w:eastAsia="Arial Unicode MS"/>
          <w:noProof/>
        </w:rPr>
        <w:lastRenderedPageBreak/>
        <w:t>Nevertheless,</w:t>
      </w:r>
      <w:r>
        <w:rPr>
          <w:rFonts w:cstheme="minorBidi"/>
          <w:noProof/>
          <w:szCs w:val="24"/>
        </w:rPr>
        <w:t xml:space="preserve"> </w:t>
      </w:r>
      <w:r>
        <w:rPr>
          <w:rFonts w:eastAsia="Arial Unicode MS"/>
          <w:noProof/>
        </w:rPr>
        <w:t>interoperability does have the potential of having an additional, indirect impact on a number of fundamental rights. Indeed, the correct identification of a person has a positive impact on the right to respect for private life, and in particular the right to one’s identity (Article 7 of the Charter), as it can contribute to avoid identity confusions. On the other hand, conducting checks based on biometric data can be perceived as interfering with the person’s right to dignity (in particular, where it is perceived as humiliating) (Article 1). Yet in a survey</w:t>
      </w:r>
      <w:r>
        <w:rPr>
          <w:rStyle w:val="FootnoteReference"/>
          <w:rFonts w:eastAsia="Arial Unicode MS"/>
          <w:noProof/>
        </w:rPr>
        <w:footnoteReference w:id="37"/>
      </w:r>
      <w:r>
        <w:rPr>
          <w:rFonts w:eastAsia="Arial Unicode MS"/>
          <w:noProof/>
        </w:rPr>
        <w:t xml:space="preserve"> by the EU Agency for Fundamental Rights, respondents were specifically asked whether they believed that giving their biometrics in the context of border control might be humiliating. The majority of respondents did not feel that it would.</w:t>
      </w:r>
    </w:p>
    <w:p>
      <w:pPr>
        <w:pBdr>
          <w:top w:val="nil"/>
          <w:left w:val="nil"/>
          <w:bottom w:val="nil"/>
          <w:right w:val="nil"/>
          <w:between w:val="nil"/>
          <w:bar w:val="nil"/>
        </w:pBdr>
        <w:spacing w:before="0" w:after="240"/>
        <w:rPr>
          <w:rFonts w:eastAsia="Arial Unicode MS"/>
          <w:noProof/>
        </w:rPr>
      </w:pPr>
      <w:r>
        <w:rPr>
          <w:rFonts w:eastAsia="Arial Unicode MS"/>
          <w:noProof/>
        </w:rPr>
        <w:t>The proposed interoperability components offer the opportunity to adopt targeted preventive measures to enhance security. As such, they can contribute to the protection of people’s right to life (Article 2 of the Charter), which also implies a positive obligation on authorities to take preventive operational measures to protect an individual whose life is at risk, if they know or ought to have known of the existence of an immediate risk</w:t>
      </w:r>
      <w:r>
        <w:rPr>
          <w:rStyle w:val="FootnoteReference"/>
          <w:rFonts w:eastAsia="Arial Unicode MS"/>
          <w:noProof/>
        </w:rPr>
        <w:footnoteReference w:id="38"/>
      </w:r>
      <w:r>
        <w:rPr>
          <w:rFonts w:eastAsia="Arial Unicode MS"/>
          <w:noProof/>
        </w:rPr>
        <w:t>, as well as to uphold the prohibition of slavery and forced labour (Article 5).Through a reliable, more accessible and easier identification, interoperability can support the detection of missing children or children subject to people trafficking, and facilitate swift and targeted responses.</w:t>
      </w:r>
    </w:p>
    <w:p>
      <w:pPr>
        <w:pBdr>
          <w:top w:val="nil"/>
          <w:left w:val="nil"/>
          <w:bottom w:val="nil"/>
          <w:right w:val="nil"/>
          <w:between w:val="nil"/>
          <w:bar w:val="nil"/>
        </w:pBdr>
        <w:spacing w:before="0" w:after="240"/>
        <w:rPr>
          <w:rFonts w:eastAsia="Arial Unicode MS"/>
          <w:noProof/>
        </w:rPr>
      </w:pPr>
      <w:r>
        <w:rPr>
          <w:rFonts w:eastAsia="Arial Unicode MS"/>
          <w:noProof/>
        </w:rPr>
        <w:t>A reliable, more accessible and easier identification could also contribute to ensuring that the right to asylum (Article 18 of the Charter) and the prohibition of refoulement (Article 19 of the Charter) are effectively ensured. Interoperability could in fact prevent situations where asylum applicants are unlawfully apprehended, detained and made subject to undue expulsion. Furthermore, through interoperability, identity fraud will be more easily identified. It would also reduce the need to share data and information about asylum applicants with third countries (particularly the country of origin) for the purpose of establishing the person’s identity and obtaining travel documents, which could potentially endanger the person concerned.</w:t>
      </w:r>
    </w:p>
    <w:p>
      <w:pPr>
        <w:pStyle w:val="ManualHeading2"/>
        <w:rPr>
          <w:rFonts w:eastAsia="Arial Unicode MS"/>
          <w:noProof/>
          <w:u w:color="000000"/>
          <w:bdr w:val="nil"/>
        </w:rPr>
      </w:pPr>
      <w:r>
        <w:rPr>
          <w:rFonts w:eastAsia="Arial Unicode MS"/>
          <w:noProof/>
          <w:u w:color="000000"/>
          <w:bdr w:val="nil"/>
        </w:rPr>
        <w:t>•</w:t>
      </w:r>
      <w:r>
        <w:rPr>
          <w:rFonts w:eastAsia="Arial Unicode MS"/>
          <w:noProof/>
          <w:u w:color="000000"/>
          <w:bdr w:val="nil"/>
        </w:rPr>
        <w:tab/>
        <w:t>Protection of personal data</w:t>
      </w:r>
    </w:p>
    <w:p>
      <w:pPr>
        <w:pStyle w:val="Default"/>
        <w:rPr>
          <w:rFonts w:eastAsia="Arial Unicode MS"/>
          <w:noProof/>
        </w:rPr>
      </w:pPr>
    </w:p>
    <w:p>
      <w:pPr>
        <w:pStyle w:val="Default"/>
        <w:rPr>
          <w:noProof/>
        </w:rPr>
      </w:pPr>
      <w:r>
        <w:rPr>
          <w:rFonts w:eastAsia="Arial Unicode MS"/>
          <w:noProof/>
        </w:rPr>
        <w:t>G</w:t>
      </w:r>
      <w:r>
        <w:rPr>
          <w:noProof/>
        </w:rPr>
        <w:t xml:space="preserve">iven the personal data involved, interoperability will especially have an impact on the right to the protection of personal data. This right is established by Article 8 of the Charter and Article 16 of the Treaty on the Functioning of the European Union, and in Article 8 of </w:t>
      </w:r>
      <w:r>
        <w:rPr>
          <w:noProof/>
          <w:color w:val="auto"/>
        </w:rPr>
        <w:t>the European Convention on Human Rights. As underlined by the Court of Justice of the EU</w:t>
      </w:r>
      <w:r>
        <w:rPr>
          <w:rStyle w:val="FootnoteReference"/>
          <w:noProof/>
          <w:color w:val="auto"/>
        </w:rPr>
        <w:footnoteReference w:id="39"/>
      </w:r>
      <w:r>
        <w:rPr>
          <w:noProof/>
          <w:color w:val="auto"/>
        </w:rPr>
        <w:t>, the right to the protection of personal data is not an absolute right, but must be considered in relation to its function in society</w:t>
      </w:r>
      <w:r>
        <w:rPr>
          <w:rStyle w:val="FootnoteReference"/>
          <w:noProof/>
          <w:color w:val="auto"/>
        </w:rPr>
        <w:footnoteReference w:id="40"/>
      </w:r>
      <w:r>
        <w:rPr>
          <w:noProof/>
          <w:color w:val="auto"/>
        </w:rPr>
        <w:t>. Data protection is closely linked to respect for private and family life protected by Article 7 of the Charter.</w:t>
      </w:r>
    </w:p>
    <w:p>
      <w:pPr>
        <w:pStyle w:val="Default"/>
        <w:rPr>
          <w:noProof/>
          <w:sz w:val="23"/>
          <w:szCs w:val="23"/>
        </w:rPr>
      </w:pPr>
    </w:p>
    <w:p>
      <w:pPr>
        <w:pStyle w:val="Default"/>
        <w:rPr>
          <w:rFonts w:eastAsia="Arial Unicode MS"/>
          <w:noProof/>
        </w:rPr>
      </w:pPr>
      <w:r>
        <w:rPr>
          <w:rFonts w:eastAsia="Arial Unicode MS"/>
          <w:noProof/>
        </w:rPr>
        <w:lastRenderedPageBreak/>
        <w:t>According to the General Data Protection Regulation</w:t>
      </w:r>
      <w:r>
        <w:rPr>
          <w:rStyle w:val="FootnoteReference"/>
          <w:rFonts w:eastAsia="Arial Unicode MS"/>
          <w:noProof/>
        </w:rPr>
        <w:footnoteReference w:id="41"/>
      </w:r>
      <w:r>
        <w:rPr>
          <w:rFonts w:eastAsia="Arial Unicode MS"/>
          <w:noProof/>
        </w:rPr>
        <w:t xml:space="preserve">, the free movement of data within the EU is not to be restricted for reasons of data protection. However, a series of principles must be met. Indeed, to be lawful, any limitation on the exercise of the fundamental rights protected by the Charter must comply with the following criteria, laid down in its Article 52(1): </w:t>
      </w:r>
    </w:p>
    <w:p>
      <w:pPr>
        <w:pStyle w:val="Bullet0"/>
        <w:rPr>
          <w:noProof/>
        </w:rPr>
      </w:pPr>
      <w:r>
        <w:rPr>
          <w:noProof/>
        </w:rPr>
        <w:t>it must be provided for by law;</w:t>
      </w:r>
    </w:p>
    <w:p>
      <w:pPr>
        <w:pStyle w:val="Bullet0"/>
        <w:rPr>
          <w:noProof/>
        </w:rPr>
      </w:pPr>
      <w:r>
        <w:rPr>
          <w:noProof/>
        </w:rPr>
        <w:t>it must respect the essence of the rights;</w:t>
      </w:r>
    </w:p>
    <w:p>
      <w:pPr>
        <w:pStyle w:val="Bullet0"/>
        <w:rPr>
          <w:noProof/>
        </w:rPr>
      </w:pPr>
      <w:r>
        <w:rPr>
          <w:rFonts w:eastAsia="Arial Unicode MS"/>
          <w:noProof/>
        </w:rPr>
        <w:t>it must genuinely meet objectives of general interest recognised by the Union or the need to protect the rights and freedoms of others;</w:t>
      </w:r>
    </w:p>
    <w:p>
      <w:pPr>
        <w:pStyle w:val="Bullet0"/>
        <w:rPr>
          <w:noProof/>
        </w:rPr>
      </w:pPr>
      <w:r>
        <w:rPr>
          <w:rFonts w:eastAsia="Arial Unicode MS"/>
          <w:noProof/>
        </w:rPr>
        <w:t>it must be necessary; and</w:t>
      </w:r>
    </w:p>
    <w:p>
      <w:pPr>
        <w:pStyle w:val="Bullet0"/>
        <w:rPr>
          <w:noProof/>
        </w:rPr>
      </w:pPr>
      <w:r>
        <w:rPr>
          <w:rFonts w:eastAsia="Arial Unicode MS"/>
          <w:noProof/>
        </w:rPr>
        <w:t>it must be proportional.</w:t>
      </w:r>
    </w:p>
    <w:p>
      <w:pPr>
        <w:pStyle w:val="Default"/>
        <w:rPr>
          <w:rFonts w:eastAsia="Arial Unicode MS"/>
          <w:noProof/>
        </w:rPr>
      </w:pPr>
    </w:p>
    <w:p>
      <w:pPr>
        <w:pStyle w:val="Default"/>
        <w:rPr>
          <w:rFonts w:eastAsia="Arial Unicode MS"/>
          <w:noProof/>
        </w:rPr>
      </w:pPr>
      <w:r>
        <w:rPr>
          <w:rFonts w:eastAsia="Arial Unicode MS"/>
          <w:noProof/>
        </w:rPr>
        <w:t xml:space="preserve">This current proposal embeds all these data protection rules, as set out in full detail in the impact assessment accompanying this proposed Regulation. The proposal is based on the principles of </w:t>
      </w:r>
      <w:r>
        <w:rPr>
          <w:rFonts w:eastAsia="Arial Unicode MS"/>
          <w:iCs/>
          <w:noProof/>
        </w:rPr>
        <w:t>data protection by design and by default</w:t>
      </w:r>
      <w:r>
        <w:rPr>
          <w:rFonts w:eastAsia="Arial Unicode MS"/>
          <w:noProof/>
        </w:rPr>
        <w:t>. It includes all appropriate provisions limiting data processing to what is necessary for the specific purpose and granting data access only to those entities that ‘need to know’.</w:t>
      </w:r>
      <w:r>
        <w:rPr>
          <w:noProof/>
        </w:rPr>
        <w:t xml:space="preserve"> Data retention periods (where relevant) are </w:t>
      </w:r>
      <w:r>
        <w:rPr>
          <w:rFonts w:eastAsia="Arial Unicode MS"/>
          <w:noProof/>
        </w:rPr>
        <w:t>appropriate and limited.</w:t>
      </w:r>
      <w:r>
        <w:rPr>
          <w:noProof/>
          <w:sz w:val="23"/>
          <w:szCs w:val="23"/>
        </w:rPr>
        <w:t xml:space="preserve"> </w:t>
      </w:r>
      <w:r>
        <w:rPr>
          <w:rFonts w:eastAsia="Arial Unicode MS"/>
          <w:noProof/>
        </w:rPr>
        <w:t>Access to data is reserved exclusively for duly authorised staff of the Member State authorities or EU bodies that are competent for the specific purposes of each information system and limited to the extent that the data are required for the performance of tasks in accordance with these purposes.</w:t>
      </w:r>
    </w:p>
    <w:p>
      <w:pPr>
        <w:pStyle w:val="ManualHeading1"/>
        <w:rPr>
          <w:noProof/>
        </w:rPr>
      </w:pPr>
      <w:r>
        <w:rPr>
          <w:noProof/>
        </w:rPr>
        <w:t>4.</w:t>
      </w:r>
      <w:r>
        <w:rPr>
          <w:noProof/>
        </w:rPr>
        <w:tab/>
        <w:t>BUDGETARY IMPLICATIONS</w:t>
      </w:r>
    </w:p>
    <w:p>
      <w:pPr>
        <w:rPr>
          <w:noProof/>
        </w:rPr>
      </w:pPr>
      <w:r>
        <w:rPr>
          <w:noProof/>
        </w:rPr>
        <w:t xml:space="preserve">The budgetary implications are included in the attached financial statement. It covers the remaining period of the current </w:t>
      </w:r>
      <w:r>
        <w:rPr>
          <w:bCs/>
          <w:noProof/>
        </w:rPr>
        <w:t>multiannual financial framework</w:t>
      </w:r>
      <w:r>
        <w:rPr>
          <w:b/>
          <w:bCs/>
          <w:noProof/>
        </w:rPr>
        <w:t> </w:t>
      </w:r>
      <w:r>
        <w:rPr>
          <w:noProof/>
        </w:rPr>
        <w:t xml:space="preserve">(until 2020) and the seven years of the following period (2021-2027). The proposed budget for the years 2021 and beyond is included for illustrative purposes and does not prejudge the next multiannual financial framework. </w:t>
      </w:r>
    </w:p>
    <w:p>
      <w:pPr>
        <w:pBdr>
          <w:top w:val="nil"/>
          <w:left w:val="nil"/>
          <w:bottom w:val="nil"/>
          <w:right w:val="nil"/>
          <w:between w:val="nil"/>
          <w:bar w:val="nil"/>
        </w:pBdr>
        <w:spacing w:before="0" w:after="240"/>
        <w:rPr>
          <w:noProof/>
        </w:rPr>
      </w:pPr>
      <w:r>
        <w:rPr>
          <w:noProof/>
        </w:rPr>
        <w:t>The implementation of this proposal will require budgetary allocations for:</w:t>
      </w:r>
    </w:p>
    <w:p>
      <w:pPr>
        <w:pStyle w:val="Point0number"/>
        <w:widowControl w:val="0"/>
        <w:numPr>
          <w:ilvl w:val="0"/>
          <w:numId w:val="100"/>
        </w:numPr>
        <w:adjustRightInd w:val="0"/>
        <w:textAlignment w:val="baseline"/>
        <w:rPr>
          <w:noProof/>
        </w:rPr>
      </w:pPr>
      <w:r>
        <w:rPr>
          <w:noProof/>
        </w:rPr>
        <w:t xml:space="preserve">The </w:t>
      </w:r>
      <w:r>
        <w:rPr>
          <w:b/>
          <w:noProof/>
        </w:rPr>
        <w:t>development</w:t>
      </w:r>
      <w:r>
        <w:rPr>
          <w:noProof/>
        </w:rPr>
        <w:t xml:space="preserve"> and integration by eu-LISA of the four interoperability components, and the central repository for reporting and statistics, and their subsequent </w:t>
      </w:r>
      <w:r>
        <w:rPr>
          <w:b/>
          <w:noProof/>
        </w:rPr>
        <w:t>maintenance and operations</w:t>
      </w:r>
      <w:r>
        <w:rPr>
          <w:noProof/>
        </w:rPr>
        <w:t>.</w:t>
      </w:r>
    </w:p>
    <w:p>
      <w:pPr>
        <w:pStyle w:val="Point0number"/>
        <w:widowControl w:val="0"/>
        <w:adjustRightInd w:val="0"/>
        <w:textAlignment w:val="baseline"/>
        <w:rPr>
          <w:noProof/>
        </w:rPr>
      </w:pPr>
      <w:r>
        <w:rPr>
          <w:noProof/>
        </w:rPr>
        <w:t xml:space="preserve">The </w:t>
      </w:r>
      <w:r>
        <w:rPr>
          <w:b/>
          <w:noProof/>
        </w:rPr>
        <w:t>data migration</w:t>
      </w:r>
      <w:r>
        <w:rPr>
          <w:noProof/>
        </w:rPr>
        <w:t xml:space="preserve"> to the shared biometric matching service (shared BMS) and the common identity repository (CIR). In the case of the shared BMS, the biometric templates of the corresponding data from the three systems that currently use biometrics (SIS, VIS and Eurodac) need to be recreated on the shared BMS. In the case of CIR, the personal data elements from VIS need to be migrated to the CIR, and the possible links found between identities in SIS, VIS and Eurodac need to be validated. This last process, in particular, is resource intensive. </w:t>
      </w:r>
    </w:p>
    <w:p>
      <w:pPr>
        <w:pStyle w:val="Point0number"/>
        <w:widowControl w:val="0"/>
        <w:adjustRightInd w:val="0"/>
        <w:textAlignment w:val="baseline"/>
        <w:rPr>
          <w:noProof/>
        </w:rPr>
      </w:pPr>
      <w:r>
        <w:rPr>
          <w:noProof/>
        </w:rPr>
        <w:t xml:space="preserve">The update by eu-LISA of the </w:t>
      </w:r>
      <w:r>
        <w:rPr>
          <w:b/>
          <w:noProof/>
        </w:rPr>
        <w:t xml:space="preserve">national uniform interface </w:t>
      </w:r>
      <w:r>
        <w:rPr>
          <w:noProof/>
        </w:rPr>
        <w:t xml:space="preserve">(NUI) already included in the EES Regulation to become a generic component that allows the exchange of </w:t>
      </w:r>
      <w:r>
        <w:rPr>
          <w:noProof/>
        </w:rPr>
        <w:lastRenderedPageBreak/>
        <w:t>messages between Member States and the central system(s).</w:t>
      </w:r>
    </w:p>
    <w:p>
      <w:pPr>
        <w:pStyle w:val="Point0number"/>
        <w:widowControl w:val="0"/>
        <w:adjustRightInd w:val="0"/>
        <w:textAlignment w:val="baseline"/>
        <w:rPr>
          <w:noProof/>
        </w:rPr>
      </w:pPr>
      <w:r>
        <w:rPr>
          <w:noProof/>
        </w:rPr>
        <w:t xml:space="preserve">The </w:t>
      </w:r>
      <w:r>
        <w:rPr>
          <w:b/>
          <w:noProof/>
        </w:rPr>
        <w:t>integration of Member State national systems</w:t>
      </w:r>
      <w:r>
        <w:rPr>
          <w:noProof/>
        </w:rPr>
        <w:t xml:space="preserve"> with the NUI that will convey the messages exchanged with CIR/ multiple-identity detector through the European search portal.</w:t>
      </w:r>
    </w:p>
    <w:p>
      <w:pPr>
        <w:pStyle w:val="Point0number"/>
        <w:widowControl w:val="0"/>
        <w:adjustRightInd w:val="0"/>
        <w:textAlignment w:val="baseline"/>
        <w:rPr>
          <w:noProof/>
        </w:rPr>
      </w:pPr>
      <w:r>
        <w:rPr>
          <w:noProof/>
        </w:rPr>
        <w:t xml:space="preserve">The </w:t>
      </w:r>
      <w:r>
        <w:rPr>
          <w:b/>
          <w:noProof/>
        </w:rPr>
        <w:t>training</w:t>
      </w:r>
      <w:r>
        <w:rPr>
          <w:noProof/>
        </w:rPr>
        <w:t xml:space="preserve"> on the use of the interoperability components by end-users, including through the </w:t>
      </w:r>
      <w:r>
        <w:rPr>
          <w:noProof/>
          <w:szCs w:val="24"/>
        </w:rPr>
        <w:t>European Union Agency for Law Enforcement Training (CEPOL)</w:t>
      </w:r>
      <w:r>
        <w:rPr>
          <w:noProof/>
        </w:rPr>
        <w:t xml:space="preserve">.  </w:t>
      </w:r>
    </w:p>
    <w:p>
      <w:pPr>
        <w:pBdr>
          <w:top w:val="nil"/>
          <w:left w:val="nil"/>
          <w:bottom w:val="nil"/>
          <w:right w:val="nil"/>
          <w:between w:val="nil"/>
          <w:bar w:val="nil"/>
        </w:pBdr>
        <w:spacing w:before="0" w:after="240"/>
        <w:rPr>
          <w:rFonts w:eastAsia="Arial Unicode MS"/>
          <w:noProof/>
        </w:rPr>
      </w:pPr>
      <w:r>
        <w:rPr>
          <w:rFonts w:eastAsia="Arial Unicode MS"/>
          <w:noProof/>
        </w:rPr>
        <w:t>The interoperability components are built and maintained as a programme. While the European search portal (ESP) and the multiple-identity detector are entirely new components, along with the central repository for reporting and statistics (CRRS), the shared BMS and the CIR are shared components that combine existing data held (or to be held) in existing or new systems with their existing budgetary estimates.</w:t>
      </w:r>
    </w:p>
    <w:p>
      <w:pPr>
        <w:pBdr>
          <w:top w:val="nil"/>
          <w:left w:val="nil"/>
          <w:bottom w:val="nil"/>
          <w:right w:val="nil"/>
          <w:between w:val="nil"/>
          <w:bar w:val="nil"/>
        </w:pBdr>
        <w:spacing w:before="0" w:after="240"/>
        <w:rPr>
          <w:rFonts w:eastAsia="Arial Unicode MS"/>
          <w:noProof/>
        </w:rPr>
      </w:pPr>
      <w:r>
        <w:rPr>
          <w:rFonts w:eastAsia="Arial Unicode MS"/>
          <w:noProof/>
        </w:rPr>
        <w:t xml:space="preserve">The </w:t>
      </w:r>
      <w:r>
        <w:rPr>
          <w:rFonts w:eastAsia="Arial Unicode MS"/>
          <w:b/>
          <w:noProof/>
        </w:rPr>
        <w:t>ESP</w:t>
      </w:r>
      <w:r>
        <w:rPr>
          <w:rFonts w:eastAsia="Arial Unicode MS"/>
          <w:noProof/>
        </w:rPr>
        <w:t xml:space="preserve"> will implement existing, known interfaces towards SIS, VIS and Eurodac and will in due course be extended towards new systems. </w:t>
      </w:r>
    </w:p>
    <w:p>
      <w:pPr>
        <w:pBdr>
          <w:top w:val="nil"/>
          <w:left w:val="nil"/>
          <w:bottom w:val="nil"/>
          <w:right w:val="nil"/>
          <w:between w:val="nil"/>
          <w:bar w:val="nil"/>
        </w:pBdr>
        <w:spacing w:before="0" w:after="240"/>
        <w:rPr>
          <w:rFonts w:eastAsia="Arial Unicode MS"/>
          <w:noProof/>
        </w:rPr>
      </w:pPr>
      <w:r>
        <w:rPr>
          <w:rFonts w:eastAsia="Arial Unicode MS"/>
          <w:noProof/>
        </w:rPr>
        <w:t xml:space="preserve">The ESP will be used by Member States and agencies using an interface based on Universal Message Format (UMF). This new interface will require developments, adaptations, integrations and testing by the Member States, eu-LISA, Europol and the European Border and Coast Guard Agency. The ESP would use the concepts of the national uniform interface (NUI) introduced for EES, which would lower the integration efforts. </w:t>
      </w:r>
    </w:p>
    <w:p>
      <w:pPr>
        <w:pBdr>
          <w:top w:val="nil"/>
          <w:left w:val="nil"/>
          <w:bottom w:val="nil"/>
          <w:right w:val="nil"/>
          <w:between w:val="nil"/>
          <w:bar w:val="nil"/>
        </w:pBdr>
        <w:spacing w:before="0" w:after="240"/>
        <w:rPr>
          <w:rFonts w:eastAsia="Arial Unicode MS"/>
          <w:noProof/>
        </w:rPr>
      </w:pPr>
      <w:r>
        <w:rPr>
          <w:rFonts w:eastAsia="Arial Unicode MS"/>
          <w:noProof/>
        </w:rPr>
        <w:t>The ESP will generate additional costs for Europol in order to make the QUEST interface available for use with basic protection level (BPL) data.</w:t>
      </w:r>
    </w:p>
    <w:p>
      <w:pPr>
        <w:pBdr>
          <w:top w:val="nil"/>
          <w:left w:val="nil"/>
          <w:bottom w:val="nil"/>
          <w:right w:val="nil"/>
          <w:between w:val="nil"/>
          <w:bar w:val="nil"/>
        </w:pBdr>
        <w:spacing w:before="0" w:after="240"/>
        <w:rPr>
          <w:rFonts w:eastAsia="Arial Unicode MS"/>
          <w:noProof/>
        </w:rPr>
      </w:pPr>
      <w:r>
        <w:rPr>
          <w:rFonts w:eastAsia="Arial Unicode MS"/>
          <w:noProof/>
        </w:rPr>
        <w:t xml:space="preserve">The basis of the </w:t>
      </w:r>
      <w:r>
        <w:rPr>
          <w:rFonts w:eastAsia="Arial Unicode MS"/>
          <w:b/>
          <w:noProof/>
        </w:rPr>
        <w:t>shared BMS</w:t>
      </w:r>
      <w:r>
        <w:rPr>
          <w:rFonts w:eastAsia="Arial Unicode MS"/>
          <w:noProof/>
        </w:rPr>
        <w:t xml:space="preserve"> will </w:t>
      </w:r>
      <w:r>
        <w:rPr>
          <w:rFonts w:eastAsia="Arial Unicode MS"/>
          <w:i/>
          <w:noProof/>
        </w:rPr>
        <w:t>de facto</w:t>
      </w:r>
      <w:r>
        <w:rPr>
          <w:rFonts w:eastAsia="Arial Unicode MS"/>
          <w:noProof/>
        </w:rPr>
        <w:t xml:space="preserve"> be established with the creation of the new EES as this constitutes by far the greatest volume of new biometric data. The required budget was reserved under the EES legal instrument. Adding further biometric data from VIS, SIS and Eurodac to the shared BMS constitutes an additional cost mainly linked to the migration of existing data. This is estimated at EUR 10 m for all three systems. </w:t>
      </w:r>
      <w:r>
        <w:rPr>
          <w:noProof/>
        </w:rPr>
        <w:t>Adding new biometric data from the proposed ECRIS-TCN system constitutes a limited additional cost that can be covered from the funds reserved under the proposed ECRIS-TCN legal instrument to establish an ECRIS-TCN automated fingerprint identification system.</w:t>
      </w:r>
    </w:p>
    <w:p>
      <w:pPr>
        <w:pBdr>
          <w:top w:val="nil"/>
          <w:left w:val="nil"/>
          <w:bottom w:val="nil"/>
          <w:right w:val="nil"/>
          <w:between w:val="nil"/>
          <w:bar w:val="nil"/>
        </w:pBdr>
        <w:spacing w:before="0" w:after="240"/>
        <w:rPr>
          <w:rFonts w:eastAsia="Arial Unicode MS"/>
          <w:noProof/>
        </w:rPr>
      </w:pPr>
      <w:r>
        <w:rPr>
          <w:rFonts w:eastAsia="Arial Unicode MS"/>
          <w:b/>
          <w:noProof/>
        </w:rPr>
        <w:t xml:space="preserve">The common identity repository </w:t>
      </w:r>
      <w:r>
        <w:rPr>
          <w:rFonts w:eastAsia="Arial Unicode MS"/>
          <w:noProof/>
        </w:rPr>
        <w:t>will be established with the creation of the future EES and further extended when developing the proposed ETIAS. The storage and search engines for these data were included in the budget reserved under the future EES and the proposed ETIAS legal instruments. Adding new biographical data from both Eurodac and the proposed ECRIS-TCN system constitutes a minor additional cost that was already reserved under the Eurodac and the proposed ECRIS-TCN legal instruments.</w:t>
      </w:r>
    </w:p>
    <w:p>
      <w:pPr>
        <w:pBdr>
          <w:top w:val="nil"/>
          <w:left w:val="nil"/>
          <w:bottom w:val="nil"/>
          <w:right w:val="nil"/>
          <w:between w:val="nil"/>
          <w:bar w:val="nil"/>
        </w:pBdr>
        <w:spacing w:before="0" w:after="240"/>
        <w:rPr>
          <w:rFonts w:eastAsia="Arial Unicode MS"/>
          <w:noProof/>
        </w:rPr>
      </w:pPr>
      <w:r>
        <w:rPr>
          <w:rFonts w:eastAsia="Arial Unicode MS"/>
          <w:noProof/>
        </w:rPr>
        <w:t>The total budget required over nine years (2019-2027) amounts to EUR 424.7 million, covering the following items:</w:t>
      </w:r>
    </w:p>
    <w:p>
      <w:pPr>
        <w:pStyle w:val="Point0number"/>
        <w:widowControl w:val="0"/>
        <w:numPr>
          <w:ilvl w:val="0"/>
          <w:numId w:val="9"/>
        </w:numPr>
        <w:adjustRightInd w:val="0"/>
        <w:textAlignment w:val="baseline"/>
        <w:rPr>
          <w:noProof/>
        </w:rPr>
      </w:pPr>
      <w:r>
        <w:rPr>
          <w:noProof/>
        </w:rPr>
        <w:t>A budget of EUR 225 million for eu-LISA which covers the total cost for the development of the programme delivering the five interoperability components (EUR 68.3 million), the maintenance cost from the moment components are delivered up until 2027 (EUR 56.1 million), a specific budget of EUR 25 million for the migration of data from existing systems to the shared BMS and the additional costs for the NUI update, network, training and meetings. A specific budget of EUR 18.7 million covers the cost of upgrading and operating ECRIS-TCN in high-</w:t>
      </w:r>
      <w:r>
        <w:rPr>
          <w:noProof/>
        </w:rPr>
        <w:lastRenderedPageBreak/>
        <w:t>availability mode from 2022.</w:t>
      </w:r>
    </w:p>
    <w:p>
      <w:pPr>
        <w:pStyle w:val="Point0number"/>
        <w:widowControl w:val="0"/>
        <w:numPr>
          <w:ilvl w:val="0"/>
          <w:numId w:val="9"/>
        </w:numPr>
        <w:adjustRightInd w:val="0"/>
        <w:textAlignment w:val="baseline"/>
        <w:rPr>
          <w:noProof/>
        </w:rPr>
      </w:pPr>
      <w:r>
        <w:rPr>
          <w:noProof/>
        </w:rPr>
        <w:t>A budget of EUR 136.3 million for Member States to cover the changes to their national systems in order to use the interoperability components, the NUI delivered by eu-LISA and a budget for the training of the substantial end-user community.</w:t>
      </w:r>
    </w:p>
    <w:p>
      <w:pPr>
        <w:pStyle w:val="Point0number"/>
        <w:widowControl w:val="0"/>
        <w:numPr>
          <w:ilvl w:val="0"/>
          <w:numId w:val="9"/>
        </w:numPr>
        <w:adjustRightInd w:val="0"/>
        <w:textAlignment w:val="baseline"/>
        <w:rPr>
          <w:noProof/>
        </w:rPr>
      </w:pPr>
      <w:r>
        <w:rPr>
          <w:noProof/>
        </w:rPr>
        <w:t>A budget of EUR 48.9 million for Europol to cover the upgrade of Europol's IT systems to the volume of messages to be handled and the increased performance levels</w:t>
      </w:r>
      <w:r>
        <w:rPr>
          <w:rStyle w:val="FootnoteReference"/>
          <w:noProof/>
        </w:rPr>
        <w:footnoteReference w:id="42"/>
      </w:r>
      <w:r>
        <w:rPr>
          <w:noProof/>
        </w:rPr>
        <w:t xml:space="preserve">. The interoperability components will be used by ETIAS in order to consult the Europol data. </w:t>
      </w:r>
    </w:p>
    <w:p>
      <w:pPr>
        <w:pStyle w:val="Point0number"/>
        <w:widowControl w:val="0"/>
        <w:numPr>
          <w:ilvl w:val="0"/>
          <w:numId w:val="9"/>
        </w:numPr>
        <w:adjustRightInd w:val="0"/>
        <w:textAlignment w:val="baseline"/>
        <w:rPr>
          <w:noProof/>
        </w:rPr>
      </w:pPr>
      <w:r>
        <w:rPr>
          <w:noProof/>
        </w:rPr>
        <w:t xml:space="preserve">A budget of EUR 4.8 million for the European Border and Coast Guard Agency for hosting a team of specialists who during one year will validate the links between identities at the moment the multiple-identity detector goes live. </w:t>
      </w:r>
    </w:p>
    <w:p>
      <w:pPr>
        <w:pStyle w:val="Point0number"/>
        <w:widowControl w:val="0"/>
        <w:adjustRightInd w:val="0"/>
        <w:textAlignment w:val="baseline"/>
        <w:rPr>
          <w:noProof/>
        </w:rPr>
      </w:pPr>
      <w:r>
        <w:rPr>
          <w:noProof/>
        </w:rPr>
        <w:t>A budget of EUR 2.0 million for European Union Agency for Law Enforcement Training (CEPOL) to cover the preparation and delivery of training to operational staff.</w:t>
      </w:r>
    </w:p>
    <w:p>
      <w:pPr>
        <w:pStyle w:val="Point0number"/>
        <w:widowControl w:val="0"/>
        <w:adjustRightInd w:val="0"/>
        <w:textAlignment w:val="baseline"/>
        <w:rPr>
          <w:noProof/>
        </w:rPr>
      </w:pPr>
      <w:r>
        <w:rPr>
          <w:noProof/>
        </w:rPr>
        <w:t>A provision of EUR 7.7 million for DG HOME in order to cover a limited increase of staff and related costs during the development period of the different components, as the Commission will also have to fulfil additional tasks during that period and takes the responsibility for the committee dealing with Universal Message Format.</w:t>
      </w:r>
    </w:p>
    <w:p>
      <w:pPr>
        <w:rPr>
          <w:noProof/>
        </w:rPr>
      </w:pPr>
      <w:r>
        <w:rPr>
          <w:noProof/>
        </w:rPr>
        <w:t>The Internal Security Fund (ISF) Borders Regulation is the financial instrument where the budget for the implementation of the interoperability initiative has been included. It provides in Article 5(b) that EUR 791 million is to be implemented through a programme for developing IT systems based on existing and/or new IT systems, supporting the management of migration flows across the external borders subject to the adoption of the relevant Union legislative acts and under the conditions laid down in Article 15(5). Of this EUR 791 million, EUR 480.2 million is reserved for the development of the EES, EUR 210 million for ETIAS and EUR 67.9 million for the revision of SIS. The remainder (EUR 32.9 million) is to be reallocated using ISF-B mechanisms. The current proposal requires EUR 32.1 million for the current multiannual financial framework period (2019/20) which therefore fits with the remaining budget.</w:t>
      </w:r>
    </w:p>
    <w:p>
      <w:pPr>
        <w:pBdr>
          <w:top w:val="nil"/>
          <w:left w:val="nil"/>
          <w:bottom w:val="nil"/>
          <w:right w:val="nil"/>
          <w:between w:val="nil"/>
          <w:bar w:val="nil"/>
        </w:pBdr>
        <w:spacing w:before="0" w:after="240"/>
        <w:rPr>
          <w:rFonts w:eastAsia="Arial Unicode MS"/>
          <w:noProof/>
        </w:rPr>
      </w:pPr>
    </w:p>
    <w:p>
      <w:pPr>
        <w:pStyle w:val="ManualHeading1"/>
        <w:rPr>
          <w:noProof/>
        </w:rPr>
      </w:pPr>
      <w:r>
        <w:rPr>
          <w:noProof/>
        </w:rPr>
        <w:t>5.</w:t>
      </w:r>
      <w:r>
        <w:rPr>
          <w:noProof/>
        </w:rPr>
        <w:tab/>
        <w:t>ADDITIONAL INFORMATION</w:t>
      </w:r>
    </w:p>
    <w:p>
      <w:pPr>
        <w:pStyle w:val="Text1"/>
        <w:rPr>
          <w:noProof/>
        </w:rPr>
      </w:pPr>
    </w:p>
    <w:p>
      <w:pPr>
        <w:pStyle w:val="ManualHeading2"/>
        <w:rPr>
          <w:rFonts w:eastAsia="Arial Unicode MS"/>
          <w:noProof/>
          <w:u w:color="000000"/>
          <w:bdr w:val="nil"/>
        </w:rPr>
      </w:pPr>
      <w:r>
        <w:rPr>
          <w:rFonts w:eastAsia="Arial Unicode MS"/>
          <w:noProof/>
          <w:u w:color="000000"/>
          <w:bdr w:val="nil"/>
        </w:rPr>
        <w:t>•</w:t>
      </w:r>
      <w:r>
        <w:rPr>
          <w:rFonts w:eastAsia="Arial Unicode MS"/>
          <w:noProof/>
          <w:u w:color="000000"/>
          <w:bdr w:val="nil"/>
        </w:rPr>
        <w:tab/>
        <w:t>Implementation plans and monitoring, evaluation and reporting arrangements</w:t>
      </w:r>
    </w:p>
    <w:p>
      <w:pPr>
        <w:pBdr>
          <w:top w:val="nil"/>
          <w:left w:val="nil"/>
          <w:bottom w:val="nil"/>
          <w:right w:val="nil"/>
          <w:between w:val="nil"/>
          <w:bar w:val="nil"/>
        </w:pBdr>
        <w:spacing w:before="0" w:after="240"/>
        <w:rPr>
          <w:rFonts w:eastAsia="Arial Unicode MS"/>
          <w:noProof/>
        </w:rPr>
      </w:pPr>
      <w:r>
        <w:rPr>
          <w:rFonts w:eastAsia="Arial Unicode MS"/>
          <w:noProof/>
        </w:rPr>
        <w:t>eu-LISA is responsible for the operational management of large-scale IT systems in the area of freedom, security and justice. As such, it is already entrusted with the operation and technical and operational improvements of existing systems, and the development of the future systems already envisaged. Under this proposed Regulation, it will</w:t>
      </w:r>
      <w:r>
        <w:rPr>
          <w:rFonts w:asciiTheme="minorHAnsi" w:hAnsiTheme="minorHAnsi" w:cstheme="minorBidi"/>
          <w:noProof/>
          <w:sz w:val="22"/>
        </w:rPr>
        <w:t xml:space="preserve"> </w:t>
      </w:r>
      <w:r>
        <w:rPr>
          <w:rFonts w:eastAsia="Arial Unicode MS"/>
          <w:noProof/>
        </w:rPr>
        <w:t xml:space="preserve">define the design of the physical architecture of the interoperability components, develop and implement them, and ultimately host them. The respective components will be implemented incrementally, in conjunction with the development of the underlying systems.  </w:t>
      </w:r>
    </w:p>
    <w:p>
      <w:pPr>
        <w:pBdr>
          <w:top w:val="nil"/>
          <w:left w:val="nil"/>
          <w:bottom w:val="nil"/>
          <w:right w:val="nil"/>
          <w:between w:val="nil"/>
          <w:bar w:val="nil"/>
        </w:pBdr>
        <w:spacing w:before="0" w:after="240"/>
        <w:rPr>
          <w:rFonts w:eastAsia="Arial Unicode MS"/>
          <w:noProof/>
        </w:rPr>
      </w:pPr>
      <w:r>
        <w:rPr>
          <w:rFonts w:eastAsia="Arial Unicode MS"/>
          <w:noProof/>
        </w:rPr>
        <w:lastRenderedPageBreak/>
        <w:t>The Commission will ensure that systems are in place to monitor the development and functioning of the four components (European search portal, shared biometric matching service, common identity repository, multiple-identity detector) and the central repository for reporting and statistics, and evaluate them against the main policy objectives. Four years after the functionalities are put in place and operating, and every four years thereafter, eu-LISA should submit to the European Parliament, the Council and the Commission a report on the technical functioning of the interoperability components. In addition, five years after the functionalities are put in place and operating, and every four years thereafter, the Commission should produce an overall evaluation of the components, including on the direct or indirect impact of the components and of its practical implementation on fundamental rights. It should examine results achieved against objectives and assess the continuing validity of the underlying rationale and any implications for future options. The Commission should submit the evaluation reports to the European Parliament and the Council.</w:t>
      </w:r>
    </w:p>
    <w:p>
      <w:pPr>
        <w:pStyle w:val="ManualHeading2"/>
        <w:rPr>
          <w:rFonts w:eastAsia="Arial Unicode MS"/>
          <w:noProof/>
          <w:u w:color="000000"/>
          <w:bdr w:val="nil"/>
        </w:rPr>
      </w:pPr>
      <w:r>
        <w:rPr>
          <w:rFonts w:eastAsia="Arial Unicode MS"/>
          <w:noProof/>
          <w:u w:color="000000"/>
          <w:bdr w:val="nil"/>
        </w:rPr>
        <w:t>•</w:t>
      </w:r>
      <w:r>
        <w:rPr>
          <w:rFonts w:eastAsia="Arial Unicode MS"/>
          <w:noProof/>
          <w:u w:color="000000"/>
          <w:bdr w:val="nil"/>
        </w:rPr>
        <w:tab/>
        <w:t>Detailed explanation of the specific provisions of the proposal</w:t>
      </w:r>
    </w:p>
    <w:p>
      <w:pPr>
        <w:rPr>
          <w:noProof/>
        </w:rPr>
      </w:pPr>
      <w:r>
        <w:rPr>
          <w:noProof/>
        </w:rPr>
        <w:t xml:space="preserve">Chapter I sets out the general provisions for this Regulation. It explains: the principles underlying the Regulation; the components established therein; the objectives that interoperability seeks to address; the scope of this Regulation; the definitions of the terms used in this Regulation; and the principle of non-discrimination regarding the processing of data under this Regulation. </w:t>
      </w:r>
    </w:p>
    <w:p>
      <w:pPr>
        <w:rPr>
          <w:noProof/>
        </w:rPr>
      </w:pPr>
      <w:r>
        <w:rPr>
          <w:noProof/>
        </w:rPr>
        <w:t>Chapter II sets out the provisions for the European search portal (ESP). This chapter provides for the establishment of the ESP and its technical architecture, to be developed by eu-LISA. It specifies the aim of the ESP and identifies those who may use the ESP and how they are to use it in accordance with existing access rights for each of the central systems. There is a provision for eu-LISA to create user profiles for each category of user. This chapter sets out how the ESP will query central systems and provides for the content and format of replies to users.  Chapter II also provides that eu-LISA will keep logs of all processing operations, and provides for the fall-back procedure in case the ESP would be unable to access one or more of the central systems.</w:t>
      </w:r>
    </w:p>
    <w:p>
      <w:pPr>
        <w:rPr>
          <w:noProof/>
        </w:rPr>
      </w:pPr>
      <w:r>
        <w:rPr>
          <w:noProof/>
        </w:rPr>
        <w:t>Chapter III sets out the provisions for the shared biometric matching service (shared BMS). This chapter provides for the establishment of the shared BMS and its technical architecture, to be developed by eu-LISA. It specifies the aim of the shared BMS and sets out what data it stores. It explains the relationship between the shared BMS and the other components. Chapter III also provides that the shared BMS will not continue to store data once the data is no longer contained in the respective central system and provides that eu-LISA will keep logs of all processing operations.</w:t>
      </w:r>
    </w:p>
    <w:p>
      <w:pPr>
        <w:rPr>
          <w:noProof/>
        </w:rPr>
      </w:pPr>
      <w:r>
        <w:rPr>
          <w:noProof/>
        </w:rPr>
        <w:t>Chapter IV sets out the provisions for the common identity repository (CIR). This chapter provides for the establishment of the CIR and its technical architecture, to be developed by eu-LISA. It sets out the aim of the CIR and clarifies which data will be stored, and how, including provisions to ensure the quality of the data stored. This chapter provides that the CIR will create individual files based on data held in the central systems, and that individual files are updated in line with changes in the individual central systems. Chapter IV also specifics how the CIR will operate in relation to the multiple-identity detector. This chapter identifies those who may have access to the CIR and how they may access the data in accordance with access rights, and more specific provisions depending on whether access is for identification purposes or, as a first step of the two-step approach, for accessing the EES, the VIS, the ETIAS and Eurodac via the CIR for law enforcement purposes. Chapter IV also provides that eu-LISA will keep logs of all processing operations concerning the CIR.</w:t>
      </w:r>
    </w:p>
    <w:p>
      <w:pPr>
        <w:rPr>
          <w:noProof/>
        </w:rPr>
      </w:pPr>
      <w:r>
        <w:rPr>
          <w:noProof/>
        </w:rPr>
        <w:lastRenderedPageBreak/>
        <w:t>Chapter V sets out the provisions for the multiple-identity detector (MID). This chapter provides for the establishment of the MID and its technical architecture, to be developed by eu-LISA. It explains the aim of the MID and regulates the use of the MID in accordance with access rights to each of the central systems. Chapter V sets out when and how the MID will launch searches to detect multiple identities, and how results are delivered and to be followed up, including when necessary through manual verification. Chapter V sets out a classification of the types of link that can result from the search depending on whether the result shows a single identity, multiple identities or shared identity data. This chapter provides that the MID will store linked data held in the central systems while data remains in two or more individual central systems. Chapter V also provides that eu-LISA will keep logs of all processing operations concerning the MID.</w:t>
      </w:r>
    </w:p>
    <w:p>
      <w:pPr>
        <w:rPr>
          <w:noProof/>
        </w:rPr>
      </w:pPr>
      <w:r>
        <w:rPr>
          <w:noProof/>
        </w:rPr>
        <w:t>Chapter VI makes provision for measures to support interoperability. It provides for improving data quality, establishing the Universal Message Format as the common standard for information exchange supporting interoperability, and creating a central repository for reporting and statistics.</w:t>
      </w:r>
    </w:p>
    <w:p>
      <w:pPr>
        <w:rPr>
          <w:noProof/>
        </w:rPr>
      </w:pPr>
      <w:r>
        <w:rPr>
          <w:noProof/>
        </w:rPr>
        <w:t>Chapter VII relates to data protection. This chapter makes provisions ensuring that data processed under this Regulation is processed lawfully and appropriately, in line with the provisions of Regulation No 45/2001. It explains who the data processor will be for each of the interoperability measures proposed in this Regulation, sets out measures required from eu-LISA and Member State authorities to ensure the security of data processing, the confidentiality of data, the appropriate handling of security incidents and the appropriate monitoring of compliance with the measures in this Regulation. The chapter also contains provisions regarding the rights of data subjects, including the right to be informed that data regarding them has been stored and processed under this Regulation, and the right to access, correct and erase personal data that has been stored and processed under this Regulation. This chapter further sets out the principle that data processed under this Regulation must not be transferred or made available to any third country, international organisation or private party, with the exception of Interpol for some specific purposes, and data received from Europol via the European search portal where the rules of Regulation 2016/794 on subsequent data processing apply. Lastly, the chapter sets out the provisions relating to supervision and audit in relation to data protection.</w:t>
      </w:r>
    </w:p>
    <w:p>
      <w:pPr>
        <w:rPr>
          <w:noProof/>
        </w:rPr>
      </w:pPr>
      <w:r>
        <w:rPr>
          <w:noProof/>
        </w:rPr>
        <w:t>Chapter VIII sets out the responsibilities eu-LISA before and after the entry into operations of the measures in this proposal, and for Member States, Europol and the ETIAS central unit.</w:t>
      </w:r>
    </w:p>
    <w:p>
      <w:pPr>
        <w:rPr>
          <w:rFonts w:eastAsia="Calibri"/>
          <w:noProof/>
          <w:szCs w:val="24"/>
        </w:rPr>
      </w:pPr>
      <w:r>
        <w:rPr>
          <w:noProof/>
        </w:rPr>
        <w:t>Chapter IX concerns amendments to other Union instruments. This chapter introduces the changes to other legal instruments that are necessary for the full implementation of this interoperability proposal.</w:t>
      </w:r>
      <w:r>
        <w:rPr>
          <w:rFonts w:eastAsia="Calibri"/>
          <w:noProof/>
          <w:szCs w:val="24"/>
        </w:rPr>
        <w:t xml:space="preserve"> This proposal includes detailed provisions for the necessary changes to the legal instruments that are currently stable texts as adopted by the co-legislators: the Schengen Borders Code, the EES Regulation, the VIS </w:t>
      </w:r>
      <w:r>
        <w:rPr>
          <w:noProof/>
        </w:rPr>
        <w:t>Regulation (EC), the Council Decision 2004/512/EC (the VIS Decision) and the Council Decision 2008/633/JHA (the VIS/law enforcement access Decision).</w:t>
      </w:r>
    </w:p>
    <w:p>
      <w:pPr>
        <w:rPr>
          <w:noProof/>
        </w:rPr>
      </w:pPr>
      <w:r>
        <w:rPr>
          <w:noProof/>
        </w:rPr>
        <w:t xml:space="preserve">Chapter X sets out details relating to: statistical and reporting requirements relating to data processed under this Regulation; transitional measures that will be required; arrangements relating to costs arising from this Regulation; requirements relating to notifications; the process for the start of operations of measures proposed in this Regulation; governance arrangements including the formation of a committee and an advisory group, eu-LISA's responsibility in relation to training, and a practical handbook to support implementation and management of the interoperability components; procedures relating to monitoring and </w:t>
      </w:r>
      <w:r>
        <w:rPr>
          <w:noProof/>
        </w:rPr>
        <w:lastRenderedPageBreak/>
        <w:t>evaluation of the measures proposed in this Regulation; and provision for the entry into force of this Regulation.</w:t>
      </w:r>
    </w:p>
    <w:p>
      <w:pPr>
        <w:rPr>
          <w:noProof/>
        </w:rPr>
        <w:sectPr>
          <w:footerReference w:type="default" r:id="rId17"/>
          <w:footerReference w:type="first" r:id="rId18"/>
          <w:pgSz w:w="11907" w:h="16839"/>
          <w:pgMar w:top="1134" w:right="1417" w:bottom="1134" w:left="1417" w:header="709" w:footer="709" w:gutter="0"/>
          <w:cols w:space="708"/>
          <w:docGrid w:linePitch="360"/>
        </w:sectPr>
      </w:pPr>
    </w:p>
    <w:p>
      <w:pPr>
        <w:pStyle w:val="Rfrenceinterinstitutionnelle"/>
        <w:rPr>
          <w:noProof/>
        </w:rPr>
      </w:pPr>
      <w:r>
        <w:rPr>
          <w:noProof/>
        </w:rPr>
        <w:lastRenderedPageBreak/>
        <w:t>2017/0351 (COD)</w:t>
      </w:r>
    </w:p>
    <w:p>
      <w:pPr>
        <w:pStyle w:val="Statut"/>
        <w:rPr>
          <w:noProof/>
          <w:lang w:eastAsia="en-GB"/>
        </w:rPr>
      </w:pPr>
      <w:r>
        <w:rPr>
          <w:noProof/>
        </w:rPr>
        <w:t>Proposal for a</w:t>
      </w:r>
    </w:p>
    <w:p>
      <w:pPr>
        <w:pStyle w:val="Typedudocument"/>
        <w:rPr>
          <w:noProof/>
          <w:lang w:eastAsia="en-GB"/>
        </w:rPr>
      </w:pPr>
      <w:r>
        <w:rPr>
          <w:noProof/>
        </w:rPr>
        <w:t>REGULATION OF THE EUROPEAN PARLIAMENT AND OF THE COUNCIL</w:t>
      </w:r>
    </w:p>
    <w:p>
      <w:pPr>
        <w:pStyle w:val="Titreobjet"/>
        <w:rPr>
          <w:noProof/>
          <w:lang w:eastAsia="en-GB"/>
        </w:rPr>
      </w:pPr>
      <w:r>
        <w:rPr>
          <w:noProof/>
        </w:rPr>
        <w:t>on establishing a framework for interoperability between EU information systems (borders and visa) and amending Council Decision 2004/512/EC, Regulation (EC) No 767/2008, Council Decision 2008/633/JHA, Regulation (EU) 2016/399 and Regulation (EU) 2017/2226</w:t>
      </w:r>
    </w:p>
    <w:p>
      <w:pPr>
        <w:spacing w:before="0" w:after="0"/>
        <w:jc w:val="center"/>
        <w:rPr>
          <w:rFonts w:eastAsia="Times New Roman"/>
          <w:noProof/>
          <w:szCs w:val="24"/>
          <w:lang w:eastAsia="en-GB"/>
        </w:rPr>
      </w:pPr>
      <w:r>
        <w:rPr>
          <w:rFonts w:eastAsia="Times New Roman"/>
          <w:noProof/>
          <w:szCs w:val="24"/>
          <w:lang w:eastAsia="en-GB"/>
        </w:rPr>
        <w:t>{SWD(2017) 473} {SWD(2017) 474}</w:t>
      </w:r>
    </w:p>
    <w:p>
      <w:pPr>
        <w:pStyle w:val="Institutionquiagit"/>
        <w:rPr>
          <w:noProof/>
        </w:rPr>
      </w:pPr>
      <w:r>
        <w:rPr>
          <w:noProof/>
        </w:rPr>
        <w:t>THE EUROPEAN PARLIAMENT AND THE COUNCIL OF THE EUROPEAN UNION,</w:t>
      </w:r>
    </w:p>
    <w:p>
      <w:pPr>
        <w:rPr>
          <w:noProof/>
        </w:rPr>
      </w:pPr>
      <w:r>
        <w:rPr>
          <w:noProof/>
        </w:rPr>
        <w:t>Having regard to the Treaty on the Functioning of the European Union, and in particular Article 16(2), Article 74, Article 77(2)(a) (b) (d) and (e)  thereof,</w:t>
      </w:r>
    </w:p>
    <w:p>
      <w:pPr>
        <w:rPr>
          <w:noProof/>
        </w:rPr>
      </w:pPr>
      <w:r>
        <w:rPr>
          <w:noProof/>
        </w:rPr>
        <w:t>Having regard to the proposal from the European Commission,</w:t>
      </w:r>
    </w:p>
    <w:p>
      <w:pPr>
        <w:rPr>
          <w:noProof/>
        </w:rPr>
      </w:pPr>
      <w:r>
        <w:rPr>
          <w:noProof/>
        </w:rPr>
        <w:t>After transmission of the draft legislative act to the national parliaments,</w:t>
      </w:r>
    </w:p>
    <w:p>
      <w:pPr>
        <w:rPr>
          <w:noProof/>
        </w:rPr>
      </w:pPr>
      <w:r>
        <w:rPr>
          <w:noProof/>
        </w:rPr>
        <w:t>After consulting the European Data Protection Supervisor,</w:t>
      </w:r>
    </w:p>
    <w:p>
      <w:pPr>
        <w:rPr>
          <w:noProof/>
        </w:rPr>
      </w:pPr>
      <w:r>
        <w:rPr>
          <w:noProof/>
        </w:rPr>
        <w:t>Having regard to the opinion of the European Economic and Social Committee,</w:t>
      </w:r>
      <w:r>
        <w:rPr>
          <w:rStyle w:val="FootnoteReference"/>
          <w:noProof/>
        </w:rPr>
        <w:footnoteReference w:id="43"/>
      </w:r>
      <w:r>
        <w:rPr>
          <w:noProof/>
        </w:rPr>
        <w:t xml:space="preserve"> </w:t>
      </w:r>
    </w:p>
    <w:p>
      <w:pPr>
        <w:rPr>
          <w:noProof/>
        </w:rPr>
      </w:pPr>
      <w:r>
        <w:rPr>
          <w:noProof/>
        </w:rPr>
        <w:t>Having regard to the opinion of the Committee of the Regions,</w:t>
      </w:r>
      <w:r>
        <w:rPr>
          <w:rStyle w:val="FootnoteReference"/>
          <w:noProof/>
        </w:rPr>
        <w:footnoteReference w:id="44"/>
      </w:r>
      <w:r>
        <w:rPr>
          <w:noProof/>
        </w:rPr>
        <w:t xml:space="preserve"> </w:t>
      </w:r>
    </w:p>
    <w:p>
      <w:pPr>
        <w:rPr>
          <w:noProof/>
        </w:rPr>
      </w:pPr>
      <w:r>
        <w:rPr>
          <w:noProof/>
        </w:rPr>
        <w:t>Acting in accordance with the ordinary legislative procedure,</w:t>
      </w:r>
    </w:p>
    <w:p>
      <w:pPr>
        <w:rPr>
          <w:noProof/>
        </w:rPr>
      </w:pPr>
      <w:r>
        <w:rPr>
          <w:noProof/>
        </w:rPr>
        <w:t>Whereas:</w:t>
      </w:r>
    </w:p>
    <w:p>
      <w:pPr>
        <w:pStyle w:val="ManualConsidrant"/>
        <w:rPr>
          <w:noProof/>
        </w:rPr>
      </w:pPr>
      <w:r>
        <w:t>(1)</w:t>
      </w:r>
      <w:r>
        <w:tab/>
      </w:r>
      <w:r>
        <w:rPr>
          <w:noProof/>
        </w:rPr>
        <w:t xml:space="preserve">In its Communication of 6 April 2016 entitled </w:t>
      </w:r>
      <w:r>
        <w:rPr>
          <w:i/>
          <w:noProof/>
        </w:rPr>
        <w:t>Stronger and Smarter Information Systems for Borders and Security</w:t>
      </w:r>
      <w:r>
        <w:rPr>
          <w:rStyle w:val="FootnoteReference"/>
          <w:i/>
          <w:noProof/>
        </w:rPr>
        <w:footnoteReference w:id="45"/>
      </w:r>
      <w:r>
        <w:rPr>
          <w:noProof/>
        </w:rPr>
        <w:t>, the Commission underlined the need to improve the Union's data management architecture for border management and security. The Communication initiated a process towards achieving the interoperability between EU information systems for security, border and migration management, with the aim to address the structural shortcomings related to these systems that impede the work of national authorities and to ensure that border guards, customs authorities, police officers and judicial authorities have the necessary information at their disposal.</w:t>
      </w:r>
    </w:p>
    <w:p>
      <w:pPr>
        <w:pStyle w:val="ManualConsidrant"/>
        <w:rPr>
          <w:noProof/>
        </w:rPr>
      </w:pPr>
      <w:r>
        <w:t>(2)</w:t>
      </w:r>
      <w:r>
        <w:tab/>
      </w:r>
      <w:r>
        <w:rPr>
          <w:noProof/>
        </w:rPr>
        <w:t>In its Roadmap to enhance information exchange and information management including interoperability solutions in the Justice and Home Affairs area of 6 June 2016</w:t>
      </w:r>
      <w:r>
        <w:rPr>
          <w:rStyle w:val="FootnoteReference"/>
          <w:noProof/>
        </w:rPr>
        <w:footnoteReference w:id="46"/>
      </w:r>
      <w:r>
        <w:rPr>
          <w:noProof/>
        </w:rPr>
        <w:t>, the Council identified various legal, technical and operational challenges in the interoperability of EU information systems and called for the pursuit of solutions.</w:t>
      </w:r>
    </w:p>
    <w:p>
      <w:pPr>
        <w:pStyle w:val="ManualConsidrant"/>
        <w:rPr>
          <w:noProof/>
        </w:rPr>
      </w:pPr>
      <w:r>
        <w:t>(3)</w:t>
      </w:r>
      <w:r>
        <w:tab/>
      </w:r>
      <w:r>
        <w:rPr>
          <w:noProof/>
        </w:rPr>
        <w:t>In its Resolution of 6 July 2016 on the strategic priorities for the Commission Work Programme 2017</w:t>
      </w:r>
      <w:r>
        <w:rPr>
          <w:rStyle w:val="FootnoteReference"/>
          <w:noProof/>
        </w:rPr>
        <w:footnoteReference w:id="47"/>
      </w:r>
      <w:r>
        <w:rPr>
          <w:noProof/>
        </w:rPr>
        <w:t xml:space="preserve">, the European Parliament called for proposals to improve and </w:t>
      </w:r>
      <w:r>
        <w:rPr>
          <w:noProof/>
        </w:rPr>
        <w:lastRenderedPageBreak/>
        <w:t>develop existing EU information systems, address information gaps and move towards their interoperability, as well as proposals for compulsory information sharing at EU level, accompanied by the necessary data protection safeguards.</w:t>
      </w:r>
    </w:p>
    <w:p>
      <w:pPr>
        <w:pStyle w:val="ManualConsidrant"/>
        <w:rPr>
          <w:noProof/>
        </w:rPr>
      </w:pPr>
      <w:r>
        <w:t>(4)</w:t>
      </w:r>
      <w:r>
        <w:tab/>
      </w:r>
      <w:r>
        <w:rPr>
          <w:noProof/>
        </w:rPr>
        <w:t>The European Council of 15 December 2016</w:t>
      </w:r>
      <w:r>
        <w:rPr>
          <w:rStyle w:val="FootnoteReference"/>
          <w:noProof/>
        </w:rPr>
        <w:footnoteReference w:id="48"/>
      </w:r>
      <w:r>
        <w:rPr>
          <w:noProof/>
        </w:rPr>
        <w:t xml:space="preserve"> called for continued delivery on the interoperability of EU information systems and databases.</w:t>
      </w:r>
    </w:p>
    <w:p>
      <w:pPr>
        <w:pStyle w:val="ManualConsidrant"/>
        <w:rPr>
          <w:noProof/>
        </w:rPr>
      </w:pPr>
      <w:r>
        <w:t>(5)</w:t>
      </w:r>
      <w:r>
        <w:tab/>
      </w:r>
      <w:r>
        <w:rPr>
          <w:noProof/>
        </w:rPr>
        <w:t>In its final report of 11 May 2017</w:t>
      </w:r>
      <w:r>
        <w:rPr>
          <w:rStyle w:val="FootnoteReference"/>
          <w:noProof/>
        </w:rPr>
        <w:footnoteReference w:id="49"/>
      </w:r>
      <w:r>
        <w:rPr>
          <w:noProof/>
        </w:rPr>
        <w:t>, the high-level expert group on information systems and interoperability concluded that it is necessary and technically feasible to work towards practical solutions for interoperability and that they can, in principle, both deliver operational gains and be established in compliance with data protection requirements.</w:t>
      </w:r>
    </w:p>
    <w:p>
      <w:pPr>
        <w:pStyle w:val="ManualConsidrant"/>
        <w:rPr>
          <w:noProof/>
        </w:rPr>
      </w:pPr>
      <w:r>
        <w:t>(6)</w:t>
      </w:r>
      <w:r>
        <w:tab/>
      </w:r>
      <w:r>
        <w:rPr>
          <w:noProof/>
        </w:rPr>
        <w:t xml:space="preserve">In its Communication of 16 May 2017 entitled </w:t>
      </w:r>
      <w:r>
        <w:rPr>
          <w:i/>
          <w:noProof/>
        </w:rPr>
        <w:t>Seventh progress report towards an effective and genuine Security Union</w:t>
      </w:r>
      <w:r>
        <w:rPr>
          <w:rStyle w:val="FootnoteReference"/>
          <w:i/>
          <w:noProof/>
        </w:rPr>
        <w:footnoteReference w:id="50"/>
      </w:r>
      <w:r>
        <w:rPr>
          <w:noProof/>
        </w:rPr>
        <w:t>, the Commission set out, in line with its Communication of 6 April 2016 and confirmed by the findings and recommendations of the high-level expert group on information systems and interoperability, a new approach to the management of data for borders, security and migration where all EU information systems for security, border and migration management are interoperable in full respect of fundamental rights.</w:t>
      </w:r>
    </w:p>
    <w:p>
      <w:pPr>
        <w:pStyle w:val="ManualConsidrant"/>
        <w:rPr>
          <w:noProof/>
        </w:rPr>
      </w:pPr>
      <w:r>
        <w:t>(7)</w:t>
      </w:r>
      <w:r>
        <w:tab/>
      </w:r>
      <w:r>
        <w:rPr>
          <w:noProof/>
        </w:rPr>
        <w:t>In its Conclusions of 9 June 2017</w:t>
      </w:r>
      <w:r>
        <w:rPr>
          <w:rStyle w:val="FootnoteReference"/>
          <w:noProof/>
        </w:rPr>
        <w:footnoteReference w:id="51"/>
      </w:r>
      <w:r>
        <w:rPr>
          <w:noProof/>
        </w:rPr>
        <w:t xml:space="preserve"> on the way forward to improve information exchange and ensure the interoperability of EU information systems, the Council invited the Commission to pursue the solutions for interoperability as proposed by the high-level expert group.</w:t>
      </w:r>
    </w:p>
    <w:p>
      <w:pPr>
        <w:pStyle w:val="ManualConsidrant"/>
        <w:rPr>
          <w:noProof/>
        </w:rPr>
      </w:pPr>
      <w:r>
        <w:t>(8)</w:t>
      </w:r>
      <w:r>
        <w:tab/>
      </w:r>
      <w:r>
        <w:rPr>
          <w:noProof/>
        </w:rPr>
        <w:t>The European Council of 23 June 2017</w:t>
      </w:r>
      <w:r>
        <w:rPr>
          <w:rStyle w:val="FootnoteReference"/>
          <w:noProof/>
        </w:rPr>
        <w:footnoteReference w:id="52"/>
      </w:r>
      <w:r>
        <w:rPr>
          <w:noProof/>
        </w:rPr>
        <w:t xml:space="preserve"> underlined the need to improve the interoperability between databases and invited the Commission to prepare, as soon as possible, draft legislation enacting the proposals made by the high-level expert group on information systems and interoperability.</w:t>
      </w:r>
    </w:p>
    <w:p>
      <w:pPr>
        <w:pStyle w:val="ManualConsidrant"/>
        <w:rPr>
          <w:noProof/>
        </w:rPr>
      </w:pPr>
      <w:r>
        <w:t>(9)</w:t>
      </w:r>
      <w:r>
        <w:tab/>
      </w:r>
      <w:r>
        <w:rPr>
          <w:noProof/>
        </w:rPr>
        <w:t>With a view to improve the management of the external borders, to contribute to preventing and combating irregular migration and to contribute to a high level of security within the area of freedom, security and justice of the Union, including the maintenance of public security and public policy and safeguarding the security in the territories of the Member States, interoperability between EU information systems, namely [the Entry/Exit System (EES)], the Visa Information System (VIS), [the European Travel Information and Authorisation System (ETIAS)], Eurodac, the Schengen Information System (SIS), and the [European Criminal Records Information System for third-country nationals (ECRIS-TCN)] should be established in order for these EU information systems and their data to supplement each other. To achieve this, a European search portal (ESP), a shared biometric matching service (shared BMS), a common identity repository (CIR) and a multiple-identity detector (MID) should be established as interoperability components.</w:t>
      </w:r>
    </w:p>
    <w:p>
      <w:pPr>
        <w:pStyle w:val="ManualConsidrant"/>
        <w:rPr>
          <w:noProof/>
        </w:rPr>
      </w:pPr>
      <w:r>
        <w:lastRenderedPageBreak/>
        <w:t>(10)</w:t>
      </w:r>
      <w:r>
        <w:tab/>
      </w:r>
      <w:r>
        <w:rPr>
          <w:noProof/>
        </w:rPr>
        <w:t>The interoperability between the EU information systems should allow said systems  to supplement each other in order to facilitate the correct identification of persons, contribute to fighting identity fraud, improve and harmonise data quality requirements of the respective EU information systems, facilitate the technical and operational implementation by Member States of existing and future EU information systems, strengthen and simplify the data security and data protection safeguards that govern the respective EU information systems, streamline the law enforcement access to the EES, the VIS, the [ETIAS] and Eurodac, and support the purposes of the EES, the VIS, the [ETIAS], Eurodac, the SIS and the [ECRIS-TCN system].</w:t>
      </w:r>
    </w:p>
    <w:p>
      <w:pPr>
        <w:pStyle w:val="ManualConsidrant"/>
        <w:rPr>
          <w:noProof/>
        </w:rPr>
      </w:pPr>
      <w:r>
        <w:t>(11)</w:t>
      </w:r>
      <w:r>
        <w:tab/>
      </w:r>
      <w:r>
        <w:rPr>
          <w:noProof/>
        </w:rPr>
        <w:t>The interoperability components should cover the EES, the VIS, the [ETIAS], Eurodac, the SIS, and the [ECRIS-TCN system]. They should also cover the Europol data to the extent of enabling it to be queried simultaneously with these EU information systems.</w:t>
      </w:r>
    </w:p>
    <w:p>
      <w:pPr>
        <w:pStyle w:val="ManualConsidrant"/>
        <w:rPr>
          <w:noProof/>
        </w:rPr>
      </w:pPr>
      <w:r>
        <w:t>(12)</w:t>
      </w:r>
      <w:r>
        <w:tab/>
      </w:r>
      <w:r>
        <w:rPr>
          <w:noProof/>
        </w:rPr>
        <w:t>The interoperability components should concern persons in respect of whom personal data may be processed in the EU information systems and by Europol, namely third-country nationals whose personal data is processed in the EU information systems and by Europol, and to EU citizens whose personal data is processed in the SIS and by Europol.</w:t>
      </w:r>
    </w:p>
    <w:p>
      <w:pPr>
        <w:pStyle w:val="ManualConsidrant"/>
        <w:rPr>
          <w:noProof/>
        </w:rPr>
      </w:pPr>
      <w:r>
        <w:t>(13)</w:t>
      </w:r>
      <w:r>
        <w:tab/>
      </w:r>
      <w:r>
        <w:rPr>
          <w:noProof/>
        </w:rPr>
        <w:t>The European search portal (ESP) should be established to facilitate technically the ability of Member State authorities and EU bodies to have fast, seamless, efficient, systematic and controlled access to the EU information systems, the Europol data and the Interpol databases needed to perform their tasks, in accordance with their access rights, and to support the objectives of the EES, the VIS, the [ETIAS], Eurodac, the SIS, the [ECRIS-TCN system] and the Europol data. Enabling the simultaneous querying of all relevant EU information systems in parallel, as well as of the Europol data and the Interpol databases, the ESP should act as a single window or ‘message broker’ to search various central systems and retrieve the necessary information seamlessly and in full respect of the access control and data protection requirements of the underlying systems.</w:t>
      </w:r>
    </w:p>
    <w:p>
      <w:pPr>
        <w:pStyle w:val="ManualConsidrant"/>
        <w:rPr>
          <w:noProof/>
        </w:rPr>
      </w:pPr>
      <w:r>
        <w:t>(14)</w:t>
      </w:r>
      <w:r>
        <w:tab/>
      </w:r>
      <w:r>
        <w:rPr>
          <w:noProof/>
        </w:rPr>
        <w:t>The International Criminal Police Organisation (Interpol) database of Stolen and Lost Travel Documents (SLTD) enables authorised law enforcement entities in Member States, including immigration and border control officers, to establish the validity of a travel document. The [ETIAS] queries the SLTD and Interpol's Travel Documents Associated with Notices (TDAWN) database in the context of assessing whether a person applying for a travel authorisation is likely for instance to migrate irregularly or could pose a threat to security. The centralised European search portal (ESP) should enable the query against the SLTD and TDAWN databases using an individual's identity data. Where personal data are transferred from the Union to Interpol through the ESP, the provisions on international transfers in Chapter V of Regulation (EU) 2016/679 of the European Parliament and of the Council</w:t>
      </w:r>
      <w:r>
        <w:rPr>
          <w:rStyle w:val="FootnoteReference"/>
          <w:noProof/>
        </w:rPr>
        <w:footnoteReference w:id="53"/>
      </w:r>
      <w:r>
        <w:rPr>
          <w:noProof/>
        </w:rPr>
        <w:t>, or the national provisions transposing Chapter V of Directive (EU) 2016/680 of the European Parliament and of the Council</w:t>
      </w:r>
      <w:r>
        <w:rPr>
          <w:rStyle w:val="FootnoteReference"/>
          <w:noProof/>
        </w:rPr>
        <w:footnoteReference w:id="54"/>
      </w:r>
      <w:r>
        <w:rPr>
          <w:noProof/>
        </w:rPr>
        <w:t xml:space="preserve"> should apply. This should be without prejudice to the specific rules laid </w:t>
      </w:r>
      <w:r>
        <w:rPr>
          <w:noProof/>
        </w:rPr>
        <w:lastRenderedPageBreak/>
        <w:t>down in Council Common Position 2005/69/JHA</w:t>
      </w:r>
      <w:r>
        <w:rPr>
          <w:rStyle w:val="FootnoteReference"/>
          <w:noProof/>
        </w:rPr>
        <w:footnoteReference w:id="55"/>
      </w:r>
      <w:r>
        <w:rPr>
          <w:noProof/>
        </w:rPr>
        <w:t xml:space="preserve">  and Council Decision 2007/533/JHA</w:t>
      </w:r>
      <w:r>
        <w:rPr>
          <w:rStyle w:val="FootnoteReference"/>
          <w:noProof/>
        </w:rPr>
        <w:footnoteReference w:id="56"/>
      </w:r>
      <w:r>
        <w:rPr>
          <w:noProof/>
        </w:rPr>
        <w:t xml:space="preserve">. </w:t>
      </w:r>
    </w:p>
    <w:p>
      <w:pPr>
        <w:pStyle w:val="ManualConsidrant"/>
        <w:rPr>
          <w:noProof/>
        </w:rPr>
      </w:pPr>
      <w:r>
        <w:t>(15)</w:t>
      </w:r>
      <w:r>
        <w:tab/>
      </w:r>
      <w:r>
        <w:rPr>
          <w:noProof/>
        </w:rPr>
        <w:t>The European search portal (ESP) should be developed and configured in such a way that it does not allow the use of fields of data for the query that are not related to persons or travel documents or that are not present in an EU information system, in the Europol data or in the Interpol database.</w:t>
      </w:r>
    </w:p>
    <w:p>
      <w:pPr>
        <w:pStyle w:val="ManualConsidrant"/>
        <w:rPr>
          <w:noProof/>
        </w:rPr>
      </w:pPr>
      <w:r>
        <w:t>(16)</w:t>
      </w:r>
      <w:r>
        <w:tab/>
      </w:r>
      <w:r>
        <w:rPr>
          <w:noProof/>
        </w:rPr>
        <w:t xml:space="preserve">To ensure fast and systematic use of all EU information systems, the European search portal (ESP) should be used to query the common identity repository, the EES, the VIS, [the ETIAS], Eurodac and [the ECRIS-TCN system]. However, the national connection to the different EU information systems should remain in order to provide a technical fall back. The ESP should also be used by Union bodies to query the Central SIS in accordance with their access rights and in order to perform their tasks. The ESP should be an additional means to query the Central SIS, the Europol data and the Interpol systems, complementing the existing dedicated interfaces. </w:t>
      </w:r>
    </w:p>
    <w:p>
      <w:pPr>
        <w:pStyle w:val="ManualConsidrant"/>
        <w:rPr>
          <w:noProof/>
        </w:rPr>
      </w:pPr>
      <w:r>
        <w:t>(17)</w:t>
      </w:r>
      <w:r>
        <w:tab/>
      </w:r>
      <w:r>
        <w:rPr>
          <w:noProof/>
        </w:rPr>
        <w:t>Biometric data, such as fingerprints and facial images, are unique and therefore much more reliable than alphanumeric data for identifying a person. The shared biometric matching service (shared BMS) should be a technical tool to reinforce and facilitate the work of the relevant EU information systems and the other interoperability components. The main purpose of the shared BMS should be to facilitate the identification of an individual who may be registered in different databases, by matching their biometric data across different systems and by relying on one unique technological component instead of five different ones in each of the underlying systems. The shared BMS should contribute to security, as well as financial, maintenance and operational benefits by relying on one unique technological component instead of different ones in each of the underlying systems. All automated fingerprint identification systems, including those currently used for Eurodac, the VIS and the SIS, use biometric templates comprised of data derived from a feature extraction of actual biometric samples. The shared BMS should regroup and store all these biometric templates in one single location, facilitating cross-system comparisons using biometric data and enabling economies of scale in developing and maintaining the EU central systems.</w:t>
      </w:r>
    </w:p>
    <w:p>
      <w:pPr>
        <w:pStyle w:val="ManualConsidrant"/>
        <w:rPr>
          <w:noProof/>
        </w:rPr>
      </w:pPr>
      <w:r>
        <w:t>(18)</w:t>
      </w:r>
      <w:r>
        <w:tab/>
      </w:r>
      <w:r>
        <w:rPr>
          <w:noProof/>
        </w:rPr>
        <w:t>Biometric data constitute sensitive personal data. This regulation should lay down the basis for and the safeguards for processing of such data for the purpose of uniquely identifying the persons concerned.</w:t>
      </w:r>
    </w:p>
    <w:p>
      <w:pPr>
        <w:pStyle w:val="ManualConsidrant"/>
        <w:rPr>
          <w:noProof/>
        </w:rPr>
      </w:pPr>
      <w:r>
        <w:t>(19)</w:t>
      </w:r>
      <w:r>
        <w:tab/>
      </w:r>
      <w:r>
        <w:rPr>
          <w:noProof/>
        </w:rPr>
        <w:t xml:space="preserve">The systems established by </w:t>
      </w:r>
      <w:r>
        <w:rPr>
          <w:bCs/>
          <w:noProof/>
        </w:rPr>
        <w:t>Regulation (EU) 2017/2226</w:t>
      </w:r>
      <w:r>
        <w:rPr>
          <w:noProof/>
        </w:rPr>
        <w:t xml:space="preserve"> of the European Parliament and of the Council</w:t>
      </w:r>
      <w:r>
        <w:rPr>
          <w:rStyle w:val="FootnoteReference"/>
          <w:noProof/>
        </w:rPr>
        <w:footnoteReference w:id="57"/>
      </w:r>
      <w:r>
        <w:rPr>
          <w:noProof/>
        </w:rPr>
        <w:t xml:space="preserve">, Regulation (EC) No 767/2008 of the European Parliament and of </w:t>
      </w:r>
      <w:r>
        <w:rPr>
          <w:noProof/>
        </w:rPr>
        <w:lastRenderedPageBreak/>
        <w:t>the Council</w:t>
      </w:r>
      <w:r>
        <w:rPr>
          <w:rStyle w:val="FootnoteReference"/>
          <w:noProof/>
        </w:rPr>
        <w:footnoteReference w:id="58"/>
      </w:r>
      <w:r>
        <w:rPr>
          <w:noProof/>
        </w:rPr>
        <w:t xml:space="preserve">, [the ETIAS Regulation] for the management of the borders of the Union, the system established by [the Eurodac Regulation] to identify the applicants for international protection and combat irregular migration, and the system established by [the ECRIS-TCN system Regulation] require in order to be effective to rely on the accurate identification of the third-country nationals whose personal data are stored therein. </w:t>
      </w:r>
    </w:p>
    <w:p>
      <w:pPr>
        <w:pStyle w:val="ManualConsidrant"/>
        <w:rPr>
          <w:noProof/>
        </w:rPr>
      </w:pPr>
      <w:r>
        <w:t>(20)</w:t>
      </w:r>
      <w:r>
        <w:tab/>
      </w:r>
      <w:r>
        <w:rPr>
          <w:noProof/>
        </w:rPr>
        <w:t>The common identity repository (CIR) should therefore facilitate and assist in the correct identification of persons registered in the EES, the VIS, [the ETIAS], Eurodac and [the ECRIS-TCN system].</w:t>
      </w:r>
    </w:p>
    <w:p>
      <w:pPr>
        <w:pStyle w:val="ManualConsidrant"/>
        <w:rPr>
          <w:noProof/>
        </w:rPr>
      </w:pPr>
      <w:r>
        <w:t>(21)</w:t>
      </w:r>
      <w:r>
        <w:tab/>
      </w:r>
      <w:r>
        <w:rPr>
          <w:noProof/>
        </w:rPr>
        <w:t>Personal data stored in these EU information systems may relate to the same persons but under different or incomplete identities. Member States dispose of efficient ways to identify their citizens or registered permanent residents in their territory, but the same is not true for third-country nationals. The interoperability between EU information systems should contribute to the correct identification of third-country nationals. The common identity repository (CIR) should store the personal data concerning third-country nationals present in the systems that are necessary to enable the more accurate identification of those individuals, therefore including their identity, travel document and biometric data, regardless of the system in which the data was originally collected. Only the personal data strictly necessary to perform an accurate identity check should be stored in the CIR. The personal data recorded in the CIR should be kept for no longer than is strictly necessary for the purposes of the underlying systems and should be automatically deleted when the data is deleted in the underlying systems in accordance with their logical separation.</w:t>
      </w:r>
    </w:p>
    <w:p>
      <w:pPr>
        <w:pStyle w:val="ManualConsidrant"/>
        <w:rPr>
          <w:noProof/>
        </w:rPr>
      </w:pPr>
      <w:r>
        <w:t>(22)</w:t>
      </w:r>
      <w:r>
        <w:tab/>
      </w:r>
      <w:r>
        <w:rPr>
          <w:noProof/>
        </w:rPr>
        <w:t>The new processing operation consisting in the storage of such data in the common identity repository (CIR) instead of the storage in each of the separate systems is necessary to increase the accuracy of the identification that is made possible by the automated comparison and matching of such data. The fact that the identity and biometric data of third-country nationals is stored in the CIR should not hinder in any way the processing of data for the purposes of the EES, the VIS, the ETIAS, Eurodac or the ECRIS-TCN system Regulations, as the CIR should be a new shared component of those underlying systems.</w:t>
      </w:r>
    </w:p>
    <w:p>
      <w:pPr>
        <w:pStyle w:val="ManualConsidrant"/>
        <w:rPr>
          <w:noProof/>
        </w:rPr>
      </w:pPr>
      <w:r>
        <w:t>(23)</w:t>
      </w:r>
      <w:r>
        <w:tab/>
      </w:r>
      <w:r>
        <w:rPr>
          <w:noProof/>
        </w:rPr>
        <w:t xml:space="preserve">In that connection, creating an individual file in the common identity repository (CIR)  for each person that is recorded in the EES, the VIS, the ETIAS, Eurodac or the ECRIS-TCN system, is necessary to achieve the purpose of correct identification of third-country nationals within the Schengen area, and to support the multiple-identity detector for the dual purpose of facilitating identity checks for </w:t>
      </w:r>
      <w:r>
        <w:rPr>
          <w:i/>
          <w:noProof/>
        </w:rPr>
        <w:t>bona fide</w:t>
      </w:r>
      <w:r>
        <w:rPr>
          <w:noProof/>
        </w:rPr>
        <w:t xml:space="preserve"> travellers and combating identity fraud. The individual file should store in one single place and make accessible to the duly authorised end-users all the possible identities linked to a person.</w:t>
      </w:r>
    </w:p>
    <w:p>
      <w:pPr>
        <w:pStyle w:val="ManualConsidrant"/>
        <w:rPr>
          <w:noProof/>
        </w:rPr>
      </w:pPr>
      <w:r>
        <w:t>(24)</w:t>
      </w:r>
      <w:r>
        <w:tab/>
      </w:r>
      <w:r>
        <w:rPr>
          <w:noProof/>
        </w:rPr>
        <w:t xml:space="preserve">The common identity repository (CIR) should thus support the functioning of the multiple-identity detector and to facilitate and streamline access by law enforcement authorities to the EU information systems that are not established exclusively for purposes of prevention, investigation, detection or prosecution of serious crime. </w:t>
      </w:r>
    </w:p>
    <w:p>
      <w:pPr>
        <w:pStyle w:val="ManualConsidrant"/>
        <w:rPr>
          <w:noProof/>
        </w:rPr>
      </w:pPr>
      <w:r>
        <w:lastRenderedPageBreak/>
        <w:t>(25)</w:t>
      </w:r>
      <w:r>
        <w:tab/>
      </w:r>
      <w:r>
        <w:rPr>
          <w:noProof/>
        </w:rPr>
        <w:t xml:space="preserve">The common identity repository (CIR) should provide for a shared container for identity and biometric data of third-country nationals registered in the EES, the VIS, [the ETIAS], Eurodac and the [ECRIS-TCN system], serving as the shared component between these systems for storage of this data, and to allow its querying. </w:t>
      </w:r>
    </w:p>
    <w:p>
      <w:pPr>
        <w:pStyle w:val="ManualConsidrant"/>
        <w:rPr>
          <w:noProof/>
        </w:rPr>
      </w:pPr>
      <w:r>
        <w:t>(26)</w:t>
      </w:r>
      <w:r>
        <w:tab/>
      </w:r>
      <w:r>
        <w:rPr>
          <w:noProof/>
        </w:rPr>
        <w:t xml:space="preserve">All records in the common identity repository (CIR) should be logically separated by automatically tagging each record with the underlying system owning that record. The access control of the CIR should use these tags to allow the record to be accessible or not. </w:t>
      </w:r>
    </w:p>
    <w:p>
      <w:pPr>
        <w:pStyle w:val="ManualConsidrant"/>
        <w:rPr>
          <w:noProof/>
        </w:rPr>
      </w:pPr>
      <w:r>
        <w:t>(27)</w:t>
      </w:r>
      <w:r>
        <w:tab/>
      </w:r>
      <w:r>
        <w:rPr>
          <w:noProof/>
        </w:rPr>
        <w:t xml:space="preserve">In order to ensure the correct identification of a person, Member State authorities competent for preventing and combating irregular migration and competent authorities within the meaning of Article 3(7) of Directive 2016/680 should be allowed to query the common identity repository (CIR) with the biometric data of that person </w:t>
      </w:r>
      <w:r>
        <w:rPr>
          <w:noProof/>
          <w:color w:val="000000"/>
        </w:rPr>
        <w:t>taken during an identity check</w:t>
      </w:r>
      <w:r>
        <w:rPr>
          <w:noProof/>
        </w:rPr>
        <w:t xml:space="preserve">. </w:t>
      </w:r>
    </w:p>
    <w:p>
      <w:pPr>
        <w:pStyle w:val="ManualConsidrant"/>
        <w:rPr>
          <w:noProof/>
        </w:rPr>
      </w:pPr>
      <w:r>
        <w:t>(28)</w:t>
      </w:r>
      <w:r>
        <w:tab/>
      </w:r>
      <w:r>
        <w:rPr>
          <w:noProof/>
        </w:rPr>
        <w:t>Where the biometric data of the person cannot be used or if the query with that data fails, the query should be carried out with identity data of that person in combination with travel document data. Where the query indicates that data on that person are stored in the common identity repository (CIR), Member State authorities should have access to consult the identity data of that person stored in the CIR, without providing any indication as to which EU information system the data belongs to.</w:t>
      </w:r>
    </w:p>
    <w:p>
      <w:pPr>
        <w:pStyle w:val="ManualConsidrant"/>
        <w:rPr>
          <w:noProof/>
        </w:rPr>
      </w:pPr>
      <w:r>
        <w:t>(29)</w:t>
      </w:r>
      <w:r>
        <w:tab/>
      </w:r>
      <w:r>
        <w:rPr>
          <w:noProof/>
        </w:rPr>
        <w:t>Member States should adopt national legislative measures designating the authorities competent to perform identity checks with the use of the common identity repository (CIR)  and laying down the procedures, conditions and criteria of such checks in line with the principle of proportionality. In particular, the power to collect biometric data during an identity check of a person present before the member of those authorities should be provided for by national legislative measures.</w:t>
      </w:r>
    </w:p>
    <w:p>
      <w:pPr>
        <w:pStyle w:val="ManualConsidrant"/>
        <w:rPr>
          <w:noProof/>
        </w:rPr>
      </w:pPr>
      <w:r>
        <w:t>(30)</w:t>
      </w:r>
      <w:r>
        <w:tab/>
      </w:r>
      <w:r>
        <w:rPr>
          <w:noProof/>
        </w:rPr>
        <w:t>This Regulation should also introduces a new possibility for streamlined access to data beyond identity data present in the EES, the VIS, [the ETIAS] or Eurodac by Member State designated law enforcement authorities and Europol. Data, including data other than identity data contained in those systems, may be necessary for the prevention, detection, investigation and prosecution of terrorist offences or serious criminal offences in a specific case.</w:t>
      </w:r>
    </w:p>
    <w:p>
      <w:pPr>
        <w:pStyle w:val="ManualConsidrant"/>
        <w:rPr>
          <w:noProof/>
        </w:rPr>
      </w:pPr>
      <w:r>
        <w:t>(31)</w:t>
      </w:r>
      <w:r>
        <w:tab/>
      </w:r>
      <w:r>
        <w:rPr>
          <w:noProof/>
        </w:rPr>
        <w:t xml:space="preserve">Full access to the necessary data contained in the EU information systems necessary for the purposes of preventing, detecting and investigating terrorist offences or other serious criminal offences, beyond the relevant identity data covered under common identity repository (CIR) obtained using biometric data of that person </w:t>
      </w:r>
      <w:r>
        <w:rPr>
          <w:noProof/>
          <w:color w:val="000000"/>
        </w:rPr>
        <w:t>taken during an identity check</w:t>
      </w:r>
      <w:r>
        <w:rPr>
          <w:noProof/>
        </w:rPr>
        <w:t xml:space="preserve">, should continue to be governed by the provisions in the respective legal instruments. The designated law enforcement authorities and Europol do not know in advance which of the EU information systems contains data of the persons they need to inquire upon. This results in delays and inefficiencies in the conduct of their tasks. The end-user authorised by the designated authority should therefore be allowed to see in which of the EU information systems the data corresponding to the query introduced are recorded. The concerned system would thus be flagged following the automated verification of the presence of a hit in the system (a so-called hit-flag functionality). </w:t>
      </w:r>
    </w:p>
    <w:p>
      <w:pPr>
        <w:pStyle w:val="ManualConsidrant"/>
        <w:rPr>
          <w:noProof/>
        </w:rPr>
      </w:pPr>
      <w:r>
        <w:t>(32)</w:t>
      </w:r>
      <w:r>
        <w:tab/>
      </w:r>
      <w:r>
        <w:rPr>
          <w:noProof/>
        </w:rPr>
        <w:t xml:space="preserve">The logs of the queries of the common identity repository should indicate the purpose of the query. Where such a query was performed using the two-step data consultation approach, the logs should include a reference to the national file of the investigation or </w:t>
      </w:r>
      <w:r>
        <w:rPr>
          <w:noProof/>
        </w:rPr>
        <w:lastRenderedPageBreak/>
        <w:t xml:space="preserve">case, therefore indicating that such query was launched for the purposes of preventing, detecting and investigating terrorist offences or other serious criminal offences. </w:t>
      </w:r>
    </w:p>
    <w:p>
      <w:pPr>
        <w:pStyle w:val="ManualConsidrant"/>
        <w:rPr>
          <w:noProof/>
        </w:rPr>
      </w:pPr>
      <w:r>
        <w:t>(33)</w:t>
      </w:r>
      <w:r>
        <w:tab/>
      </w:r>
      <w:r>
        <w:rPr>
          <w:noProof/>
        </w:rPr>
        <w:t xml:space="preserve">The query of the common identity repository (CIR)  by Member State designated authorities and Europol in order to obtain a hit-flag type of response indicating the data is recorded in the EES, the VIS, [the ETIAS] or Eurodac requires automated processing of personal data. A hit-flag would not reveal personal data of the concerned individual other than an indication that some of his or her data are stored in one of the systems. No adverse decision for the concerned individual should be made by the authorised end-user solely on the basis of the simple occurrence of a hit-flag. Access by the end-user of a hit-flag would therefore realise a very limited interference with the right to protection of personal data of the concerned individual, while it would be necessary to allow the designated authority and Europol to address its request for access for personal data more effectively directly to the system that was flagged as containing it. </w:t>
      </w:r>
    </w:p>
    <w:p>
      <w:pPr>
        <w:pStyle w:val="ManualConsidrant"/>
        <w:rPr>
          <w:noProof/>
        </w:rPr>
      </w:pPr>
      <w:r>
        <w:t>(34)</w:t>
      </w:r>
      <w:r>
        <w:tab/>
      </w:r>
      <w:r>
        <w:rPr>
          <w:noProof/>
        </w:rPr>
        <w:t xml:space="preserve">The two-step data consultation approach is particularly valuable in cases where the suspect, perpetrator or suspected victim of a terrorist offence or other serious criminal offence </w:t>
      </w:r>
      <w:r>
        <w:rPr>
          <w:bCs/>
          <w:noProof/>
        </w:rPr>
        <w:t>is unknown</w:t>
      </w:r>
      <w:r>
        <w:rPr>
          <w:noProof/>
        </w:rPr>
        <w:t>. In those cases the common identity repository (CIR) should enable identifying the information system that knows the person in one single search. By creating the obligation to use this new law enforcement access approach in these cases, access to the personal data stored in the EES, the VIS, [the ETIAS] and Eurodac should take place without the requirements of a prior search in national databases and the launch of a prior search in the automated fingerprint identification system of other Member States under Decision 2008/615/JHA. The principle of prior search effectively limits the possibility of Member State’ authorities to consult systems for justified law enforcement purposes and could thereby result in missed opportunities to uncover necessary information. The requirements of a prior search in national databases and the launch of a prior search in the automated fingerprint identification system of other Member States under Decision 2008/615/JHA should only cease to apply once the alternative safeguard of the two-step approach to law enforcement access through the CIR has become operational.</w:t>
      </w:r>
    </w:p>
    <w:p>
      <w:pPr>
        <w:pStyle w:val="ManualConsidrant"/>
        <w:rPr>
          <w:noProof/>
        </w:rPr>
      </w:pPr>
      <w:r>
        <w:t>(35)</w:t>
      </w:r>
      <w:r>
        <w:tab/>
      </w:r>
      <w:r>
        <w:rPr>
          <w:noProof/>
        </w:rPr>
        <w:t>The multiple-identity detector (MID) should be established to support the functioning of the common identity repository and to support the objectives of the EES, the VIS, [the ETIAS], Eurodac, the SIS and [the ECRIS-TCN system]. In order to be effective in fulfilling their respective objectives, all of these EU information systems require the accurate identification of the persons whose personal data are stored therein.</w:t>
      </w:r>
    </w:p>
    <w:p>
      <w:pPr>
        <w:pStyle w:val="ManualConsidrant"/>
        <w:rPr>
          <w:noProof/>
        </w:rPr>
      </w:pPr>
      <w:r>
        <w:t>(36)</w:t>
      </w:r>
      <w:r>
        <w:tab/>
      </w:r>
      <w:r>
        <w:rPr>
          <w:noProof/>
        </w:rPr>
        <w:t>The possibility to achieve the objectives of the EU information systems is undermined by the current inability for the authorities using these systems to conduct sufficiently reliable verifications of the identities of the third-country nationals whose data are stored in different systems. That inability is determined by the fact that the set of identity data stored in a given individual system may be fraudulent, incorrect, or incomplete, and that there is currently no possibility to detect such fraudulent, incorrect or incomplete identity data by way of comparison with data stored in another system. To remedy this situation it is necessary to have a technical instrument at Union level allowing accurate identification of third-country nationals for these purposes.</w:t>
      </w:r>
    </w:p>
    <w:p>
      <w:pPr>
        <w:pStyle w:val="ManualConsidrant"/>
        <w:rPr>
          <w:noProof/>
        </w:rPr>
      </w:pPr>
      <w:r>
        <w:t>(37)</w:t>
      </w:r>
      <w:r>
        <w:tab/>
      </w:r>
      <w:r>
        <w:rPr>
          <w:noProof/>
        </w:rPr>
        <w:t xml:space="preserve">The multiple-identity detector (MID) should create and store links between data in the different EU information systems in order to detect multiple identities, with the dual purpose of facilitating identity checks for </w:t>
      </w:r>
      <w:r>
        <w:rPr>
          <w:i/>
          <w:noProof/>
        </w:rPr>
        <w:t>bona fide</w:t>
      </w:r>
      <w:r>
        <w:rPr>
          <w:noProof/>
        </w:rPr>
        <w:t xml:space="preserve"> travellers and combating identity </w:t>
      </w:r>
      <w:r>
        <w:rPr>
          <w:noProof/>
        </w:rPr>
        <w:lastRenderedPageBreak/>
        <w:t>fraud. The MID should only contain the links between individuals present in more than one EU information system, strictly limited to the data necessary to verify that a person is recorded lawfully or unlawfully under different biographical identities in different systems, or to clarify that two persons having similar biographical data may not be the same person. Data processing through the European search portal (ESP) and the shared biometric matching service (shared BMS) in order to link individual files across individual systems should be kept to an absolute minimum and therefore is limited to a multiple-identity detection at the time new data is added to one of the information systems included in the common identity repository and in the SIS. The MID should include safeguards against potential discrimination or unfavourable decisions for persons with multiple lawful identities.</w:t>
      </w:r>
    </w:p>
    <w:p>
      <w:pPr>
        <w:pStyle w:val="ManualConsidrant"/>
        <w:rPr>
          <w:noProof/>
        </w:rPr>
      </w:pPr>
      <w:r>
        <w:t>(38)</w:t>
      </w:r>
      <w:r>
        <w:tab/>
      </w:r>
      <w:r>
        <w:rPr>
          <w:noProof/>
        </w:rPr>
        <w:t>This Regulation provides for new data processing operations aimed at identifying the persons concerned correctly. This constitutes an interference with their fundamental rights as protected by Articles 7 and 8 of the Charter of Fundamental Rights. Since the effective implementation of the EU information systems is dependent upon correct identification of the individuals concerned, such interference is justified by the same objectives for which each of those systems have been established, the effective management of the Union's borders, the internal security of the Union, the effective implementation of the Union's asylum and visa policies and the fight against irregular migration.</w:t>
      </w:r>
    </w:p>
    <w:p>
      <w:pPr>
        <w:pStyle w:val="ManualConsidrant"/>
        <w:rPr>
          <w:noProof/>
        </w:rPr>
      </w:pPr>
      <w:r>
        <w:t>(39)</w:t>
      </w:r>
      <w:r>
        <w:tab/>
      </w:r>
      <w:r>
        <w:rPr>
          <w:noProof/>
        </w:rPr>
        <w:t xml:space="preserve">The European search portal (ESP) and shared biometric matching service (shared BMS) should compare data in common identity repository (CIR) and SIS on persons when new records are created by a national authority or an EU body. Such comparison should be automated. The CIR and the SIS should use the shared BMS to detect possible links on the basis of biometric data. The CIR and the SIS should use the ESP to detect possible links on the basis of alphanumeric data. The CIR and the SIS should be able to identify identical or similar data on the third-country national stored across several systems. Where such is the case, a link indicating that it is the same person should be established. The CIR and the SIS should be configured in such a way that small transliteration or spelling mistakes are detected in such a way as not to create any </w:t>
      </w:r>
      <w:r>
        <w:rPr>
          <w:noProof/>
          <w:shd w:val="clear" w:color="auto" w:fill="FFFFFF" w:themeFill="background1"/>
        </w:rPr>
        <w:t>unjustified hindrance to the concerned third</w:t>
      </w:r>
      <w:r>
        <w:rPr>
          <w:noProof/>
        </w:rPr>
        <w:t xml:space="preserve">-country national. </w:t>
      </w:r>
    </w:p>
    <w:p>
      <w:pPr>
        <w:pStyle w:val="ManualConsidrant"/>
        <w:rPr>
          <w:noProof/>
        </w:rPr>
      </w:pPr>
      <w:r>
        <w:t>(40)</w:t>
      </w:r>
      <w:r>
        <w:tab/>
      </w:r>
      <w:r>
        <w:rPr>
          <w:noProof/>
        </w:rPr>
        <w:t xml:space="preserve">The national authority or EU body that recorded the data in the respective EU information system should confirm or change these links. This authority should have access to the data stored in the common identity repository (CIR) or the SIS and in the multiple-identity detector (MID) for the purpose of the manual identity verification. </w:t>
      </w:r>
    </w:p>
    <w:p>
      <w:pPr>
        <w:pStyle w:val="ManualConsidrant"/>
        <w:rPr>
          <w:noProof/>
        </w:rPr>
      </w:pPr>
      <w:r>
        <w:t>(41)</w:t>
      </w:r>
      <w:r>
        <w:tab/>
      </w:r>
      <w:r>
        <w:rPr>
          <w:noProof/>
        </w:rPr>
        <w:t>Access to the multiple-identity detector (MID) by Member State authorities and EU bodies having access to at least one EU information system included in the common identity repository (CIR)  or to the SIS should be limited to so called red links where the linked data shares the same biometric but different identity data and the authority responsible for the verification of different identities concluded it refers unlawfully to the same person, or where the linked data has similar identity data and the authority responsible for the verification of different identities concluded it refers unlawfully to the same person. Where the linked identity data is not similar, a yellow link should be established and a manual verification should take place in order to confirm the link or change its colour accordingly.</w:t>
      </w:r>
    </w:p>
    <w:p>
      <w:pPr>
        <w:pStyle w:val="ManualConsidrant"/>
        <w:rPr>
          <w:noProof/>
        </w:rPr>
      </w:pPr>
      <w:r>
        <w:t>(42)</w:t>
      </w:r>
      <w:r>
        <w:tab/>
      </w:r>
      <w:r>
        <w:rPr>
          <w:noProof/>
        </w:rPr>
        <w:t xml:space="preserve">The manual verification of multiple identities should be ensured by the authority creating or updating the data that triggered a hit resulting in a link with data already stored in another EU information system. The authority responsible for the verification </w:t>
      </w:r>
      <w:r>
        <w:rPr>
          <w:noProof/>
        </w:rPr>
        <w:lastRenderedPageBreak/>
        <w:t xml:space="preserve">of multiple identities should assess whether there are multiple lawful or unlawful identities. Such assessment should be performed where possible in the presence of the third-country national and where necessary by requesting additional clarifications or information. Such assessment should be performed without delay, in line with legal requirements for the accuracy of information under Union and national law. </w:t>
      </w:r>
    </w:p>
    <w:p>
      <w:pPr>
        <w:pStyle w:val="ManualConsidrant"/>
        <w:rPr>
          <w:noProof/>
        </w:rPr>
      </w:pPr>
      <w:r>
        <w:t>(43)</w:t>
      </w:r>
      <w:r>
        <w:tab/>
      </w:r>
      <w:r>
        <w:rPr>
          <w:noProof/>
        </w:rPr>
        <w:t>For the links obtained in relation to the Schengen Information System (SIS) related to the alerts in respect of persons wanted for arrest or for surrender or extradition purposes, on missing or vulnerable persons, on persons sought to assist with a judicial procedure, on persons for discreet checks or specific checks or on unknown wanted persons, the authority responsible for the verification of multiple identities should be the SIRENE Bureau of the Member State that created the alert. Indeed those categories of SIS alerts are sensitive and should not necessarily be shared with the authorities creating or updating the data in one of the other EU information systems. The creation of a link with SIS data should be without prejudice to the actions to be taken in accordance with the [SIS Regulations].</w:t>
      </w:r>
    </w:p>
    <w:p>
      <w:pPr>
        <w:pStyle w:val="ManualConsidrant"/>
        <w:rPr>
          <w:noProof/>
        </w:rPr>
      </w:pPr>
      <w:r>
        <w:t>(44)</w:t>
      </w:r>
      <w:r>
        <w:tab/>
      </w:r>
      <w:r>
        <w:rPr>
          <w:noProof/>
        </w:rPr>
        <w:t>eu-LISA should establish automated data quality control mechanisms and common data quality indicators. eu-LISA should be responsible to develop a central monitoring capacity for data quality and to produce regular data analysis reports to improve the control of implementation and application by Member States of EU information systems. The common quality indicators should include the minimum quality standards to store data in the EU information systems or the interoperability components. The goal of such a data quality standards should be for the EU information systems and interoperability components to automatically identify apparently incorrect or inconsistent data submissions so that the originating Member State is able to verify the data and carry out any necessary remedial actions.</w:t>
      </w:r>
    </w:p>
    <w:p>
      <w:pPr>
        <w:pStyle w:val="ManualConsidrant"/>
        <w:rPr>
          <w:noProof/>
        </w:rPr>
      </w:pPr>
      <w:r>
        <w:t>(45)</w:t>
      </w:r>
      <w:r>
        <w:tab/>
      </w:r>
      <w:r>
        <w:rPr>
          <w:noProof/>
        </w:rPr>
        <w:t>The Commission should evaluate eu-LISA quality reports and should issue recommendations to Member States where appropriate. Member States should be responsible for preparing an action plan describing actions to remedy any deficiencies in data quality and should report on its progress regularly.</w:t>
      </w:r>
    </w:p>
    <w:p>
      <w:pPr>
        <w:pStyle w:val="ManualConsidrant"/>
        <w:rPr>
          <w:noProof/>
        </w:rPr>
      </w:pPr>
      <w:r>
        <w:t>(46)</w:t>
      </w:r>
      <w:r>
        <w:tab/>
      </w:r>
      <w:r>
        <w:rPr>
          <w:noProof/>
        </w:rPr>
        <w:t>The Universal Message Format (UMF) should establish a standard for structured, cross-border information exchange between information systems, authorities and/or organisations in the field of Justice and Home affairs. UMF should define a common vocabulary and logical structures for commonly exchanged information with the objective to facilitate interoperability by enabling the creation and reading of the contents of the exchange in a consistent and semantically equivalent manner.</w:t>
      </w:r>
    </w:p>
    <w:p>
      <w:pPr>
        <w:pStyle w:val="ManualConsidrant"/>
        <w:rPr>
          <w:noProof/>
        </w:rPr>
      </w:pPr>
      <w:r>
        <w:t>(47)</w:t>
      </w:r>
      <w:r>
        <w:tab/>
      </w:r>
      <w:r>
        <w:rPr>
          <w:noProof/>
        </w:rPr>
        <w:t>A central repository for reporting and statistics (CRRS) should be established to generate cross-system statistical data and analytical reporting for policy, operational and data quality purposes. eu-LISA should establish, implement and host the CRRS in its technical sites containing anonymous statistical data from the above-mentioned systems, the common identity repository, the multiple-identity detector and the shared biometric matching service. The data contained in the CRRS should not enable the identification of individuals. eu-LISA should render the data anonymous and should record such anonymous data in the CRRS. The process for rendering the data anonymous should be automated and no direct access by eu-LISA staff should be granted to any personal data stored in the EU information systems or in the interoperability components.</w:t>
      </w:r>
    </w:p>
    <w:p>
      <w:pPr>
        <w:pStyle w:val="ManualConsidrant"/>
        <w:rPr>
          <w:noProof/>
        </w:rPr>
      </w:pPr>
      <w:r>
        <w:t>(48)</w:t>
      </w:r>
      <w:r>
        <w:tab/>
      </w:r>
      <w:r>
        <w:rPr>
          <w:noProof/>
        </w:rPr>
        <w:t xml:space="preserve">Regulation (EU) 2016/679 should apply to the processing of personal data under this Regulation by national authorities unless such processing is carried out by the </w:t>
      </w:r>
      <w:r>
        <w:rPr>
          <w:noProof/>
        </w:rPr>
        <w:lastRenderedPageBreak/>
        <w:t>designated authorities or central access points of the Member States for the purposes of the prevention, detection or investigation of terrorist offences or of other serious criminal offences, when Directive (EU) 2016/680 of the European Parliament and of the Council should apply.</w:t>
      </w:r>
    </w:p>
    <w:p>
      <w:pPr>
        <w:pStyle w:val="ManualConsidrant"/>
        <w:rPr>
          <w:noProof/>
        </w:rPr>
      </w:pPr>
      <w:r>
        <w:t>(49)</w:t>
      </w:r>
      <w:r>
        <w:tab/>
      </w:r>
      <w:r>
        <w:rPr>
          <w:noProof/>
        </w:rPr>
        <w:t>The specific provisions on data protection of [the EES Regulation], Regulation (EC) No 767/2008, [the ETIAS Regulation] and [the Regulation on SIS in the field of border checks] should apply to the processing of personal data in those respective systems.</w:t>
      </w:r>
    </w:p>
    <w:p>
      <w:pPr>
        <w:pStyle w:val="ManualConsidrant"/>
        <w:rPr>
          <w:noProof/>
        </w:rPr>
      </w:pPr>
      <w:r>
        <w:t>(50)</w:t>
      </w:r>
      <w:r>
        <w:tab/>
      </w:r>
      <w:r>
        <w:rPr>
          <w:noProof/>
        </w:rPr>
        <w:t>Regulation (EC) No 45/2001 of the European Parliament and of the Council</w:t>
      </w:r>
      <w:r>
        <w:rPr>
          <w:rStyle w:val="FootnoteReference"/>
          <w:noProof/>
        </w:rPr>
        <w:footnoteReference w:id="59"/>
      </w:r>
      <w:r>
        <w:rPr>
          <w:noProof/>
        </w:rPr>
        <w:t xml:space="preserve"> should apply to the processing of personal data by eu-LISA and other institutions and bodies of the Union when carrying out their responsibilities under this Regulation, without prejudice to Regulation (EU) 2016/794, which should apply to the processing of personal data by Europol.</w:t>
      </w:r>
    </w:p>
    <w:p>
      <w:pPr>
        <w:pStyle w:val="ManualConsidrant"/>
        <w:rPr>
          <w:noProof/>
        </w:rPr>
      </w:pPr>
      <w:r>
        <w:t>(51)</w:t>
      </w:r>
      <w:r>
        <w:tab/>
      </w:r>
      <w:r>
        <w:rPr>
          <w:noProof/>
        </w:rPr>
        <w:t>The national supervisory authorities established in accordance with [Regulation (EU) 2016/679] should monitor the lawfulness of the processing of personal data by the Member States, whilst the European Data Protection Supervisor as established by Regulation (EC) No 45/2001 should monitor the activities of the Union institutions and bodies in relation to the processing of personal data. The European Data Protection Supervisor and the supervisory authorities should cooperate with each other in the monitoring of the processing of personal data by interoperability components.</w:t>
      </w:r>
    </w:p>
    <w:p>
      <w:pPr>
        <w:pStyle w:val="ManualConsidrant"/>
        <w:rPr>
          <w:noProof/>
        </w:rPr>
      </w:pPr>
      <w:r>
        <w:t>(52)</w:t>
      </w:r>
      <w:r>
        <w:tab/>
      </w:r>
      <w:r>
        <w:rPr>
          <w:noProof/>
        </w:rPr>
        <w:t>"(...) The European Data Protection Supervisor was consulted in accordance with Article 28(2) of Regulation (EC) No 45/2001 and delivered an opinion on … "</w:t>
      </w:r>
    </w:p>
    <w:p>
      <w:pPr>
        <w:pStyle w:val="ManualConsidrant"/>
        <w:rPr>
          <w:noProof/>
        </w:rPr>
      </w:pPr>
      <w:r>
        <w:t>(53)</w:t>
      </w:r>
      <w:r>
        <w:tab/>
      </w:r>
      <w:r>
        <w:rPr>
          <w:noProof/>
        </w:rPr>
        <w:t>Insofar as confidentiality is concerned, the relevant provisions of the Staff Regulations of officials and the Conditions of Employment of other servants of the European Union should apply to officials or other servants employed and working in connection with SIS.</w:t>
      </w:r>
    </w:p>
    <w:p>
      <w:pPr>
        <w:pStyle w:val="ManualConsidrant"/>
        <w:rPr>
          <w:noProof/>
        </w:rPr>
      </w:pPr>
      <w:r>
        <w:t>(54)</w:t>
      </w:r>
      <w:r>
        <w:tab/>
      </w:r>
      <w:r>
        <w:rPr>
          <w:noProof/>
        </w:rPr>
        <w:t>Both the Member States and eu-LISA should maintain security plans in order to facilitate the implementation of security obligations and should cooperate with each other in order to address security issues. eu-LISA should also make sure there is a continuous use of the latest technological developments to ensure data integrity regarding the development, design and management of the interoperability components.</w:t>
      </w:r>
    </w:p>
    <w:p>
      <w:pPr>
        <w:pStyle w:val="ManualConsidrant"/>
        <w:rPr>
          <w:noProof/>
        </w:rPr>
      </w:pPr>
      <w:r>
        <w:t>(55)</w:t>
      </w:r>
      <w:r>
        <w:tab/>
      </w:r>
      <w:r>
        <w:rPr>
          <w:noProof/>
        </w:rPr>
        <w:t>The implementation of the interoperability components provided for in this Regulation will have an impact on the way checks are carried out at border crossing points. These impacts will result from a combined application of the existing rules of the Regulation (EU) 2016/399 of the European Parliament and of the Council</w:t>
      </w:r>
      <w:r>
        <w:rPr>
          <w:rStyle w:val="FootnoteReference"/>
          <w:noProof/>
        </w:rPr>
        <w:footnoteReference w:id="60"/>
      </w:r>
      <w:r>
        <w:rPr>
          <w:noProof/>
        </w:rPr>
        <w:t xml:space="preserve"> and the rules on interoperability provided for in this Regulation.</w:t>
      </w:r>
    </w:p>
    <w:p>
      <w:pPr>
        <w:pStyle w:val="ManualConsidrant"/>
        <w:rPr>
          <w:noProof/>
        </w:rPr>
      </w:pPr>
      <w:r>
        <w:t>(56)</w:t>
      </w:r>
      <w:r>
        <w:tab/>
      </w:r>
      <w:r>
        <w:rPr>
          <w:noProof/>
        </w:rPr>
        <w:t xml:space="preserve">As a consequence of this combined application of the rules, the European search portal (ESP) should constitute the main access point for the compulsory systematic consultation of databases for third-country nationals at border crossing points provided for by the Schengen Borders Code. In addition, the identity data that led to the classification of a link in the multiple-identity detector (MID) as a red link should be </w:t>
      </w:r>
      <w:r>
        <w:rPr>
          <w:noProof/>
        </w:rPr>
        <w:lastRenderedPageBreak/>
        <w:t>taken into account by the border guards for assessing whether or not the person fulfils the conditions of entry defined in the Schengen Borders Code. However the presence of a red link should not in itself constitute a ground for refusal of entry and the existing grounds for refusal of entry listed in the Schengen Borders Code should therefore not be amended.</w:t>
      </w:r>
    </w:p>
    <w:p>
      <w:pPr>
        <w:pStyle w:val="ManualConsidrant"/>
        <w:rPr>
          <w:noProof/>
        </w:rPr>
      </w:pPr>
      <w:r>
        <w:t>(57)</w:t>
      </w:r>
      <w:r>
        <w:tab/>
      </w:r>
      <w:r>
        <w:rPr>
          <w:noProof/>
        </w:rPr>
        <w:t>It would be appropriate to update the Practical Handbook for Border Guards to make these clarifications explicit.</w:t>
      </w:r>
    </w:p>
    <w:p>
      <w:pPr>
        <w:pStyle w:val="ManualConsidrant"/>
        <w:rPr>
          <w:noProof/>
        </w:rPr>
      </w:pPr>
      <w:r>
        <w:t>(58)</w:t>
      </w:r>
      <w:r>
        <w:tab/>
      </w:r>
      <w:r>
        <w:rPr>
          <w:noProof/>
        </w:rPr>
        <w:t>However, an amendment of Regulation (EU) 2016/399 would be required in order to add the obligation for the border guard to refer a third-country national to second-line check in case the consultation of the multiple-identity detector (MID) through the European search portal (ESP) would indicate the existence of a yellow link or a red link, in view of not prolonging the waiting time in the first-line checks.</w:t>
      </w:r>
    </w:p>
    <w:p>
      <w:pPr>
        <w:pStyle w:val="ManualConsidrant"/>
        <w:rPr>
          <w:noProof/>
        </w:rPr>
      </w:pPr>
      <w:r>
        <w:t>(59)</w:t>
      </w:r>
      <w:r>
        <w:tab/>
      </w:r>
      <w:r>
        <w:rPr>
          <w:noProof/>
        </w:rPr>
        <w:t>Should the query of the multiple-identity detector (MID) through the European search portal (ESP) result in a yellow link or detect a red link, the border guard on second line should consult the common identity repository or the Schengen Information System or both in order to assess the information on the person being checked, to manually verify his/her different identity and to adapt the colour of the link if required.</w:t>
      </w:r>
    </w:p>
    <w:p>
      <w:pPr>
        <w:pStyle w:val="ManualConsidrant"/>
        <w:rPr>
          <w:noProof/>
        </w:rPr>
      </w:pPr>
      <w:r>
        <w:t>(60)</w:t>
      </w:r>
      <w:r>
        <w:tab/>
      </w:r>
      <w:r>
        <w:rPr>
          <w:noProof/>
          <w:color w:val="000000"/>
        </w:rPr>
        <w:t xml:space="preserve">To support the purposes of statistics and reporting, it is necessary to grant access to </w:t>
      </w:r>
      <w:r>
        <w:rPr>
          <w:noProof/>
        </w:rPr>
        <w:t xml:space="preserve">authorised staff of the competent authorities, institutions and bodies identified in this Regulation to consult certain data related to certain interoperability components without enabling individual identification. </w:t>
      </w:r>
    </w:p>
    <w:p>
      <w:pPr>
        <w:pStyle w:val="ManualConsidrant"/>
        <w:rPr>
          <w:noProof/>
        </w:rPr>
      </w:pPr>
      <w:r>
        <w:t>(61)</w:t>
      </w:r>
      <w:r>
        <w:tab/>
      </w:r>
      <w:r>
        <w:rPr>
          <w:noProof/>
        </w:rPr>
        <w:t>In order to allow competent authorities and the EU bodies to adapt to the new requirements on</w:t>
      </w:r>
      <w:r>
        <w:rPr>
          <w:noProof/>
          <w:sz w:val="23"/>
          <w:szCs w:val="23"/>
        </w:rPr>
        <w:t xml:space="preserve"> </w:t>
      </w:r>
      <w:r>
        <w:rPr>
          <w:noProof/>
        </w:rPr>
        <w:t xml:space="preserve">the use of the </w:t>
      </w:r>
      <w:r>
        <w:rPr>
          <w:noProof/>
          <w:szCs w:val="24"/>
        </w:rPr>
        <w:t>European search portal (</w:t>
      </w:r>
      <w:r>
        <w:rPr>
          <w:noProof/>
        </w:rPr>
        <w:t>ESP), it is necessary to provide for a transitional period. Similarly, in order to allow for the coherent and optimal functioning of the multiple-identity detector (MID), transitional measures should be established for the start of its operations.</w:t>
      </w:r>
    </w:p>
    <w:p>
      <w:pPr>
        <w:pStyle w:val="ManualConsidrant"/>
        <w:rPr>
          <w:noProof/>
        </w:rPr>
      </w:pPr>
      <w:r>
        <w:t>(62)</w:t>
      </w:r>
      <w:r>
        <w:tab/>
      </w:r>
      <w:r>
        <w:rPr>
          <w:noProof/>
        </w:rPr>
        <w:t>The costs for the development of the interoperability components projected under the current Multiannual Financial Framework are lower than the remaining amount on the budget earmarked for Smart Borders in Regulation (EU) No 515/2014 of the European Parliament and the Council</w:t>
      </w:r>
      <w:r>
        <w:rPr>
          <w:rStyle w:val="FootnoteReference"/>
          <w:noProof/>
        </w:rPr>
        <w:footnoteReference w:id="61"/>
      </w:r>
      <w:r>
        <w:rPr>
          <w:noProof/>
        </w:rPr>
        <w:t>. Accordingly, this Regulation, pursuant to Article 5(5)(b) of Regulation (EU) No 515/2014, should reallocate the amount currently attributed for developing IT systems supporting the management of migration flows across the external borders.</w:t>
      </w:r>
    </w:p>
    <w:p>
      <w:pPr>
        <w:pStyle w:val="ManualConsidrant"/>
        <w:rPr>
          <w:noProof/>
        </w:rPr>
      </w:pPr>
      <w:r>
        <w:t>(63)</w:t>
      </w:r>
      <w:r>
        <w:tab/>
      </w:r>
      <w:r>
        <w:rPr>
          <w:noProof/>
        </w:rPr>
        <w:t xml:space="preserve">In order to </w:t>
      </w:r>
      <w:r>
        <w:rPr>
          <w:noProof/>
          <w:szCs w:val="24"/>
        </w:rPr>
        <w:t>supplement certain detailed technical aspects of this Regulation</w:t>
      </w:r>
      <w:r>
        <w:rPr>
          <w:noProof/>
        </w:rPr>
        <w:t xml:space="preserve">, the power to adopt acts in accordance with Article 290 of the Treaty on the Functioning of the European Union should be delegated to the Commission in respect of </w:t>
      </w:r>
      <w:r>
        <w:rPr>
          <w:noProof/>
          <w:szCs w:val="24"/>
        </w:rPr>
        <w:t>the profiles for the users of the</w:t>
      </w:r>
      <w:r>
        <w:rPr>
          <w:noProof/>
        </w:rPr>
        <w:t xml:space="preserve"> </w:t>
      </w:r>
      <w:r>
        <w:rPr>
          <w:noProof/>
          <w:szCs w:val="24"/>
        </w:rPr>
        <w:t xml:space="preserve">European search portal (ESP) and the </w:t>
      </w:r>
      <w:r>
        <w:rPr>
          <w:noProof/>
        </w:rPr>
        <w:t xml:space="preserve">content and </w:t>
      </w:r>
      <w:r>
        <w:rPr>
          <w:noProof/>
          <w:szCs w:val="24"/>
        </w:rPr>
        <w:t>format of the ESP replies</w:t>
      </w:r>
      <w:r>
        <w:rPr>
          <w:noProof/>
        </w:rPr>
        <w:t>. It is of particular importance that the Commission carry out appropriate consultations during its preparatory work, including at expert level, and that those consultations be conducted in accordance with the principles laid down in the Interinstitutional Agreement on Better Law-Making of 13 April 2016</w:t>
      </w:r>
      <w:r>
        <w:rPr>
          <w:rStyle w:val="FootnoteReference"/>
          <w:noProof/>
        </w:rPr>
        <w:footnoteReference w:id="62"/>
      </w:r>
      <w:r>
        <w:rPr>
          <w:noProof/>
        </w:rPr>
        <w:t xml:space="preserve">. In particular, to ensure equal participation in the preparation of delegated acts, the European </w:t>
      </w:r>
      <w:r>
        <w:rPr>
          <w:noProof/>
        </w:rPr>
        <w:lastRenderedPageBreak/>
        <w:t>Parliament and the Council should receive all documents at the same time as Member State experts, and their experts should systematically have access to meetings of Commission expert groups dealing with the preparation of delegated acts.</w:t>
      </w:r>
    </w:p>
    <w:p>
      <w:pPr>
        <w:pStyle w:val="ManualConsidrant"/>
        <w:rPr>
          <w:noProof/>
        </w:rPr>
      </w:pPr>
      <w:r>
        <w:t>(64)</w:t>
      </w:r>
      <w:r>
        <w:tab/>
      </w:r>
      <w:r>
        <w:rPr>
          <w:noProof/>
        </w:rPr>
        <w:t xml:space="preserve">In order to ensure uniform conditions for the implementation of this Regulation, implementing powers should be conferred on the Commission to adopt detailed rules on: automated </w:t>
      </w:r>
      <w:r>
        <w:rPr>
          <w:noProof/>
          <w:szCs w:val="24"/>
        </w:rPr>
        <w:t xml:space="preserve">data </w:t>
      </w:r>
      <w:r>
        <w:rPr>
          <w:noProof/>
        </w:rPr>
        <w:t xml:space="preserve">quality control </w:t>
      </w:r>
      <w:r>
        <w:rPr>
          <w:noProof/>
          <w:szCs w:val="24"/>
        </w:rPr>
        <w:t>mechanisms</w:t>
      </w:r>
      <w:r>
        <w:rPr>
          <w:noProof/>
        </w:rPr>
        <w:t>, procedures and indicators; development of the UMF standard; procedures for determining cases of similarity of identities; the operation of the central repository for reporting and statistics; and cooperation procedure in case of security incidents. Those powers should be exercised in accordance with Regulation (EU) No 182/2011 of the European Parliament and of the Council</w:t>
      </w:r>
      <w:r>
        <w:rPr>
          <w:rStyle w:val="FootnoteReference"/>
          <w:noProof/>
        </w:rPr>
        <w:footnoteReference w:id="63"/>
      </w:r>
      <w:r>
        <w:rPr>
          <w:noProof/>
        </w:rPr>
        <w:t>.</w:t>
      </w:r>
    </w:p>
    <w:p>
      <w:pPr>
        <w:pStyle w:val="ManualConsidrant"/>
        <w:rPr>
          <w:noProof/>
        </w:rPr>
      </w:pPr>
      <w:r>
        <w:t>(65)</w:t>
      </w:r>
      <w:r>
        <w:tab/>
      </w:r>
      <w:r>
        <w:rPr>
          <w:noProof/>
        </w:rPr>
        <w:t>Regulation 2016/794 shall apply for any processing of Europol data for the purposes of this Regulation.</w:t>
      </w:r>
    </w:p>
    <w:p>
      <w:pPr>
        <w:pStyle w:val="ManualConsidrant"/>
        <w:rPr>
          <w:noProof/>
        </w:rPr>
      </w:pPr>
      <w:r>
        <w:t>(66)</w:t>
      </w:r>
      <w:r>
        <w:tab/>
      </w:r>
      <w:r>
        <w:rPr>
          <w:noProof/>
        </w:rPr>
        <w:t>This Regulation is without prejudice to the application of Directive 2004/38/EC.</w:t>
      </w:r>
    </w:p>
    <w:p>
      <w:pPr>
        <w:pStyle w:val="ManualConsidrant"/>
        <w:rPr>
          <w:noProof/>
        </w:rPr>
      </w:pPr>
      <w:r>
        <w:t>(67)</w:t>
      </w:r>
      <w:r>
        <w:tab/>
      </w:r>
      <w:r>
        <w:rPr>
          <w:noProof/>
        </w:rPr>
        <w:t xml:space="preserve">This Regulation constitutes a development of the provisions of the Schengen </w:t>
      </w:r>
      <w:r>
        <w:rPr>
          <w:i/>
          <w:iCs/>
          <w:noProof/>
        </w:rPr>
        <w:t>acquis</w:t>
      </w:r>
      <w:r>
        <w:rPr>
          <w:iCs/>
          <w:noProof/>
        </w:rPr>
        <w:t>.</w:t>
      </w:r>
      <w:r>
        <w:rPr>
          <w:i/>
          <w:iCs/>
          <w:noProof/>
        </w:rPr>
        <w:t xml:space="preserve"> </w:t>
      </w:r>
    </w:p>
    <w:p>
      <w:pPr>
        <w:pStyle w:val="ManualConsidrant"/>
        <w:rPr>
          <w:noProof/>
        </w:rPr>
      </w:pPr>
      <w:r>
        <w:t>(68)</w:t>
      </w:r>
      <w:r>
        <w:tab/>
      </w:r>
      <w:r>
        <w:rPr>
          <w:noProof/>
        </w:rPr>
        <w:t xml:space="preserve">In accordance with Articles 1 and 2 of Protocol No 22 on the Position of Denmark, annexed to the Treaty on European Union and to the Treaty on the Functioning of European Union, Denmark is not taking part in the adoption of this Regulation and is not bound by it or subject to its application. Given that this Regulation builds upon the Schengen </w:t>
      </w:r>
      <w:r>
        <w:rPr>
          <w:i/>
          <w:noProof/>
        </w:rPr>
        <w:t>acquis</w:t>
      </w:r>
      <w:r>
        <w:rPr>
          <w:noProof/>
        </w:rPr>
        <w:t xml:space="preserve">, Denmark shall, in accordance with Article 4 of that Protocol, decide within a period of six months after the adoption of this Regulation whether it will implement it in its national law. </w:t>
      </w:r>
    </w:p>
    <w:p>
      <w:pPr>
        <w:pStyle w:val="ManualConsidrant"/>
        <w:rPr>
          <w:noProof/>
        </w:rPr>
      </w:pPr>
      <w:r>
        <w:t>(69)</w:t>
      </w:r>
      <w:r>
        <w:tab/>
      </w:r>
      <w:r>
        <w:rPr>
          <w:noProof/>
        </w:rPr>
        <w:t xml:space="preserve">This Regulation constitutes a development of the provisions of the Schengen </w:t>
      </w:r>
      <w:r>
        <w:rPr>
          <w:i/>
          <w:noProof/>
        </w:rPr>
        <w:t>acquis</w:t>
      </w:r>
      <w:r>
        <w:rPr>
          <w:noProof/>
        </w:rPr>
        <w:t xml:space="preserve"> in which the United Kingdom does not take part, in accordance with Council Decision </w:t>
      </w:r>
      <w:r>
        <w:rPr>
          <w:noProof/>
          <w:szCs w:val="24"/>
        </w:rPr>
        <w:t>2000/365/EC</w:t>
      </w:r>
      <w:r>
        <w:rPr>
          <w:rStyle w:val="FootnoteReference"/>
          <w:noProof/>
        </w:rPr>
        <w:footnoteReference w:id="64"/>
      </w:r>
      <w:r>
        <w:rPr>
          <w:noProof/>
        </w:rPr>
        <w:t xml:space="preserve">; the United Kingdom is therefore not taking part in the adoption of this Regulation and is not bound by it or subject to its application. </w:t>
      </w:r>
    </w:p>
    <w:p>
      <w:pPr>
        <w:pStyle w:val="ManualConsidrant"/>
        <w:rPr>
          <w:noProof/>
        </w:rPr>
      </w:pPr>
      <w:r>
        <w:t>(70)</w:t>
      </w:r>
      <w:r>
        <w:tab/>
      </w:r>
      <w:r>
        <w:rPr>
          <w:noProof/>
        </w:rPr>
        <w:t xml:space="preserve">This Regulation constitutes a development of the provisions of the Schengen </w:t>
      </w:r>
      <w:r>
        <w:rPr>
          <w:i/>
          <w:noProof/>
        </w:rPr>
        <w:t>acquis</w:t>
      </w:r>
      <w:r>
        <w:rPr>
          <w:noProof/>
        </w:rPr>
        <w:t xml:space="preserve"> in which Ireland does not take part, in accordance with Council Decision 2002/192/EC</w:t>
      </w:r>
      <w:r>
        <w:rPr>
          <w:rStyle w:val="FootnoteReference"/>
          <w:noProof/>
        </w:rPr>
        <w:footnoteReference w:id="65"/>
      </w:r>
      <w:r>
        <w:rPr>
          <w:noProof/>
        </w:rPr>
        <w:t>; Ireland is therefore not taking part in the adoption of this Regulation and is not bound by it nor subject to its application.</w:t>
      </w:r>
    </w:p>
    <w:p>
      <w:pPr>
        <w:pStyle w:val="ManualConsidrant"/>
        <w:rPr>
          <w:noProof/>
        </w:rPr>
      </w:pPr>
      <w:r>
        <w:t>(71)</w:t>
      </w:r>
      <w:r>
        <w:tab/>
      </w:r>
      <w:r>
        <w:rPr>
          <w:noProof/>
        </w:rPr>
        <w:t>As regards Iceland and Norway, this Regulation constitutes a development of the provisions of the Schengen acquis within the meaning of the Agreement concluded by the Council of the European Union and the Republic of Iceland and the Kingdom of Norway concerning the association of those two States with the implementation, application and development of the Schengen acquis</w:t>
      </w:r>
      <w:r>
        <w:rPr>
          <w:rStyle w:val="FootnoteReference"/>
          <w:noProof/>
          <w:szCs w:val="24"/>
        </w:rPr>
        <w:footnoteReference w:id="66"/>
      </w:r>
      <w:r>
        <w:rPr>
          <w:noProof/>
        </w:rPr>
        <w:t xml:space="preserve"> which fall within the area referred to in Article 1, points A, B and G of Council Decision 1999/437/EC of 17 May 1999 on certain arrangements for the application of that Agreement</w:t>
      </w:r>
      <w:r>
        <w:rPr>
          <w:rStyle w:val="FootnoteReference"/>
          <w:noProof/>
          <w:szCs w:val="24"/>
        </w:rPr>
        <w:footnoteReference w:id="67"/>
      </w:r>
      <w:r>
        <w:rPr>
          <w:noProof/>
        </w:rPr>
        <w:t xml:space="preserve">. </w:t>
      </w:r>
    </w:p>
    <w:p>
      <w:pPr>
        <w:pStyle w:val="ManualConsidrant"/>
        <w:rPr>
          <w:noProof/>
        </w:rPr>
      </w:pPr>
      <w:r>
        <w:lastRenderedPageBreak/>
        <w:t>(72)</w:t>
      </w:r>
      <w:r>
        <w:tab/>
      </w:r>
      <w:r>
        <w:rPr>
          <w:noProof/>
        </w:rPr>
        <w:t>As regards Switzerland, this Regulation constitutes</w:t>
      </w:r>
      <w:r>
        <w:rPr>
          <w:noProof/>
          <w:szCs w:val="24"/>
        </w:rPr>
        <w:t xml:space="preserve"> </w:t>
      </w:r>
      <w:r>
        <w:rPr>
          <w:noProof/>
        </w:rPr>
        <w:t xml:space="preserve">a development of the provisions of the Schengen acquis within the meaning of the Agreement between the European Union, the European Community and the Swiss Confederation </w:t>
      </w:r>
      <w:r>
        <w:rPr>
          <w:noProof/>
          <w:szCs w:val="24"/>
        </w:rPr>
        <w:t>concerning the association of</w:t>
      </w:r>
      <w:r>
        <w:rPr>
          <w:noProof/>
        </w:rPr>
        <w:t xml:space="preserve"> the Swiss </w:t>
      </w:r>
      <w:r>
        <w:rPr>
          <w:noProof/>
          <w:szCs w:val="24"/>
        </w:rPr>
        <w:t>Confederation</w:t>
      </w:r>
      <w:r>
        <w:rPr>
          <w:noProof/>
        </w:rPr>
        <w:t xml:space="preserve"> with the implementation, application and development of the Schengen acquis</w:t>
      </w:r>
      <w:r>
        <w:rPr>
          <w:rStyle w:val="FootnoteReference"/>
          <w:noProof/>
        </w:rPr>
        <w:footnoteReference w:id="68"/>
      </w:r>
      <w:r>
        <w:rPr>
          <w:noProof/>
        </w:rPr>
        <w:t xml:space="preserve"> which fall within the area referred to in Article 1, </w:t>
      </w:r>
      <w:r>
        <w:rPr>
          <w:noProof/>
          <w:szCs w:val="24"/>
        </w:rPr>
        <w:t>points</w:t>
      </w:r>
      <w:r>
        <w:rPr>
          <w:noProof/>
        </w:rPr>
        <w:t xml:space="preserve"> A</w:t>
      </w:r>
      <w:r>
        <w:rPr>
          <w:noProof/>
          <w:szCs w:val="24"/>
        </w:rPr>
        <w:t>, B and G</w:t>
      </w:r>
      <w:r>
        <w:rPr>
          <w:noProof/>
        </w:rPr>
        <w:t xml:space="preserve"> of Decision 1999/437/EC read in conjunction with Article 3 of Council Decision 2008/146/</w:t>
      </w:r>
      <w:r>
        <w:rPr>
          <w:noProof/>
          <w:szCs w:val="24"/>
        </w:rPr>
        <w:t>EC</w:t>
      </w:r>
      <w:r>
        <w:rPr>
          <w:rStyle w:val="FootnoteReference"/>
          <w:noProof/>
          <w:szCs w:val="24"/>
        </w:rPr>
        <w:footnoteReference w:id="69"/>
      </w:r>
      <w:r>
        <w:rPr>
          <w:noProof/>
          <w:szCs w:val="24"/>
        </w:rPr>
        <w:t>.</w:t>
      </w:r>
      <w:r>
        <w:rPr>
          <w:noProof/>
        </w:rPr>
        <w:t xml:space="preserve"> </w:t>
      </w:r>
    </w:p>
    <w:p>
      <w:pPr>
        <w:pStyle w:val="ManualConsidrant"/>
        <w:rPr>
          <w:noProof/>
        </w:rPr>
      </w:pPr>
      <w:r>
        <w:t>(73)</w:t>
      </w:r>
      <w:r>
        <w:tab/>
      </w:r>
      <w:r>
        <w:rPr>
          <w:noProof/>
        </w:rPr>
        <w:t>As regards Liechtenstein, this Regulation constitutes</w:t>
      </w:r>
      <w:r>
        <w:rPr>
          <w:noProof/>
          <w:szCs w:val="24"/>
        </w:rPr>
        <w:t xml:space="preserve"> </w:t>
      </w:r>
      <w:r>
        <w:rPr>
          <w:noProof/>
        </w:rPr>
        <w:t xml:space="preserve">a development of the provisions of the Schengen </w:t>
      </w:r>
      <w:r>
        <w:rPr>
          <w:i/>
          <w:noProof/>
        </w:rPr>
        <w:t xml:space="preserve">acquis </w:t>
      </w:r>
      <w:r>
        <w:rPr>
          <w:noProof/>
        </w:rPr>
        <w:t xml:space="preserve">within the meaning of the Protocol between the European Union, the European Community, the Swiss Confederation and the Principality of Liechtenstein on the accession of the Principality of Liechtenstein to the Agreement between the European Union, the European Community and the Swiss Confederation on the Swiss </w:t>
      </w:r>
      <w:r>
        <w:rPr>
          <w:noProof/>
          <w:szCs w:val="24"/>
        </w:rPr>
        <w:t>Confederation’s</w:t>
      </w:r>
      <w:r>
        <w:rPr>
          <w:noProof/>
        </w:rPr>
        <w:t xml:space="preserve"> association with the implementation, application and development of the Schengen </w:t>
      </w:r>
      <w:r>
        <w:rPr>
          <w:i/>
          <w:iCs/>
          <w:noProof/>
          <w:szCs w:val="24"/>
        </w:rPr>
        <w:t>acquis</w:t>
      </w:r>
      <w:r>
        <w:rPr>
          <w:rStyle w:val="FootnoteReference"/>
          <w:noProof/>
          <w:szCs w:val="24"/>
        </w:rPr>
        <w:footnoteReference w:id="70"/>
      </w:r>
      <w:r>
        <w:rPr>
          <w:noProof/>
        </w:rPr>
        <w:t xml:space="preserve"> which fall within the area referred to in Article 1, </w:t>
      </w:r>
      <w:r>
        <w:rPr>
          <w:noProof/>
          <w:szCs w:val="24"/>
        </w:rPr>
        <w:t>points</w:t>
      </w:r>
      <w:r>
        <w:rPr>
          <w:noProof/>
        </w:rPr>
        <w:t xml:space="preserve"> A</w:t>
      </w:r>
      <w:r>
        <w:rPr>
          <w:noProof/>
          <w:szCs w:val="24"/>
        </w:rPr>
        <w:t>, B and G of</w:t>
      </w:r>
      <w:r>
        <w:rPr>
          <w:noProof/>
        </w:rPr>
        <w:t xml:space="preserve"> Decision 1999/437/EC read in conjunction with Article 3 of Council Decision 2011/350/</w:t>
      </w:r>
      <w:r>
        <w:rPr>
          <w:noProof/>
          <w:szCs w:val="24"/>
        </w:rPr>
        <w:t>EU</w:t>
      </w:r>
      <w:r>
        <w:rPr>
          <w:rStyle w:val="FootnoteReference"/>
          <w:noProof/>
          <w:szCs w:val="24"/>
        </w:rPr>
        <w:footnoteReference w:id="71"/>
      </w:r>
      <w:r>
        <w:rPr>
          <w:noProof/>
          <w:szCs w:val="24"/>
        </w:rPr>
        <w:t>.</w:t>
      </w:r>
      <w:r>
        <w:rPr>
          <w:noProof/>
        </w:rPr>
        <w:t xml:space="preserve"> </w:t>
      </w:r>
    </w:p>
    <w:p>
      <w:pPr>
        <w:pStyle w:val="ManualConsidrant"/>
        <w:rPr>
          <w:noProof/>
        </w:rPr>
      </w:pPr>
      <w:r>
        <w:t>(74)</w:t>
      </w:r>
      <w:r>
        <w:tab/>
      </w:r>
      <w:r>
        <w:rPr>
          <w:noProof/>
        </w:rPr>
        <w:t>As regards Cyprus, the provisions related to the SIS and the VIS constitute provisions building upon, or otherwise related to, the Schengen acquis within the meaning of Article 3(2) of the 2003 Act of Accession.</w:t>
      </w:r>
    </w:p>
    <w:p>
      <w:pPr>
        <w:pStyle w:val="ManualConsidrant"/>
        <w:rPr>
          <w:noProof/>
        </w:rPr>
      </w:pPr>
      <w:r>
        <w:t>(75)</w:t>
      </w:r>
      <w:r>
        <w:tab/>
      </w:r>
      <w:r>
        <w:rPr>
          <w:noProof/>
        </w:rPr>
        <w:t>As regards Bulgaria and Romania, the provisions related to the SIS and the VIS constitute provisions building upon, or otherwise related to, the Schengen acquis within the meaning of Article 4(2) of the 2005 Act of Accession read in conjunction with Council Decision 2010/365/EU</w:t>
      </w:r>
      <w:r>
        <w:rPr>
          <w:rStyle w:val="FootnoteReference"/>
          <w:noProof/>
        </w:rPr>
        <w:footnoteReference w:id="72"/>
      </w:r>
      <w:r>
        <w:rPr>
          <w:noProof/>
        </w:rPr>
        <w:t xml:space="preserve"> and Council Decision (EU) 2017/1908</w:t>
      </w:r>
      <w:r>
        <w:rPr>
          <w:rStyle w:val="FootnoteReference"/>
          <w:noProof/>
        </w:rPr>
        <w:footnoteReference w:id="73"/>
      </w:r>
      <w:r>
        <w:rPr>
          <w:noProof/>
        </w:rPr>
        <w:t>.</w:t>
      </w:r>
    </w:p>
    <w:p>
      <w:pPr>
        <w:pStyle w:val="ManualConsidrant"/>
        <w:rPr>
          <w:noProof/>
        </w:rPr>
      </w:pPr>
      <w:r>
        <w:t>(76)</w:t>
      </w:r>
      <w:r>
        <w:tab/>
      </w:r>
      <w:r>
        <w:rPr>
          <w:noProof/>
        </w:rPr>
        <w:t>As regards Croatia, the provisions related to the SIS and the VIS constitute provisions building upon, or otherwise related to, the Schengen acquis within the meaning of Article 4(2) of the 2011 Act of Accession read in conjunction with Council Decision (EU) 2017/733</w:t>
      </w:r>
      <w:r>
        <w:rPr>
          <w:rStyle w:val="FootnoteReference"/>
          <w:noProof/>
        </w:rPr>
        <w:footnoteReference w:id="74"/>
      </w:r>
      <w:r>
        <w:rPr>
          <w:noProof/>
        </w:rPr>
        <w:t xml:space="preserve">. </w:t>
      </w:r>
    </w:p>
    <w:p>
      <w:pPr>
        <w:pStyle w:val="ManualConsidrant"/>
        <w:rPr>
          <w:noProof/>
        </w:rPr>
      </w:pPr>
      <w:r>
        <w:t>(77)</w:t>
      </w:r>
      <w:r>
        <w:tab/>
      </w:r>
      <w:r>
        <w:rPr>
          <w:noProof/>
        </w:rPr>
        <w:t>This Regulation respects the fundamental rights and observes the principles recognised in particular by the Charter of Fundamental Rights of the European Union and shall be applied in accordance with those rights and principles.</w:t>
      </w:r>
    </w:p>
    <w:p>
      <w:pPr>
        <w:pStyle w:val="ManualConsidrant"/>
        <w:rPr>
          <w:noProof/>
        </w:rPr>
      </w:pPr>
      <w:r>
        <w:t>(78)</w:t>
      </w:r>
      <w:r>
        <w:tab/>
      </w:r>
      <w:r>
        <w:rPr>
          <w:noProof/>
        </w:rPr>
        <w:t xml:space="preserve">In order to have this Regulation fit into the existing legal framework, the Regulation (EU) 2016/399, </w:t>
      </w:r>
      <w:r>
        <w:rPr>
          <w:bCs/>
          <w:noProof/>
        </w:rPr>
        <w:t>Regulation (EU) 2017/2226</w:t>
      </w:r>
      <w:r>
        <w:rPr>
          <w:noProof/>
        </w:rPr>
        <w:t xml:space="preserve">, Council Decision 2008/633/JHA, Regulation (EC) 767/2008 and Council Decision 2004/512/EC should be amended accordingly, </w:t>
      </w:r>
    </w:p>
    <w:p>
      <w:pPr>
        <w:rPr>
          <w:noProof/>
        </w:rPr>
      </w:pPr>
    </w:p>
    <w:p>
      <w:pPr>
        <w:rPr>
          <w:noProof/>
        </w:rPr>
      </w:pPr>
    </w:p>
    <w:p>
      <w:pPr>
        <w:pStyle w:val="Formuledadoption"/>
        <w:rPr>
          <w:noProof/>
        </w:rPr>
      </w:pPr>
      <w:r>
        <w:rPr>
          <w:noProof/>
        </w:rPr>
        <w:lastRenderedPageBreak/>
        <w:t>HAVE ADOPTED THIS REGULATION:</w:t>
      </w:r>
    </w:p>
    <w:p>
      <w:pPr>
        <w:pStyle w:val="ChapterTitle"/>
        <w:rPr>
          <w:noProof/>
        </w:rPr>
      </w:pPr>
      <w:r>
        <w:rPr>
          <w:noProof/>
        </w:rPr>
        <w:t>CHAPTER I</w:t>
      </w:r>
      <w:r>
        <w:rPr>
          <w:noProof/>
        </w:rPr>
        <w:br/>
        <w:t>General provisions</w:t>
      </w:r>
    </w:p>
    <w:p>
      <w:pPr>
        <w:pStyle w:val="Titrearticle"/>
        <w:spacing w:after="0"/>
        <w:rPr>
          <w:noProof/>
        </w:rPr>
      </w:pPr>
      <w:r>
        <w:rPr>
          <w:noProof/>
        </w:rPr>
        <w:t>Article 1</w:t>
      </w:r>
    </w:p>
    <w:p>
      <w:pPr>
        <w:pStyle w:val="Titrearticle"/>
        <w:spacing w:before="0"/>
        <w:rPr>
          <w:noProof/>
        </w:rPr>
      </w:pPr>
      <w:r>
        <w:rPr>
          <w:noProof/>
        </w:rPr>
        <w:t>Subject matter</w:t>
      </w:r>
    </w:p>
    <w:p>
      <w:pPr>
        <w:pStyle w:val="ManualNumPar1"/>
        <w:rPr>
          <w:iCs/>
          <w:noProof/>
        </w:rPr>
      </w:pPr>
      <w:r>
        <w:t>1.</w:t>
      </w:r>
      <w:r>
        <w:tab/>
      </w:r>
      <w:r>
        <w:rPr>
          <w:noProof/>
        </w:rPr>
        <w:t xml:space="preserve">This Regulation, together with [Regulation 2018/xx on interoperability </w:t>
      </w:r>
      <w:r>
        <w:rPr>
          <w:bCs/>
          <w:noProof/>
          <w:color w:val="000000"/>
          <w:szCs w:val="24"/>
        </w:rPr>
        <w:t>police and  judicial cooperation, asylum and migration</w:t>
      </w:r>
      <w:r>
        <w:rPr>
          <w:noProof/>
        </w:rPr>
        <w:t>], establishes a framework to ensure the interoperability between the Entry/Exit System (EES), the Visa Information System (VIS), [the European Travel Information and Authorisation System (ETIAS)], Eurodac, the Schengen Information System (SIS), and [the European Criminal Records Information System for third-country nationals (ECRIS-TCN)] in order for those systems and data to supplement each other</w:t>
      </w:r>
      <w:r>
        <w:rPr>
          <w:iCs/>
          <w:noProof/>
        </w:rPr>
        <w:t>.</w:t>
      </w:r>
    </w:p>
    <w:p>
      <w:pPr>
        <w:pStyle w:val="ManualNumPar1"/>
        <w:rPr>
          <w:noProof/>
        </w:rPr>
      </w:pPr>
      <w:r>
        <w:t>2.</w:t>
      </w:r>
      <w:r>
        <w:tab/>
      </w:r>
      <w:r>
        <w:rPr>
          <w:noProof/>
        </w:rPr>
        <w:t>The framework shall include the following interoperability components:</w:t>
      </w:r>
    </w:p>
    <w:p>
      <w:pPr>
        <w:pStyle w:val="Point1letter"/>
        <w:widowControl w:val="0"/>
        <w:numPr>
          <w:ilvl w:val="3"/>
          <w:numId w:val="62"/>
        </w:numPr>
        <w:adjustRightInd w:val="0"/>
        <w:textAlignment w:val="baseline"/>
        <w:rPr>
          <w:noProof/>
          <w:lang w:val="es-ES"/>
        </w:rPr>
      </w:pPr>
      <w:r>
        <w:rPr>
          <w:noProof/>
          <w:lang w:val="es-ES"/>
        </w:rPr>
        <w:t>a European search portal (ESP);</w:t>
      </w:r>
    </w:p>
    <w:p>
      <w:pPr>
        <w:pStyle w:val="Point1letter"/>
        <w:widowControl w:val="0"/>
        <w:numPr>
          <w:ilvl w:val="3"/>
          <w:numId w:val="62"/>
        </w:numPr>
        <w:adjustRightInd w:val="0"/>
        <w:textAlignment w:val="baseline"/>
        <w:rPr>
          <w:noProof/>
        </w:rPr>
      </w:pPr>
      <w:r>
        <w:rPr>
          <w:noProof/>
        </w:rPr>
        <w:t>a shared biometric matching service (shared BMS);</w:t>
      </w:r>
    </w:p>
    <w:p>
      <w:pPr>
        <w:pStyle w:val="Point1letter"/>
        <w:widowControl w:val="0"/>
        <w:numPr>
          <w:ilvl w:val="3"/>
          <w:numId w:val="62"/>
        </w:numPr>
        <w:adjustRightInd w:val="0"/>
        <w:textAlignment w:val="baseline"/>
        <w:rPr>
          <w:noProof/>
        </w:rPr>
      </w:pPr>
      <w:r>
        <w:rPr>
          <w:noProof/>
        </w:rPr>
        <w:t>a common identity repository (CIR);</w:t>
      </w:r>
    </w:p>
    <w:p>
      <w:pPr>
        <w:pStyle w:val="Point1letter"/>
        <w:widowControl w:val="0"/>
        <w:numPr>
          <w:ilvl w:val="3"/>
          <w:numId w:val="62"/>
        </w:numPr>
        <w:adjustRightInd w:val="0"/>
        <w:textAlignment w:val="baseline"/>
        <w:rPr>
          <w:noProof/>
        </w:rPr>
      </w:pPr>
      <w:r>
        <w:rPr>
          <w:noProof/>
        </w:rPr>
        <w:t>a multiple-identity detector (MID).</w:t>
      </w:r>
    </w:p>
    <w:p>
      <w:pPr>
        <w:pStyle w:val="ManualNumPar1"/>
        <w:rPr>
          <w:noProof/>
        </w:rPr>
      </w:pPr>
      <w:r>
        <w:t>3.</w:t>
      </w:r>
      <w:r>
        <w:tab/>
      </w:r>
      <w:r>
        <w:rPr>
          <w:iCs/>
          <w:noProof/>
        </w:rPr>
        <w:t xml:space="preserve">This Regulation also lays down provisions </w:t>
      </w:r>
      <w:r>
        <w:rPr>
          <w:noProof/>
        </w:rPr>
        <w:t>on data quality requirements, on a Universal Message Format (UMF), on a central repository for reporting and statistics (CRRS) and lays down the responsibilities of the Member States and of the European Agency for the operational management of large-scale IT systems in the area of freedom, security and justice (eu-LISA), with respect to the design and operation of the interoperability components.</w:t>
      </w:r>
    </w:p>
    <w:p>
      <w:pPr>
        <w:pStyle w:val="ManualNumPar1"/>
        <w:rPr>
          <w:noProof/>
        </w:rPr>
      </w:pPr>
      <w:r>
        <w:t>4.</w:t>
      </w:r>
      <w:r>
        <w:tab/>
      </w:r>
      <w:r>
        <w:rPr>
          <w:noProof/>
        </w:rPr>
        <w:t>This Regulation also adapts the procedures and conditions for Member State law enforcement authorities and for the European Union Agency for Law Enforcement Cooperation (Europol) access to the Entry/Exit System (EES), the Visa Information System (VIS), [the European Travel Information and Authorisation System (ETIAS),] and Eurodac for the purposes of the prevention, detection and investigation of terrorist offences or of other serious criminal offences falling under their competence.</w:t>
      </w:r>
    </w:p>
    <w:p>
      <w:pPr>
        <w:pStyle w:val="Titrearticle"/>
        <w:spacing w:after="0"/>
        <w:rPr>
          <w:noProof/>
        </w:rPr>
      </w:pPr>
      <w:r>
        <w:rPr>
          <w:noProof/>
        </w:rPr>
        <w:t>Article 2</w:t>
      </w:r>
      <w:r>
        <w:rPr>
          <w:noProof/>
        </w:rPr>
        <w:br/>
        <w:t xml:space="preserve">Objectives of interoperability </w:t>
      </w:r>
    </w:p>
    <w:p>
      <w:pPr>
        <w:pStyle w:val="ManualNumPar1"/>
        <w:rPr>
          <w:noProof/>
        </w:rPr>
      </w:pPr>
      <w:r>
        <w:t>1.</w:t>
      </w:r>
      <w:r>
        <w:tab/>
      </w:r>
      <w:r>
        <w:rPr>
          <w:noProof/>
        </w:rPr>
        <w:t>By ensuring interoperability, this Regulation shall have the following objectives:</w:t>
      </w:r>
    </w:p>
    <w:p>
      <w:pPr>
        <w:pStyle w:val="Point1letter"/>
        <w:widowControl w:val="0"/>
        <w:numPr>
          <w:ilvl w:val="3"/>
          <w:numId w:val="58"/>
        </w:numPr>
        <w:adjustRightInd w:val="0"/>
        <w:textAlignment w:val="baseline"/>
        <w:rPr>
          <w:noProof/>
        </w:rPr>
      </w:pPr>
      <w:r>
        <w:rPr>
          <w:noProof/>
        </w:rPr>
        <w:t>to improve the management of the external borders;</w:t>
      </w:r>
    </w:p>
    <w:p>
      <w:pPr>
        <w:pStyle w:val="Point1letter"/>
        <w:widowControl w:val="0"/>
        <w:numPr>
          <w:ilvl w:val="3"/>
          <w:numId w:val="58"/>
        </w:numPr>
        <w:adjustRightInd w:val="0"/>
        <w:textAlignment w:val="baseline"/>
        <w:rPr>
          <w:noProof/>
        </w:rPr>
      </w:pPr>
      <w:r>
        <w:rPr>
          <w:noProof/>
        </w:rPr>
        <w:t xml:space="preserve">to contribute to preventing and combating irregular migration; </w:t>
      </w:r>
    </w:p>
    <w:p>
      <w:pPr>
        <w:pStyle w:val="Point1letter"/>
        <w:widowControl w:val="0"/>
        <w:numPr>
          <w:ilvl w:val="3"/>
          <w:numId w:val="58"/>
        </w:numPr>
        <w:adjustRightInd w:val="0"/>
        <w:textAlignment w:val="baseline"/>
        <w:rPr>
          <w:noProof/>
        </w:rPr>
      </w:pPr>
      <w:r>
        <w:rPr>
          <w:noProof/>
        </w:rPr>
        <w:t>to contribute to a high level of security within the area of freedom, security and justice of the Union including the maintenance of public security and public policy and safeguarding the security in the territories of the Member States;</w:t>
      </w:r>
    </w:p>
    <w:p>
      <w:pPr>
        <w:pStyle w:val="Point1letter"/>
        <w:widowControl w:val="0"/>
        <w:numPr>
          <w:ilvl w:val="3"/>
          <w:numId w:val="58"/>
        </w:numPr>
        <w:adjustRightInd w:val="0"/>
        <w:textAlignment w:val="baseline"/>
        <w:rPr>
          <w:noProof/>
        </w:rPr>
      </w:pPr>
      <w:r>
        <w:rPr>
          <w:noProof/>
        </w:rPr>
        <w:t>to improve the implementation of the common visa policy; and</w:t>
      </w:r>
    </w:p>
    <w:p>
      <w:pPr>
        <w:pStyle w:val="Point1letter"/>
        <w:widowControl w:val="0"/>
        <w:numPr>
          <w:ilvl w:val="3"/>
          <w:numId w:val="58"/>
        </w:numPr>
        <w:adjustRightInd w:val="0"/>
        <w:textAlignment w:val="baseline"/>
        <w:rPr>
          <w:noProof/>
        </w:rPr>
      </w:pPr>
      <w:r>
        <w:rPr>
          <w:noProof/>
        </w:rPr>
        <w:t>to assist in examining application for international protection.</w:t>
      </w:r>
    </w:p>
    <w:p>
      <w:pPr>
        <w:pStyle w:val="ManualNumPar1"/>
        <w:rPr>
          <w:noProof/>
        </w:rPr>
      </w:pPr>
      <w:r>
        <w:lastRenderedPageBreak/>
        <w:t>2.</w:t>
      </w:r>
      <w:r>
        <w:tab/>
      </w:r>
      <w:r>
        <w:rPr>
          <w:noProof/>
        </w:rPr>
        <w:t>The objectives of ensuring interoperability shall be achieved by:</w:t>
      </w:r>
    </w:p>
    <w:p>
      <w:pPr>
        <w:pStyle w:val="Point1letter"/>
        <w:widowControl w:val="0"/>
        <w:numPr>
          <w:ilvl w:val="3"/>
          <w:numId w:val="61"/>
        </w:numPr>
        <w:adjustRightInd w:val="0"/>
        <w:textAlignment w:val="baseline"/>
        <w:rPr>
          <w:noProof/>
        </w:rPr>
      </w:pPr>
      <w:r>
        <w:rPr>
          <w:noProof/>
        </w:rPr>
        <w:t>ensuring the correct identification of persons;</w:t>
      </w:r>
    </w:p>
    <w:p>
      <w:pPr>
        <w:pStyle w:val="Point1letter"/>
        <w:widowControl w:val="0"/>
        <w:numPr>
          <w:ilvl w:val="3"/>
          <w:numId w:val="61"/>
        </w:numPr>
        <w:adjustRightInd w:val="0"/>
        <w:textAlignment w:val="baseline"/>
        <w:rPr>
          <w:noProof/>
        </w:rPr>
      </w:pPr>
      <w:r>
        <w:rPr>
          <w:noProof/>
        </w:rPr>
        <w:t>contributing to fighting identity fraud;</w:t>
      </w:r>
    </w:p>
    <w:p>
      <w:pPr>
        <w:pStyle w:val="Point1letter"/>
        <w:widowControl w:val="0"/>
        <w:numPr>
          <w:ilvl w:val="3"/>
          <w:numId w:val="61"/>
        </w:numPr>
        <w:adjustRightInd w:val="0"/>
        <w:textAlignment w:val="baseline"/>
        <w:rPr>
          <w:noProof/>
        </w:rPr>
      </w:pPr>
      <w:r>
        <w:rPr>
          <w:noProof/>
        </w:rPr>
        <w:t>improving and harmonising data quality requirements of the respective EU information systems;</w:t>
      </w:r>
    </w:p>
    <w:p>
      <w:pPr>
        <w:pStyle w:val="Point1letter"/>
        <w:widowControl w:val="0"/>
        <w:numPr>
          <w:ilvl w:val="3"/>
          <w:numId w:val="61"/>
        </w:numPr>
        <w:adjustRightInd w:val="0"/>
        <w:textAlignment w:val="baseline"/>
        <w:rPr>
          <w:noProof/>
        </w:rPr>
      </w:pPr>
      <w:r>
        <w:rPr>
          <w:noProof/>
        </w:rPr>
        <w:t>facilitating the technical and operational implementation by Member States of existing and future EU information systems;</w:t>
      </w:r>
    </w:p>
    <w:p>
      <w:pPr>
        <w:pStyle w:val="Point1letter"/>
        <w:widowControl w:val="0"/>
        <w:numPr>
          <w:ilvl w:val="3"/>
          <w:numId w:val="61"/>
        </w:numPr>
        <w:adjustRightInd w:val="0"/>
        <w:textAlignment w:val="baseline"/>
        <w:rPr>
          <w:noProof/>
        </w:rPr>
      </w:pPr>
      <w:r>
        <w:rPr>
          <w:noProof/>
        </w:rPr>
        <w:t>strengthening and simplifying and making more uniform the data security and data protection conditions that govern the respective EU information systems;</w:t>
      </w:r>
    </w:p>
    <w:p>
      <w:pPr>
        <w:pStyle w:val="Point1letter"/>
        <w:widowControl w:val="0"/>
        <w:numPr>
          <w:ilvl w:val="3"/>
          <w:numId w:val="61"/>
        </w:numPr>
        <w:adjustRightInd w:val="0"/>
        <w:textAlignment w:val="baseline"/>
        <w:rPr>
          <w:noProof/>
        </w:rPr>
      </w:pPr>
      <w:r>
        <w:rPr>
          <w:noProof/>
        </w:rPr>
        <w:t>streamlining the conditions for law enforcement access to the EES, the VIS, [the ETIAS] and Eurodac;</w:t>
      </w:r>
    </w:p>
    <w:p>
      <w:pPr>
        <w:pStyle w:val="Point1letter"/>
        <w:widowControl w:val="0"/>
        <w:numPr>
          <w:ilvl w:val="3"/>
          <w:numId w:val="61"/>
        </w:numPr>
        <w:adjustRightInd w:val="0"/>
        <w:textAlignment w:val="baseline"/>
        <w:rPr>
          <w:noProof/>
        </w:rPr>
      </w:pPr>
      <w:r>
        <w:rPr>
          <w:noProof/>
        </w:rPr>
        <w:t>supporting the purposes of the EES, the VIS, [the ETIAS], Eurodac, the SIS and [the ECRIS-TCN system].</w:t>
      </w:r>
    </w:p>
    <w:p>
      <w:pPr>
        <w:pStyle w:val="Titrearticle"/>
        <w:spacing w:after="0"/>
        <w:rPr>
          <w:noProof/>
        </w:rPr>
      </w:pPr>
      <w:r>
        <w:rPr>
          <w:noProof/>
        </w:rPr>
        <w:t>Article 3</w:t>
      </w:r>
    </w:p>
    <w:p>
      <w:pPr>
        <w:pStyle w:val="Titrearticle"/>
        <w:spacing w:before="0"/>
        <w:rPr>
          <w:noProof/>
        </w:rPr>
      </w:pPr>
      <w:r>
        <w:rPr>
          <w:noProof/>
        </w:rPr>
        <w:t>Scope</w:t>
      </w:r>
    </w:p>
    <w:p>
      <w:pPr>
        <w:pStyle w:val="ManualNumPar1"/>
        <w:rPr>
          <w:noProof/>
        </w:rPr>
      </w:pPr>
      <w:r>
        <w:t>1.</w:t>
      </w:r>
      <w:r>
        <w:tab/>
      </w:r>
      <w:r>
        <w:rPr>
          <w:noProof/>
        </w:rPr>
        <w:t xml:space="preserve">This Regulation applies to [the Entry/Exit System (EES)], the Visa Information System (VIS), [the European Travel Information and Authorisation System (ETIAS)] and the Schengen Information System (SIS). </w:t>
      </w:r>
    </w:p>
    <w:p>
      <w:pPr>
        <w:pStyle w:val="ManualNumPar1"/>
        <w:rPr>
          <w:noProof/>
        </w:rPr>
      </w:pPr>
      <w:r>
        <w:t>2.</w:t>
      </w:r>
      <w:r>
        <w:tab/>
      </w:r>
      <w:r>
        <w:rPr>
          <w:noProof/>
        </w:rPr>
        <w:t>This Regulation applies to persons in respect of whom personal data may be processed in the EU information systems referred to in paragraph 1.</w:t>
      </w:r>
    </w:p>
    <w:p>
      <w:pPr>
        <w:pStyle w:val="Titrearticle"/>
        <w:rPr>
          <w:noProof/>
        </w:rPr>
      </w:pPr>
      <w:r>
        <w:rPr>
          <w:noProof/>
        </w:rPr>
        <w:t>Article 4</w:t>
      </w:r>
      <w:r>
        <w:rPr>
          <w:noProof/>
          <w:u w:val="single"/>
        </w:rPr>
        <w:br/>
      </w:r>
      <w:r>
        <w:rPr>
          <w:noProof/>
        </w:rPr>
        <w:t>Definitions</w:t>
      </w:r>
    </w:p>
    <w:p>
      <w:pPr>
        <w:rPr>
          <w:noProof/>
        </w:rPr>
      </w:pPr>
      <w:r>
        <w:rPr>
          <w:noProof/>
        </w:rPr>
        <w:t>For the purposes of this Regulation, the following definitions apply:</w:t>
      </w:r>
    </w:p>
    <w:p>
      <w:pPr>
        <w:pStyle w:val="Point1number"/>
        <w:numPr>
          <w:ilvl w:val="2"/>
          <w:numId w:val="130"/>
        </w:numPr>
        <w:rPr>
          <w:noProof/>
        </w:rPr>
      </w:pPr>
      <w:r>
        <w:rPr>
          <w:noProof/>
        </w:rPr>
        <w:t>‘external borders’ means external borders as defined in Article 2(2) of Regulation (EU) 2016/399;</w:t>
      </w:r>
    </w:p>
    <w:p>
      <w:pPr>
        <w:pStyle w:val="Point1number"/>
        <w:numPr>
          <w:ilvl w:val="2"/>
          <w:numId w:val="130"/>
        </w:numPr>
        <w:rPr>
          <w:noProof/>
        </w:rPr>
      </w:pPr>
      <w:r>
        <w:rPr>
          <w:noProof/>
        </w:rPr>
        <w:t>‘border checks’ means border checks as defined in Article 2(11) of Regulation (EU) 2016/399;</w:t>
      </w:r>
    </w:p>
    <w:p>
      <w:pPr>
        <w:pStyle w:val="Point1number"/>
        <w:numPr>
          <w:ilvl w:val="2"/>
          <w:numId w:val="130"/>
        </w:numPr>
        <w:rPr>
          <w:noProof/>
        </w:rPr>
      </w:pPr>
      <w:r>
        <w:rPr>
          <w:noProof/>
        </w:rPr>
        <w:t>‘</w:t>
      </w:r>
      <w:bookmarkStart w:id="63" w:name="_DV_M232"/>
      <w:bookmarkEnd w:id="63"/>
      <w:r>
        <w:rPr>
          <w:noProof/>
        </w:rPr>
        <w:t>border authority</w:t>
      </w:r>
      <w:bookmarkStart w:id="64" w:name="_DV_M233"/>
      <w:bookmarkEnd w:id="64"/>
      <w:r>
        <w:rPr>
          <w:noProof/>
        </w:rPr>
        <w:t xml:space="preserve">’ means the </w:t>
      </w:r>
      <w:bookmarkStart w:id="65" w:name="_DV_C376"/>
      <w:r>
        <w:rPr>
          <w:noProof/>
        </w:rPr>
        <w:t>border guard</w:t>
      </w:r>
      <w:bookmarkStart w:id="66" w:name="_DV_M234"/>
      <w:bookmarkEnd w:id="65"/>
      <w:bookmarkEnd w:id="66"/>
      <w:r>
        <w:rPr>
          <w:noProof/>
        </w:rPr>
        <w:t xml:space="preserve"> assigned</w:t>
      </w:r>
      <w:bookmarkStart w:id="67" w:name="_DV_M235"/>
      <w:bookmarkEnd w:id="67"/>
      <w:r>
        <w:rPr>
          <w:noProof/>
        </w:rPr>
        <w:t xml:space="preserve"> in accordance with national law</w:t>
      </w:r>
      <w:bookmarkStart w:id="68" w:name="_DV_M236"/>
      <w:bookmarkEnd w:id="68"/>
      <w:r>
        <w:rPr>
          <w:noProof/>
        </w:rPr>
        <w:t xml:space="preserve"> to carry out </w:t>
      </w:r>
      <w:bookmarkStart w:id="69" w:name="_DV_C379"/>
      <w:r>
        <w:rPr>
          <w:noProof/>
        </w:rPr>
        <w:t xml:space="preserve">border </w:t>
      </w:r>
      <w:bookmarkStart w:id="70" w:name="_DV_M237"/>
      <w:bookmarkEnd w:id="69"/>
      <w:bookmarkEnd w:id="70"/>
      <w:r>
        <w:rPr>
          <w:noProof/>
        </w:rPr>
        <w:t>checks;</w:t>
      </w:r>
    </w:p>
    <w:p>
      <w:pPr>
        <w:pStyle w:val="Point1number"/>
        <w:numPr>
          <w:ilvl w:val="2"/>
          <w:numId w:val="130"/>
        </w:numPr>
        <w:rPr>
          <w:noProof/>
        </w:rPr>
      </w:pPr>
      <w:bookmarkStart w:id="71" w:name="_DV_C428"/>
      <w:r>
        <w:rPr>
          <w:noProof/>
        </w:rPr>
        <w:t>‘supervisory authorities</w:t>
      </w:r>
      <w:bookmarkEnd w:id="71"/>
      <w:r>
        <w:rPr>
          <w:noProof/>
        </w:rPr>
        <w:t xml:space="preserve">’ means the supervisory </w:t>
      </w:r>
      <w:bookmarkStart w:id="72" w:name="_DV_C430"/>
      <w:r>
        <w:rPr>
          <w:noProof/>
        </w:rPr>
        <w:t>authority established in accordance with Article 51(1) of Regulation (EU) 2016/679 and the supervisory authority</w:t>
      </w:r>
      <w:bookmarkStart w:id="73" w:name="_DV_M269"/>
      <w:bookmarkEnd w:id="72"/>
      <w:bookmarkEnd w:id="73"/>
      <w:r>
        <w:rPr>
          <w:noProof/>
        </w:rPr>
        <w:t xml:space="preserve"> established in accordance with Article 4</w:t>
      </w:r>
      <w:bookmarkStart w:id="74" w:name="_DV_C432"/>
      <w:r>
        <w:rPr>
          <w:noProof/>
        </w:rPr>
        <w:t>1(1)</w:t>
      </w:r>
      <w:bookmarkStart w:id="75" w:name="_DV_M270"/>
      <w:bookmarkEnd w:id="74"/>
      <w:bookmarkEnd w:id="75"/>
      <w:r>
        <w:rPr>
          <w:noProof/>
        </w:rPr>
        <w:t xml:space="preserve"> of Directive </w:t>
      </w:r>
      <w:bookmarkStart w:id="76" w:name="_DV_C434"/>
      <w:r>
        <w:rPr>
          <w:noProof/>
        </w:rPr>
        <w:t>(EU) 2016/680;</w:t>
      </w:r>
      <w:bookmarkEnd w:id="76"/>
    </w:p>
    <w:p>
      <w:pPr>
        <w:pStyle w:val="Point1number"/>
        <w:numPr>
          <w:ilvl w:val="2"/>
          <w:numId w:val="130"/>
        </w:numPr>
        <w:rPr>
          <w:noProof/>
        </w:rPr>
      </w:pPr>
      <w:bookmarkStart w:id="77" w:name="_DV_M256"/>
      <w:bookmarkStart w:id="78" w:name="_DV_M257"/>
      <w:bookmarkEnd w:id="77"/>
      <w:bookmarkEnd w:id="78"/>
      <w:r>
        <w:rPr>
          <w:noProof/>
        </w:rPr>
        <w:t>‘verification’ means the process of comparing sets of data to establish the validity of a claimed identity (one-to-one check);</w:t>
      </w:r>
    </w:p>
    <w:p>
      <w:pPr>
        <w:pStyle w:val="Point1number"/>
        <w:numPr>
          <w:ilvl w:val="2"/>
          <w:numId w:val="130"/>
        </w:numPr>
        <w:rPr>
          <w:noProof/>
        </w:rPr>
      </w:pPr>
      <w:r>
        <w:rPr>
          <w:noProof/>
        </w:rPr>
        <w:t>‘identification’ means the process of determining a person’s identity through a database search against multiple sets of data (one-to-many check);</w:t>
      </w:r>
    </w:p>
    <w:p>
      <w:pPr>
        <w:pStyle w:val="Point1number"/>
        <w:numPr>
          <w:ilvl w:val="2"/>
          <w:numId w:val="130"/>
        </w:numPr>
        <w:rPr>
          <w:noProof/>
        </w:rPr>
      </w:pPr>
      <w:r>
        <w:rPr>
          <w:noProof/>
        </w:rPr>
        <w:t xml:space="preserve">‘third-country national’ means a person who is not a citizen of the Union within the meaning of Article 20(1) of the Treaty, or a stateless person or a person whose nationality is unknown; </w:t>
      </w:r>
    </w:p>
    <w:p>
      <w:pPr>
        <w:pStyle w:val="Point1number"/>
        <w:numPr>
          <w:ilvl w:val="2"/>
          <w:numId w:val="130"/>
        </w:numPr>
        <w:rPr>
          <w:noProof/>
        </w:rPr>
      </w:pPr>
      <w:bookmarkStart w:id="79" w:name="_DV_M258"/>
      <w:bookmarkEnd w:id="79"/>
      <w:r>
        <w:rPr>
          <w:noProof/>
        </w:rPr>
        <w:lastRenderedPageBreak/>
        <w:t>‘alphanumeric data’ means data represented by letters, digits, special characters, spaces and punctuation marks;</w:t>
      </w:r>
    </w:p>
    <w:p>
      <w:pPr>
        <w:pStyle w:val="Point1number"/>
        <w:numPr>
          <w:ilvl w:val="2"/>
          <w:numId w:val="130"/>
        </w:numPr>
        <w:rPr>
          <w:noProof/>
        </w:rPr>
      </w:pPr>
      <w:r>
        <w:rPr>
          <w:noProof/>
        </w:rPr>
        <w:t xml:space="preserve">‘identity data’ means the data referred to in Article 27(3)(a) to (h); </w:t>
      </w:r>
    </w:p>
    <w:p>
      <w:pPr>
        <w:pStyle w:val="Point1number"/>
        <w:numPr>
          <w:ilvl w:val="2"/>
          <w:numId w:val="130"/>
        </w:numPr>
        <w:rPr>
          <w:noProof/>
        </w:rPr>
      </w:pPr>
      <w:bookmarkStart w:id="80" w:name="_DV_M259"/>
      <w:bookmarkEnd w:id="80"/>
      <w:r>
        <w:rPr>
          <w:noProof/>
        </w:rPr>
        <w:t>‘fingerprint data’ means the data relating to</w:t>
      </w:r>
      <w:bookmarkStart w:id="81" w:name="_DV_C417"/>
      <w:r>
        <w:rPr>
          <w:noProof/>
        </w:rPr>
        <w:t xml:space="preserve"> the </w:t>
      </w:r>
      <w:bookmarkEnd w:id="81"/>
      <w:r>
        <w:rPr>
          <w:noProof/>
        </w:rPr>
        <w:t xml:space="preserve">fingerprints of </w:t>
      </w:r>
      <w:bookmarkStart w:id="82" w:name="_DV_C420"/>
      <w:r>
        <w:rPr>
          <w:noProof/>
        </w:rPr>
        <w:t>an individual;</w:t>
      </w:r>
      <w:bookmarkEnd w:id="82"/>
    </w:p>
    <w:p>
      <w:pPr>
        <w:pStyle w:val="Point1number"/>
        <w:numPr>
          <w:ilvl w:val="2"/>
          <w:numId w:val="130"/>
        </w:numPr>
        <w:rPr>
          <w:noProof/>
        </w:rPr>
      </w:pPr>
      <w:bookmarkStart w:id="83" w:name="_DV_M262"/>
      <w:bookmarkEnd w:id="83"/>
      <w:r>
        <w:rPr>
          <w:noProof/>
        </w:rPr>
        <w:t>‘facial image’ means digital images of the face;</w:t>
      </w:r>
    </w:p>
    <w:p>
      <w:pPr>
        <w:pStyle w:val="Point1number"/>
        <w:numPr>
          <w:ilvl w:val="2"/>
          <w:numId w:val="130"/>
        </w:numPr>
        <w:rPr>
          <w:noProof/>
        </w:rPr>
      </w:pPr>
      <w:r>
        <w:rPr>
          <w:noProof/>
        </w:rPr>
        <w:t>‘biometric data’ means fingerprint data and/or facial image;</w:t>
      </w:r>
      <w:bookmarkStart w:id="84" w:name="_DV_M264"/>
      <w:bookmarkEnd w:id="84"/>
    </w:p>
    <w:p>
      <w:pPr>
        <w:pStyle w:val="Point1number"/>
        <w:numPr>
          <w:ilvl w:val="2"/>
          <w:numId w:val="130"/>
        </w:numPr>
        <w:rPr>
          <w:noProof/>
        </w:rPr>
      </w:pPr>
      <w:r>
        <w:rPr>
          <w:noProof/>
        </w:rPr>
        <w:t>‘biometric template’ means a mathematical representation obtained by feature extraction from biometric data limited to the characteristics necessary to perform identifications and verifications;</w:t>
      </w:r>
    </w:p>
    <w:p>
      <w:pPr>
        <w:pStyle w:val="Point1number"/>
        <w:numPr>
          <w:ilvl w:val="2"/>
          <w:numId w:val="130"/>
        </w:numPr>
        <w:rPr>
          <w:noProof/>
        </w:rPr>
      </w:pPr>
      <w:r>
        <w:rPr>
          <w:noProof/>
        </w:rPr>
        <w:t>‘travel document’ means a passport or other equivalent document entitling the holder to cross the external borders and to which a visa may be affixed;</w:t>
      </w:r>
    </w:p>
    <w:p>
      <w:pPr>
        <w:pStyle w:val="Point1number"/>
        <w:numPr>
          <w:ilvl w:val="2"/>
          <w:numId w:val="130"/>
        </w:numPr>
        <w:rPr>
          <w:noProof/>
        </w:rPr>
      </w:pPr>
      <w:r>
        <w:rPr>
          <w:noProof/>
        </w:rPr>
        <w:t xml:space="preserve">‘travel document data’ means the type, number and country of issuance of the travel document, the date of expiry of the validity of the travel document and the three-letter code of the country issuing the travel document; </w:t>
      </w:r>
    </w:p>
    <w:p>
      <w:pPr>
        <w:pStyle w:val="Point1number"/>
        <w:numPr>
          <w:ilvl w:val="2"/>
          <w:numId w:val="130"/>
        </w:numPr>
        <w:rPr>
          <w:noProof/>
        </w:rPr>
      </w:pPr>
      <w:r>
        <w:rPr>
          <w:noProof/>
        </w:rPr>
        <w:t>‘travel authorisation’ means travel authorisation as defined in Article 3 of the [ETIAS Regulation];</w:t>
      </w:r>
    </w:p>
    <w:p>
      <w:pPr>
        <w:pStyle w:val="Point1number"/>
        <w:numPr>
          <w:ilvl w:val="2"/>
          <w:numId w:val="130"/>
        </w:numPr>
        <w:rPr>
          <w:noProof/>
        </w:rPr>
      </w:pPr>
      <w:r>
        <w:rPr>
          <w:noProof/>
        </w:rPr>
        <w:t>‘short</w:t>
      </w:r>
      <w:r>
        <w:rPr>
          <w:noProof/>
        </w:rPr>
        <w:noBreakHyphen/>
        <w:t>stay visa’ means visa as defined in Article 2(2)(a) of Regulation (EC) No 810/2009</w:t>
      </w:r>
      <w:bookmarkStart w:id="85" w:name="_DV_C400"/>
      <w:r>
        <w:rPr>
          <w:noProof/>
        </w:rPr>
        <w:t>;</w:t>
      </w:r>
      <w:bookmarkEnd w:id="85"/>
    </w:p>
    <w:p>
      <w:pPr>
        <w:pStyle w:val="Point1number"/>
        <w:numPr>
          <w:ilvl w:val="2"/>
          <w:numId w:val="130"/>
        </w:numPr>
        <w:rPr>
          <w:noProof/>
        </w:rPr>
      </w:pPr>
      <w:r>
        <w:rPr>
          <w:noProof/>
        </w:rPr>
        <w:t>‘EU information systems’ means the large-scale IT systems managed by eu-LISA;</w:t>
      </w:r>
    </w:p>
    <w:p>
      <w:pPr>
        <w:pStyle w:val="Point1number"/>
        <w:numPr>
          <w:ilvl w:val="2"/>
          <w:numId w:val="130"/>
        </w:numPr>
        <w:rPr>
          <w:noProof/>
        </w:rPr>
      </w:pPr>
      <w:r>
        <w:rPr>
          <w:noProof/>
        </w:rPr>
        <w:t>‘Europol data’ means personal data provided to Europol for the purpose referred to in Article 18(2)(a) of Regulation (EU) 2016/794;</w:t>
      </w:r>
    </w:p>
    <w:p>
      <w:pPr>
        <w:pStyle w:val="Point1number"/>
        <w:numPr>
          <w:ilvl w:val="2"/>
          <w:numId w:val="130"/>
        </w:numPr>
        <w:rPr>
          <w:noProof/>
        </w:rPr>
      </w:pPr>
      <w:r>
        <w:rPr>
          <w:noProof/>
        </w:rPr>
        <w:t>‘Interpol databases’ means the Interpol Stolen and Lost Travel Document database (SLTD) and the Interpol Travel Documents Associated with Notices database (Interpol TDAWN);</w:t>
      </w:r>
    </w:p>
    <w:p>
      <w:pPr>
        <w:pStyle w:val="Point1number"/>
        <w:numPr>
          <w:ilvl w:val="2"/>
          <w:numId w:val="130"/>
        </w:numPr>
        <w:rPr>
          <w:noProof/>
        </w:rPr>
      </w:pPr>
      <w:r>
        <w:rPr>
          <w:noProof/>
        </w:rPr>
        <w:t xml:space="preserve">‘match’ means the existence of a correspondence established by comparing two or more occurrences of personal data recorded or being recorded in an information system or database; </w:t>
      </w:r>
    </w:p>
    <w:p>
      <w:pPr>
        <w:pStyle w:val="Point1number"/>
        <w:numPr>
          <w:ilvl w:val="2"/>
          <w:numId w:val="130"/>
        </w:numPr>
        <w:rPr>
          <w:noProof/>
        </w:rPr>
      </w:pPr>
      <w:r>
        <w:rPr>
          <w:noProof/>
        </w:rPr>
        <w:t xml:space="preserve">‘hit’ means the confirmation of one match or several matches; </w:t>
      </w:r>
    </w:p>
    <w:p>
      <w:pPr>
        <w:pStyle w:val="Point1number"/>
        <w:numPr>
          <w:ilvl w:val="2"/>
          <w:numId w:val="130"/>
        </w:numPr>
        <w:rPr>
          <w:noProof/>
        </w:rPr>
      </w:pPr>
      <w:r>
        <w:rPr>
          <w:noProof/>
        </w:rPr>
        <w:t>'police authority' means 'competent authority' as defined in Article 3(7) of Directive 2016/680;</w:t>
      </w:r>
    </w:p>
    <w:p>
      <w:pPr>
        <w:pStyle w:val="Point1number"/>
        <w:numPr>
          <w:ilvl w:val="2"/>
          <w:numId w:val="130"/>
        </w:numPr>
        <w:rPr>
          <w:noProof/>
        </w:rPr>
      </w:pPr>
      <w:r>
        <w:rPr>
          <w:noProof/>
        </w:rPr>
        <w:t xml:space="preserve">‘designated authorities’ means the Member State designated authorities referred to in Article 29(1) of </w:t>
      </w:r>
      <w:r>
        <w:rPr>
          <w:bCs/>
          <w:noProof/>
        </w:rPr>
        <w:t>Regulation (EU) 2017/2226</w:t>
      </w:r>
      <w:r>
        <w:rPr>
          <w:noProof/>
        </w:rPr>
        <w:t>, Article 3(1) of Council Decision 2008/633/JHA, [Article 43 of the ETIAS Regulation] and [Article 6 of the Eurodac Regulation];</w:t>
      </w:r>
    </w:p>
    <w:p>
      <w:pPr>
        <w:pStyle w:val="Point1number"/>
        <w:numPr>
          <w:ilvl w:val="2"/>
          <w:numId w:val="130"/>
        </w:numPr>
        <w:rPr>
          <w:noProof/>
        </w:rPr>
      </w:pPr>
      <w:r>
        <w:rPr>
          <w:noProof/>
        </w:rPr>
        <w:t>‘terrorist offence’ means an offence under national law which corresponds or is equivalent to one of the offences referred to in Directive (EU) 2017/541;</w:t>
      </w:r>
    </w:p>
    <w:p>
      <w:pPr>
        <w:pStyle w:val="Point1number"/>
        <w:numPr>
          <w:ilvl w:val="2"/>
          <w:numId w:val="130"/>
        </w:numPr>
        <w:rPr>
          <w:noProof/>
        </w:rPr>
      </w:pPr>
      <w:r>
        <w:rPr>
          <w:noProof/>
        </w:rPr>
        <w:t>‘serious criminal offence’ means an offence which corresponds or is equivalent to one of the offences referred to in Article 2(2) of Framework Decision 2002/584/JHA, if it is punishable under national law by a custodial sentence or a detention order for a maximum period of at least three years;</w:t>
      </w:r>
    </w:p>
    <w:p>
      <w:pPr>
        <w:pStyle w:val="Point1number"/>
        <w:numPr>
          <w:ilvl w:val="2"/>
          <w:numId w:val="130"/>
        </w:numPr>
        <w:rPr>
          <w:noProof/>
        </w:rPr>
      </w:pPr>
      <w:r>
        <w:rPr>
          <w:noProof/>
        </w:rPr>
        <w:lastRenderedPageBreak/>
        <w:t xml:space="preserve">'EES' means the Entry/Exit System as referred to in </w:t>
      </w:r>
      <w:r>
        <w:rPr>
          <w:bCs/>
          <w:noProof/>
        </w:rPr>
        <w:t>Regulation (EU) 2017/2226</w:t>
      </w:r>
      <w:r>
        <w:rPr>
          <w:noProof/>
        </w:rPr>
        <w:t>;</w:t>
      </w:r>
    </w:p>
    <w:p>
      <w:pPr>
        <w:pStyle w:val="Point1number"/>
        <w:numPr>
          <w:ilvl w:val="2"/>
          <w:numId w:val="130"/>
        </w:numPr>
        <w:rPr>
          <w:noProof/>
        </w:rPr>
      </w:pPr>
      <w:r>
        <w:rPr>
          <w:noProof/>
        </w:rPr>
        <w:t>'VIS' means the Visa Information System as referred to in Regulation (EC) No 767/2008;</w:t>
      </w:r>
    </w:p>
    <w:p>
      <w:pPr>
        <w:pStyle w:val="Point1number"/>
        <w:numPr>
          <w:ilvl w:val="2"/>
          <w:numId w:val="130"/>
        </w:numPr>
        <w:rPr>
          <w:noProof/>
        </w:rPr>
      </w:pPr>
      <w:r>
        <w:rPr>
          <w:noProof/>
        </w:rPr>
        <w:t>['ETIAS' means the European Travel Information and Authorisation System as referred to in the ETIAS Regulation];</w:t>
      </w:r>
    </w:p>
    <w:p>
      <w:pPr>
        <w:pStyle w:val="Point1number"/>
        <w:numPr>
          <w:ilvl w:val="2"/>
          <w:numId w:val="130"/>
        </w:numPr>
        <w:rPr>
          <w:noProof/>
        </w:rPr>
      </w:pPr>
      <w:r>
        <w:rPr>
          <w:noProof/>
        </w:rPr>
        <w:t>'Eurodac' means Eurodac as referred to in the [Eurodac Regulation];</w:t>
      </w:r>
    </w:p>
    <w:p>
      <w:pPr>
        <w:pStyle w:val="Point1number"/>
        <w:numPr>
          <w:ilvl w:val="2"/>
          <w:numId w:val="130"/>
        </w:numPr>
        <w:rPr>
          <w:noProof/>
        </w:rPr>
      </w:pPr>
      <w:r>
        <w:rPr>
          <w:noProof/>
        </w:rPr>
        <w:t>'SIS' means the Schengen Information System as referred to [in the Regulation on SIS in the field of border checks, Regulation on SIS in the field of law enforcement and Regulation on SIS in the field of illegal return];</w:t>
      </w:r>
    </w:p>
    <w:p>
      <w:pPr>
        <w:pStyle w:val="Point1number"/>
        <w:numPr>
          <w:ilvl w:val="2"/>
          <w:numId w:val="130"/>
        </w:numPr>
        <w:rPr>
          <w:noProof/>
        </w:rPr>
      </w:pPr>
      <w:r>
        <w:rPr>
          <w:noProof/>
        </w:rPr>
        <w:t>['ECRIS-TCN System' means the European Criminal Records Information System holding conviction information on third-country national and stateless persons as referred to in the ECRIS-TCN System Regulation];</w:t>
      </w:r>
    </w:p>
    <w:p>
      <w:pPr>
        <w:pStyle w:val="Point1number"/>
        <w:numPr>
          <w:ilvl w:val="2"/>
          <w:numId w:val="130"/>
        </w:numPr>
        <w:rPr>
          <w:noProof/>
        </w:rPr>
      </w:pPr>
      <w:r>
        <w:rPr>
          <w:noProof/>
        </w:rPr>
        <w:t>'ESP' means the European search portal as referred to in Article 6;</w:t>
      </w:r>
    </w:p>
    <w:p>
      <w:pPr>
        <w:pStyle w:val="Point1number"/>
        <w:numPr>
          <w:ilvl w:val="2"/>
          <w:numId w:val="130"/>
        </w:numPr>
        <w:rPr>
          <w:noProof/>
        </w:rPr>
      </w:pPr>
      <w:r>
        <w:rPr>
          <w:noProof/>
        </w:rPr>
        <w:t>'shared BMS' means the shared biometric matching service as referred to in Article 15;</w:t>
      </w:r>
    </w:p>
    <w:p>
      <w:pPr>
        <w:pStyle w:val="Point1number"/>
        <w:numPr>
          <w:ilvl w:val="2"/>
          <w:numId w:val="130"/>
        </w:numPr>
        <w:rPr>
          <w:noProof/>
        </w:rPr>
      </w:pPr>
      <w:r>
        <w:rPr>
          <w:noProof/>
        </w:rPr>
        <w:t>'CIR' means the common identity repository as referred to in Article 17;</w:t>
      </w:r>
    </w:p>
    <w:p>
      <w:pPr>
        <w:pStyle w:val="Point1number"/>
        <w:numPr>
          <w:ilvl w:val="2"/>
          <w:numId w:val="130"/>
        </w:numPr>
        <w:rPr>
          <w:noProof/>
        </w:rPr>
      </w:pPr>
      <w:r>
        <w:rPr>
          <w:noProof/>
        </w:rPr>
        <w:t>'MID' means the multiple-identity detector as referred to in Article 25;</w:t>
      </w:r>
    </w:p>
    <w:p>
      <w:pPr>
        <w:pStyle w:val="Point1number"/>
        <w:numPr>
          <w:ilvl w:val="2"/>
          <w:numId w:val="130"/>
        </w:numPr>
        <w:rPr>
          <w:noProof/>
        </w:rPr>
      </w:pPr>
      <w:r>
        <w:rPr>
          <w:noProof/>
        </w:rPr>
        <w:t>'CRRS' means the central repository for reporting and statistics as referred to in Article 39.</w:t>
      </w:r>
    </w:p>
    <w:p>
      <w:pPr>
        <w:pStyle w:val="Titrearticle"/>
        <w:rPr>
          <w:noProof/>
        </w:rPr>
      </w:pPr>
      <w:r>
        <w:rPr>
          <w:noProof/>
        </w:rPr>
        <w:t>Article 5</w:t>
      </w:r>
      <w:r>
        <w:rPr>
          <w:noProof/>
        </w:rPr>
        <w:br/>
        <w:t>Non-discrimination</w:t>
      </w:r>
    </w:p>
    <w:p>
      <w:pPr>
        <w:rPr>
          <w:noProof/>
        </w:rPr>
      </w:pPr>
      <w:r>
        <w:rPr>
          <w:noProof/>
        </w:rPr>
        <w:t>Processing of personal data for the purposes of this Regulation</w:t>
      </w:r>
      <w:r>
        <w:rPr>
          <w:rStyle w:val="Emphasis"/>
          <w:noProof/>
          <w:szCs w:val="24"/>
        </w:rPr>
        <w:t xml:space="preserve"> </w:t>
      </w:r>
      <w:r>
        <w:rPr>
          <w:noProof/>
        </w:rPr>
        <w:t>shall not result in discrimination against persons on any grounds such as sex, racial or ethnic origin, religion or belief, disability, age or sexual orientation. It shall fully respect human dignity and integrity. Particular attention shall be paid to children, the elderly and persons with a disability.</w:t>
      </w:r>
    </w:p>
    <w:p>
      <w:pPr>
        <w:rPr>
          <w:noProof/>
        </w:rPr>
      </w:pPr>
    </w:p>
    <w:p>
      <w:pPr>
        <w:pStyle w:val="ChapterTitle"/>
        <w:rPr>
          <w:noProof/>
        </w:rPr>
      </w:pPr>
      <w:r>
        <w:rPr>
          <w:noProof/>
        </w:rPr>
        <w:t>CHAPTER II</w:t>
      </w:r>
      <w:r>
        <w:rPr>
          <w:noProof/>
        </w:rPr>
        <w:br/>
        <w:t>European Search Portal</w:t>
      </w:r>
    </w:p>
    <w:p>
      <w:pPr>
        <w:pStyle w:val="Titrearticle"/>
        <w:spacing w:before="0" w:after="0"/>
        <w:rPr>
          <w:noProof/>
        </w:rPr>
      </w:pPr>
      <w:r>
        <w:rPr>
          <w:noProof/>
        </w:rPr>
        <w:t>Article 6</w:t>
      </w:r>
    </w:p>
    <w:p>
      <w:pPr>
        <w:pStyle w:val="Titrearticle"/>
        <w:spacing w:before="0" w:after="0"/>
        <w:rPr>
          <w:noProof/>
        </w:rPr>
      </w:pPr>
      <w:r>
        <w:rPr>
          <w:noProof/>
        </w:rPr>
        <w:t>European search portal</w:t>
      </w:r>
    </w:p>
    <w:p>
      <w:pPr>
        <w:pStyle w:val="ManualNumPar1"/>
        <w:rPr>
          <w:noProof/>
        </w:rPr>
      </w:pPr>
      <w:r>
        <w:t>1.</w:t>
      </w:r>
      <w:r>
        <w:tab/>
      </w:r>
      <w:r>
        <w:rPr>
          <w:noProof/>
        </w:rPr>
        <w:t>A European search portal (ESP) is established for the purposes of ensuring that Member State authorities and EU bodies have fast, seamless, efficient, systematic and controlled access to the EU information systems, the Europol data and the Interpol databases that they need to perform their tasks in accordance with their access rights and of supporting the objectives of the EES, the VIS, [the ETIAS], Eurodac, the SIS, [the ECRIS-TCN system] and the Europol data.</w:t>
      </w:r>
    </w:p>
    <w:p>
      <w:pPr>
        <w:pStyle w:val="ManualNumPar1"/>
        <w:rPr>
          <w:noProof/>
        </w:rPr>
      </w:pPr>
      <w:r>
        <w:t>2.</w:t>
      </w:r>
      <w:r>
        <w:tab/>
      </w:r>
      <w:r>
        <w:rPr>
          <w:noProof/>
        </w:rPr>
        <w:t>The ESP shall be composed of:</w:t>
      </w:r>
    </w:p>
    <w:p>
      <w:pPr>
        <w:pStyle w:val="Point1letter"/>
        <w:widowControl w:val="0"/>
        <w:numPr>
          <w:ilvl w:val="3"/>
          <w:numId w:val="93"/>
        </w:numPr>
        <w:adjustRightInd w:val="0"/>
        <w:textAlignment w:val="baseline"/>
        <w:rPr>
          <w:noProof/>
        </w:rPr>
      </w:pPr>
      <w:r>
        <w:rPr>
          <w:noProof/>
        </w:rPr>
        <w:t>a central infrastructure, including a search portal enabling the simultaneous querying of the EES, the VIS, [the ETIAS], Eurodac, the SIS, [the ECRIS-</w:t>
      </w:r>
      <w:r>
        <w:rPr>
          <w:noProof/>
        </w:rPr>
        <w:lastRenderedPageBreak/>
        <w:t>TCN system] as well as of the Europol data and the Interpol databases;</w:t>
      </w:r>
    </w:p>
    <w:p>
      <w:pPr>
        <w:pStyle w:val="Point1letter"/>
        <w:widowControl w:val="0"/>
        <w:numPr>
          <w:ilvl w:val="3"/>
          <w:numId w:val="93"/>
        </w:numPr>
        <w:adjustRightInd w:val="0"/>
        <w:textAlignment w:val="baseline"/>
        <w:rPr>
          <w:noProof/>
        </w:rPr>
      </w:pPr>
      <w:r>
        <w:rPr>
          <w:noProof/>
        </w:rPr>
        <w:t>a secure communication channel between the ESP, Member States and EU bodies that are entitled to use the ESP in accordance with Union law;</w:t>
      </w:r>
    </w:p>
    <w:p>
      <w:pPr>
        <w:pStyle w:val="Point1letter"/>
        <w:widowControl w:val="0"/>
        <w:numPr>
          <w:ilvl w:val="3"/>
          <w:numId w:val="93"/>
        </w:numPr>
        <w:adjustRightInd w:val="0"/>
        <w:textAlignment w:val="baseline"/>
        <w:rPr>
          <w:noProof/>
        </w:rPr>
      </w:pPr>
      <w:r>
        <w:rPr>
          <w:noProof/>
        </w:rPr>
        <w:t>a secure communication infrastructure between the ESP and the EES, the VIS, [the ETIAS], Eurodac, the Central-SIS, [the ECRIS-TCN system], the Europol data and the Interpol databases as well as between the ESP and the central infrastructures of the common identity repository (CIR) and the multiple-identity detector.</w:t>
      </w:r>
    </w:p>
    <w:p>
      <w:pPr>
        <w:pStyle w:val="ManualNumPar1"/>
        <w:rPr>
          <w:noProof/>
        </w:rPr>
      </w:pPr>
      <w:r>
        <w:t>3.</w:t>
      </w:r>
      <w:r>
        <w:tab/>
      </w:r>
      <w:r>
        <w:rPr>
          <w:noProof/>
        </w:rPr>
        <w:t>eu-LISA shall develop the ESP and ensure its technical management.</w:t>
      </w:r>
    </w:p>
    <w:p>
      <w:pPr>
        <w:pStyle w:val="Titrearticle"/>
        <w:spacing w:before="0" w:after="0"/>
        <w:rPr>
          <w:noProof/>
        </w:rPr>
      </w:pPr>
    </w:p>
    <w:p>
      <w:pPr>
        <w:pStyle w:val="Titrearticle"/>
        <w:spacing w:before="0" w:after="0"/>
        <w:rPr>
          <w:noProof/>
        </w:rPr>
      </w:pPr>
      <w:r>
        <w:rPr>
          <w:noProof/>
        </w:rPr>
        <w:t>Article 7</w:t>
      </w:r>
    </w:p>
    <w:p>
      <w:pPr>
        <w:pStyle w:val="Titrearticle"/>
        <w:spacing w:before="0"/>
        <w:rPr>
          <w:noProof/>
        </w:rPr>
      </w:pPr>
      <w:r>
        <w:rPr>
          <w:noProof/>
        </w:rPr>
        <w:t>Use of the European search portal</w:t>
      </w:r>
    </w:p>
    <w:p>
      <w:pPr>
        <w:pStyle w:val="ManualNumPar1"/>
        <w:rPr>
          <w:noProof/>
        </w:rPr>
      </w:pPr>
      <w:r>
        <w:t>1.</w:t>
      </w:r>
      <w:r>
        <w:tab/>
      </w:r>
      <w:r>
        <w:rPr>
          <w:noProof/>
        </w:rPr>
        <w:t>The use of the ESP shall be reserved to the Member State authorities and EU bodies having access to the EES</w:t>
      </w:r>
      <w:r>
        <w:rPr>
          <w:rStyle w:val="Emphasis"/>
          <w:i w:val="0"/>
          <w:noProof/>
          <w:szCs w:val="24"/>
        </w:rPr>
        <w:t>, [the ETIAS], the VIS, the SIS, Eurodac and [the ECRIS-TCN system], to the CIR and the multiple-identity detector as well as the Europol data and the Interpol databases</w:t>
      </w:r>
      <w:r>
        <w:rPr>
          <w:noProof/>
        </w:rPr>
        <w:t xml:space="preserve"> in accordance with Union or national law governing such access.</w:t>
      </w:r>
    </w:p>
    <w:p>
      <w:pPr>
        <w:pStyle w:val="ManualNumPar1"/>
        <w:rPr>
          <w:noProof/>
        </w:rPr>
      </w:pPr>
      <w:r>
        <w:t>2.</w:t>
      </w:r>
      <w:r>
        <w:tab/>
      </w:r>
      <w:r>
        <w:rPr>
          <w:noProof/>
        </w:rPr>
        <w:t>The authorities referred to in paragraph 1 shall use the ESP to search data related to persons or their travel documents in the central systems of the EES, the VIS and [the ETIAS] in accordance with their access rights under Union and national law. They shall also use the ESP to query the CIR in accordance with their access rights under this Regulation for the purposes referred to in Articles 20, 21 and 22.</w:t>
      </w:r>
    </w:p>
    <w:p>
      <w:pPr>
        <w:pStyle w:val="ManualNumPar1"/>
        <w:rPr>
          <w:noProof/>
        </w:rPr>
      </w:pPr>
      <w:r>
        <w:t>3.</w:t>
      </w:r>
      <w:r>
        <w:tab/>
      </w:r>
      <w:r>
        <w:rPr>
          <w:noProof/>
        </w:rPr>
        <w:t>The Member State authorities referred to in paragraph 1 may use the ESP to search data related to persons or their travel documents in the Central SIS referred to in the [Regulation on SIS in the field of border checks and of the Regulation on SIS in the field of law enforcement]. Access to the Central SIS via the ESP shall be established through the national system (N.SIS) of each Member State in accordance with [Article 4(2) of the Regulation on SIS in the field of border checks and of the Regulation on SIS in the field of law enforcement].</w:t>
      </w:r>
    </w:p>
    <w:p>
      <w:pPr>
        <w:pStyle w:val="ManualNumPar1"/>
        <w:rPr>
          <w:noProof/>
        </w:rPr>
      </w:pPr>
      <w:r>
        <w:t>4.</w:t>
      </w:r>
      <w:r>
        <w:tab/>
      </w:r>
      <w:r>
        <w:rPr>
          <w:noProof/>
        </w:rPr>
        <w:t>The EU bodies shall use the ESP to search data related to persons or their travel documents in the Central SIS.</w:t>
      </w:r>
    </w:p>
    <w:p>
      <w:pPr>
        <w:pStyle w:val="ManualNumPar1"/>
        <w:rPr>
          <w:noProof/>
        </w:rPr>
      </w:pPr>
      <w:r>
        <w:t>5.</w:t>
      </w:r>
      <w:r>
        <w:tab/>
      </w:r>
      <w:r>
        <w:rPr>
          <w:noProof/>
        </w:rPr>
        <w:t>The authorities referred to in paragraph 1 may use the ESP to search data related to persons or their travel documents in the Interpol databases in accordance with their access rights under Union and national law.</w:t>
      </w:r>
    </w:p>
    <w:p>
      <w:pPr>
        <w:rPr>
          <w:noProof/>
        </w:rPr>
      </w:pPr>
    </w:p>
    <w:p>
      <w:pPr>
        <w:pStyle w:val="Titrearticle"/>
        <w:spacing w:before="0" w:after="0"/>
        <w:rPr>
          <w:noProof/>
        </w:rPr>
      </w:pPr>
      <w:r>
        <w:rPr>
          <w:noProof/>
        </w:rPr>
        <w:t>Article 8</w:t>
      </w:r>
    </w:p>
    <w:p>
      <w:pPr>
        <w:pStyle w:val="Titrearticle"/>
        <w:spacing w:before="0"/>
        <w:rPr>
          <w:noProof/>
        </w:rPr>
      </w:pPr>
      <w:r>
        <w:rPr>
          <w:noProof/>
        </w:rPr>
        <w:t>Profiles for the users of the European search portal</w:t>
      </w:r>
    </w:p>
    <w:p>
      <w:pPr>
        <w:pStyle w:val="ManualNumPar1"/>
        <w:rPr>
          <w:noProof/>
        </w:rPr>
      </w:pPr>
      <w:r>
        <w:t>1.</w:t>
      </w:r>
      <w:r>
        <w:tab/>
      </w:r>
      <w:r>
        <w:rPr>
          <w:noProof/>
        </w:rPr>
        <w:t>For the purposes of enabling the use of the ESP, eu-LISA shall create a profile for each category of user of the ESP in accordance with the technical details and access rights referred to in paragraph 2, including, in accordance with Union and national law:</w:t>
      </w:r>
    </w:p>
    <w:p>
      <w:pPr>
        <w:pStyle w:val="Point1letter"/>
        <w:widowControl w:val="0"/>
        <w:numPr>
          <w:ilvl w:val="3"/>
          <w:numId w:val="59"/>
        </w:numPr>
        <w:adjustRightInd w:val="0"/>
        <w:textAlignment w:val="baseline"/>
        <w:rPr>
          <w:noProof/>
        </w:rPr>
      </w:pPr>
      <w:r>
        <w:rPr>
          <w:noProof/>
        </w:rPr>
        <w:t>the fields of data to be used for querying;</w:t>
      </w:r>
    </w:p>
    <w:p>
      <w:pPr>
        <w:pStyle w:val="Point1letter"/>
        <w:widowControl w:val="0"/>
        <w:numPr>
          <w:ilvl w:val="3"/>
          <w:numId w:val="59"/>
        </w:numPr>
        <w:adjustRightInd w:val="0"/>
        <w:textAlignment w:val="baseline"/>
        <w:rPr>
          <w:noProof/>
        </w:rPr>
      </w:pPr>
      <w:r>
        <w:rPr>
          <w:noProof/>
        </w:rPr>
        <w:t>the EU information systems, the Europol data and the Interpol databases that shall and may be consulted and that shall provide a reply to the user; and</w:t>
      </w:r>
    </w:p>
    <w:p>
      <w:pPr>
        <w:pStyle w:val="Point1letter"/>
        <w:widowControl w:val="0"/>
        <w:numPr>
          <w:ilvl w:val="3"/>
          <w:numId w:val="59"/>
        </w:numPr>
        <w:adjustRightInd w:val="0"/>
        <w:textAlignment w:val="baseline"/>
        <w:rPr>
          <w:noProof/>
        </w:rPr>
      </w:pPr>
      <w:r>
        <w:rPr>
          <w:noProof/>
        </w:rPr>
        <w:lastRenderedPageBreak/>
        <w:t>the data provided in each reply.</w:t>
      </w:r>
    </w:p>
    <w:p>
      <w:pPr>
        <w:pStyle w:val="ManualNumPar1"/>
        <w:rPr>
          <w:noProof/>
        </w:rPr>
      </w:pPr>
      <w:r>
        <w:t>2.</w:t>
      </w:r>
      <w:r>
        <w:tab/>
      </w:r>
      <w:r>
        <w:rPr>
          <w:noProof/>
        </w:rPr>
        <w:t>The Commission shall adopt delegated acts in accordance with Article 63 to specify the technical details of the profiles referred to in paragraph 1 for the users of the ESP referred to in Article 7(1) in accordance with their access rights.</w:t>
      </w:r>
    </w:p>
    <w:p>
      <w:pPr>
        <w:pStyle w:val="Text1"/>
        <w:rPr>
          <w:noProof/>
        </w:rPr>
      </w:pPr>
    </w:p>
    <w:p>
      <w:pPr>
        <w:pStyle w:val="Titrearticle"/>
        <w:spacing w:before="0" w:after="0"/>
        <w:rPr>
          <w:noProof/>
        </w:rPr>
      </w:pPr>
      <w:r>
        <w:rPr>
          <w:noProof/>
        </w:rPr>
        <w:t>Article 9</w:t>
      </w:r>
    </w:p>
    <w:p>
      <w:pPr>
        <w:pStyle w:val="Titrearticle"/>
        <w:spacing w:before="0"/>
        <w:rPr>
          <w:noProof/>
        </w:rPr>
      </w:pPr>
      <w:r>
        <w:rPr>
          <w:noProof/>
        </w:rPr>
        <w:t>Queries</w:t>
      </w:r>
    </w:p>
    <w:p>
      <w:pPr>
        <w:pStyle w:val="ManualNumPar1"/>
        <w:rPr>
          <w:rStyle w:val="Emphasis"/>
          <w:i w:val="0"/>
          <w:noProof/>
          <w:szCs w:val="24"/>
        </w:rPr>
      </w:pPr>
      <w:r>
        <w:rPr>
          <w:rStyle w:val="Emphasis"/>
        </w:rPr>
        <w:t>1.</w:t>
      </w:r>
      <w:r>
        <w:rPr>
          <w:rStyle w:val="Emphasis"/>
        </w:rPr>
        <w:tab/>
      </w:r>
      <w:r>
        <w:rPr>
          <w:noProof/>
        </w:rPr>
        <w:t>The users of the ESP shall launch a query by introducing data in the ESP in accordance with their user profile and access rights. Where a query has been launched, the ESP shall query simultaneously, with the data introduced by the user of the ESP, the EES</w:t>
      </w:r>
      <w:r>
        <w:rPr>
          <w:rStyle w:val="Emphasis"/>
          <w:noProof/>
          <w:szCs w:val="24"/>
        </w:rPr>
        <w:t xml:space="preserve">, </w:t>
      </w:r>
      <w:r>
        <w:rPr>
          <w:rStyle w:val="Emphasis"/>
          <w:i w:val="0"/>
          <w:noProof/>
          <w:szCs w:val="24"/>
        </w:rPr>
        <w:t>[the ETIAS], the VIS, the SIS, Eurodac, [the ECRIS-TCN system] and the CIR as well as the Europol data and the Interpol databases.</w:t>
      </w:r>
    </w:p>
    <w:p>
      <w:pPr>
        <w:pStyle w:val="ManualNumPar1"/>
        <w:rPr>
          <w:noProof/>
        </w:rPr>
      </w:pPr>
      <w:r>
        <w:t>2.</w:t>
      </w:r>
      <w:r>
        <w:tab/>
      </w:r>
      <w:r>
        <w:rPr>
          <w:noProof/>
        </w:rPr>
        <w:t>The fields of data used to launch a query via the ESP shall correspond to the fields of data related to persons or travel documents that may be used to query the various EU information systems, the Europol data and the Interpol databases in accordance with the legal instruments governing them.</w:t>
      </w:r>
    </w:p>
    <w:p>
      <w:pPr>
        <w:pStyle w:val="ManualNumPar1"/>
        <w:rPr>
          <w:noProof/>
        </w:rPr>
      </w:pPr>
      <w:r>
        <w:t>3.</w:t>
      </w:r>
      <w:r>
        <w:tab/>
      </w:r>
      <w:r>
        <w:rPr>
          <w:noProof/>
        </w:rPr>
        <w:t>eu-LISA shall implement an interface control document (ICD) based on the UMF referred to in Article 38 for the ESP.</w:t>
      </w:r>
    </w:p>
    <w:p>
      <w:pPr>
        <w:pStyle w:val="ManualNumPar1"/>
        <w:rPr>
          <w:noProof/>
        </w:rPr>
      </w:pPr>
      <w:r>
        <w:t>4.</w:t>
      </w:r>
      <w:r>
        <w:tab/>
      </w:r>
      <w:r>
        <w:rPr>
          <w:noProof/>
        </w:rPr>
        <w:t>The EES, [the ETIAS], the VIS, the SIS, Eurodac, [the ECRIS-TCN system], the CIR and the multiple-identity detector, as well as the Europol data</w:t>
      </w:r>
      <w:r>
        <w:rPr>
          <w:rStyle w:val="Emphasis"/>
          <w:noProof/>
          <w:szCs w:val="24"/>
        </w:rPr>
        <w:t xml:space="preserve"> </w:t>
      </w:r>
      <w:r>
        <w:rPr>
          <w:rStyle w:val="Emphasis"/>
          <w:i w:val="0"/>
          <w:noProof/>
          <w:szCs w:val="24"/>
        </w:rPr>
        <w:t>and the Interpol databases,</w:t>
      </w:r>
      <w:r>
        <w:rPr>
          <w:noProof/>
        </w:rPr>
        <w:t xml:space="preserve"> shall provide the data that they contain resulting from the query of the ESP.</w:t>
      </w:r>
    </w:p>
    <w:p>
      <w:pPr>
        <w:pStyle w:val="ManualNumPar1"/>
        <w:rPr>
          <w:noProof/>
        </w:rPr>
      </w:pPr>
      <w:r>
        <w:t>5.</w:t>
      </w:r>
      <w:r>
        <w:tab/>
      </w:r>
      <w:r>
        <w:rPr>
          <w:noProof/>
        </w:rPr>
        <w:t>When querying the Interpol databases, the design of the ESP shall ensure that the data used by the user of the ESP to launch a query is not shared with the owners of Interpol data.</w:t>
      </w:r>
    </w:p>
    <w:p>
      <w:pPr>
        <w:pStyle w:val="ManualNumPar1"/>
        <w:rPr>
          <w:noProof/>
        </w:rPr>
      </w:pPr>
      <w:r>
        <w:t>6.</w:t>
      </w:r>
      <w:r>
        <w:tab/>
      </w:r>
      <w:r>
        <w:rPr>
          <w:noProof/>
        </w:rPr>
        <w:t>The reply to the user of the ESP shall be unique and shall contain all the data to which the user has access under Union law. Where necessary, the reply provided by the ESP shall indicate to which information system or database the data belongs.</w:t>
      </w:r>
    </w:p>
    <w:p>
      <w:pPr>
        <w:pStyle w:val="ManualNumPar1"/>
        <w:rPr>
          <w:noProof/>
        </w:rPr>
      </w:pPr>
      <w:r>
        <w:t>7.</w:t>
      </w:r>
      <w:r>
        <w:tab/>
      </w:r>
      <w:r>
        <w:rPr>
          <w:noProof/>
        </w:rPr>
        <w:t>The Commission shall adopt a delegated act in accordance with Article 63 to specify the content and format of the ESP replies.</w:t>
      </w:r>
    </w:p>
    <w:p>
      <w:pPr>
        <w:pStyle w:val="Text1"/>
        <w:rPr>
          <w:noProof/>
        </w:rPr>
      </w:pPr>
    </w:p>
    <w:p>
      <w:pPr>
        <w:pStyle w:val="Titrearticle"/>
        <w:spacing w:before="0" w:after="0"/>
        <w:rPr>
          <w:noProof/>
        </w:rPr>
      </w:pPr>
      <w:r>
        <w:rPr>
          <w:noProof/>
        </w:rPr>
        <w:t>Article 10</w:t>
      </w:r>
    </w:p>
    <w:p>
      <w:pPr>
        <w:pStyle w:val="Titrearticle"/>
        <w:spacing w:before="0"/>
        <w:rPr>
          <w:noProof/>
        </w:rPr>
      </w:pPr>
      <w:r>
        <w:rPr>
          <w:noProof/>
        </w:rPr>
        <w:t>Keeping of logs</w:t>
      </w:r>
    </w:p>
    <w:p>
      <w:pPr>
        <w:pStyle w:val="ManualNumPar1"/>
        <w:rPr>
          <w:noProof/>
        </w:rPr>
      </w:pPr>
      <w:r>
        <w:t>1.</w:t>
      </w:r>
      <w:r>
        <w:tab/>
      </w:r>
      <w:r>
        <w:rPr>
          <w:noProof/>
        </w:rPr>
        <w:t xml:space="preserve">Without prejudice to [Article 46 of the EES Regulation], Article 34 of Regulation (EC) No 767/2008, [Article 59 of the ETIAS proposal] and Articles 12 and 18 of the Regulation on SIS in the field of border checks, eu-LISA shall keep </w:t>
      </w:r>
      <w:bookmarkStart w:id="86" w:name="_DV_C1328"/>
      <w:r>
        <w:rPr>
          <w:noProof/>
        </w:rPr>
        <w:t>logs</w:t>
      </w:r>
      <w:bookmarkStart w:id="87" w:name="_DV_M1068"/>
      <w:bookmarkEnd w:id="86"/>
      <w:bookmarkEnd w:id="87"/>
      <w:r>
        <w:rPr>
          <w:noProof/>
        </w:rPr>
        <w:t xml:space="preserve"> of all data processing operations within the ESP. Those </w:t>
      </w:r>
      <w:bookmarkStart w:id="88" w:name="_DV_C1330"/>
      <w:r>
        <w:rPr>
          <w:noProof/>
        </w:rPr>
        <w:t>logs</w:t>
      </w:r>
      <w:bookmarkStart w:id="89" w:name="_DV_M1069"/>
      <w:bookmarkEnd w:id="88"/>
      <w:bookmarkEnd w:id="89"/>
      <w:r>
        <w:rPr>
          <w:noProof/>
        </w:rPr>
        <w:t xml:space="preserve"> shall include, in particular, the following:</w:t>
      </w:r>
    </w:p>
    <w:p>
      <w:pPr>
        <w:pStyle w:val="Point1letter"/>
        <w:widowControl w:val="0"/>
        <w:numPr>
          <w:ilvl w:val="3"/>
          <w:numId w:val="63"/>
        </w:numPr>
        <w:adjustRightInd w:val="0"/>
        <w:textAlignment w:val="baseline"/>
        <w:rPr>
          <w:noProof/>
        </w:rPr>
      </w:pPr>
      <w:r>
        <w:rPr>
          <w:noProof/>
        </w:rPr>
        <w:t>the Member State authority and the individual user of the ESP, including the ESP profile used as referred to in Article 8;</w:t>
      </w:r>
    </w:p>
    <w:p>
      <w:pPr>
        <w:pStyle w:val="Point1letter"/>
        <w:widowControl w:val="0"/>
        <w:numPr>
          <w:ilvl w:val="3"/>
          <w:numId w:val="63"/>
        </w:numPr>
        <w:adjustRightInd w:val="0"/>
        <w:textAlignment w:val="baseline"/>
        <w:rPr>
          <w:noProof/>
        </w:rPr>
      </w:pPr>
      <w:r>
        <w:rPr>
          <w:noProof/>
        </w:rPr>
        <w:t>the date and time of the query;</w:t>
      </w:r>
    </w:p>
    <w:p>
      <w:pPr>
        <w:pStyle w:val="Point1letter"/>
        <w:widowControl w:val="0"/>
        <w:numPr>
          <w:ilvl w:val="3"/>
          <w:numId w:val="63"/>
        </w:numPr>
        <w:adjustRightInd w:val="0"/>
        <w:textAlignment w:val="baseline"/>
        <w:rPr>
          <w:noProof/>
        </w:rPr>
      </w:pPr>
      <w:r>
        <w:rPr>
          <w:noProof/>
        </w:rPr>
        <w:t>the EU information systems and the Interpol databases queried;</w:t>
      </w:r>
    </w:p>
    <w:p>
      <w:pPr>
        <w:pStyle w:val="Point1letter"/>
        <w:widowControl w:val="0"/>
        <w:numPr>
          <w:ilvl w:val="3"/>
          <w:numId w:val="63"/>
        </w:numPr>
        <w:adjustRightInd w:val="0"/>
        <w:textAlignment w:val="baseline"/>
        <w:rPr>
          <w:noProof/>
        </w:rPr>
      </w:pPr>
      <w:r>
        <w:rPr>
          <w:noProof/>
        </w:rPr>
        <w:t xml:space="preserve">in accordance with national rules or when applicable, Regulation (EU) </w:t>
      </w:r>
      <w:r>
        <w:rPr>
          <w:noProof/>
        </w:rPr>
        <w:lastRenderedPageBreak/>
        <w:t>45/2001, the identifying mark of the person who carried out the query..</w:t>
      </w:r>
    </w:p>
    <w:p>
      <w:pPr>
        <w:pStyle w:val="ManualNumPar1"/>
        <w:rPr>
          <w:noProof/>
        </w:rPr>
      </w:pPr>
      <w:bookmarkStart w:id="90" w:name="_DV_M1070"/>
      <w:bookmarkStart w:id="91" w:name="_DV_M1073"/>
      <w:bookmarkStart w:id="92" w:name="_DV_C1338"/>
      <w:bookmarkEnd w:id="90"/>
      <w:bookmarkEnd w:id="91"/>
      <w:r>
        <w:t>2.</w:t>
      </w:r>
      <w:r>
        <w:tab/>
      </w:r>
      <w:r>
        <w:rPr>
          <w:noProof/>
        </w:rPr>
        <w:t>The logs</w:t>
      </w:r>
      <w:bookmarkStart w:id="93" w:name="_DV_M1074"/>
      <w:bookmarkEnd w:id="92"/>
      <w:bookmarkEnd w:id="93"/>
      <w:r>
        <w:rPr>
          <w:noProof/>
        </w:rPr>
        <w:t xml:space="preserve"> may be used only for data protection monitoring, including checking the admissibility of a query and the lawfulness of data processing, and for ensuring data security </w:t>
      </w:r>
      <w:bookmarkStart w:id="94" w:name="_DV_C1340"/>
      <w:r>
        <w:rPr>
          <w:noProof/>
        </w:rPr>
        <w:t>pursuant to Article 42.</w:t>
      </w:r>
      <w:bookmarkStart w:id="95" w:name="_DV_M1075"/>
      <w:bookmarkEnd w:id="94"/>
      <w:bookmarkEnd w:id="95"/>
      <w:r>
        <w:rPr>
          <w:noProof/>
        </w:rPr>
        <w:t xml:space="preserve"> Those </w:t>
      </w:r>
      <w:bookmarkStart w:id="96" w:name="_DV_C1342"/>
      <w:r>
        <w:rPr>
          <w:noProof/>
        </w:rPr>
        <w:t>logs</w:t>
      </w:r>
      <w:bookmarkStart w:id="97" w:name="_DV_M1076"/>
      <w:bookmarkEnd w:id="96"/>
      <w:bookmarkEnd w:id="97"/>
      <w:r>
        <w:rPr>
          <w:noProof/>
        </w:rPr>
        <w:t xml:space="preserve"> shall be protected by appropriate measures against unauthorised access and erased one year after their creation, </w:t>
      </w:r>
      <w:bookmarkStart w:id="98" w:name="_DV_C1344"/>
      <w:r>
        <w:rPr>
          <w:noProof/>
        </w:rPr>
        <w:t>unless</w:t>
      </w:r>
      <w:bookmarkStart w:id="99" w:name="_DV_M1077"/>
      <w:bookmarkEnd w:id="98"/>
      <w:bookmarkEnd w:id="99"/>
      <w:r>
        <w:rPr>
          <w:noProof/>
        </w:rPr>
        <w:t xml:space="preserve"> they are </w:t>
      </w:r>
      <w:bookmarkStart w:id="100" w:name="_DV_M1078"/>
      <w:bookmarkEnd w:id="100"/>
      <w:r>
        <w:rPr>
          <w:noProof/>
        </w:rPr>
        <w:t>required for monitoring procedures that have already begun.</w:t>
      </w:r>
    </w:p>
    <w:p>
      <w:pPr>
        <w:pStyle w:val="Titrearticle"/>
        <w:spacing w:before="0" w:after="0"/>
        <w:rPr>
          <w:noProof/>
        </w:rPr>
      </w:pPr>
      <w:r>
        <w:rPr>
          <w:noProof/>
        </w:rPr>
        <w:t>Article 11</w:t>
      </w:r>
    </w:p>
    <w:p>
      <w:pPr>
        <w:pStyle w:val="Titrearticle"/>
        <w:spacing w:before="0" w:after="0"/>
        <w:rPr>
          <w:noProof/>
        </w:rPr>
      </w:pPr>
      <w:r>
        <w:rPr>
          <w:noProof/>
        </w:rPr>
        <w:t>Fall-back procedures in case of technical impossibility to use the European search portal</w:t>
      </w:r>
    </w:p>
    <w:p>
      <w:pPr>
        <w:pStyle w:val="ManualNumPar1"/>
        <w:rPr>
          <w:noProof/>
        </w:rPr>
      </w:pPr>
      <w:r>
        <w:t>1.</w:t>
      </w:r>
      <w:r>
        <w:tab/>
      </w:r>
      <w:r>
        <w:rPr>
          <w:noProof/>
        </w:rPr>
        <w:t xml:space="preserve">Where it is technically impossible to use the ESP to query one or several EU information systems referred to in Article 9(1) or the CIR, because of a failure of the ESP, the users of the ESP shall be notified by eu-LISA. </w:t>
      </w:r>
    </w:p>
    <w:p>
      <w:pPr>
        <w:pStyle w:val="ManualNumPar1"/>
        <w:rPr>
          <w:noProof/>
        </w:rPr>
      </w:pPr>
      <w:r>
        <w:t>2.</w:t>
      </w:r>
      <w:r>
        <w:tab/>
      </w:r>
      <w:r>
        <w:rPr>
          <w:noProof/>
        </w:rPr>
        <w:t xml:space="preserve">Where it is technically impossible to use the ESP to query one or several EU information systems referred to in Article 9(1) or the CIR, because of a failure of the national infrastructure in a Member State, that Member State's competent authority shall notify eu-LISA and the Commission. </w:t>
      </w:r>
    </w:p>
    <w:p>
      <w:pPr>
        <w:pStyle w:val="ManualNumPar1"/>
        <w:rPr>
          <w:noProof/>
        </w:rPr>
      </w:pPr>
      <w:r>
        <w:t>3.</w:t>
      </w:r>
      <w:r>
        <w:tab/>
      </w:r>
      <w:r>
        <w:rPr>
          <w:noProof/>
        </w:rPr>
        <w:t>In both scenarios, and until the technical failure is addressed, the obligation referred to in Article 7(2) and (4) shall not apply and Member States may access the information systems referred to in Article 9(1) or the CIR directly using their respective national uniform interfaces or national communication infrastructures.</w:t>
      </w:r>
    </w:p>
    <w:p>
      <w:pPr>
        <w:rPr>
          <w:noProof/>
        </w:rPr>
      </w:pPr>
      <w:bookmarkStart w:id="101" w:name="_DV_M1564"/>
      <w:bookmarkEnd w:id="101"/>
    </w:p>
    <w:p>
      <w:pPr>
        <w:pStyle w:val="ChapterTitle"/>
        <w:rPr>
          <w:noProof/>
        </w:rPr>
      </w:pPr>
      <w:r>
        <w:rPr>
          <w:noProof/>
        </w:rPr>
        <w:t>CHAPTER III</w:t>
      </w:r>
      <w:r>
        <w:rPr>
          <w:noProof/>
        </w:rPr>
        <w:br/>
        <w:t>Shared Biometric Matching Service</w:t>
      </w:r>
    </w:p>
    <w:p>
      <w:pPr>
        <w:pStyle w:val="Titrearticle"/>
        <w:spacing w:before="0" w:after="0"/>
        <w:rPr>
          <w:noProof/>
        </w:rPr>
      </w:pPr>
      <w:r>
        <w:rPr>
          <w:noProof/>
        </w:rPr>
        <w:t>Article 12</w:t>
      </w:r>
    </w:p>
    <w:p>
      <w:pPr>
        <w:pStyle w:val="Titrearticle"/>
        <w:spacing w:before="0" w:after="0"/>
        <w:rPr>
          <w:noProof/>
        </w:rPr>
      </w:pPr>
      <w:r>
        <w:rPr>
          <w:noProof/>
        </w:rPr>
        <w:t>Shared biometric matching service</w:t>
      </w:r>
    </w:p>
    <w:p>
      <w:pPr>
        <w:pStyle w:val="ManualNumPar1"/>
        <w:rPr>
          <w:noProof/>
        </w:rPr>
      </w:pPr>
      <w:r>
        <w:t>1.</w:t>
      </w:r>
      <w:r>
        <w:tab/>
      </w:r>
      <w:r>
        <w:rPr>
          <w:noProof/>
        </w:rPr>
        <w:t>A shared biometric matching service (shared BMS) storing biometric templates and enabling querying with biometric data across several EU information systems is established for the purposes of supporting the CIR and the multiple-identity detector and the objectives of the EES, the VIS, Eurodac, the SIS and [the ECRIS-TCN system].</w:t>
      </w:r>
    </w:p>
    <w:p>
      <w:pPr>
        <w:pStyle w:val="ManualNumPar1"/>
        <w:rPr>
          <w:noProof/>
        </w:rPr>
      </w:pPr>
      <w:r>
        <w:t>2.</w:t>
      </w:r>
      <w:r>
        <w:tab/>
      </w:r>
      <w:r>
        <w:rPr>
          <w:noProof/>
        </w:rPr>
        <w:t>The shared BMS shall be composed of:</w:t>
      </w:r>
    </w:p>
    <w:p>
      <w:pPr>
        <w:pStyle w:val="Point1letter"/>
        <w:widowControl w:val="0"/>
        <w:numPr>
          <w:ilvl w:val="3"/>
          <w:numId w:val="64"/>
        </w:numPr>
        <w:adjustRightInd w:val="0"/>
        <w:textAlignment w:val="baseline"/>
        <w:rPr>
          <w:noProof/>
        </w:rPr>
      </w:pPr>
      <w:r>
        <w:rPr>
          <w:noProof/>
        </w:rPr>
        <w:t>a central infrastructure, including a search engine and the storage of the data referred to in Article 13;</w:t>
      </w:r>
    </w:p>
    <w:p>
      <w:pPr>
        <w:pStyle w:val="Point1letter"/>
        <w:widowControl w:val="0"/>
        <w:numPr>
          <w:ilvl w:val="3"/>
          <w:numId w:val="64"/>
        </w:numPr>
        <w:adjustRightInd w:val="0"/>
        <w:textAlignment w:val="baseline"/>
        <w:rPr>
          <w:noProof/>
        </w:rPr>
      </w:pPr>
      <w:r>
        <w:rPr>
          <w:noProof/>
        </w:rPr>
        <w:t>a secure communication infrastructure between the shared BMS, Central-SIS and the CIR.</w:t>
      </w:r>
    </w:p>
    <w:p>
      <w:pPr>
        <w:pStyle w:val="ManualNumPar1"/>
        <w:rPr>
          <w:noProof/>
        </w:rPr>
      </w:pPr>
      <w:r>
        <w:t>3.</w:t>
      </w:r>
      <w:r>
        <w:tab/>
      </w:r>
      <w:r>
        <w:rPr>
          <w:noProof/>
        </w:rPr>
        <w:t>eu-LISA shall develop the shared BMS and ensure its technical management.</w:t>
      </w:r>
    </w:p>
    <w:p>
      <w:pPr>
        <w:pStyle w:val="Text1"/>
        <w:rPr>
          <w:noProof/>
        </w:rPr>
      </w:pPr>
    </w:p>
    <w:p>
      <w:pPr>
        <w:pStyle w:val="Titrearticle"/>
        <w:spacing w:before="0" w:after="0"/>
        <w:rPr>
          <w:noProof/>
        </w:rPr>
      </w:pPr>
      <w:r>
        <w:rPr>
          <w:noProof/>
        </w:rPr>
        <w:t>Article 13</w:t>
      </w:r>
    </w:p>
    <w:p>
      <w:pPr>
        <w:pStyle w:val="Titrearticle"/>
        <w:spacing w:before="0"/>
        <w:rPr>
          <w:noProof/>
        </w:rPr>
      </w:pPr>
      <w:r>
        <w:rPr>
          <w:noProof/>
        </w:rPr>
        <w:t>Data stored in the shared biometric matching service</w:t>
      </w:r>
    </w:p>
    <w:p>
      <w:pPr>
        <w:pStyle w:val="ManualNumPar1"/>
        <w:rPr>
          <w:noProof/>
        </w:rPr>
      </w:pPr>
      <w:r>
        <w:t>1.</w:t>
      </w:r>
      <w:r>
        <w:tab/>
      </w:r>
      <w:r>
        <w:rPr>
          <w:noProof/>
        </w:rPr>
        <w:t>The shared BMS shall store the biometric templates that it shall obtain from the following biometric data:</w:t>
      </w:r>
    </w:p>
    <w:p>
      <w:pPr>
        <w:pStyle w:val="Point1letter"/>
        <w:widowControl w:val="0"/>
        <w:numPr>
          <w:ilvl w:val="3"/>
          <w:numId w:val="65"/>
        </w:numPr>
        <w:adjustRightInd w:val="0"/>
        <w:textAlignment w:val="baseline"/>
        <w:rPr>
          <w:noProof/>
        </w:rPr>
      </w:pPr>
      <w:r>
        <w:rPr>
          <w:noProof/>
        </w:rPr>
        <w:t xml:space="preserve">the data referred to in Article 16(1)(d) and Article 17(1)(b) and (c) of </w:t>
      </w:r>
      <w:r>
        <w:rPr>
          <w:bCs/>
          <w:noProof/>
        </w:rPr>
        <w:t>Regulation (EU) 2017/2226</w:t>
      </w:r>
      <w:r>
        <w:rPr>
          <w:noProof/>
        </w:rPr>
        <w:t>;</w:t>
      </w:r>
    </w:p>
    <w:p>
      <w:pPr>
        <w:pStyle w:val="Point1letter"/>
        <w:widowControl w:val="0"/>
        <w:numPr>
          <w:ilvl w:val="3"/>
          <w:numId w:val="65"/>
        </w:numPr>
        <w:adjustRightInd w:val="0"/>
        <w:textAlignment w:val="baseline"/>
        <w:rPr>
          <w:noProof/>
        </w:rPr>
      </w:pPr>
      <w:r>
        <w:rPr>
          <w:noProof/>
        </w:rPr>
        <w:lastRenderedPageBreak/>
        <w:t>the data referred to in Article 9(6) of Regulation (EC) No 767/2008;</w:t>
      </w:r>
    </w:p>
    <w:p>
      <w:pPr>
        <w:pStyle w:val="Point1letter"/>
        <w:widowControl w:val="0"/>
        <w:numPr>
          <w:ilvl w:val="3"/>
          <w:numId w:val="65"/>
        </w:numPr>
        <w:adjustRightInd w:val="0"/>
        <w:textAlignment w:val="baseline"/>
        <w:rPr>
          <w:noProof/>
        </w:rPr>
      </w:pPr>
      <w:r>
        <w:rPr>
          <w:noProof/>
        </w:rPr>
        <w:t>[the data referred to in Article 20(2)(w) and (x) of the Regulation on SIS in the field of border checks;</w:t>
      </w:r>
    </w:p>
    <w:p>
      <w:pPr>
        <w:pStyle w:val="Point1letter"/>
        <w:widowControl w:val="0"/>
        <w:numPr>
          <w:ilvl w:val="3"/>
          <w:numId w:val="65"/>
        </w:numPr>
        <w:adjustRightInd w:val="0"/>
        <w:textAlignment w:val="baseline"/>
        <w:rPr>
          <w:noProof/>
        </w:rPr>
      </w:pPr>
      <w:r>
        <w:rPr>
          <w:noProof/>
        </w:rPr>
        <w:t>the data referred to in Article 20(3)(w) and (x) of the Regulation on SIS in the field of law enforcement;</w:t>
      </w:r>
    </w:p>
    <w:p>
      <w:pPr>
        <w:pStyle w:val="Point1letter"/>
        <w:widowControl w:val="0"/>
        <w:numPr>
          <w:ilvl w:val="3"/>
          <w:numId w:val="65"/>
        </w:numPr>
        <w:adjustRightInd w:val="0"/>
        <w:textAlignment w:val="baseline"/>
        <w:rPr>
          <w:noProof/>
        </w:rPr>
      </w:pPr>
      <w:r>
        <w:rPr>
          <w:noProof/>
        </w:rPr>
        <w:t>the data referred to in Article 4(3)(t) and (u) of the Regulation on SIS in the field of illegal return];</w:t>
      </w:r>
    </w:p>
    <w:p>
      <w:pPr>
        <w:pStyle w:val="Point1letter"/>
        <w:widowControl w:val="0"/>
        <w:numPr>
          <w:ilvl w:val="3"/>
          <w:numId w:val="65"/>
        </w:numPr>
        <w:adjustRightInd w:val="0"/>
        <w:textAlignment w:val="baseline"/>
        <w:rPr>
          <w:noProof/>
        </w:rPr>
      </w:pPr>
      <w:r>
        <w:rPr>
          <w:noProof/>
        </w:rPr>
        <w:t>[the data referred to in Article 13(a) of the Eurodac Regulation;]</w:t>
      </w:r>
    </w:p>
    <w:p>
      <w:pPr>
        <w:pStyle w:val="Point1letter"/>
        <w:widowControl w:val="0"/>
        <w:numPr>
          <w:ilvl w:val="3"/>
          <w:numId w:val="65"/>
        </w:numPr>
        <w:adjustRightInd w:val="0"/>
        <w:textAlignment w:val="baseline"/>
        <w:rPr>
          <w:noProof/>
        </w:rPr>
      </w:pPr>
      <w:r>
        <w:rPr>
          <w:noProof/>
        </w:rPr>
        <w:t>[the data referred to in Article 5(1)(b) and Article 5(2) of the ECRIS-TCN Regulation.]</w:t>
      </w:r>
    </w:p>
    <w:p>
      <w:pPr>
        <w:pStyle w:val="ManualNumPar1"/>
        <w:rPr>
          <w:noProof/>
        </w:rPr>
      </w:pPr>
      <w:r>
        <w:t>2.</w:t>
      </w:r>
      <w:r>
        <w:tab/>
      </w:r>
      <w:r>
        <w:rPr>
          <w:noProof/>
        </w:rPr>
        <w:t>The shared BMS shall include in each biometric template a reference to the information systems in which the corresponding biometric data is stored.</w:t>
      </w:r>
    </w:p>
    <w:p>
      <w:pPr>
        <w:pStyle w:val="ManualNumPar1"/>
        <w:rPr>
          <w:noProof/>
        </w:rPr>
      </w:pPr>
      <w:r>
        <w:t>3.</w:t>
      </w:r>
      <w:r>
        <w:tab/>
      </w:r>
      <w:r>
        <w:rPr>
          <w:noProof/>
        </w:rPr>
        <w:t>Biometric templates shall only be entered in the shared BMS following an automated quality check of the biometric data added to one of the information systems performed by the shared BMS to ascertain the fulfilment of a minimum data quality standard.</w:t>
      </w:r>
    </w:p>
    <w:p>
      <w:pPr>
        <w:pStyle w:val="ManualNumPar1"/>
        <w:rPr>
          <w:noProof/>
        </w:rPr>
      </w:pPr>
      <w:r>
        <w:t>4.</w:t>
      </w:r>
      <w:r>
        <w:tab/>
      </w:r>
      <w:r>
        <w:rPr>
          <w:noProof/>
        </w:rPr>
        <w:t>The storage of the data referred to in paragraph 1 shall meet the quality standards referred to in Article 37(2).</w:t>
      </w:r>
    </w:p>
    <w:p>
      <w:pPr>
        <w:pStyle w:val="Text1"/>
        <w:rPr>
          <w:noProof/>
        </w:rPr>
      </w:pPr>
    </w:p>
    <w:p>
      <w:pPr>
        <w:pStyle w:val="Titrearticle"/>
        <w:spacing w:before="0" w:after="0"/>
        <w:rPr>
          <w:noProof/>
        </w:rPr>
      </w:pPr>
      <w:r>
        <w:rPr>
          <w:noProof/>
        </w:rPr>
        <w:t>Article 14</w:t>
      </w:r>
    </w:p>
    <w:p>
      <w:pPr>
        <w:pStyle w:val="Titrearticle"/>
        <w:spacing w:before="0"/>
        <w:rPr>
          <w:noProof/>
        </w:rPr>
      </w:pPr>
      <w:r>
        <w:rPr>
          <w:noProof/>
        </w:rPr>
        <w:t>Searching biometric data with the shared biometric matching service</w:t>
      </w:r>
    </w:p>
    <w:p>
      <w:pPr>
        <w:rPr>
          <w:iCs/>
          <w:noProof/>
        </w:rPr>
      </w:pPr>
      <w:r>
        <w:rPr>
          <w:noProof/>
        </w:rPr>
        <w:t>In order to search the biometric data stored within the CIR and the SIS, the CIR and the SIS shall use the biometric templates stored in the shared BMS. Queries with biometric data shall take place in accordance with the purposes provided for in this Regulation and in the EES Regulation, the VIS Regulation, the Eurodac Regulation, the [SIS Regulations] and [the ECRIS-TCN Regulation].</w:t>
      </w:r>
    </w:p>
    <w:p>
      <w:pPr>
        <w:pStyle w:val="Titrearticle"/>
        <w:spacing w:before="0" w:after="0"/>
        <w:rPr>
          <w:noProof/>
        </w:rPr>
      </w:pPr>
      <w:r>
        <w:rPr>
          <w:noProof/>
        </w:rPr>
        <w:t>Article 15</w:t>
      </w:r>
    </w:p>
    <w:p>
      <w:pPr>
        <w:pStyle w:val="Titrearticle"/>
        <w:spacing w:before="0" w:after="0"/>
        <w:rPr>
          <w:noProof/>
        </w:rPr>
      </w:pPr>
      <w:r>
        <w:rPr>
          <w:noProof/>
        </w:rPr>
        <w:t>Data retention in the shared biometric matching service</w:t>
      </w:r>
    </w:p>
    <w:p>
      <w:pPr>
        <w:rPr>
          <w:noProof/>
        </w:rPr>
      </w:pPr>
      <w:r>
        <w:rPr>
          <w:noProof/>
        </w:rPr>
        <w:t>The data referred to in Article 13 shall be stored in the shared BMS for as long as the corresponding biometric data is stored in the CIR or the SIS.</w:t>
      </w:r>
    </w:p>
    <w:p>
      <w:pPr>
        <w:pStyle w:val="Titrearticle"/>
        <w:spacing w:before="0" w:after="0"/>
        <w:rPr>
          <w:noProof/>
        </w:rPr>
      </w:pPr>
    </w:p>
    <w:p>
      <w:pPr>
        <w:pStyle w:val="Titrearticle"/>
        <w:spacing w:before="0" w:after="0"/>
        <w:rPr>
          <w:noProof/>
        </w:rPr>
      </w:pPr>
      <w:r>
        <w:rPr>
          <w:noProof/>
        </w:rPr>
        <w:t>Article 16</w:t>
      </w:r>
    </w:p>
    <w:p>
      <w:pPr>
        <w:pStyle w:val="Titrearticle"/>
        <w:spacing w:before="0"/>
        <w:rPr>
          <w:noProof/>
        </w:rPr>
      </w:pPr>
      <w:r>
        <w:rPr>
          <w:noProof/>
        </w:rPr>
        <w:t>Keeping of logs</w:t>
      </w:r>
    </w:p>
    <w:p>
      <w:pPr>
        <w:pStyle w:val="ManualNumPar1"/>
        <w:rPr>
          <w:noProof/>
        </w:rPr>
      </w:pPr>
      <w:r>
        <w:t>1.</w:t>
      </w:r>
      <w:r>
        <w:tab/>
      </w:r>
      <w:r>
        <w:rPr>
          <w:noProof/>
        </w:rPr>
        <w:t>Without prejudice to [Article 46 of the EES Regulation], Article 34 of Regulation (EC) No 767/2008 and [Article 12 and 18 of the Regulation on SIS in the field of law enforcement], eu-LISA shall keep logs of all data processing operations within the shared BMS. Those logs shall include, in particular, the following:</w:t>
      </w:r>
    </w:p>
    <w:p>
      <w:pPr>
        <w:pStyle w:val="Point1letter"/>
        <w:widowControl w:val="0"/>
        <w:numPr>
          <w:ilvl w:val="3"/>
          <w:numId w:val="66"/>
        </w:numPr>
        <w:adjustRightInd w:val="0"/>
        <w:textAlignment w:val="baseline"/>
        <w:rPr>
          <w:noProof/>
        </w:rPr>
      </w:pPr>
      <w:r>
        <w:rPr>
          <w:noProof/>
        </w:rPr>
        <w:t>the history related to the creation and storage of biometric templates;</w:t>
      </w:r>
    </w:p>
    <w:p>
      <w:pPr>
        <w:pStyle w:val="Point1letter"/>
        <w:widowControl w:val="0"/>
        <w:numPr>
          <w:ilvl w:val="3"/>
          <w:numId w:val="66"/>
        </w:numPr>
        <w:adjustRightInd w:val="0"/>
        <w:textAlignment w:val="baseline"/>
        <w:rPr>
          <w:noProof/>
        </w:rPr>
      </w:pPr>
      <w:r>
        <w:rPr>
          <w:noProof/>
        </w:rPr>
        <w:t>a reference to the EU information systems queried with the biometric templates stored in the shared BMS;</w:t>
      </w:r>
    </w:p>
    <w:p>
      <w:pPr>
        <w:pStyle w:val="Point1letter"/>
        <w:widowControl w:val="0"/>
        <w:numPr>
          <w:ilvl w:val="3"/>
          <w:numId w:val="66"/>
        </w:numPr>
        <w:adjustRightInd w:val="0"/>
        <w:textAlignment w:val="baseline"/>
        <w:rPr>
          <w:noProof/>
        </w:rPr>
      </w:pPr>
      <w:r>
        <w:rPr>
          <w:noProof/>
        </w:rPr>
        <w:t>the date and time of the query;</w:t>
      </w:r>
    </w:p>
    <w:p>
      <w:pPr>
        <w:pStyle w:val="Point1letter"/>
        <w:widowControl w:val="0"/>
        <w:numPr>
          <w:ilvl w:val="3"/>
          <w:numId w:val="66"/>
        </w:numPr>
        <w:adjustRightInd w:val="0"/>
        <w:textAlignment w:val="baseline"/>
        <w:rPr>
          <w:noProof/>
        </w:rPr>
      </w:pPr>
      <w:r>
        <w:rPr>
          <w:noProof/>
        </w:rPr>
        <w:t>the type of biometric data used to launch the query;</w:t>
      </w:r>
    </w:p>
    <w:p>
      <w:pPr>
        <w:pStyle w:val="Point1letter"/>
        <w:widowControl w:val="0"/>
        <w:numPr>
          <w:ilvl w:val="3"/>
          <w:numId w:val="66"/>
        </w:numPr>
        <w:adjustRightInd w:val="0"/>
        <w:textAlignment w:val="baseline"/>
        <w:rPr>
          <w:noProof/>
        </w:rPr>
      </w:pPr>
      <w:r>
        <w:rPr>
          <w:noProof/>
        </w:rPr>
        <w:lastRenderedPageBreak/>
        <w:t>the length of the query;</w:t>
      </w:r>
    </w:p>
    <w:p>
      <w:pPr>
        <w:pStyle w:val="Point1letter"/>
        <w:widowControl w:val="0"/>
        <w:numPr>
          <w:ilvl w:val="3"/>
          <w:numId w:val="66"/>
        </w:numPr>
        <w:adjustRightInd w:val="0"/>
        <w:textAlignment w:val="baseline"/>
        <w:rPr>
          <w:noProof/>
        </w:rPr>
      </w:pPr>
      <w:r>
        <w:rPr>
          <w:noProof/>
        </w:rPr>
        <w:t>the results of the query and date and time of the result;</w:t>
      </w:r>
    </w:p>
    <w:p>
      <w:pPr>
        <w:pStyle w:val="Point1letter"/>
        <w:widowControl w:val="0"/>
        <w:numPr>
          <w:ilvl w:val="3"/>
          <w:numId w:val="66"/>
        </w:numPr>
        <w:adjustRightInd w:val="0"/>
        <w:textAlignment w:val="baseline"/>
        <w:rPr>
          <w:noProof/>
        </w:rPr>
      </w:pPr>
      <w:r>
        <w:rPr>
          <w:noProof/>
        </w:rPr>
        <w:t>in accordance with national rules or, when applicable, Regulation (EU) 45/2001, the identifying mark of the person who carried out the query.</w:t>
      </w:r>
    </w:p>
    <w:p>
      <w:pPr>
        <w:pStyle w:val="ManualNumPar1"/>
        <w:rPr>
          <w:noProof/>
        </w:rPr>
      </w:pPr>
      <w:r>
        <w:t>2.</w:t>
      </w:r>
      <w:r>
        <w:tab/>
      </w:r>
      <w:r>
        <w:rPr>
          <w:noProof/>
        </w:rPr>
        <w:t>The logs may be used only for data protection monitoring, including checking the admissibility of a query and the lawfulness of data processing, and for ensuring data security pursuant to Article 42. Those logs shall be protected by appropriate measures against unauthorised access and erased one year after their creation, unless they are required for monitoring procedures that have already begun. The logs referred to in paragraph 1(a) shall be erased once the data is erased.</w:t>
      </w:r>
    </w:p>
    <w:p>
      <w:pPr>
        <w:pStyle w:val="Text1"/>
        <w:rPr>
          <w:noProof/>
        </w:rPr>
      </w:pPr>
    </w:p>
    <w:p>
      <w:pPr>
        <w:pStyle w:val="ChapterTitle"/>
        <w:rPr>
          <w:noProof/>
        </w:rPr>
      </w:pPr>
      <w:r>
        <w:rPr>
          <w:noProof/>
        </w:rPr>
        <w:t>CHAPTER IV</w:t>
      </w:r>
      <w:r>
        <w:rPr>
          <w:noProof/>
        </w:rPr>
        <w:br/>
        <w:t>Common Identity Repository</w:t>
      </w:r>
    </w:p>
    <w:p>
      <w:pPr>
        <w:pStyle w:val="Titrearticle"/>
        <w:spacing w:before="0" w:after="0"/>
        <w:rPr>
          <w:noProof/>
        </w:rPr>
      </w:pPr>
      <w:r>
        <w:rPr>
          <w:noProof/>
        </w:rPr>
        <w:t>Article 17</w:t>
      </w:r>
    </w:p>
    <w:p>
      <w:pPr>
        <w:pStyle w:val="Titrearticle"/>
        <w:spacing w:before="0" w:after="0"/>
        <w:rPr>
          <w:noProof/>
        </w:rPr>
      </w:pPr>
      <w:r>
        <w:rPr>
          <w:noProof/>
        </w:rPr>
        <w:t>Common identity repository</w:t>
      </w:r>
    </w:p>
    <w:p>
      <w:pPr>
        <w:pStyle w:val="ManualNumPar1"/>
        <w:rPr>
          <w:noProof/>
        </w:rPr>
      </w:pPr>
      <w:r>
        <w:t>1.</w:t>
      </w:r>
      <w:r>
        <w:tab/>
      </w:r>
      <w:r>
        <w:rPr>
          <w:noProof/>
        </w:rPr>
        <w:t>A common identity repository (CIR), creating an individual file for each person that is recorded in the EES, the VIS, [the ETIAS], Eurodac or [the ECRIS-TCN system] containing the data referred to in Article 18, is established for the purpose of facilitating and assisting the correct identification of persons registered in the EES, the VIS, [the ETIAS], the Eurodac and [the ECRIS-TCN system], of supporting  the functioning of the multiple-identity detector and of facilitating and streamlining access by law enforcement authorities to non-law enforcement information systems at EU level, where necessary for the prevention, investigation, detection or prosecution of serious crime.</w:t>
      </w:r>
    </w:p>
    <w:p>
      <w:pPr>
        <w:pStyle w:val="ManualNumPar1"/>
        <w:rPr>
          <w:noProof/>
        </w:rPr>
      </w:pPr>
      <w:r>
        <w:t>2.</w:t>
      </w:r>
      <w:r>
        <w:tab/>
      </w:r>
      <w:r>
        <w:rPr>
          <w:noProof/>
        </w:rPr>
        <w:t>The CIR shall be composed of:</w:t>
      </w:r>
    </w:p>
    <w:p>
      <w:pPr>
        <w:pStyle w:val="Point1letter"/>
        <w:widowControl w:val="0"/>
        <w:numPr>
          <w:ilvl w:val="3"/>
          <w:numId w:val="94"/>
        </w:numPr>
        <w:adjustRightInd w:val="0"/>
        <w:textAlignment w:val="baseline"/>
        <w:rPr>
          <w:noProof/>
        </w:rPr>
      </w:pPr>
      <w:r>
        <w:rPr>
          <w:noProof/>
        </w:rPr>
        <w:t>a central infrastructure that shall replace the central systems of respectively the EES, the VIS, [the ETIAS], Eurodac and [the ECRIS-TCN system] to the extent that it shall store the data referred to in Article 18;</w:t>
      </w:r>
    </w:p>
    <w:p>
      <w:pPr>
        <w:pStyle w:val="Point1letter"/>
        <w:widowControl w:val="0"/>
        <w:numPr>
          <w:ilvl w:val="3"/>
          <w:numId w:val="94"/>
        </w:numPr>
        <w:adjustRightInd w:val="0"/>
        <w:textAlignment w:val="baseline"/>
        <w:rPr>
          <w:noProof/>
        </w:rPr>
      </w:pPr>
      <w:r>
        <w:rPr>
          <w:noProof/>
        </w:rPr>
        <w:t>a secure communication channel between the CIR, Member States and EU bodies that are entitled to use the European search portal (ESP) in accordance with Union law;</w:t>
      </w:r>
    </w:p>
    <w:p>
      <w:pPr>
        <w:pStyle w:val="Point1letter"/>
        <w:widowControl w:val="0"/>
        <w:numPr>
          <w:ilvl w:val="3"/>
          <w:numId w:val="94"/>
        </w:numPr>
        <w:adjustRightInd w:val="0"/>
        <w:textAlignment w:val="baseline"/>
        <w:rPr>
          <w:noProof/>
        </w:rPr>
      </w:pPr>
      <w:r>
        <w:rPr>
          <w:noProof/>
        </w:rPr>
        <w:t>a secure communication infrastructure between the CIR and the EES, [the ETIAS], the VIS, Eurodac and [the ECRIS-TCN system] as well as with the central infrastructures of the ESP, the shared BMS and the multiple-identity detector.</w:t>
      </w:r>
    </w:p>
    <w:p>
      <w:pPr>
        <w:pStyle w:val="ManualNumPar1"/>
        <w:rPr>
          <w:noProof/>
        </w:rPr>
      </w:pPr>
      <w:r>
        <w:t>3.</w:t>
      </w:r>
      <w:r>
        <w:tab/>
      </w:r>
      <w:r>
        <w:rPr>
          <w:noProof/>
        </w:rPr>
        <w:t>eu-LISA shall develop the CIR and ensure its technical management.</w:t>
      </w:r>
    </w:p>
    <w:p>
      <w:pPr>
        <w:rPr>
          <w:noProof/>
        </w:rPr>
      </w:pPr>
    </w:p>
    <w:p>
      <w:pPr>
        <w:pStyle w:val="Titrearticle"/>
        <w:spacing w:before="0" w:after="0"/>
        <w:rPr>
          <w:noProof/>
        </w:rPr>
      </w:pPr>
      <w:r>
        <w:rPr>
          <w:noProof/>
        </w:rPr>
        <w:t>Article 18</w:t>
      </w:r>
    </w:p>
    <w:p>
      <w:pPr>
        <w:pStyle w:val="Titrearticle"/>
        <w:spacing w:before="0"/>
        <w:rPr>
          <w:noProof/>
        </w:rPr>
      </w:pPr>
      <w:r>
        <w:rPr>
          <w:noProof/>
        </w:rPr>
        <w:t>The common identity repository data</w:t>
      </w:r>
    </w:p>
    <w:p>
      <w:pPr>
        <w:pStyle w:val="ManualNumPar1"/>
        <w:rPr>
          <w:noProof/>
        </w:rPr>
      </w:pPr>
      <w:r>
        <w:t>1.</w:t>
      </w:r>
      <w:r>
        <w:tab/>
      </w:r>
      <w:r>
        <w:rPr>
          <w:noProof/>
        </w:rPr>
        <w:t>The CIR shall store the following data – logically separated – according to the information system from which the data was originated:</w:t>
      </w:r>
    </w:p>
    <w:p>
      <w:pPr>
        <w:pStyle w:val="Point1letter"/>
        <w:widowControl w:val="0"/>
        <w:numPr>
          <w:ilvl w:val="3"/>
          <w:numId w:val="67"/>
        </w:numPr>
        <w:adjustRightInd w:val="0"/>
        <w:textAlignment w:val="baseline"/>
        <w:rPr>
          <w:noProof/>
        </w:rPr>
      </w:pPr>
      <w:r>
        <w:rPr>
          <w:noProof/>
        </w:rPr>
        <w:t xml:space="preserve">the data referred to in [Article 16(1)(a) to (d) and Article 17(1)(a) to (c) of the </w:t>
      </w:r>
      <w:r>
        <w:rPr>
          <w:noProof/>
        </w:rPr>
        <w:lastRenderedPageBreak/>
        <w:t>EES Regulation];</w:t>
      </w:r>
    </w:p>
    <w:p>
      <w:pPr>
        <w:pStyle w:val="Point1letter"/>
        <w:widowControl w:val="0"/>
        <w:numPr>
          <w:ilvl w:val="3"/>
          <w:numId w:val="67"/>
        </w:numPr>
        <w:adjustRightInd w:val="0"/>
        <w:textAlignment w:val="baseline"/>
        <w:rPr>
          <w:noProof/>
        </w:rPr>
      </w:pPr>
      <w:r>
        <w:rPr>
          <w:noProof/>
        </w:rPr>
        <w:t>the data referred to in Article 9(4)(a) to (c), (5) and (6) of Regulation (EC) No 767/2008;</w:t>
      </w:r>
    </w:p>
    <w:p>
      <w:pPr>
        <w:pStyle w:val="Point1letter"/>
        <w:widowControl w:val="0"/>
        <w:numPr>
          <w:ilvl w:val="3"/>
          <w:numId w:val="67"/>
        </w:numPr>
        <w:adjustRightInd w:val="0"/>
        <w:textAlignment w:val="baseline"/>
        <w:rPr>
          <w:noProof/>
        </w:rPr>
      </w:pPr>
      <w:r>
        <w:rPr>
          <w:noProof/>
        </w:rPr>
        <w:t>[the data referred to in Article 15(2)(a) to (e) of the [ETIAS Regulation;]</w:t>
      </w:r>
    </w:p>
    <w:p>
      <w:pPr>
        <w:pStyle w:val="Point1letter"/>
        <w:widowControl w:val="0"/>
        <w:numPr>
          <w:ilvl w:val="3"/>
          <w:numId w:val="67"/>
        </w:numPr>
        <w:adjustRightInd w:val="0"/>
        <w:textAlignment w:val="baseline"/>
        <w:rPr>
          <w:noProof/>
        </w:rPr>
      </w:pPr>
      <w:r>
        <w:rPr>
          <w:noProof/>
        </w:rPr>
        <w:t xml:space="preserve">– (not applicable) </w:t>
      </w:r>
    </w:p>
    <w:p>
      <w:pPr>
        <w:pStyle w:val="Point1letter"/>
        <w:widowControl w:val="0"/>
        <w:numPr>
          <w:ilvl w:val="3"/>
          <w:numId w:val="67"/>
        </w:numPr>
        <w:adjustRightInd w:val="0"/>
        <w:textAlignment w:val="baseline"/>
        <w:rPr>
          <w:noProof/>
        </w:rPr>
      </w:pPr>
      <w:r>
        <w:rPr>
          <w:noProof/>
        </w:rPr>
        <w:t xml:space="preserve">– (not applicable) </w:t>
      </w:r>
    </w:p>
    <w:p>
      <w:pPr>
        <w:pStyle w:val="ManualNumPar1"/>
        <w:rPr>
          <w:noProof/>
        </w:rPr>
      </w:pPr>
      <w:r>
        <w:t>2.</w:t>
      </w:r>
      <w:r>
        <w:tab/>
      </w:r>
      <w:r>
        <w:rPr>
          <w:noProof/>
        </w:rPr>
        <w:t>For each set of data referred to in paragraph 1, the CIR shall include a reference to the information systems to which the data belongs.</w:t>
      </w:r>
    </w:p>
    <w:p>
      <w:pPr>
        <w:pStyle w:val="ManualNumPar1"/>
        <w:rPr>
          <w:noProof/>
        </w:rPr>
      </w:pPr>
      <w:r>
        <w:t>3.</w:t>
      </w:r>
      <w:r>
        <w:tab/>
      </w:r>
      <w:r>
        <w:rPr>
          <w:noProof/>
        </w:rPr>
        <w:t>The storage of the data referred to in paragraph 1 shall meet the quality standards referred to in Article 37(2).</w:t>
      </w:r>
    </w:p>
    <w:p>
      <w:pPr>
        <w:pStyle w:val="Titrearticle"/>
        <w:spacing w:before="0" w:after="0"/>
        <w:rPr>
          <w:noProof/>
        </w:rPr>
      </w:pPr>
      <w:r>
        <w:rPr>
          <w:noProof/>
        </w:rPr>
        <w:t>Article 19</w:t>
      </w:r>
    </w:p>
    <w:p>
      <w:pPr>
        <w:pStyle w:val="Titrearticle"/>
        <w:spacing w:before="0"/>
        <w:rPr>
          <w:noProof/>
        </w:rPr>
      </w:pPr>
      <w:r>
        <w:rPr>
          <w:noProof/>
        </w:rPr>
        <w:t>Adding, amending and deleting data in the common identity repository</w:t>
      </w:r>
    </w:p>
    <w:p>
      <w:pPr>
        <w:pStyle w:val="ManualNumPar1"/>
        <w:rPr>
          <w:noProof/>
        </w:rPr>
      </w:pPr>
      <w:r>
        <w:t>1.</w:t>
      </w:r>
      <w:r>
        <w:tab/>
      </w:r>
      <w:r>
        <w:rPr>
          <w:noProof/>
        </w:rPr>
        <w:t>Where data is added, amended or deleted in the EES, the VIS and [the ETIAS], the data referred to in Article 18 stored in the individual file of the CIR shall be added, amended or deleted accordingly in an automated manner.</w:t>
      </w:r>
    </w:p>
    <w:p>
      <w:pPr>
        <w:pStyle w:val="ManualNumPar1"/>
        <w:rPr>
          <w:noProof/>
        </w:rPr>
      </w:pPr>
      <w:r>
        <w:t>2.</w:t>
      </w:r>
      <w:r>
        <w:tab/>
      </w:r>
      <w:r>
        <w:rPr>
          <w:noProof/>
        </w:rPr>
        <w:t>Where the multiple-identity detector creates a white or red link in accordance with Articles 32 and 33 between the data of two or more of the EU information systems constituting the CIR, instead of creating a new individual file, the CIR shall add the new data to the individual file of the linked data.</w:t>
      </w:r>
    </w:p>
    <w:p>
      <w:pPr>
        <w:rPr>
          <w:noProof/>
        </w:rPr>
      </w:pPr>
    </w:p>
    <w:p>
      <w:pPr>
        <w:pStyle w:val="Titrearticle"/>
        <w:tabs>
          <w:tab w:val="left" w:pos="3930"/>
          <w:tab w:val="center" w:pos="4536"/>
        </w:tabs>
        <w:spacing w:before="0" w:after="0"/>
        <w:jc w:val="left"/>
        <w:rPr>
          <w:noProof/>
        </w:rPr>
      </w:pPr>
      <w:r>
        <w:rPr>
          <w:noProof/>
        </w:rPr>
        <w:tab/>
      </w:r>
      <w:r>
        <w:rPr>
          <w:noProof/>
        </w:rPr>
        <w:tab/>
        <w:t>Article 20</w:t>
      </w:r>
    </w:p>
    <w:p>
      <w:pPr>
        <w:pStyle w:val="Titrearticle"/>
        <w:spacing w:before="0"/>
        <w:rPr>
          <w:noProof/>
        </w:rPr>
      </w:pPr>
      <w:r>
        <w:rPr>
          <w:noProof/>
        </w:rPr>
        <w:t xml:space="preserve">Access to the common identity repository for identification </w:t>
      </w:r>
    </w:p>
    <w:p>
      <w:pPr>
        <w:pStyle w:val="ManualNumPar1"/>
        <w:rPr>
          <w:noProof/>
        </w:rPr>
      </w:pPr>
      <w:r>
        <w:t>1.</w:t>
      </w:r>
      <w:r>
        <w:tab/>
      </w:r>
      <w:r>
        <w:rPr>
          <w:noProof/>
        </w:rPr>
        <w:t xml:space="preserve">Where a Member State police authority has been so empowered by national legislative measures as referred to in paragraph 2, it may, solely for the purpose of identifying a person, query the CIR with the biometric data of that person taken during an identity check. </w:t>
      </w:r>
    </w:p>
    <w:p>
      <w:pPr>
        <w:pStyle w:val="Text1"/>
        <w:rPr>
          <w:noProof/>
        </w:rPr>
      </w:pPr>
      <w:r>
        <w:rPr>
          <w:noProof/>
        </w:rPr>
        <w:t>Where the query indicates that data on that person is stored in the CIR, the Member States authority shall have access to consult the data referred to in Article 18(1).</w:t>
      </w:r>
    </w:p>
    <w:p>
      <w:pPr>
        <w:pStyle w:val="Text1"/>
        <w:rPr>
          <w:noProof/>
        </w:rPr>
      </w:pPr>
      <w:r>
        <w:rPr>
          <w:noProof/>
        </w:rPr>
        <w:t>Where the biometric data of the person cannot be used or where the query with that data fails, the query shall be carried out with identity data of the person in combination with travel document data, or with the identity data provided by that person.</w:t>
      </w:r>
    </w:p>
    <w:p>
      <w:pPr>
        <w:pStyle w:val="ManualNumPar1"/>
        <w:rPr>
          <w:noProof/>
        </w:rPr>
      </w:pPr>
      <w:r>
        <w:t>2.</w:t>
      </w:r>
      <w:r>
        <w:tab/>
      </w:r>
      <w:r>
        <w:rPr>
          <w:noProof/>
        </w:rPr>
        <w:t>Member States wishing to avail themselves of the possibility provided for in this Article shall adopt national legislative measures. Such legislative measures shall specify the precise purposes of identity checks within the purposes referred to in Article 2(1)(b) and (c). They shall designate the police authorities competent and lay down the procedures, conditions and criteria of such checks.</w:t>
      </w:r>
    </w:p>
    <w:p>
      <w:pPr>
        <w:rPr>
          <w:noProof/>
        </w:rPr>
      </w:pPr>
    </w:p>
    <w:p>
      <w:pPr>
        <w:pStyle w:val="Titrearticle"/>
        <w:spacing w:before="0" w:after="0"/>
        <w:rPr>
          <w:noProof/>
        </w:rPr>
      </w:pPr>
      <w:r>
        <w:rPr>
          <w:noProof/>
        </w:rPr>
        <w:t>Article 21</w:t>
      </w:r>
    </w:p>
    <w:p>
      <w:pPr>
        <w:pStyle w:val="Titrearticle"/>
        <w:spacing w:before="0" w:after="0"/>
        <w:rPr>
          <w:noProof/>
        </w:rPr>
      </w:pPr>
      <w:r>
        <w:rPr>
          <w:noProof/>
        </w:rPr>
        <w:t>Access to the common identity repository for the detection of multiple identities</w:t>
      </w:r>
    </w:p>
    <w:p>
      <w:pPr>
        <w:pStyle w:val="ManualNumPar1"/>
        <w:rPr>
          <w:noProof/>
        </w:rPr>
      </w:pPr>
      <w:r>
        <w:t>1.</w:t>
      </w:r>
      <w:r>
        <w:tab/>
      </w:r>
      <w:r>
        <w:rPr>
          <w:noProof/>
        </w:rPr>
        <w:t xml:space="preserve">Where a query of the CIR results in a yellow link in accordance with Article 28(4), the authority responsible for the verification of different identities determined in accordance with Article 29 shall have access, solely for the purpose of that </w:t>
      </w:r>
      <w:r>
        <w:rPr>
          <w:noProof/>
        </w:rPr>
        <w:lastRenderedPageBreak/>
        <w:t>verification, to the identity data stored in the CIR belonging to the various information systems connected to a yellow link.</w:t>
      </w:r>
    </w:p>
    <w:p>
      <w:pPr>
        <w:pStyle w:val="ManualNumPar1"/>
        <w:rPr>
          <w:noProof/>
        </w:rPr>
      </w:pPr>
      <w:r>
        <w:t>2.</w:t>
      </w:r>
      <w:r>
        <w:tab/>
      </w:r>
      <w:r>
        <w:rPr>
          <w:noProof/>
        </w:rPr>
        <w:t>Where a query of the CIR results in a red link in accordance with Article 32, the authorities referred to in Article 26(2) shall have access, solely for the purposes of fighting identity fraud, to the identity data stored in the CIR belonging to the various information systems connected to a red link.</w:t>
      </w:r>
    </w:p>
    <w:p>
      <w:pPr>
        <w:pStyle w:val="Titrearticle"/>
        <w:spacing w:before="0" w:after="0"/>
        <w:rPr>
          <w:noProof/>
        </w:rPr>
      </w:pPr>
    </w:p>
    <w:p>
      <w:pPr>
        <w:pStyle w:val="Titrearticle"/>
        <w:spacing w:before="0" w:after="0"/>
        <w:rPr>
          <w:noProof/>
        </w:rPr>
      </w:pPr>
      <w:r>
        <w:rPr>
          <w:noProof/>
        </w:rPr>
        <w:t>Article 22</w:t>
      </w:r>
    </w:p>
    <w:p>
      <w:pPr>
        <w:pStyle w:val="Titrearticle"/>
        <w:spacing w:before="0"/>
        <w:rPr>
          <w:noProof/>
        </w:rPr>
      </w:pPr>
      <w:r>
        <w:rPr>
          <w:noProof/>
        </w:rPr>
        <w:t xml:space="preserve">Querying the common identity repository for law enforcement purposes </w:t>
      </w:r>
    </w:p>
    <w:p>
      <w:pPr>
        <w:pStyle w:val="ManualNumPar1"/>
        <w:rPr>
          <w:noProof/>
        </w:rPr>
      </w:pPr>
      <w:r>
        <w:t>1.</w:t>
      </w:r>
      <w:r>
        <w:tab/>
      </w:r>
      <w:r>
        <w:rPr>
          <w:noProof/>
        </w:rPr>
        <w:t>For the purposes of preventing, detecting and investigating terrorist offences or other serious criminal offences in a specific case and in order to obtain information on whether data on a specific person is present in the EES, the VIS and [the ETIAS] or the Member State designated authorities and Europol may consult the CIR.</w:t>
      </w:r>
    </w:p>
    <w:p>
      <w:pPr>
        <w:pStyle w:val="ManualNumPar1"/>
        <w:rPr>
          <w:noProof/>
        </w:rPr>
      </w:pPr>
      <w:r>
        <w:t>2.</w:t>
      </w:r>
      <w:r>
        <w:tab/>
      </w:r>
      <w:r>
        <w:rPr>
          <w:noProof/>
        </w:rPr>
        <w:t>Member State designated authorities and Europol shall not be entitled to consult data belonging to [the ECRIS-TCN] when consulting the CIR for the purposes listed in paragraph 1.</w:t>
      </w:r>
    </w:p>
    <w:p>
      <w:pPr>
        <w:pStyle w:val="ManualNumPar1"/>
        <w:rPr>
          <w:noProof/>
        </w:rPr>
      </w:pPr>
      <w:r>
        <w:t>3.</w:t>
      </w:r>
      <w:r>
        <w:tab/>
      </w:r>
      <w:r>
        <w:rPr>
          <w:noProof/>
        </w:rPr>
        <w:t>Where, in reply to a query the CIR indicates data on that person is present in the EES, the VIS and [the ETIAS] the CIR shall provide to Member States' designated authorities and Europol a reply in the form of a reference  indicating which of the information systems contains matching data referred to in Article 18(2). The CIR shall reply in such a way that the security of the data is not compromised.</w:t>
      </w:r>
    </w:p>
    <w:p>
      <w:pPr>
        <w:pStyle w:val="ManualNumPar1"/>
        <w:rPr>
          <w:noProof/>
        </w:rPr>
      </w:pPr>
      <w:r>
        <w:t>4.</w:t>
      </w:r>
      <w:r>
        <w:tab/>
      </w:r>
      <w:r>
        <w:rPr>
          <w:noProof/>
        </w:rPr>
        <w:t>Full access to the data contained in the EU information systems for the purposes of preventing, detecting and investigating terrorist offences or other serious criminal offences remains subject to the conditions and procedures laid down in the respective legislative instruments governing such access.</w:t>
      </w:r>
    </w:p>
    <w:p>
      <w:pPr>
        <w:pStyle w:val="Titrearticle"/>
        <w:spacing w:before="0" w:after="0"/>
        <w:rPr>
          <w:noProof/>
        </w:rPr>
      </w:pPr>
      <w:bookmarkStart w:id="102" w:name="_DV_M722"/>
      <w:bookmarkStart w:id="103" w:name="_DV_M726"/>
      <w:bookmarkStart w:id="104" w:name="_DV_M755"/>
      <w:bookmarkStart w:id="105" w:name="_DV_M756"/>
      <w:bookmarkStart w:id="106" w:name="_DV_M760"/>
      <w:bookmarkStart w:id="107" w:name="_DV_M761"/>
      <w:bookmarkStart w:id="108" w:name="_DV_M764"/>
      <w:bookmarkStart w:id="109" w:name="_DV_M766"/>
      <w:bookmarkStart w:id="110" w:name="_DV_M768"/>
      <w:bookmarkStart w:id="111" w:name="_DV_M771"/>
      <w:bookmarkStart w:id="112" w:name="_DV_M779"/>
      <w:bookmarkStart w:id="113" w:name="_DV_M784"/>
      <w:bookmarkStart w:id="114" w:name="_DV_M785"/>
      <w:bookmarkStart w:id="115" w:name="_DV_M786"/>
      <w:bookmarkStart w:id="116" w:name="_DV_M787"/>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r>
        <w:rPr>
          <w:noProof/>
        </w:rPr>
        <w:t>Article 23</w:t>
      </w:r>
    </w:p>
    <w:p>
      <w:pPr>
        <w:pStyle w:val="Titrearticle"/>
        <w:spacing w:before="0"/>
        <w:rPr>
          <w:noProof/>
        </w:rPr>
      </w:pPr>
      <w:r>
        <w:rPr>
          <w:noProof/>
        </w:rPr>
        <w:t>Data retention in the common identity repository</w:t>
      </w:r>
    </w:p>
    <w:p>
      <w:pPr>
        <w:pStyle w:val="ManualNumPar1"/>
        <w:rPr>
          <w:noProof/>
        </w:rPr>
      </w:pPr>
      <w:r>
        <w:t>1.</w:t>
      </w:r>
      <w:r>
        <w:tab/>
      </w:r>
      <w:r>
        <w:rPr>
          <w:noProof/>
        </w:rPr>
        <w:t>The data referred to in Article 18(1) and (2) shall be deleted from the CIR in accordance with the data retention provisions of [the EES Regulation], the VIS Regulation and [the ETIAS Regulation] respectively.</w:t>
      </w:r>
    </w:p>
    <w:p>
      <w:pPr>
        <w:pStyle w:val="ManualNumPar1"/>
        <w:rPr>
          <w:noProof/>
        </w:rPr>
      </w:pPr>
      <w:r>
        <w:t>2.</w:t>
      </w:r>
      <w:r>
        <w:tab/>
      </w:r>
      <w:r>
        <w:rPr>
          <w:noProof/>
        </w:rPr>
        <w:t>The individual file shall be stored in the CIR for as long as the corresponding data is stored in at least one of the information systems whose data is contained in the CIR. The creation of a link shall not affect the retention period of each item of the linked data.</w:t>
      </w:r>
    </w:p>
    <w:p>
      <w:pPr>
        <w:pStyle w:val="Titrearticle"/>
        <w:spacing w:before="0" w:after="0"/>
        <w:rPr>
          <w:noProof/>
        </w:rPr>
      </w:pPr>
      <w:r>
        <w:rPr>
          <w:noProof/>
        </w:rPr>
        <w:t>Article 24</w:t>
      </w:r>
    </w:p>
    <w:p>
      <w:pPr>
        <w:pStyle w:val="Titrearticle"/>
        <w:spacing w:before="0"/>
        <w:rPr>
          <w:noProof/>
        </w:rPr>
      </w:pPr>
      <w:r>
        <w:rPr>
          <w:noProof/>
        </w:rPr>
        <w:t>Keeping of logs</w:t>
      </w:r>
    </w:p>
    <w:p>
      <w:pPr>
        <w:pStyle w:val="ManualNumPar1"/>
        <w:rPr>
          <w:noProof/>
        </w:rPr>
      </w:pPr>
      <w:r>
        <w:t>1.</w:t>
      </w:r>
      <w:r>
        <w:tab/>
      </w:r>
      <w:r>
        <w:rPr>
          <w:noProof/>
        </w:rPr>
        <w:t>Without prejudice to [Article 46 of the EES Regulation], Article 34 of Regulation (EC) No 767/2008 and [Article 59 of the ETIAS proposal], eu-LISA shall keep logs of all data processing operations within the CIR in accordance with paragraphs 2, 3 and 4.</w:t>
      </w:r>
    </w:p>
    <w:p>
      <w:pPr>
        <w:pStyle w:val="ManualNumPar1"/>
        <w:rPr>
          <w:noProof/>
        </w:rPr>
      </w:pPr>
      <w:r>
        <w:t>2.</w:t>
      </w:r>
      <w:r>
        <w:tab/>
      </w:r>
      <w:r>
        <w:rPr>
          <w:noProof/>
        </w:rPr>
        <w:t>Concerning any access to the CIR pursuant to Article 20, eu-LISA shall keep logs of all data processing operations within the CIR. Those logs shall include, in particular,  the following:</w:t>
      </w:r>
    </w:p>
    <w:p>
      <w:pPr>
        <w:pStyle w:val="Point1letter"/>
        <w:widowControl w:val="0"/>
        <w:numPr>
          <w:ilvl w:val="3"/>
          <w:numId w:val="69"/>
        </w:numPr>
        <w:adjustRightInd w:val="0"/>
        <w:textAlignment w:val="baseline"/>
        <w:rPr>
          <w:noProof/>
        </w:rPr>
      </w:pPr>
      <w:r>
        <w:rPr>
          <w:noProof/>
        </w:rPr>
        <w:t>the purpose of access of the user querying via the CIR;</w:t>
      </w:r>
    </w:p>
    <w:p>
      <w:pPr>
        <w:pStyle w:val="Point1letter"/>
        <w:widowControl w:val="0"/>
        <w:numPr>
          <w:ilvl w:val="3"/>
          <w:numId w:val="69"/>
        </w:numPr>
        <w:adjustRightInd w:val="0"/>
        <w:textAlignment w:val="baseline"/>
        <w:rPr>
          <w:noProof/>
        </w:rPr>
      </w:pPr>
      <w:r>
        <w:rPr>
          <w:noProof/>
        </w:rPr>
        <w:lastRenderedPageBreak/>
        <w:t>the date and time of the query;</w:t>
      </w:r>
    </w:p>
    <w:p>
      <w:pPr>
        <w:pStyle w:val="Point1letter"/>
        <w:widowControl w:val="0"/>
        <w:numPr>
          <w:ilvl w:val="3"/>
          <w:numId w:val="69"/>
        </w:numPr>
        <w:adjustRightInd w:val="0"/>
        <w:textAlignment w:val="baseline"/>
        <w:rPr>
          <w:noProof/>
        </w:rPr>
      </w:pPr>
      <w:r>
        <w:rPr>
          <w:noProof/>
        </w:rPr>
        <w:t>the type of data used to launch the query;</w:t>
      </w:r>
    </w:p>
    <w:p>
      <w:pPr>
        <w:pStyle w:val="Point1letter"/>
        <w:widowControl w:val="0"/>
        <w:numPr>
          <w:ilvl w:val="3"/>
          <w:numId w:val="69"/>
        </w:numPr>
        <w:adjustRightInd w:val="0"/>
        <w:textAlignment w:val="baseline"/>
        <w:rPr>
          <w:noProof/>
        </w:rPr>
      </w:pPr>
      <w:r>
        <w:rPr>
          <w:noProof/>
        </w:rPr>
        <w:t>the results of the query;</w:t>
      </w:r>
    </w:p>
    <w:p>
      <w:pPr>
        <w:pStyle w:val="Point1letter"/>
        <w:widowControl w:val="0"/>
        <w:numPr>
          <w:ilvl w:val="3"/>
          <w:numId w:val="69"/>
        </w:numPr>
        <w:adjustRightInd w:val="0"/>
        <w:textAlignment w:val="baseline"/>
        <w:rPr>
          <w:noProof/>
        </w:rPr>
      </w:pPr>
      <w:r>
        <w:rPr>
          <w:noProof/>
        </w:rPr>
        <w:t>in accordance with national rules or with Regulation (EU) 2016/794 or, when applicable, Regulation (EU) 45/2001, the identifying mark of the person who carried out the query.</w:t>
      </w:r>
    </w:p>
    <w:p>
      <w:pPr>
        <w:pStyle w:val="ManualNumPar1"/>
        <w:rPr>
          <w:noProof/>
        </w:rPr>
      </w:pPr>
      <w:r>
        <w:t>3.</w:t>
      </w:r>
      <w:r>
        <w:tab/>
      </w:r>
      <w:r>
        <w:rPr>
          <w:noProof/>
        </w:rPr>
        <w:t>Concerning any access to the CIR pursuant to Article 21, eu-LISA shall keep logs of all data processing operations within the CIR. Those logs shall include, in particular, the following:</w:t>
      </w:r>
    </w:p>
    <w:p>
      <w:pPr>
        <w:pStyle w:val="Point1letter"/>
        <w:widowControl w:val="0"/>
        <w:numPr>
          <w:ilvl w:val="3"/>
          <w:numId w:val="68"/>
        </w:numPr>
        <w:adjustRightInd w:val="0"/>
        <w:textAlignment w:val="baseline"/>
        <w:rPr>
          <w:noProof/>
        </w:rPr>
      </w:pPr>
      <w:r>
        <w:rPr>
          <w:noProof/>
        </w:rPr>
        <w:t>the purpose of access of the user querying via the CIR;</w:t>
      </w:r>
    </w:p>
    <w:p>
      <w:pPr>
        <w:pStyle w:val="Point1letter"/>
        <w:widowControl w:val="0"/>
        <w:numPr>
          <w:ilvl w:val="3"/>
          <w:numId w:val="68"/>
        </w:numPr>
        <w:adjustRightInd w:val="0"/>
        <w:textAlignment w:val="baseline"/>
        <w:rPr>
          <w:noProof/>
        </w:rPr>
      </w:pPr>
      <w:r>
        <w:rPr>
          <w:noProof/>
        </w:rPr>
        <w:t>the date and time of the query;</w:t>
      </w:r>
    </w:p>
    <w:p>
      <w:pPr>
        <w:pStyle w:val="Point1letter"/>
        <w:widowControl w:val="0"/>
        <w:numPr>
          <w:ilvl w:val="3"/>
          <w:numId w:val="68"/>
        </w:numPr>
        <w:adjustRightInd w:val="0"/>
        <w:textAlignment w:val="baseline"/>
        <w:rPr>
          <w:noProof/>
        </w:rPr>
      </w:pPr>
      <w:r>
        <w:rPr>
          <w:noProof/>
        </w:rPr>
        <w:t>where relevant, the data used to launch the query;</w:t>
      </w:r>
    </w:p>
    <w:p>
      <w:pPr>
        <w:pStyle w:val="Point1letter"/>
        <w:widowControl w:val="0"/>
        <w:numPr>
          <w:ilvl w:val="3"/>
          <w:numId w:val="68"/>
        </w:numPr>
        <w:adjustRightInd w:val="0"/>
        <w:textAlignment w:val="baseline"/>
        <w:rPr>
          <w:noProof/>
        </w:rPr>
      </w:pPr>
      <w:r>
        <w:rPr>
          <w:noProof/>
        </w:rPr>
        <w:t>where relevant, the results of the query;</w:t>
      </w:r>
    </w:p>
    <w:p>
      <w:pPr>
        <w:pStyle w:val="Point1letter"/>
        <w:widowControl w:val="0"/>
        <w:numPr>
          <w:ilvl w:val="3"/>
          <w:numId w:val="68"/>
        </w:numPr>
        <w:adjustRightInd w:val="0"/>
        <w:textAlignment w:val="baseline"/>
        <w:rPr>
          <w:noProof/>
        </w:rPr>
      </w:pPr>
      <w:r>
        <w:rPr>
          <w:noProof/>
        </w:rPr>
        <w:t>in accordance with national rules or with Regulation (EU) 2016/794 or, when applicable, Regulation (EU) 45/2001, the identifying mark of the person who carried out the query.</w:t>
      </w:r>
    </w:p>
    <w:p>
      <w:pPr>
        <w:pStyle w:val="ManualNumPar1"/>
        <w:rPr>
          <w:noProof/>
        </w:rPr>
      </w:pPr>
      <w:r>
        <w:t>4.</w:t>
      </w:r>
      <w:r>
        <w:tab/>
      </w:r>
      <w:r>
        <w:rPr>
          <w:noProof/>
        </w:rPr>
        <w:t>Concerning any access to the CIR pursuant to Article 22, eu-LISA shall keep logs of all data processing operations within the CIR. Those logs shall include, in particular,  the following:</w:t>
      </w:r>
    </w:p>
    <w:p>
      <w:pPr>
        <w:pStyle w:val="Point1letter"/>
        <w:widowControl w:val="0"/>
        <w:numPr>
          <w:ilvl w:val="3"/>
          <w:numId w:val="70"/>
        </w:numPr>
        <w:adjustRightInd w:val="0"/>
        <w:textAlignment w:val="baseline"/>
        <w:rPr>
          <w:noProof/>
        </w:rPr>
      </w:pPr>
      <w:r>
        <w:rPr>
          <w:noProof/>
        </w:rPr>
        <w:t>the national file reference;</w:t>
      </w:r>
    </w:p>
    <w:p>
      <w:pPr>
        <w:pStyle w:val="Point1letter"/>
        <w:widowControl w:val="0"/>
        <w:numPr>
          <w:ilvl w:val="3"/>
          <w:numId w:val="70"/>
        </w:numPr>
        <w:adjustRightInd w:val="0"/>
        <w:textAlignment w:val="baseline"/>
        <w:rPr>
          <w:noProof/>
        </w:rPr>
      </w:pPr>
      <w:r>
        <w:rPr>
          <w:noProof/>
        </w:rPr>
        <w:t>the date and time of the query;</w:t>
      </w:r>
    </w:p>
    <w:p>
      <w:pPr>
        <w:pStyle w:val="Point1letter"/>
        <w:widowControl w:val="0"/>
        <w:numPr>
          <w:ilvl w:val="3"/>
          <w:numId w:val="70"/>
        </w:numPr>
        <w:adjustRightInd w:val="0"/>
        <w:textAlignment w:val="baseline"/>
        <w:rPr>
          <w:noProof/>
        </w:rPr>
      </w:pPr>
      <w:r>
        <w:rPr>
          <w:noProof/>
        </w:rPr>
        <w:t>the type of data used to launch the query;</w:t>
      </w:r>
    </w:p>
    <w:p>
      <w:pPr>
        <w:pStyle w:val="Point1letter"/>
        <w:widowControl w:val="0"/>
        <w:numPr>
          <w:ilvl w:val="3"/>
          <w:numId w:val="70"/>
        </w:numPr>
        <w:adjustRightInd w:val="0"/>
        <w:textAlignment w:val="baseline"/>
        <w:rPr>
          <w:noProof/>
        </w:rPr>
      </w:pPr>
      <w:r>
        <w:rPr>
          <w:noProof/>
        </w:rPr>
        <w:t>the results of the query;</w:t>
      </w:r>
    </w:p>
    <w:p>
      <w:pPr>
        <w:pStyle w:val="Point1letter"/>
        <w:widowControl w:val="0"/>
        <w:numPr>
          <w:ilvl w:val="3"/>
          <w:numId w:val="70"/>
        </w:numPr>
        <w:adjustRightInd w:val="0"/>
        <w:textAlignment w:val="baseline"/>
        <w:rPr>
          <w:noProof/>
        </w:rPr>
      </w:pPr>
      <w:r>
        <w:rPr>
          <w:noProof/>
        </w:rPr>
        <w:t>the name of the authority consulting the CIR;</w:t>
      </w:r>
    </w:p>
    <w:p>
      <w:pPr>
        <w:pStyle w:val="Point1letter"/>
        <w:widowControl w:val="0"/>
        <w:numPr>
          <w:ilvl w:val="3"/>
          <w:numId w:val="70"/>
        </w:numPr>
        <w:adjustRightInd w:val="0"/>
        <w:textAlignment w:val="baseline"/>
        <w:rPr>
          <w:noProof/>
        </w:rPr>
      </w:pPr>
      <w:r>
        <w:rPr>
          <w:noProof/>
        </w:rPr>
        <w:t>in accordance with national rules or with Regulation (EU) 2016/794 or, when applicable, Regulation (EU) 45/2001, the identifying mark of the official who carried out the query and of the official who ordered the query.</w:t>
      </w:r>
    </w:p>
    <w:p>
      <w:pPr>
        <w:pStyle w:val="Point0letter"/>
        <w:numPr>
          <w:ilvl w:val="0"/>
          <w:numId w:val="0"/>
        </w:numPr>
        <w:ind w:left="850"/>
        <w:rPr>
          <w:noProof/>
        </w:rPr>
      </w:pPr>
      <w:r>
        <w:rPr>
          <w:noProof/>
        </w:rPr>
        <w:t>The logs of such access shall be regularly verified by the competent supervisory authority established in accordance with Article 51 of Regulation (EU) 2016/679 or in accordance with Article 41 of Directive 2016/680, at intervals not exceeding six months, to verify whether the procedures and conditions set out in Article 22(1) to (3) are fulfilled.</w:t>
      </w:r>
    </w:p>
    <w:p>
      <w:pPr>
        <w:pStyle w:val="ManualNumPar1"/>
        <w:rPr>
          <w:noProof/>
        </w:rPr>
      </w:pPr>
      <w:r>
        <w:t>5.</w:t>
      </w:r>
      <w:r>
        <w:tab/>
      </w:r>
      <w:r>
        <w:rPr>
          <w:noProof/>
        </w:rPr>
        <w:t>Each Member State shall keep logs of queries of the staff duly authorised to use the CIR pursuant to Articles 20, 21 and 22.</w:t>
      </w:r>
      <w:r>
        <w:rPr>
          <w:noProof/>
          <w:szCs w:val="24"/>
        </w:rPr>
        <w:t xml:space="preserve"> </w:t>
      </w:r>
    </w:p>
    <w:p>
      <w:pPr>
        <w:pStyle w:val="ManualNumPar1"/>
        <w:rPr>
          <w:noProof/>
        </w:rPr>
      </w:pPr>
      <w:r>
        <w:t>6.</w:t>
      </w:r>
      <w:r>
        <w:tab/>
      </w:r>
      <w:r>
        <w:rPr>
          <w:noProof/>
        </w:rPr>
        <w:t>The logs referred to in paragraphs 1 and 5 may be used only for data protection monitoring, including checking the admissibility of a request and the lawfulness of data processing, and for ensuring data security pursuant to Article 42. They shall be protected by appropriate measures against unauthorised access and erased one year after their creation, unless they are required for monitoring procedures that have already begun.</w:t>
      </w:r>
    </w:p>
    <w:p>
      <w:pPr>
        <w:pStyle w:val="ManualNumPar1"/>
        <w:rPr>
          <w:noProof/>
        </w:rPr>
      </w:pPr>
      <w:r>
        <w:lastRenderedPageBreak/>
        <w:t>7.</w:t>
      </w:r>
      <w:r>
        <w:tab/>
      </w:r>
      <w:r>
        <w:rPr>
          <w:noProof/>
        </w:rPr>
        <w:t>eu-LISA shall keep the logs related to the history of the data stored in individual file, for purposes defined in paragraph 6. The logs related to the history of the data stored shall be erased once the data is erased.</w:t>
      </w:r>
    </w:p>
    <w:p>
      <w:pPr>
        <w:spacing w:before="0"/>
        <w:rPr>
          <w:noProof/>
          <w:szCs w:val="24"/>
        </w:rPr>
      </w:pPr>
    </w:p>
    <w:p>
      <w:pPr>
        <w:pStyle w:val="ChapterTitle"/>
        <w:ind w:left="360"/>
        <w:rPr>
          <w:noProof/>
        </w:rPr>
      </w:pPr>
      <w:r>
        <w:rPr>
          <w:noProof/>
        </w:rPr>
        <w:t>CHAPTER V</w:t>
      </w:r>
      <w:r>
        <w:rPr>
          <w:noProof/>
        </w:rPr>
        <w:br/>
        <w:t>Multiple-identity Detector</w:t>
      </w:r>
    </w:p>
    <w:p>
      <w:pPr>
        <w:pStyle w:val="Titrearticle"/>
        <w:spacing w:before="0" w:after="0"/>
        <w:rPr>
          <w:noProof/>
        </w:rPr>
      </w:pPr>
      <w:r>
        <w:rPr>
          <w:noProof/>
        </w:rPr>
        <w:t>Article 25</w:t>
      </w:r>
    </w:p>
    <w:p>
      <w:pPr>
        <w:pStyle w:val="Titrearticle"/>
        <w:spacing w:before="0" w:after="0"/>
        <w:rPr>
          <w:noProof/>
        </w:rPr>
      </w:pPr>
      <w:r>
        <w:rPr>
          <w:noProof/>
        </w:rPr>
        <w:t>Multiple-identity detector</w:t>
      </w:r>
    </w:p>
    <w:p>
      <w:pPr>
        <w:pStyle w:val="ManualNumPar1"/>
        <w:rPr>
          <w:noProof/>
        </w:rPr>
      </w:pPr>
      <w:r>
        <w:t>1.</w:t>
      </w:r>
      <w:r>
        <w:tab/>
      </w:r>
      <w:r>
        <w:rPr>
          <w:noProof/>
        </w:rPr>
        <w:t>A multiple-identity detector (MID) creating and storing links between data in the EU information systems included in the common identity repository (CIR) and the SIS and as a consequence detecting multiple identities, with the dual purpose of facilitating identity checks and combating identity fraud, is established for the purpose of supporting the functioning of the CIR and the objectives of the EES, the VIS, the ETIAS], Eurodac, the SIS and [the ECRIS-TCN system].</w:t>
      </w:r>
    </w:p>
    <w:p>
      <w:pPr>
        <w:pStyle w:val="ManualNumPar1"/>
        <w:rPr>
          <w:noProof/>
        </w:rPr>
      </w:pPr>
      <w:r>
        <w:t>2.</w:t>
      </w:r>
      <w:r>
        <w:tab/>
      </w:r>
      <w:r>
        <w:rPr>
          <w:noProof/>
        </w:rPr>
        <w:t>The MID shall be composed of:</w:t>
      </w:r>
    </w:p>
    <w:p>
      <w:pPr>
        <w:pStyle w:val="Point1letter"/>
        <w:widowControl w:val="0"/>
        <w:numPr>
          <w:ilvl w:val="3"/>
          <w:numId w:val="71"/>
        </w:numPr>
        <w:adjustRightInd w:val="0"/>
        <w:textAlignment w:val="baseline"/>
        <w:rPr>
          <w:noProof/>
        </w:rPr>
      </w:pPr>
      <w:r>
        <w:rPr>
          <w:noProof/>
        </w:rPr>
        <w:t>a central infrastructure, storing links and references to information systems;</w:t>
      </w:r>
    </w:p>
    <w:p>
      <w:pPr>
        <w:pStyle w:val="Point1letter"/>
        <w:widowControl w:val="0"/>
        <w:numPr>
          <w:ilvl w:val="3"/>
          <w:numId w:val="71"/>
        </w:numPr>
        <w:adjustRightInd w:val="0"/>
        <w:textAlignment w:val="baseline"/>
        <w:rPr>
          <w:noProof/>
        </w:rPr>
      </w:pPr>
      <w:r>
        <w:rPr>
          <w:noProof/>
        </w:rPr>
        <w:t>a secure communication infrastructure to connect the MID with the SIS and the central infrastructures of the European search portal and the CIR.</w:t>
      </w:r>
    </w:p>
    <w:p>
      <w:pPr>
        <w:pStyle w:val="ManualNumPar1"/>
        <w:rPr>
          <w:noProof/>
        </w:rPr>
      </w:pPr>
      <w:r>
        <w:t>3.</w:t>
      </w:r>
      <w:r>
        <w:tab/>
      </w:r>
      <w:r>
        <w:rPr>
          <w:noProof/>
        </w:rPr>
        <w:t>eu-LISA shall develop the MID and ensure its technical management.</w:t>
      </w:r>
    </w:p>
    <w:p>
      <w:pPr>
        <w:rPr>
          <w:noProof/>
        </w:rPr>
      </w:pPr>
    </w:p>
    <w:p>
      <w:pPr>
        <w:pStyle w:val="Titrearticle"/>
        <w:spacing w:before="0" w:after="0"/>
        <w:rPr>
          <w:noProof/>
        </w:rPr>
      </w:pPr>
      <w:r>
        <w:rPr>
          <w:noProof/>
        </w:rPr>
        <w:t>Article 26</w:t>
      </w:r>
    </w:p>
    <w:p>
      <w:pPr>
        <w:pStyle w:val="Titrearticle"/>
        <w:spacing w:before="0"/>
        <w:rPr>
          <w:noProof/>
        </w:rPr>
      </w:pPr>
      <w:r>
        <w:rPr>
          <w:noProof/>
        </w:rPr>
        <w:t>Access to the multiple-identity detector</w:t>
      </w:r>
    </w:p>
    <w:p>
      <w:pPr>
        <w:pStyle w:val="ManualNumPar1"/>
        <w:rPr>
          <w:noProof/>
        </w:rPr>
      </w:pPr>
      <w:r>
        <w:t>1.</w:t>
      </w:r>
      <w:r>
        <w:tab/>
      </w:r>
      <w:r>
        <w:rPr>
          <w:noProof/>
        </w:rPr>
        <w:t>For the purposes of the manual identity verification referred to in Article 29, access to the data referred to in Article 34 stored in the MID shall be granted to:</w:t>
      </w:r>
    </w:p>
    <w:p>
      <w:pPr>
        <w:pStyle w:val="Point1letter"/>
        <w:widowControl w:val="0"/>
        <w:numPr>
          <w:ilvl w:val="3"/>
          <w:numId w:val="72"/>
        </w:numPr>
        <w:adjustRightInd w:val="0"/>
        <w:textAlignment w:val="baseline"/>
        <w:rPr>
          <w:noProof/>
        </w:rPr>
      </w:pPr>
      <w:r>
        <w:rPr>
          <w:noProof/>
        </w:rPr>
        <w:t>border authorities when creating or updating an individual file as provided for in Article 14 of the [EES Regulation];</w:t>
      </w:r>
    </w:p>
    <w:p>
      <w:pPr>
        <w:pStyle w:val="Point1letter"/>
        <w:widowControl w:val="0"/>
        <w:numPr>
          <w:ilvl w:val="3"/>
          <w:numId w:val="72"/>
        </w:numPr>
        <w:adjustRightInd w:val="0"/>
        <w:textAlignment w:val="baseline"/>
        <w:rPr>
          <w:noProof/>
        </w:rPr>
      </w:pPr>
      <w:r>
        <w:rPr>
          <w:noProof/>
        </w:rPr>
        <w:t>competent authorities referred to in Article 6(1) and (2) of Regulation 767/2008 when creating or updating an application file in the VIS in accordance with Article 8 of Regulation (EC) No 767/2008;</w:t>
      </w:r>
    </w:p>
    <w:p>
      <w:pPr>
        <w:pStyle w:val="Point1letter"/>
        <w:widowControl w:val="0"/>
        <w:numPr>
          <w:ilvl w:val="3"/>
          <w:numId w:val="72"/>
        </w:numPr>
        <w:adjustRightInd w:val="0"/>
        <w:textAlignment w:val="baseline"/>
        <w:rPr>
          <w:noProof/>
        </w:rPr>
      </w:pPr>
      <w:r>
        <w:rPr>
          <w:noProof/>
        </w:rPr>
        <w:t>[the ETIAS Central Unit and the ETIAS National Units when carrying out the assessment referred to in Articles 20 and 22 of the ETIAS Regulation;]</w:t>
      </w:r>
    </w:p>
    <w:p>
      <w:pPr>
        <w:pStyle w:val="Point1letter"/>
        <w:widowControl w:val="0"/>
        <w:numPr>
          <w:ilvl w:val="3"/>
          <w:numId w:val="72"/>
        </w:numPr>
        <w:adjustRightInd w:val="0"/>
        <w:textAlignment w:val="baseline"/>
        <w:rPr>
          <w:noProof/>
        </w:rPr>
      </w:pPr>
      <w:r>
        <w:rPr>
          <w:noProof/>
        </w:rPr>
        <w:t>– (not applicable);</w:t>
      </w:r>
    </w:p>
    <w:p>
      <w:pPr>
        <w:pStyle w:val="Point1letter"/>
        <w:widowControl w:val="0"/>
        <w:numPr>
          <w:ilvl w:val="3"/>
          <w:numId w:val="72"/>
        </w:numPr>
        <w:adjustRightInd w:val="0"/>
        <w:textAlignment w:val="baseline"/>
        <w:rPr>
          <w:noProof/>
        </w:rPr>
      </w:pPr>
      <w:r>
        <w:rPr>
          <w:noProof/>
        </w:rPr>
        <w:t>the SIRENE Bureaux of the Member State creating a [SIS alert in accordance with the Regulation on SIS in the field of border checks];</w:t>
      </w:r>
    </w:p>
    <w:p>
      <w:pPr>
        <w:pStyle w:val="Point1letter"/>
        <w:widowControl w:val="0"/>
        <w:numPr>
          <w:ilvl w:val="3"/>
          <w:numId w:val="72"/>
        </w:numPr>
        <w:adjustRightInd w:val="0"/>
        <w:textAlignment w:val="baseline"/>
        <w:rPr>
          <w:noProof/>
        </w:rPr>
      </w:pPr>
      <w:r>
        <w:rPr>
          <w:noProof/>
        </w:rPr>
        <w:t>– (not applicable).</w:t>
      </w:r>
    </w:p>
    <w:p>
      <w:pPr>
        <w:pStyle w:val="ManualNumPar1"/>
        <w:rPr>
          <w:noProof/>
        </w:rPr>
      </w:pPr>
      <w:r>
        <w:t>2.</w:t>
      </w:r>
      <w:r>
        <w:tab/>
      </w:r>
      <w:r>
        <w:rPr>
          <w:noProof/>
        </w:rPr>
        <w:t xml:space="preserve">Member State authorities and EU bodies having access to at least one EU information system included in </w:t>
      </w:r>
      <w:r>
        <w:rPr>
          <w:rStyle w:val="Emphasis"/>
          <w:noProof/>
          <w:szCs w:val="24"/>
        </w:rPr>
        <w:t xml:space="preserve">the common identity repository or to the SIS </w:t>
      </w:r>
      <w:r>
        <w:rPr>
          <w:noProof/>
        </w:rPr>
        <w:t>shall have access to the data referred to in Article 34(a) and (b) regarding any red links as referred to in Article 32.</w:t>
      </w:r>
    </w:p>
    <w:p>
      <w:pPr>
        <w:pStyle w:val="Titrearticle"/>
        <w:spacing w:before="0" w:after="0"/>
        <w:rPr>
          <w:noProof/>
        </w:rPr>
      </w:pPr>
      <w:r>
        <w:rPr>
          <w:noProof/>
        </w:rPr>
        <w:lastRenderedPageBreak/>
        <w:t>Article 27</w:t>
      </w:r>
    </w:p>
    <w:p>
      <w:pPr>
        <w:pStyle w:val="Titrearticle"/>
        <w:spacing w:before="0"/>
        <w:rPr>
          <w:noProof/>
        </w:rPr>
      </w:pPr>
      <w:r>
        <w:rPr>
          <w:noProof/>
        </w:rPr>
        <w:t>Multiple-identity detection</w:t>
      </w:r>
    </w:p>
    <w:p>
      <w:pPr>
        <w:pStyle w:val="ManualNumPar1"/>
        <w:rPr>
          <w:noProof/>
        </w:rPr>
      </w:pPr>
      <w:r>
        <w:t>1.</w:t>
      </w:r>
      <w:r>
        <w:tab/>
      </w:r>
      <w:r>
        <w:rPr>
          <w:noProof/>
        </w:rPr>
        <w:t>A multiple-identity detection in the common identity repository and the SIS shall be launched where:</w:t>
      </w:r>
    </w:p>
    <w:p>
      <w:pPr>
        <w:pStyle w:val="Point1letter"/>
        <w:widowControl w:val="0"/>
        <w:numPr>
          <w:ilvl w:val="3"/>
          <w:numId w:val="73"/>
        </w:numPr>
        <w:adjustRightInd w:val="0"/>
        <w:textAlignment w:val="baseline"/>
        <w:rPr>
          <w:noProof/>
        </w:rPr>
      </w:pPr>
      <w:r>
        <w:rPr>
          <w:noProof/>
        </w:rPr>
        <w:t>an individual file is created or updated in [the EES in accordance with Article 14 of the EES Regulation];</w:t>
      </w:r>
    </w:p>
    <w:p>
      <w:pPr>
        <w:pStyle w:val="Point1letter"/>
        <w:widowControl w:val="0"/>
        <w:numPr>
          <w:ilvl w:val="3"/>
          <w:numId w:val="73"/>
        </w:numPr>
        <w:adjustRightInd w:val="0"/>
        <w:textAlignment w:val="baseline"/>
        <w:rPr>
          <w:noProof/>
        </w:rPr>
      </w:pPr>
      <w:r>
        <w:rPr>
          <w:noProof/>
        </w:rPr>
        <w:t>an application file is created or updated in the VIS in accordance with Article 8 of Regulation (EC) No 767/2008;</w:t>
      </w:r>
    </w:p>
    <w:p>
      <w:pPr>
        <w:pStyle w:val="Point1letter"/>
        <w:widowControl w:val="0"/>
        <w:numPr>
          <w:ilvl w:val="3"/>
          <w:numId w:val="73"/>
        </w:numPr>
        <w:adjustRightInd w:val="0"/>
        <w:textAlignment w:val="baseline"/>
        <w:rPr>
          <w:noProof/>
        </w:rPr>
      </w:pPr>
      <w:r>
        <w:rPr>
          <w:noProof/>
        </w:rPr>
        <w:t>[an application file is created or updated in the ETIAS in accordance with Article 17 of the ETIAS Regulation;]</w:t>
      </w:r>
    </w:p>
    <w:p>
      <w:pPr>
        <w:pStyle w:val="Point1letter"/>
        <w:widowControl w:val="0"/>
        <w:numPr>
          <w:ilvl w:val="3"/>
          <w:numId w:val="73"/>
        </w:numPr>
        <w:adjustRightInd w:val="0"/>
        <w:textAlignment w:val="baseline"/>
        <w:rPr>
          <w:noProof/>
        </w:rPr>
      </w:pPr>
      <w:r>
        <w:rPr>
          <w:noProof/>
        </w:rPr>
        <w:t>– (not applicable);</w:t>
      </w:r>
    </w:p>
    <w:p>
      <w:pPr>
        <w:pStyle w:val="Point1letter"/>
        <w:widowControl w:val="0"/>
        <w:numPr>
          <w:ilvl w:val="3"/>
          <w:numId w:val="73"/>
        </w:numPr>
        <w:adjustRightInd w:val="0"/>
        <w:textAlignment w:val="baseline"/>
        <w:rPr>
          <w:noProof/>
        </w:rPr>
      </w:pPr>
      <w:r>
        <w:rPr>
          <w:noProof/>
        </w:rPr>
        <w:t>[an alert on a person is created or updated in the SIS in accordance with Chapter V of the Regulation on SIS in the field of border checks];</w:t>
      </w:r>
    </w:p>
    <w:p>
      <w:pPr>
        <w:pStyle w:val="Point1letter"/>
        <w:widowControl w:val="0"/>
        <w:numPr>
          <w:ilvl w:val="3"/>
          <w:numId w:val="73"/>
        </w:numPr>
        <w:adjustRightInd w:val="0"/>
        <w:textAlignment w:val="baseline"/>
        <w:rPr>
          <w:noProof/>
        </w:rPr>
      </w:pPr>
      <w:r>
        <w:rPr>
          <w:noProof/>
        </w:rPr>
        <w:t>– (not applicable).</w:t>
      </w:r>
    </w:p>
    <w:p>
      <w:pPr>
        <w:pStyle w:val="ManualNumPar1"/>
        <w:rPr>
          <w:noProof/>
        </w:rPr>
      </w:pPr>
      <w:r>
        <w:t>2.</w:t>
      </w:r>
      <w:r>
        <w:tab/>
      </w:r>
      <w:r>
        <w:rPr>
          <w:noProof/>
        </w:rPr>
        <w:t>Where the data contained within an information system as referred to in paragraph 1 contains biometric data, the common identity repository (CIR) and the Central-SIS shall use the shared biometric matching service (shared BMS) in order to perform the multiple-identity detection. The shared BMS shall compare the biometric templates obtained from any new biometric data to the biometric templates already contained in the shared BMS in order to verify whether or not data belonging to the same third-country national is already stored in the CIR or in the Central SIS.</w:t>
      </w:r>
    </w:p>
    <w:p>
      <w:pPr>
        <w:pStyle w:val="ManualNumPar1"/>
        <w:rPr>
          <w:noProof/>
        </w:rPr>
      </w:pPr>
      <w:r>
        <w:t>3.</w:t>
      </w:r>
      <w:r>
        <w:tab/>
      </w:r>
      <w:r>
        <w:rPr>
          <w:noProof/>
        </w:rPr>
        <w:t>In addition to the process referred to in paragraph 2, the CIR and the Central-SIS shall use the European search portal to search the data stored in the CIR and the Central-SIS using the following data:</w:t>
      </w:r>
    </w:p>
    <w:p>
      <w:pPr>
        <w:pStyle w:val="Point1letter"/>
        <w:widowControl w:val="0"/>
        <w:numPr>
          <w:ilvl w:val="3"/>
          <w:numId w:val="74"/>
        </w:numPr>
        <w:adjustRightInd w:val="0"/>
        <w:textAlignment w:val="baseline"/>
        <w:rPr>
          <w:noProof/>
        </w:rPr>
      </w:pPr>
      <w:r>
        <w:rPr>
          <w:noProof/>
        </w:rPr>
        <w:t>surname (family name); first name(s) (given name(s)); date of birth, sex and nationality(ies) as referred to in Article 16(1)(a) of the [EES Regulation];</w:t>
      </w:r>
    </w:p>
    <w:p>
      <w:pPr>
        <w:pStyle w:val="Point1letter"/>
        <w:widowControl w:val="0"/>
        <w:numPr>
          <w:ilvl w:val="3"/>
          <w:numId w:val="74"/>
        </w:numPr>
        <w:adjustRightInd w:val="0"/>
        <w:textAlignment w:val="baseline"/>
        <w:rPr>
          <w:noProof/>
        </w:rPr>
      </w:pPr>
      <w:r>
        <w:rPr>
          <w:noProof/>
        </w:rPr>
        <w:t>surname (family name); first name(s) (given name(s)); date of birth, sex and nationality(ies) as referred to in Article 9(4)(a) of Regulation (EC) No 767/2008;</w:t>
      </w:r>
    </w:p>
    <w:p>
      <w:pPr>
        <w:pStyle w:val="Point1letter"/>
        <w:widowControl w:val="0"/>
        <w:numPr>
          <w:ilvl w:val="3"/>
          <w:numId w:val="74"/>
        </w:numPr>
        <w:adjustRightInd w:val="0"/>
        <w:textAlignment w:val="baseline"/>
        <w:rPr>
          <w:noProof/>
        </w:rPr>
      </w:pPr>
      <w:r>
        <w:rPr>
          <w:noProof/>
        </w:rPr>
        <w:t>[surname (family name); first name(s) (given name(s)); surname at birth; date of birth, place of birth, sex and nationality(ies) as referred to in Article 15(2) of the ETIAS Regulation;]</w:t>
      </w:r>
    </w:p>
    <w:p>
      <w:pPr>
        <w:pStyle w:val="Point1letter"/>
        <w:widowControl w:val="0"/>
        <w:numPr>
          <w:ilvl w:val="3"/>
          <w:numId w:val="74"/>
        </w:numPr>
        <w:adjustRightInd w:val="0"/>
        <w:textAlignment w:val="baseline"/>
        <w:rPr>
          <w:noProof/>
        </w:rPr>
      </w:pPr>
      <w:r>
        <w:rPr>
          <w:noProof/>
        </w:rPr>
        <w:t>– (not applicable);</w:t>
      </w:r>
    </w:p>
    <w:p>
      <w:pPr>
        <w:pStyle w:val="Point1letter"/>
        <w:widowControl w:val="0"/>
        <w:numPr>
          <w:ilvl w:val="3"/>
          <w:numId w:val="74"/>
        </w:numPr>
        <w:adjustRightInd w:val="0"/>
        <w:textAlignment w:val="baseline"/>
        <w:rPr>
          <w:noProof/>
        </w:rPr>
      </w:pPr>
      <w:r>
        <w:rPr>
          <w:noProof/>
        </w:rPr>
        <w:t>[surname(s); forename(s); name(s) at birth, previously used names and aliases; date of birth, place of birth, nationality(ies) and sex as referred to in Article 20(2) of the Regulation on SIS in the field of border checks; ]</w:t>
      </w:r>
    </w:p>
    <w:p>
      <w:pPr>
        <w:pStyle w:val="Point1letter"/>
        <w:widowControl w:val="0"/>
        <w:numPr>
          <w:ilvl w:val="3"/>
          <w:numId w:val="74"/>
        </w:numPr>
        <w:adjustRightInd w:val="0"/>
        <w:textAlignment w:val="baseline"/>
        <w:rPr>
          <w:b/>
          <w:noProof/>
        </w:rPr>
      </w:pPr>
      <w:r>
        <w:rPr>
          <w:noProof/>
        </w:rPr>
        <w:t>– (not applicable);</w:t>
      </w:r>
    </w:p>
    <w:p>
      <w:pPr>
        <w:pStyle w:val="Point1letter"/>
        <w:widowControl w:val="0"/>
        <w:numPr>
          <w:ilvl w:val="3"/>
          <w:numId w:val="74"/>
        </w:numPr>
        <w:adjustRightInd w:val="0"/>
        <w:textAlignment w:val="baseline"/>
        <w:rPr>
          <w:noProof/>
        </w:rPr>
      </w:pPr>
      <w:r>
        <w:rPr>
          <w:noProof/>
        </w:rPr>
        <w:t>– (not applicable);</w:t>
      </w:r>
    </w:p>
    <w:p>
      <w:pPr>
        <w:pStyle w:val="Point1letter"/>
        <w:widowControl w:val="0"/>
        <w:numPr>
          <w:ilvl w:val="3"/>
          <w:numId w:val="74"/>
        </w:numPr>
        <w:adjustRightInd w:val="0"/>
        <w:textAlignment w:val="baseline"/>
        <w:rPr>
          <w:noProof/>
        </w:rPr>
      </w:pPr>
      <w:r>
        <w:rPr>
          <w:noProof/>
        </w:rPr>
        <w:t>– (not applicable).</w:t>
      </w:r>
    </w:p>
    <w:p>
      <w:pPr>
        <w:pStyle w:val="ManualNumPar1"/>
        <w:rPr>
          <w:noProof/>
        </w:rPr>
      </w:pPr>
      <w:r>
        <w:t>4.</w:t>
      </w:r>
      <w:r>
        <w:tab/>
      </w:r>
      <w:r>
        <w:rPr>
          <w:noProof/>
        </w:rPr>
        <w:t>The multiple-identity detection shall only be launched in order to compare data available in one information system with data available in other information systems.</w:t>
      </w:r>
    </w:p>
    <w:p>
      <w:pPr>
        <w:pStyle w:val="Titrearticle"/>
        <w:spacing w:before="0"/>
        <w:rPr>
          <w:noProof/>
        </w:rPr>
      </w:pPr>
      <w:r>
        <w:rPr>
          <w:noProof/>
        </w:rPr>
        <w:lastRenderedPageBreak/>
        <w:t>Article 28</w:t>
      </w:r>
      <w:r>
        <w:rPr>
          <w:noProof/>
        </w:rPr>
        <w:br/>
        <w:t>Results of the multiple-identity detection</w:t>
      </w:r>
    </w:p>
    <w:p>
      <w:pPr>
        <w:pStyle w:val="ManualNumPar1"/>
        <w:rPr>
          <w:noProof/>
        </w:rPr>
      </w:pPr>
      <w:r>
        <w:t>1.</w:t>
      </w:r>
      <w:r>
        <w:tab/>
      </w:r>
      <w:r>
        <w:rPr>
          <w:noProof/>
        </w:rPr>
        <w:t>Where the queries referred to in Article 27(2) and (3) do not report any hit, the procedures referred to in Article 27(1) shall continue in accordance with the respective Regulations governing them.</w:t>
      </w:r>
    </w:p>
    <w:p>
      <w:pPr>
        <w:pStyle w:val="ManualNumPar1"/>
        <w:rPr>
          <w:noProof/>
        </w:rPr>
      </w:pPr>
      <w:r>
        <w:t>2.</w:t>
      </w:r>
      <w:r>
        <w:tab/>
      </w:r>
      <w:r>
        <w:rPr>
          <w:noProof/>
        </w:rPr>
        <w:t xml:space="preserve">Where the query laid down in Article 27(2) and (3) reports one or several hit(s), the common identity repository and, where relevant, the SIS shall create a link between the data used to launch the query and the data triggering the hit. </w:t>
      </w:r>
    </w:p>
    <w:p>
      <w:pPr>
        <w:pStyle w:val="Text1"/>
        <w:rPr>
          <w:noProof/>
        </w:rPr>
      </w:pPr>
      <w:r>
        <w:rPr>
          <w:noProof/>
        </w:rPr>
        <w:t>Where several hits are reported, a link shall be created between all data triggering the hit. Where data was already linked, the existing link shall be extended to the data used to launch the query.</w:t>
      </w:r>
    </w:p>
    <w:p>
      <w:pPr>
        <w:pStyle w:val="ManualNumPar1"/>
        <w:rPr>
          <w:noProof/>
        </w:rPr>
      </w:pPr>
      <w:r>
        <w:t>3.</w:t>
      </w:r>
      <w:r>
        <w:tab/>
      </w:r>
      <w:r>
        <w:rPr>
          <w:noProof/>
        </w:rPr>
        <w:t>Where the query referred to in Article 27(2) or (3) reports one or several hit(s) and the identity data of the linked files is identical or similar, a white link shall be created in accordance with Article 33.</w:t>
      </w:r>
    </w:p>
    <w:p>
      <w:pPr>
        <w:pStyle w:val="ManualNumPar1"/>
        <w:rPr>
          <w:noProof/>
        </w:rPr>
      </w:pPr>
      <w:r>
        <w:t>4.</w:t>
      </w:r>
      <w:r>
        <w:tab/>
      </w:r>
      <w:r>
        <w:rPr>
          <w:noProof/>
        </w:rPr>
        <w:t>Where the query referred to in Article 27(2) or (3) reports one or several hit(s) and the identity data of the linked files cannot be considered as similar, a yellow link shall be created in accordance with Article 30 and the procedure referred to in Article 29 shall apply.</w:t>
      </w:r>
    </w:p>
    <w:p>
      <w:pPr>
        <w:pStyle w:val="ManualNumPar1"/>
        <w:rPr>
          <w:noProof/>
        </w:rPr>
      </w:pPr>
      <w:r>
        <w:t>5.</w:t>
      </w:r>
      <w:r>
        <w:tab/>
      </w:r>
      <w:r>
        <w:rPr>
          <w:noProof/>
        </w:rPr>
        <w:t>The Commission shall lay down the procedures to determine the cases where identity data can be considered as identical or similar in implementing acts. Those implementing acts shall be adopted in accordance with the examination procedure referred to in Article 64(2).</w:t>
      </w:r>
    </w:p>
    <w:p>
      <w:pPr>
        <w:pStyle w:val="ManualNumPar1"/>
        <w:rPr>
          <w:noProof/>
        </w:rPr>
      </w:pPr>
      <w:r>
        <w:t>6.</w:t>
      </w:r>
      <w:r>
        <w:tab/>
      </w:r>
      <w:r>
        <w:rPr>
          <w:noProof/>
        </w:rPr>
        <w:t>The links shall be stored in the identity confirmation file referred to in Article 34.</w:t>
      </w:r>
    </w:p>
    <w:p>
      <w:pPr>
        <w:rPr>
          <w:noProof/>
        </w:rPr>
      </w:pPr>
      <w:r>
        <w:rPr>
          <w:noProof/>
        </w:rPr>
        <w:t>The Commission shall lay down the technical rules for linking data from different information systems by implementing acts. Those implementing acts shall be adopted in accordance with the examination procedure referred to in Article 64(2).</w:t>
      </w:r>
    </w:p>
    <w:p>
      <w:pPr>
        <w:pStyle w:val="Text1"/>
        <w:rPr>
          <w:noProof/>
        </w:rPr>
      </w:pPr>
    </w:p>
    <w:p>
      <w:pPr>
        <w:pStyle w:val="Titrearticle"/>
        <w:spacing w:before="0"/>
        <w:rPr>
          <w:noProof/>
        </w:rPr>
      </w:pPr>
      <w:r>
        <w:rPr>
          <w:noProof/>
        </w:rPr>
        <w:t>Article 29</w:t>
      </w:r>
      <w:r>
        <w:rPr>
          <w:noProof/>
        </w:rPr>
        <w:br/>
        <w:t>Manual verification of different identities</w:t>
      </w:r>
    </w:p>
    <w:p>
      <w:pPr>
        <w:pStyle w:val="ManualNumPar1"/>
        <w:rPr>
          <w:noProof/>
        </w:rPr>
      </w:pPr>
      <w:r>
        <w:t>1.</w:t>
      </w:r>
      <w:r>
        <w:tab/>
      </w:r>
      <w:r>
        <w:rPr>
          <w:noProof/>
        </w:rPr>
        <w:t>Without prejudice to paragraph 2, the authority responsible for verification of different identities shall be:</w:t>
      </w:r>
    </w:p>
    <w:p>
      <w:pPr>
        <w:pStyle w:val="Point1letter"/>
        <w:widowControl w:val="0"/>
        <w:numPr>
          <w:ilvl w:val="3"/>
          <w:numId w:val="75"/>
        </w:numPr>
        <w:adjustRightInd w:val="0"/>
        <w:textAlignment w:val="baseline"/>
        <w:rPr>
          <w:noProof/>
        </w:rPr>
      </w:pPr>
      <w:r>
        <w:rPr>
          <w:noProof/>
        </w:rPr>
        <w:t>the border authority for hits that occurred when creating or updating an individual in [the EES in accordance with Article 14 of the EES Regulation];</w:t>
      </w:r>
    </w:p>
    <w:p>
      <w:pPr>
        <w:pStyle w:val="Point1letter"/>
        <w:widowControl w:val="0"/>
        <w:numPr>
          <w:ilvl w:val="3"/>
          <w:numId w:val="75"/>
        </w:numPr>
        <w:adjustRightInd w:val="0"/>
        <w:textAlignment w:val="baseline"/>
        <w:rPr>
          <w:noProof/>
        </w:rPr>
      </w:pPr>
      <w:r>
        <w:rPr>
          <w:noProof/>
        </w:rPr>
        <w:t>the competent authorities referred to in Article 6(1) and (2) of Regulation 767/2008 for hits that occurred when creating or updating an application file in the VIS in accordance with Article 8 of Regulation (EC) No 767/2008;</w:t>
      </w:r>
    </w:p>
    <w:p>
      <w:pPr>
        <w:pStyle w:val="Point1letter"/>
        <w:widowControl w:val="0"/>
        <w:numPr>
          <w:ilvl w:val="3"/>
          <w:numId w:val="75"/>
        </w:numPr>
        <w:adjustRightInd w:val="0"/>
        <w:textAlignment w:val="baseline"/>
        <w:rPr>
          <w:noProof/>
        </w:rPr>
      </w:pPr>
      <w:r>
        <w:rPr>
          <w:noProof/>
        </w:rPr>
        <w:t>[the ETIAS Central Unit and the ETIAS National Units for hits that occurred in accordance with Articles 18, 20 and 22 of the ETIAS Regulation;]</w:t>
      </w:r>
    </w:p>
    <w:p>
      <w:pPr>
        <w:pStyle w:val="Point1letter"/>
        <w:widowControl w:val="0"/>
        <w:numPr>
          <w:ilvl w:val="3"/>
          <w:numId w:val="75"/>
        </w:numPr>
        <w:adjustRightInd w:val="0"/>
        <w:textAlignment w:val="baseline"/>
        <w:rPr>
          <w:noProof/>
        </w:rPr>
      </w:pPr>
      <w:r>
        <w:rPr>
          <w:noProof/>
        </w:rPr>
        <w:t>– (not applicable);</w:t>
      </w:r>
    </w:p>
    <w:p>
      <w:pPr>
        <w:pStyle w:val="Point1letter"/>
        <w:widowControl w:val="0"/>
        <w:numPr>
          <w:ilvl w:val="3"/>
          <w:numId w:val="75"/>
        </w:numPr>
        <w:adjustRightInd w:val="0"/>
        <w:textAlignment w:val="baseline"/>
        <w:rPr>
          <w:noProof/>
        </w:rPr>
      </w:pPr>
      <w:r>
        <w:rPr>
          <w:noProof/>
        </w:rPr>
        <w:t>the SIRENE Bureaux of the Member State for hits that occurred when creating a SIS alert in accordance with the [Regulations on SIS in the field of border checks];</w:t>
      </w:r>
    </w:p>
    <w:p>
      <w:pPr>
        <w:pStyle w:val="Point1letter"/>
        <w:widowControl w:val="0"/>
        <w:numPr>
          <w:ilvl w:val="3"/>
          <w:numId w:val="75"/>
        </w:numPr>
        <w:adjustRightInd w:val="0"/>
        <w:textAlignment w:val="baseline"/>
        <w:rPr>
          <w:noProof/>
        </w:rPr>
      </w:pPr>
      <w:r>
        <w:rPr>
          <w:noProof/>
        </w:rPr>
        <w:t>– (not applicable).</w:t>
      </w:r>
    </w:p>
    <w:p>
      <w:pPr>
        <w:pStyle w:val="Text1"/>
        <w:rPr>
          <w:noProof/>
        </w:rPr>
      </w:pPr>
      <w:r>
        <w:rPr>
          <w:noProof/>
        </w:rPr>
        <w:lastRenderedPageBreak/>
        <w:t>The multiple-identity detector shall indicate the authority responsible for the verification of different identities in the identity verification file.</w:t>
      </w:r>
    </w:p>
    <w:p>
      <w:pPr>
        <w:pStyle w:val="ManualNumPar1"/>
        <w:rPr>
          <w:noProof/>
        </w:rPr>
      </w:pPr>
      <w:r>
        <w:t>2.</w:t>
      </w:r>
      <w:r>
        <w:tab/>
      </w:r>
      <w:r>
        <w:rPr>
          <w:noProof/>
        </w:rPr>
        <w:t>The authority responsible for the verification of different identities in the identity confirmation file shall be the SIRENE Bureau of the Member State that created the alert where a link is created to data contained:</w:t>
      </w:r>
    </w:p>
    <w:p>
      <w:pPr>
        <w:pStyle w:val="Point1letter"/>
        <w:widowControl w:val="0"/>
        <w:numPr>
          <w:ilvl w:val="3"/>
          <w:numId w:val="76"/>
        </w:numPr>
        <w:adjustRightInd w:val="0"/>
        <w:textAlignment w:val="baseline"/>
        <w:rPr>
          <w:noProof/>
        </w:rPr>
      </w:pPr>
      <w:r>
        <w:rPr>
          <w:noProof/>
        </w:rPr>
        <w:t>in an alert in respect of persons wanted for arrest or for surrender or extradition purposes as referred to in Article 26 of [the Regulation on SIS in the field of law enforcement];</w:t>
      </w:r>
    </w:p>
    <w:p>
      <w:pPr>
        <w:pStyle w:val="Point1letter"/>
        <w:widowControl w:val="0"/>
        <w:numPr>
          <w:ilvl w:val="3"/>
          <w:numId w:val="76"/>
        </w:numPr>
        <w:adjustRightInd w:val="0"/>
        <w:textAlignment w:val="baseline"/>
        <w:rPr>
          <w:noProof/>
        </w:rPr>
      </w:pPr>
      <w:r>
        <w:rPr>
          <w:noProof/>
        </w:rPr>
        <w:t>in an alert on missing or vulnerable persons as referred to in Article 32 of [the Regulation on SIS in the field of law enforcement];</w:t>
      </w:r>
    </w:p>
    <w:p>
      <w:pPr>
        <w:pStyle w:val="Point1letter"/>
        <w:widowControl w:val="0"/>
        <w:numPr>
          <w:ilvl w:val="3"/>
          <w:numId w:val="76"/>
        </w:numPr>
        <w:adjustRightInd w:val="0"/>
        <w:textAlignment w:val="baseline"/>
        <w:rPr>
          <w:noProof/>
        </w:rPr>
      </w:pPr>
      <w:r>
        <w:rPr>
          <w:noProof/>
        </w:rPr>
        <w:t>in an alert on persons sought to assist with a judicial procedure as referred to in Article 34 of [the Regulation on SIS in the field of law enforcement];</w:t>
      </w:r>
    </w:p>
    <w:p>
      <w:pPr>
        <w:pStyle w:val="Point1letter"/>
        <w:widowControl w:val="0"/>
        <w:numPr>
          <w:ilvl w:val="3"/>
          <w:numId w:val="76"/>
        </w:numPr>
        <w:adjustRightInd w:val="0"/>
        <w:textAlignment w:val="baseline"/>
        <w:rPr>
          <w:noProof/>
        </w:rPr>
      </w:pPr>
      <w:r>
        <w:rPr>
          <w:noProof/>
        </w:rPr>
        <w:t>[in an alert on return in accordance with the Regulation on SIS in the field of illegal return];</w:t>
      </w:r>
    </w:p>
    <w:p>
      <w:pPr>
        <w:pStyle w:val="Point1letter"/>
        <w:widowControl w:val="0"/>
        <w:numPr>
          <w:ilvl w:val="3"/>
          <w:numId w:val="76"/>
        </w:numPr>
        <w:adjustRightInd w:val="0"/>
        <w:textAlignment w:val="baseline"/>
        <w:rPr>
          <w:noProof/>
        </w:rPr>
      </w:pPr>
      <w:r>
        <w:rPr>
          <w:noProof/>
        </w:rPr>
        <w:t>in an alert on persons for discreet checks, inquiry checks or specific checks as referred to in Article 36 of [the Regulation on SIS in the field of law enforcement];</w:t>
      </w:r>
    </w:p>
    <w:p>
      <w:pPr>
        <w:pStyle w:val="Point1letter"/>
        <w:widowControl w:val="0"/>
        <w:numPr>
          <w:ilvl w:val="3"/>
          <w:numId w:val="76"/>
        </w:numPr>
        <w:adjustRightInd w:val="0"/>
        <w:textAlignment w:val="baseline"/>
        <w:rPr>
          <w:noProof/>
        </w:rPr>
      </w:pPr>
      <w:r>
        <w:rPr>
          <w:noProof/>
        </w:rPr>
        <w:t>in an alert on unknown wanted persons for identification according to national law and search with biometric data as referred to in Article 40 of [the Regulation on SIS in the field of law enforcement].</w:t>
      </w:r>
    </w:p>
    <w:p>
      <w:pPr>
        <w:pStyle w:val="ManualNumPar1"/>
        <w:rPr>
          <w:noProof/>
        </w:rPr>
      </w:pPr>
      <w:r>
        <w:t>3.</w:t>
      </w:r>
      <w:r>
        <w:tab/>
      </w:r>
      <w:r>
        <w:rPr>
          <w:noProof/>
        </w:rPr>
        <w:t>Without prejudice to paragraph 4, the authority responsible for verification of different identities shall have access to the related data contained in the relevant identity confirmation file and to the identity data linked in the common identity repository and, where relevant, in the SIS, and shall assess the different identities and shall update the link in accordance with Articles 31, 32 and 33 and add it to the identity confirmation file without delay.</w:t>
      </w:r>
    </w:p>
    <w:p>
      <w:pPr>
        <w:pStyle w:val="ManualNumPar1"/>
        <w:rPr>
          <w:noProof/>
        </w:rPr>
      </w:pPr>
      <w:r>
        <w:t>4.</w:t>
      </w:r>
      <w:r>
        <w:tab/>
      </w:r>
      <w:r>
        <w:rPr>
          <w:noProof/>
        </w:rPr>
        <w:t>Where the authority responsible for the verification of different identities in the identity confirmation file is the border authority creating or updating an individual file in the EES in accordance with Article 14 of the EES Regulation, and where a yellow link is obtained, the border authority shall carry out additional verifications as part of a second-line check. During this second-line check, the border authorities shall have access to the related data contained in the relevant identity confirmation file and shall assess the different identities and shall update the link in accordance with Articles 31 to 33 and add it to the identity confirmation file without delay.</w:t>
      </w:r>
    </w:p>
    <w:p>
      <w:pPr>
        <w:pStyle w:val="ManualNumPar1"/>
        <w:rPr>
          <w:noProof/>
        </w:rPr>
      </w:pPr>
      <w:r>
        <w:t>5.</w:t>
      </w:r>
      <w:r>
        <w:tab/>
      </w:r>
      <w:r>
        <w:rPr>
          <w:noProof/>
        </w:rPr>
        <w:t>Where more than one link is obtained, the authority responsible for the verification of different identities shall assess each link separately.</w:t>
      </w:r>
    </w:p>
    <w:p>
      <w:pPr>
        <w:pStyle w:val="ManualNumPar1"/>
        <w:rPr>
          <w:noProof/>
        </w:rPr>
      </w:pPr>
      <w:r>
        <w:t>6.</w:t>
      </w:r>
      <w:r>
        <w:tab/>
      </w:r>
      <w:r>
        <w:rPr>
          <w:noProof/>
        </w:rPr>
        <w:t>Where data reporting a hit was already linked, the authority responsible for the verification of different identities shall take into account the existing links when assessing the creation of new links.</w:t>
      </w:r>
    </w:p>
    <w:p>
      <w:pPr>
        <w:pStyle w:val="Text1"/>
        <w:rPr>
          <w:noProof/>
        </w:rPr>
      </w:pPr>
    </w:p>
    <w:p>
      <w:pPr>
        <w:pStyle w:val="Titrearticle"/>
        <w:spacing w:before="0" w:after="0"/>
        <w:rPr>
          <w:noProof/>
        </w:rPr>
      </w:pPr>
      <w:r>
        <w:rPr>
          <w:noProof/>
        </w:rPr>
        <w:t>Article 30</w:t>
      </w:r>
    </w:p>
    <w:p>
      <w:pPr>
        <w:pStyle w:val="Titrearticle"/>
        <w:spacing w:before="0" w:after="0"/>
        <w:rPr>
          <w:noProof/>
        </w:rPr>
      </w:pPr>
      <w:r>
        <w:rPr>
          <w:noProof/>
        </w:rPr>
        <w:t>Yellow link</w:t>
      </w:r>
    </w:p>
    <w:p>
      <w:pPr>
        <w:pStyle w:val="ManualNumPar1"/>
        <w:rPr>
          <w:noProof/>
        </w:rPr>
      </w:pPr>
      <w:r>
        <w:t>1.</w:t>
      </w:r>
      <w:r>
        <w:tab/>
      </w:r>
      <w:r>
        <w:rPr>
          <w:noProof/>
        </w:rPr>
        <w:t>A link between data from two or more information systems shall be classified as yellow in any of the following cases:</w:t>
      </w:r>
    </w:p>
    <w:p>
      <w:pPr>
        <w:pStyle w:val="Point1letter"/>
        <w:widowControl w:val="0"/>
        <w:numPr>
          <w:ilvl w:val="3"/>
          <w:numId w:val="77"/>
        </w:numPr>
        <w:adjustRightInd w:val="0"/>
        <w:textAlignment w:val="baseline"/>
        <w:rPr>
          <w:noProof/>
        </w:rPr>
      </w:pPr>
      <w:r>
        <w:rPr>
          <w:noProof/>
        </w:rPr>
        <w:lastRenderedPageBreak/>
        <w:t xml:space="preserve">the linked data shares the same biometric but different identity data and no manual verification of different identity has taken place; </w:t>
      </w:r>
    </w:p>
    <w:p>
      <w:pPr>
        <w:pStyle w:val="Point1letter"/>
        <w:widowControl w:val="0"/>
        <w:numPr>
          <w:ilvl w:val="3"/>
          <w:numId w:val="77"/>
        </w:numPr>
        <w:adjustRightInd w:val="0"/>
        <w:textAlignment w:val="baseline"/>
        <w:rPr>
          <w:noProof/>
        </w:rPr>
      </w:pPr>
      <w:r>
        <w:rPr>
          <w:noProof/>
        </w:rPr>
        <w:t>the linked data has different identity data and no manual verification of different identity has taken place.</w:t>
      </w:r>
    </w:p>
    <w:p>
      <w:pPr>
        <w:pStyle w:val="ManualNumPar1"/>
        <w:rPr>
          <w:noProof/>
        </w:rPr>
      </w:pPr>
      <w:r>
        <w:t>2.</w:t>
      </w:r>
      <w:r>
        <w:tab/>
      </w:r>
      <w:r>
        <w:rPr>
          <w:noProof/>
        </w:rPr>
        <w:t>Where a link is classified as yellow in accordance with paragraph 1, the procedure laid down in Article 29 applies.</w:t>
      </w:r>
    </w:p>
    <w:p>
      <w:pPr>
        <w:pStyle w:val="Text1"/>
        <w:rPr>
          <w:noProof/>
        </w:rPr>
      </w:pPr>
    </w:p>
    <w:p>
      <w:pPr>
        <w:pStyle w:val="Titrearticle"/>
        <w:spacing w:before="0" w:after="0"/>
        <w:rPr>
          <w:noProof/>
        </w:rPr>
      </w:pPr>
      <w:r>
        <w:rPr>
          <w:noProof/>
        </w:rPr>
        <w:t>Article 31</w:t>
      </w:r>
    </w:p>
    <w:p>
      <w:pPr>
        <w:pStyle w:val="Titrearticle"/>
        <w:spacing w:before="0" w:after="0"/>
        <w:rPr>
          <w:noProof/>
        </w:rPr>
      </w:pPr>
      <w:r>
        <w:rPr>
          <w:noProof/>
        </w:rPr>
        <w:t>Green link</w:t>
      </w:r>
    </w:p>
    <w:p>
      <w:pPr>
        <w:pStyle w:val="ManualNumPar1"/>
        <w:rPr>
          <w:noProof/>
        </w:rPr>
      </w:pPr>
      <w:r>
        <w:t>1.</w:t>
      </w:r>
      <w:r>
        <w:tab/>
      </w:r>
      <w:r>
        <w:rPr>
          <w:noProof/>
        </w:rPr>
        <w:t>A link between data from two or more information systems shall be classified as green where the linked data do not share the same biometric but have similar identity data and the authority responsible for the verification of different identities concluded it refers to two different persons.</w:t>
      </w:r>
    </w:p>
    <w:p>
      <w:pPr>
        <w:pStyle w:val="ManualNumPar1"/>
        <w:rPr>
          <w:noProof/>
        </w:rPr>
      </w:pPr>
      <w:r>
        <w:t>2.</w:t>
      </w:r>
      <w:r>
        <w:tab/>
      </w:r>
      <w:r>
        <w:rPr>
          <w:noProof/>
        </w:rPr>
        <w:t>Where the common identity repository (CIR) or the SIS are queried and where a green link exists between two or more of the information systems constituting the CIR or with the SIS, the multiple-identity detector shall indicate that the identity data of the linked data does not correspond to the same person. The queried information system shall reply indicating only the data of the person whose data was used for the query, without triggering a hit against the data that is subject to the green link.</w:t>
      </w:r>
    </w:p>
    <w:p>
      <w:pPr>
        <w:pStyle w:val="Text1"/>
        <w:rPr>
          <w:noProof/>
        </w:rPr>
      </w:pPr>
    </w:p>
    <w:p>
      <w:pPr>
        <w:pStyle w:val="Titrearticle"/>
        <w:spacing w:before="0" w:after="0"/>
        <w:rPr>
          <w:noProof/>
        </w:rPr>
      </w:pPr>
      <w:r>
        <w:rPr>
          <w:noProof/>
        </w:rPr>
        <w:t>Article 32</w:t>
      </w:r>
    </w:p>
    <w:p>
      <w:pPr>
        <w:pStyle w:val="Titrearticle"/>
        <w:spacing w:before="0" w:after="0"/>
        <w:rPr>
          <w:noProof/>
        </w:rPr>
      </w:pPr>
      <w:r>
        <w:rPr>
          <w:noProof/>
        </w:rPr>
        <w:t>Red link</w:t>
      </w:r>
    </w:p>
    <w:p>
      <w:pPr>
        <w:pStyle w:val="ManualNumPar1"/>
        <w:rPr>
          <w:noProof/>
        </w:rPr>
      </w:pPr>
      <w:r>
        <w:t>1.</w:t>
      </w:r>
      <w:r>
        <w:tab/>
      </w:r>
      <w:r>
        <w:rPr>
          <w:noProof/>
        </w:rPr>
        <w:t>A link between data from two or more information systems shall be classified as red in any of the following cases:</w:t>
      </w:r>
    </w:p>
    <w:p>
      <w:pPr>
        <w:pStyle w:val="Point1letter"/>
        <w:widowControl w:val="0"/>
        <w:numPr>
          <w:ilvl w:val="3"/>
          <w:numId w:val="78"/>
        </w:numPr>
        <w:adjustRightInd w:val="0"/>
        <w:textAlignment w:val="baseline"/>
        <w:rPr>
          <w:noProof/>
        </w:rPr>
      </w:pPr>
      <w:r>
        <w:rPr>
          <w:noProof/>
        </w:rPr>
        <w:t xml:space="preserve">the linked data shares the same biometric but different identity data and the authority responsible for the verification of different identities concluded it refers unlawfully to the same person; </w:t>
      </w:r>
    </w:p>
    <w:p>
      <w:pPr>
        <w:pStyle w:val="Point1letter"/>
        <w:widowControl w:val="0"/>
        <w:numPr>
          <w:ilvl w:val="3"/>
          <w:numId w:val="78"/>
        </w:numPr>
        <w:adjustRightInd w:val="0"/>
        <w:textAlignment w:val="baseline"/>
        <w:rPr>
          <w:noProof/>
        </w:rPr>
      </w:pPr>
      <w:r>
        <w:rPr>
          <w:noProof/>
        </w:rPr>
        <w:t>the linked data has similar identity data and the authority responsible for the verification of different identities concluded it refers unlawfully to the same person.</w:t>
      </w:r>
    </w:p>
    <w:p>
      <w:pPr>
        <w:pStyle w:val="ManualNumPar1"/>
        <w:rPr>
          <w:noProof/>
        </w:rPr>
      </w:pPr>
      <w:r>
        <w:t>2.</w:t>
      </w:r>
      <w:r>
        <w:tab/>
      </w:r>
      <w:r>
        <w:rPr>
          <w:noProof/>
        </w:rPr>
        <w:t>Where the CIR or the SIS are queried and where a red link exists between two or more of the information systems constituting the CIR or with the SIS, the multiple-identity detector shall reply indicating the data referred to in Article 34. Follow-up to a red link shall take place in accordance with Union and national law.</w:t>
      </w:r>
    </w:p>
    <w:p>
      <w:pPr>
        <w:pStyle w:val="ManualNumPar1"/>
        <w:rPr>
          <w:noProof/>
        </w:rPr>
      </w:pPr>
      <w:r>
        <w:t>3.</w:t>
      </w:r>
      <w:r>
        <w:tab/>
      </w:r>
      <w:r>
        <w:rPr>
          <w:noProof/>
        </w:rPr>
        <w:t>Where a red link is created between data from the EES, the VIS, [the ETIAS], Eurodac or [the ECRIS-TCN System], the individual file stored in the CIR shall be updated in accordance with Article 19(1).</w:t>
      </w:r>
    </w:p>
    <w:p>
      <w:pPr>
        <w:pStyle w:val="ManualNumPar1"/>
        <w:rPr>
          <w:noProof/>
        </w:rPr>
      </w:pPr>
      <w:r>
        <w:t>4.</w:t>
      </w:r>
      <w:r>
        <w:tab/>
      </w:r>
      <w:r>
        <w:rPr>
          <w:noProof/>
        </w:rPr>
        <w:t>Without prejudice to the provisions related to the handling of alerts in the SIS referred to in the [Regulations on SIS in the field of border checks, on SIS in the field of law enforcement and on SIS in the field of illegal return], and without prejudice to limitations necessary to protect security and public order, prevent crime and guarantee that any national investigation will not be jeopardised, where a red link is created, the authority responsible for verification of different identities shall inform the person of the presence of multiple unlawful identities.</w:t>
      </w:r>
    </w:p>
    <w:p>
      <w:pPr>
        <w:pStyle w:val="ManualNumPar1"/>
        <w:rPr>
          <w:noProof/>
        </w:rPr>
      </w:pPr>
      <w:r>
        <w:lastRenderedPageBreak/>
        <w:t>5.</w:t>
      </w:r>
      <w:r>
        <w:tab/>
      </w:r>
      <w:r>
        <w:rPr>
          <w:noProof/>
        </w:rPr>
        <w:t>Where a red link is created, the authority responsible for verification of different identities shall provide a reference to the authorities responsible for the data linked.</w:t>
      </w:r>
    </w:p>
    <w:p>
      <w:pPr>
        <w:pStyle w:val="Titrearticle"/>
        <w:spacing w:before="0" w:after="0"/>
        <w:rPr>
          <w:noProof/>
        </w:rPr>
      </w:pPr>
      <w:r>
        <w:rPr>
          <w:noProof/>
        </w:rPr>
        <w:t>Article 33</w:t>
      </w:r>
    </w:p>
    <w:p>
      <w:pPr>
        <w:pStyle w:val="Titrearticle"/>
        <w:spacing w:before="0" w:after="0"/>
        <w:rPr>
          <w:noProof/>
        </w:rPr>
      </w:pPr>
      <w:r>
        <w:rPr>
          <w:noProof/>
        </w:rPr>
        <w:t>White link</w:t>
      </w:r>
    </w:p>
    <w:p>
      <w:pPr>
        <w:pStyle w:val="ManualNumPar1"/>
        <w:rPr>
          <w:noProof/>
        </w:rPr>
      </w:pPr>
      <w:r>
        <w:t>1.</w:t>
      </w:r>
      <w:r>
        <w:tab/>
      </w:r>
      <w:r>
        <w:rPr>
          <w:noProof/>
        </w:rPr>
        <w:t>A link between data from two or more information systems shall be classified as white in any of the following cases:</w:t>
      </w:r>
    </w:p>
    <w:p>
      <w:pPr>
        <w:pStyle w:val="Point1letter"/>
        <w:widowControl w:val="0"/>
        <w:numPr>
          <w:ilvl w:val="3"/>
          <w:numId w:val="79"/>
        </w:numPr>
        <w:adjustRightInd w:val="0"/>
        <w:textAlignment w:val="baseline"/>
        <w:rPr>
          <w:noProof/>
        </w:rPr>
      </w:pPr>
      <w:r>
        <w:rPr>
          <w:noProof/>
        </w:rPr>
        <w:t>the linked data shares the same biometric and the same or similar identity data;</w:t>
      </w:r>
    </w:p>
    <w:p>
      <w:pPr>
        <w:pStyle w:val="Point1letter"/>
        <w:widowControl w:val="0"/>
        <w:numPr>
          <w:ilvl w:val="3"/>
          <w:numId w:val="79"/>
        </w:numPr>
        <w:adjustRightInd w:val="0"/>
        <w:textAlignment w:val="baseline"/>
        <w:rPr>
          <w:noProof/>
        </w:rPr>
      </w:pPr>
      <w:r>
        <w:rPr>
          <w:noProof/>
        </w:rPr>
        <w:t>the linked data shares the same or similar identity data and at least one of the information systems does not have biometric data on the person;</w:t>
      </w:r>
    </w:p>
    <w:p>
      <w:pPr>
        <w:pStyle w:val="Point1letter"/>
        <w:widowControl w:val="0"/>
        <w:numPr>
          <w:ilvl w:val="3"/>
          <w:numId w:val="79"/>
        </w:numPr>
        <w:adjustRightInd w:val="0"/>
        <w:textAlignment w:val="baseline"/>
        <w:rPr>
          <w:noProof/>
        </w:rPr>
      </w:pPr>
      <w:r>
        <w:rPr>
          <w:noProof/>
        </w:rPr>
        <w:t>the linked data shares the same biometric but different identity data and the authority responsible for the verification of different identities concluded it refers to the same person legally having different identity data.</w:t>
      </w:r>
    </w:p>
    <w:p>
      <w:pPr>
        <w:pStyle w:val="ManualNumPar1"/>
        <w:rPr>
          <w:noProof/>
        </w:rPr>
      </w:pPr>
      <w:r>
        <w:t>2.</w:t>
      </w:r>
      <w:r>
        <w:tab/>
      </w:r>
      <w:r>
        <w:rPr>
          <w:noProof/>
        </w:rPr>
        <w:t>Where the CIR or the SIS are queried and where a white link exists between one or more of the information systems constituting the CIR or with the SIS, the multiple-identity detector shall indicate that the identity data of the linked data correspond to the same person. The queried information systems shall reply indicating, where relevant, all the linked data on the person, hence triggering a hit against the data that is subject to the white link, if the authority launching the query has access to the linked data under Union or national law.</w:t>
      </w:r>
    </w:p>
    <w:p>
      <w:pPr>
        <w:pStyle w:val="ManualNumPar1"/>
        <w:rPr>
          <w:noProof/>
        </w:rPr>
      </w:pPr>
      <w:r>
        <w:t>3.</w:t>
      </w:r>
      <w:r>
        <w:tab/>
      </w:r>
      <w:r>
        <w:rPr>
          <w:noProof/>
        </w:rPr>
        <w:t>Where a white link is created between data from the EES, the VIS, [the ETIAS], Eurodac or [the ECRIS-TCN system], the individual file stored in the CIR shall be updated in accordance with Article 19(1).</w:t>
      </w:r>
    </w:p>
    <w:p>
      <w:pPr>
        <w:pStyle w:val="ManualNumPar1"/>
        <w:rPr>
          <w:noProof/>
        </w:rPr>
      </w:pPr>
      <w:r>
        <w:t>4.</w:t>
      </w:r>
      <w:r>
        <w:tab/>
      </w:r>
      <w:r>
        <w:rPr>
          <w:noProof/>
        </w:rPr>
        <w:t>Without prejudice to the provisions related to the handling of alerts in the SIS referred to in the [Regulations on SIS in the field of border checks, on SIS in the field of law enforcement and on SIS in the field of illegal return], where a white link is created following a manual verification of multiple identities, the authority responsible for verification of different identities shall inform the person of the presence of discrepancies between his or her personal data between systems and shall provide a reference to the authorities responsible for the data linked.</w:t>
      </w:r>
    </w:p>
    <w:p>
      <w:pPr>
        <w:rPr>
          <w:noProof/>
          <w:highlight w:val="yellow"/>
        </w:rPr>
      </w:pPr>
    </w:p>
    <w:p>
      <w:pPr>
        <w:pStyle w:val="Titrearticle"/>
        <w:spacing w:before="0" w:after="0"/>
        <w:rPr>
          <w:noProof/>
        </w:rPr>
      </w:pPr>
      <w:r>
        <w:rPr>
          <w:noProof/>
        </w:rPr>
        <w:t>Article 34</w:t>
      </w:r>
    </w:p>
    <w:p>
      <w:pPr>
        <w:pStyle w:val="Titrearticle"/>
        <w:spacing w:before="0" w:after="0"/>
        <w:rPr>
          <w:noProof/>
        </w:rPr>
      </w:pPr>
      <w:r>
        <w:rPr>
          <w:noProof/>
        </w:rPr>
        <w:t>Identity confirmation file</w:t>
      </w:r>
    </w:p>
    <w:p>
      <w:pPr>
        <w:rPr>
          <w:noProof/>
        </w:rPr>
      </w:pPr>
      <w:r>
        <w:rPr>
          <w:noProof/>
        </w:rPr>
        <w:t>The identity confirmation file shall contain the following data:</w:t>
      </w:r>
    </w:p>
    <w:p>
      <w:pPr>
        <w:pStyle w:val="Point1letter"/>
        <w:widowControl w:val="0"/>
        <w:numPr>
          <w:ilvl w:val="3"/>
          <w:numId w:val="80"/>
        </w:numPr>
        <w:adjustRightInd w:val="0"/>
        <w:textAlignment w:val="baseline"/>
        <w:rPr>
          <w:noProof/>
        </w:rPr>
      </w:pPr>
      <w:r>
        <w:rPr>
          <w:noProof/>
        </w:rPr>
        <w:t xml:space="preserve">the links, including their description in form of colours, as referred to in Articles 30 to 33; </w:t>
      </w:r>
    </w:p>
    <w:p>
      <w:pPr>
        <w:pStyle w:val="Point1letter"/>
        <w:widowControl w:val="0"/>
        <w:numPr>
          <w:ilvl w:val="3"/>
          <w:numId w:val="80"/>
        </w:numPr>
        <w:adjustRightInd w:val="0"/>
        <w:textAlignment w:val="baseline"/>
        <w:rPr>
          <w:noProof/>
        </w:rPr>
      </w:pPr>
      <w:r>
        <w:rPr>
          <w:noProof/>
        </w:rPr>
        <w:t>a reference to the information systems whose data is linked;</w:t>
      </w:r>
    </w:p>
    <w:p>
      <w:pPr>
        <w:pStyle w:val="Point1letter"/>
        <w:widowControl w:val="0"/>
        <w:numPr>
          <w:ilvl w:val="3"/>
          <w:numId w:val="80"/>
        </w:numPr>
        <w:adjustRightInd w:val="0"/>
        <w:textAlignment w:val="baseline"/>
        <w:rPr>
          <w:noProof/>
        </w:rPr>
      </w:pPr>
      <w:r>
        <w:rPr>
          <w:noProof/>
        </w:rPr>
        <w:t>a single identification number allowing to retrieve the data from the information systems of corresponding linked files;</w:t>
      </w:r>
    </w:p>
    <w:p>
      <w:pPr>
        <w:pStyle w:val="Point1letter"/>
        <w:widowControl w:val="0"/>
        <w:numPr>
          <w:ilvl w:val="3"/>
          <w:numId w:val="80"/>
        </w:numPr>
        <w:adjustRightInd w:val="0"/>
        <w:textAlignment w:val="baseline"/>
        <w:rPr>
          <w:noProof/>
        </w:rPr>
      </w:pPr>
      <w:r>
        <w:rPr>
          <w:noProof/>
        </w:rPr>
        <w:t>where relevant, the authority responsible for the verification of different identities.</w:t>
      </w:r>
    </w:p>
    <w:p>
      <w:pPr>
        <w:pStyle w:val="Titrearticle"/>
        <w:spacing w:before="0" w:after="0"/>
        <w:rPr>
          <w:noProof/>
        </w:rPr>
      </w:pPr>
    </w:p>
    <w:p>
      <w:pPr>
        <w:pStyle w:val="Titrearticle"/>
        <w:spacing w:before="0" w:after="0"/>
        <w:rPr>
          <w:noProof/>
        </w:rPr>
      </w:pPr>
      <w:r>
        <w:rPr>
          <w:noProof/>
        </w:rPr>
        <w:t>Article 35</w:t>
      </w:r>
    </w:p>
    <w:p>
      <w:pPr>
        <w:pStyle w:val="Titrearticle"/>
        <w:spacing w:before="0"/>
        <w:rPr>
          <w:noProof/>
        </w:rPr>
      </w:pPr>
      <w:r>
        <w:rPr>
          <w:noProof/>
        </w:rPr>
        <w:t>Data retention in the multiple-identity detector</w:t>
      </w:r>
    </w:p>
    <w:p>
      <w:pPr>
        <w:rPr>
          <w:noProof/>
        </w:rPr>
      </w:pPr>
      <w:r>
        <w:rPr>
          <w:noProof/>
        </w:rPr>
        <w:t>The identity confirmation files and its data, including the links, shall be stored in the multiple-identity detector (MID) only for as long as the linked data is stored in two or more EU information systems.</w:t>
      </w:r>
    </w:p>
    <w:p>
      <w:pPr>
        <w:pStyle w:val="Text1"/>
        <w:rPr>
          <w:noProof/>
        </w:rPr>
      </w:pPr>
    </w:p>
    <w:p>
      <w:pPr>
        <w:pStyle w:val="Titrearticle"/>
        <w:spacing w:before="0" w:after="0"/>
        <w:rPr>
          <w:noProof/>
        </w:rPr>
      </w:pPr>
      <w:r>
        <w:rPr>
          <w:noProof/>
        </w:rPr>
        <w:t>Article 36</w:t>
      </w:r>
    </w:p>
    <w:p>
      <w:pPr>
        <w:pStyle w:val="Titrearticle"/>
        <w:spacing w:before="0"/>
        <w:rPr>
          <w:noProof/>
        </w:rPr>
      </w:pPr>
      <w:r>
        <w:rPr>
          <w:noProof/>
        </w:rPr>
        <w:t>Keeping of logs</w:t>
      </w:r>
    </w:p>
    <w:p>
      <w:pPr>
        <w:pStyle w:val="ManualNumPar1"/>
        <w:rPr>
          <w:noProof/>
        </w:rPr>
      </w:pPr>
      <w:r>
        <w:t>1.</w:t>
      </w:r>
      <w:r>
        <w:tab/>
      </w:r>
      <w:r>
        <w:rPr>
          <w:noProof/>
        </w:rPr>
        <w:t>eu-LISA shall keep logs of all data processing operations within the MID. Those logs shall include, in particular, the following:</w:t>
      </w:r>
    </w:p>
    <w:p>
      <w:pPr>
        <w:pStyle w:val="Point1letter"/>
        <w:widowControl w:val="0"/>
        <w:numPr>
          <w:ilvl w:val="3"/>
          <w:numId w:val="81"/>
        </w:numPr>
        <w:adjustRightInd w:val="0"/>
        <w:textAlignment w:val="baseline"/>
        <w:rPr>
          <w:noProof/>
        </w:rPr>
      </w:pPr>
      <w:r>
        <w:rPr>
          <w:noProof/>
        </w:rPr>
        <w:t>the purpose of access of the user and his or her access rights;</w:t>
      </w:r>
    </w:p>
    <w:p>
      <w:pPr>
        <w:pStyle w:val="Point1letter"/>
        <w:widowControl w:val="0"/>
        <w:numPr>
          <w:ilvl w:val="3"/>
          <w:numId w:val="81"/>
        </w:numPr>
        <w:adjustRightInd w:val="0"/>
        <w:textAlignment w:val="baseline"/>
        <w:rPr>
          <w:noProof/>
        </w:rPr>
      </w:pPr>
      <w:r>
        <w:rPr>
          <w:noProof/>
        </w:rPr>
        <w:t>the date and time of the query;</w:t>
      </w:r>
    </w:p>
    <w:p>
      <w:pPr>
        <w:pStyle w:val="Point1letter"/>
        <w:widowControl w:val="0"/>
        <w:numPr>
          <w:ilvl w:val="3"/>
          <w:numId w:val="81"/>
        </w:numPr>
        <w:adjustRightInd w:val="0"/>
        <w:textAlignment w:val="baseline"/>
        <w:rPr>
          <w:noProof/>
        </w:rPr>
      </w:pPr>
      <w:r>
        <w:rPr>
          <w:noProof/>
        </w:rPr>
        <w:t>the type of data used to launch the query or queries;</w:t>
      </w:r>
    </w:p>
    <w:p>
      <w:pPr>
        <w:pStyle w:val="Point1letter"/>
        <w:widowControl w:val="0"/>
        <w:numPr>
          <w:ilvl w:val="3"/>
          <w:numId w:val="81"/>
        </w:numPr>
        <w:adjustRightInd w:val="0"/>
        <w:textAlignment w:val="baseline"/>
        <w:rPr>
          <w:noProof/>
        </w:rPr>
      </w:pPr>
      <w:r>
        <w:rPr>
          <w:noProof/>
        </w:rPr>
        <w:t>the reference to the data linked;</w:t>
      </w:r>
    </w:p>
    <w:p>
      <w:pPr>
        <w:pStyle w:val="Point1letter"/>
        <w:widowControl w:val="0"/>
        <w:numPr>
          <w:ilvl w:val="3"/>
          <w:numId w:val="81"/>
        </w:numPr>
        <w:adjustRightInd w:val="0"/>
        <w:textAlignment w:val="baseline"/>
        <w:rPr>
          <w:noProof/>
        </w:rPr>
      </w:pPr>
      <w:r>
        <w:rPr>
          <w:noProof/>
        </w:rPr>
        <w:t>the history of the identity confirmation file;</w:t>
      </w:r>
    </w:p>
    <w:p>
      <w:pPr>
        <w:pStyle w:val="Point1letter"/>
        <w:widowControl w:val="0"/>
        <w:numPr>
          <w:ilvl w:val="3"/>
          <w:numId w:val="81"/>
        </w:numPr>
        <w:adjustRightInd w:val="0"/>
        <w:textAlignment w:val="baseline"/>
        <w:rPr>
          <w:noProof/>
        </w:rPr>
      </w:pPr>
      <w:r>
        <w:rPr>
          <w:noProof/>
        </w:rPr>
        <w:t>the identifying mark of the person who carried out the query.</w:t>
      </w:r>
    </w:p>
    <w:p>
      <w:pPr>
        <w:pStyle w:val="ManualNumPar1"/>
        <w:rPr>
          <w:noProof/>
        </w:rPr>
      </w:pPr>
      <w:r>
        <w:t>2.</w:t>
      </w:r>
      <w:r>
        <w:tab/>
      </w:r>
      <w:r>
        <w:rPr>
          <w:noProof/>
        </w:rPr>
        <w:t>Each Member State shall keep logs of the staff duly authorised to use the MID.</w:t>
      </w:r>
    </w:p>
    <w:p>
      <w:pPr>
        <w:pStyle w:val="ManualNumPar1"/>
        <w:rPr>
          <w:noProof/>
        </w:rPr>
      </w:pPr>
      <w:r>
        <w:t>3.</w:t>
      </w:r>
      <w:r>
        <w:tab/>
      </w:r>
      <w:r>
        <w:rPr>
          <w:noProof/>
        </w:rPr>
        <w:t>The logs may be used only for data protection monitoring, including checking the admissibility of a request and the lawfulness of data processing, and for ensuring data security pursuant to Article 42. The logs shall be protected by appropriate measures against unauthorised access and erased one year after their creation, unless they are required for monitoring procedures that have already begun. The logs related to the history of the identity confirmation file shall be erased once the data in the identity confirmation file is erased.</w:t>
      </w:r>
    </w:p>
    <w:p>
      <w:pPr>
        <w:rPr>
          <w:noProof/>
        </w:rPr>
      </w:pPr>
    </w:p>
    <w:p>
      <w:pPr>
        <w:pStyle w:val="ChapterTitle"/>
        <w:rPr>
          <w:noProof/>
        </w:rPr>
      </w:pPr>
      <w:r>
        <w:rPr>
          <w:noProof/>
        </w:rPr>
        <w:t>CHAPTER VI</w:t>
      </w:r>
      <w:r>
        <w:rPr>
          <w:noProof/>
        </w:rPr>
        <w:br/>
        <w:t>Measures supporting interoperability</w:t>
      </w:r>
    </w:p>
    <w:p>
      <w:pPr>
        <w:pStyle w:val="Titrearticle"/>
        <w:spacing w:before="0" w:after="0"/>
        <w:rPr>
          <w:noProof/>
        </w:rPr>
      </w:pPr>
      <w:r>
        <w:rPr>
          <w:noProof/>
        </w:rPr>
        <w:t>Article 37</w:t>
      </w:r>
    </w:p>
    <w:p>
      <w:pPr>
        <w:pStyle w:val="Titrearticle"/>
        <w:spacing w:before="0"/>
        <w:rPr>
          <w:noProof/>
        </w:rPr>
      </w:pPr>
      <w:r>
        <w:rPr>
          <w:noProof/>
        </w:rPr>
        <w:t>Data quality</w:t>
      </w:r>
    </w:p>
    <w:p>
      <w:pPr>
        <w:pStyle w:val="ManualNumPar1"/>
        <w:rPr>
          <w:noProof/>
        </w:rPr>
      </w:pPr>
      <w:r>
        <w:t>1.</w:t>
      </w:r>
      <w:r>
        <w:tab/>
      </w:r>
      <w:r>
        <w:rPr>
          <w:noProof/>
        </w:rPr>
        <w:t>eu-LISA shall establish automated data quality control mechanisms and procedures on the data stored in the EES, the [ETIAS], the VIS, the SIS, the shared biometric matching service (shared BMS), the common identity repository (CIR) and the multiple-identity detector (MID).</w:t>
      </w:r>
    </w:p>
    <w:p>
      <w:pPr>
        <w:pStyle w:val="ManualNumPar1"/>
        <w:rPr>
          <w:noProof/>
        </w:rPr>
      </w:pPr>
      <w:r>
        <w:t>2.</w:t>
      </w:r>
      <w:r>
        <w:tab/>
      </w:r>
      <w:r>
        <w:rPr>
          <w:noProof/>
        </w:rPr>
        <w:t>eu-LISA shall establish common data quality indicators and the minimum quality standards to store data in the EES, the [ETIAS], the VIS, the SIS, the shared BMS, the CIR and the MID.</w:t>
      </w:r>
    </w:p>
    <w:p>
      <w:pPr>
        <w:pStyle w:val="ManualNumPar1"/>
        <w:rPr>
          <w:noProof/>
        </w:rPr>
      </w:pPr>
      <w:r>
        <w:t>3.</w:t>
      </w:r>
      <w:r>
        <w:tab/>
      </w:r>
      <w:r>
        <w:rPr>
          <w:noProof/>
        </w:rPr>
        <w:t>eu-LISA shall provide regular reports on the automated data quality control mechanisms and procedures and the common data quality indicators to the Member States. eu-LISA shall also provide a regular report to the Commission covering the issues encountered and the Member States concerned.</w:t>
      </w:r>
    </w:p>
    <w:p>
      <w:pPr>
        <w:pStyle w:val="ManualNumPar1"/>
        <w:rPr>
          <w:noProof/>
        </w:rPr>
      </w:pPr>
      <w:r>
        <w:lastRenderedPageBreak/>
        <w:t>4.</w:t>
      </w:r>
      <w:r>
        <w:tab/>
      </w:r>
      <w:r>
        <w:rPr>
          <w:noProof/>
        </w:rPr>
        <w:t>The details of the automated data quality control mechanisms and procedures and the common data quality indicators and the minimum quality standards to store data in the EES, the [ETIAS], the VIS, the SIS, the shared BMS, the CIR and the MID, in particular regarding biometric data, shall be laid down in implementing acts. Those implementing acts shall be adopted in accordance with the examination procedure referred to in Article 64(2).</w:t>
      </w:r>
    </w:p>
    <w:p>
      <w:pPr>
        <w:pStyle w:val="ManualNumPar1"/>
        <w:rPr>
          <w:noProof/>
        </w:rPr>
      </w:pPr>
      <w:r>
        <w:t>5.</w:t>
      </w:r>
      <w:r>
        <w:tab/>
      </w:r>
      <w:r>
        <w:rPr>
          <w:noProof/>
        </w:rPr>
        <w:t>One year after the establishment of the automated data quality control mechanisms and procedures and common data quality indicators and every year thereafter, the Commission shall evaluate Member State implementation of data quality and shall make any necessary recommendations. The Member States shall provide the Commission with an action plan to remedy any deficiencies identified in the evaluation report and shall report on any progress against this action plan until it is fully implemented. The Commission shall transmit the evaluation report to the European Parliament, to the Council, to the European Data Protection Supervisor and to the European Union Agency for Fundamental Rights established by Council Regulation (EC) No 168/2007.</w:t>
      </w:r>
      <w:r>
        <w:rPr>
          <w:rStyle w:val="FootnoteReference"/>
          <w:noProof/>
        </w:rPr>
        <w:footnoteReference w:id="75"/>
      </w:r>
    </w:p>
    <w:p>
      <w:pPr>
        <w:rPr>
          <w:noProof/>
        </w:rPr>
      </w:pPr>
    </w:p>
    <w:p>
      <w:pPr>
        <w:pStyle w:val="Titrearticle"/>
        <w:spacing w:before="0" w:after="0"/>
        <w:rPr>
          <w:noProof/>
        </w:rPr>
      </w:pPr>
      <w:r>
        <w:rPr>
          <w:noProof/>
        </w:rPr>
        <w:t>Article 38</w:t>
      </w:r>
    </w:p>
    <w:p>
      <w:pPr>
        <w:pStyle w:val="Titrearticle"/>
        <w:spacing w:before="0"/>
        <w:rPr>
          <w:noProof/>
        </w:rPr>
      </w:pPr>
      <w:r>
        <w:rPr>
          <w:noProof/>
        </w:rPr>
        <w:t>Universal Message Format</w:t>
      </w:r>
    </w:p>
    <w:p>
      <w:pPr>
        <w:pStyle w:val="ManualNumPar1"/>
        <w:rPr>
          <w:noProof/>
        </w:rPr>
      </w:pPr>
      <w:r>
        <w:t>1.</w:t>
      </w:r>
      <w:r>
        <w:tab/>
      </w:r>
      <w:r>
        <w:rPr>
          <w:noProof/>
        </w:rPr>
        <w:t>The Universal Message Format (UMF) standard is hereby established. The UMF defines standards for certain content elements of cross-border information exchange between information systems, authorities and/or organisations in the field of Justice and Home affairs</w:t>
      </w:r>
    </w:p>
    <w:p>
      <w:pPr>
        <w:pStyle w:val="ManualNumPar1"/>
        <w:rPr>
          <w:noProof/>
        </w:rPr>
      </w:pPr>
      <w:r>
        <w:t>2.</w:t>
      </w:r>
      <w:r>
        <w:tab/>
      </w:r>
      <w:r>
        <w:rPr>
          <w:noProof/>
        </w:rPr>
        <w:t>The UMF standard shall be used in the development of the EES, the [ETIAS], , the European search portal, the CIR, the MID and, if appropriate, in the development by eu-LISA or any other EU body of new information exchange models and information systems in the area of Justice and Home Affairs.</w:t>
      </w:r>
    </w:p>
    <w:p>
      <w:pPr>
        <w:pStyle w:val="ManualNumPar1"/>
        <w:rPr>
          <w:noProof/>
        </w:rPr>
      </w:pPr>
      <w:r>
        <w:t>3.</w:t>
      </w:r>
      <w:r>
        <w:tab/>
      </w:r>
      <w:r>
        <w:rPr>
          <w:noProof/>
        </w:rPr>
        <w:t>The implementation of the UMF standard may be considered in the VIS, the SIS and in any existing or new cross-border information exchange models and information systems in the area of Justice and Home Affairs, developed by Member States or a</w:t>
      </w:r>
      <w:r>
        <w:rPr>
          <w:rFonts w:eastAsia="Arial Unicode MS"/>
          <w:noProof/>
        </w:rPr>
        <w:t>ssociated countries</w:t>
      </w:r>
      <w:r>
        <w:rPr>
          <w:noProof/>
        </w:rPr>
        <w:t>.</w:t>
      </w:r>
    </w:p>
    <w:p>
      <w:pPr>
        <w:pStyle w:val="ManualNumPar1"/>
        <w:rPr>
          <w:noProof/>
        </w:rPr>
      </w:pPr>
      <w:r>
        <w:t>4.</w:t>
      </w:r>
      <w:r>
        <w:tab/>
      </w:r>
      <w:r>
        <w:rPr>
          <w:noProof/>
        </w:rPr>
        <w:t>The Commission shall adopt an implementing act to lay down and develop the UMF standard referred to in paragraph 1. Those implementing acts shall be adopted in accordance with the examination procedure referred to in Article 64(2).</w:t>
      </w:r>
    </w:p>
    <w:p>
      <w:pPr>
        <w:pStyle w:val="Titrearticle"/>
        <w:spacing w:before="0" w:after="0"/>
        <w:rPr>
          <w:noProof/>
        </w:rPr>
      </w:pPr>
    </w:p>
    <w:p>
      <w:pPr>
        <w:pStyle w:val="Titrearticle"/>
        <w:spacing w:before="0" w:after="0"/>
        <w:rPr>
          <w:noProof/>
        </w:rPr>
      </w:pPr>
      <w:r>
        <w:rPr>
          <w:noProof/>
        </w:rPr>
        <w:t>Article 39</w:t>
      </w:r>
    </w:p>
    <w:p>
      <w:pPr>
        <w:pStyle w:val="Titrearticle"/>
        <w:spacing w:before="0" w:after="0"/>
        <w:rPr>
          <w:noProof/>
        </w:rPr>
      </w:pPr>
      <w:r>
        <w:rPr>
          <w:noProof/>
        </w:rPr>
        <w:t>Central repository for reporting and statistics</w:t>
      </w:r>
    </w:p>
    <w:p>
      <w:pPr>
        <w:pStyle w:val="ManualNumPar1"/>
        <w:rPr>
          <w:noProof/>
        </w:rPr>
      </w:pPr>
      <w:r>
        <w:t>1.</w:t>
      </w:r>
      <w:r>
        <w:tab/>
      </w:r>
      <w:r>
        <w:rPr>
          <w:noProof/>
        </w:rPr>
        <w:t>A central repository for reporting and statistics (CRRS) is established for the purposes of supporting the objectives of the EES, the VIS, [the ETIAS] and the SIS and to generate cross-system statistical data and analytical reporting for policy, operational and data quality purposes.</w:t>
      </w:r>
    </w:p>
    <w:p>
      <w:pPr>
        <w:pStyle w:val="ManualNumPar1"/>
        <w:rPr>
          <w:noProof/>
        </w:rPr>
      </w:pPr>
      <w:r>
        <w:t>2.</w:t>
      </w:r>
      <w:r>
        <w:tab/>
      </w:r>
      <w:r>
        <w:rPr>
          <w:noProof/>
        </w:rPr>
        <w:t xml:space="preserve">eu-LISA shall establish, implement and host the CRRS in its technical sites containing the data referred to in [Article 63 of the EES Regulation], Article 17 of Regulation (EC) No 767/2008, [Article 73 of the ETIAS Regulation] and [Article 54 </w:t>
      </w:r>
      <w:r>
        <w:rPr>
          <w:noProof/>
        </w:rPr>
        <w:lastRenderedPageBreak/>
        <w:t>of the Regulation on SIS in the field of border checks], logically separated. The data contained in the CRRS shall not enable the identification of individuals. Access to the repository shall be granted by means of secured access through the Trans- European Services for Telematics between Administrations (TESTA) network service with control of access and specific user profiles, solely for the purpose of reporting and statistics, to the authorities referred to in [Article 63 of the EES Regulation], Article 17 of Regulation (EC) No 767/2008, [Article 73 of the ETIAS Regulation] and [Article 54 of the Regulation on SIS in the field of border checks],.</w:t>
      </w:r>
    </w:p>
    <w:p>
      <w:pPr>
        <w:pStyle w:val="ManualNumPar1"/>
        <w:rPr>
          <w:noProof/>
        </w:rPr>
      </w:pPr>
      <w:r>
        <w:t>3.</w:t>
      </w:r>
      <w:r>
        <w:tab/>
      </w:r>
      <w:r>
        <w:rPr>
          <w:noProof/>
        </w:rPr>
        <w:t xml:space="preserve">eu-LISA shall render the data anonymous and shall record such anonymous data in the CRRS. The process for rendering the data anonymous shall be automated. </w:t>
      </w:r>
    </w:p>
    <w:p>
      <w:pPr>
        <w:pStyle w:val="ManualNumPar1"/>
        <w:rPr>
          <w:noProof/>
        </w:rPr>
      </w:pPr>
      <w:r>
        <w:t>4.</w:t>
      </w:r>
      <w:r>
        <w:tab/>
      </w:r>
      <w:r>
        <w:rPr>
          <w:noProof/>
        </w:rPr>
        <w:t>The CRRS shall be composed of:</w:t>
      </w:r>
    </w:p>
    <w:p>
      <w:pPr>
        <w:pStyle w:val="Point1letter"/>
        <w:widowControl w:val="0"/>
        <w:numPr>
          <w:ilvl w:val="3"/>
          <w:numId w:val="82"/>
        </w:numPr>
        <w:adjustRightInd w:val="0"/>
        <w:textAlignment w:val="baseline"/>
        <w:rPr>
          <w:noProof/>
        </w:rPr>
      </w:pPr>
      <w:r>
        <w:rPr>
          <w:noProof/>
        </w:rPr>
        <w:t>a central infrastructure, consisting of a data repository enabling the rendering of anonymous data;</w:t>
      </w:r>
    </w:p>
    <w:p>
      <w:pPr>
        <w:pStyle w:val="Point1letter"/>
        <w:widowControl w:val="0"/>
        <w:numPr>
          <w:ilvl w:val="3"/>
          <w:numId w:val="82"/>
        </w:numPr>
        <w:adjustRightInd w:val="0"/>
        <w:textAlignment w:val="baseline"/>
        <w:rPr>
          <w:noProof/>
        </w:rPr>
      </w:pPr>
      <w:r>
        <w:rPr>
          <w:noProof/>
        </w:rPr>
        <w:t>a secure communication infrastructure to connect the CRRS to the EES, [the ETIAS], the VIS and the SIS, as well as the central infrastructures of the shared BMS, the CIR and the MID.</w:t>
      </w:r>
    </w:p>
    <w:p>
      <w:pPr>
        <w:pStyle w:val="ManualNumPar1"/>
        <w:rPr>
          <w:noProof/>
        </w:rPr>
      </w:pPr>
      <w:r>
        <w:t>5.</w:t>
      </w:r>
      <w:r>
        <w:tab/>
      </w:r>
      <w:r>
        <w:rPr>
          <w:noProof/>
        </w:rPr>
        <w:t>The Commission shall lay down detailed rules on the operation of the CRRS, including specific safeguards for processing of personal data referred to under paragraph 2 and 3 and security rules applicable to the repository by means of implementing acts. Those implementing acts shall be adopted in accordance with the examination procedure referred to in Article 64(2).</w:t>
      </w:r>
    </w:p>
    <w:p>
      <w:pPr>
        <w:rPr>
          <w:noProof/>
        </w:rPr>
      </w:pPr>
    </w:p>
    <w:p>
      <w:pPr>
        <w:pStyle w:val="ChapterTitle"/>
        <w:rPr>
          <w:noProof/>
          <w:lang w:val="fr-BE"/>
        </w:rPr>
      </w:pPr>
      <w:bookmarkStart w:id="117" w:name="_DV_M840"/>
      <w:bookmarkStart w:id="118" w:name="_DV_M1326"/>
      <w:bookmarkStart w:id="119" w:name="_DV_M1328"/>
      <w:bookmarkStart w:id="120" w:name="_DV_M1334"/>
      <w:bookmarkStart w:id="121" w:name="_DV_M1335"/>
      <w:bookmarkStart w:id="122" w:name="_DV_M1337"/>
      <w:bookmarkStart w:id="123" w:name="_DV_M1338"/>
      <w:bookmarkStart w:id="124" w:name="_DV_M1342"/>
      <w:bookmarkStart w:id="125" w:name="_DV_M1343"/>
      <w:bookmarkStart w:id="126" w:name="_DV_M1344"/>
      <w:bookmarkStart w:id="127" w:name="_DV_M1346"/>
      <w:bookmarkStart w:id="128" w:name="_DV_M1347"/>
      <w:bookmarkStart w:id="129" w:name="_DV_M1354"/>
      <w:bookmarkStart w:id="130" w:name="_DV_M1355"/>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r>
        <w:rPr>
          <w:noProof/>
          <w:lang w:val="fr-BE"/>
        </w:rPr>
        <w:t>CHAPTER VII</w:t>
      </w:r>
      <w:r>
        <w:rPr>
          <w:noProof/>
          <w:lang w:val="fr-BE"/>
        </w:rPr>
        <w:br/>
        <w:t>Data protection</w:t>
      </w:r>
    </w:p>
    <w:p>
      <w:pPr>
        <w:pStyle w:val="Titrearticle"/>
        <w:rPr>
          <w:noProof/>
        </w:rPr>
      </w:pPr>
      <w:r>
        <w:rPr>
          <w:noProof/>
        </w:rPr>
        <w:t>Article 40</w:t>
      </w:r>
      <w:r>
        <w:rPr>
          <w:noProof/>
        </w:rPr>
        <w:br/>
        <w:t>Data controller</w:t>
      </w:r>
    </w:p>
    <w:p>
      <w:pPr>
        <w:pStyle w:val="ManualNumPar1"/>
        <w:rPr>
          <w:noProof/>
        </w:rPr>
      </w:pPr>
      <w:r>
        <w:t>1.</w:t>
      </w:r>
      <w:r>
        <w:tab/>
      </w:r>
      <w:r>
        <w:rPr>
          <w:noProof/>
        </w:rPr>
        <w:t>In relation to the processing of data in the shared biometric matching service (shared BMS), the Member State authorities that are controllers for the VIS, EES, and SIS respectively, shall also be considered as controllers in accordance with Article 4(7) of Regulation (EU) 2016/679 in relation to the biometric templates obtained from the data referred to in Article 13 that they enter into respective systems and shall have responsibility for the processing of the biometric templates in the shared BMS.</w:t>
      </w:r>
    </w:p>
    <w:p>
      <w:pPr>
        <w:pStyle w:val="ManualNumPar1"/>
        <w:rPr>
          <w:noProof/>
        </w:rPr>
      </w:pPr>
      <w:r>
        <w:t>2.</w:t>
      </w:r>
      <w:r>
        <w:tab/>
      </w:r>
      <w:r>
        <w:rPr>
          <w:noProof/>
        </w:rPr>
        <w:t>In relation to the processing of data in the common identity repository (CIR), the Member State authorities that are controllers for the VIS, EES and [ETIAS], respectively, shall also be considered as controllers in accordance with Article 4(7) of Regulation (EU) 2016/679 in relation to data referred to in Article 18 that they enter into respective systems and shall have responsibility for the processing of that personal data in the CIR.</w:t>
      </w:r>
    </w:p>
    <w:p>
      <w:pPr>
        <w:pStyle w:val="ManualNumPar1"/>
        <w:rPr>
          <w:noProof/>
        </w:rPr>
      </w:pPr>
      <w:r>
        <w:t>3.</w:t>
      </w:r>
      <w:r>
        <w:tab/>
      </w:r>
      <w:r>
        <w:rPr>
          <w:noProof/>
        </w:rPr>
        <w:t>In relation to the processing of data in the multiple-identity detector:</w:t>
      </w:r>
    </w:p>
    <w:p>
      <w:pPr>
        <w:pStyle w:val="Point1letter"/>
        <w:widowControl w:val="0"/>
        <w:numPr>
          <w:ilvl w:val="3"/>
          <w:numId w:val="97"/>
        </w:numPr>
        <w:adjustRightInd w:val="0"/>
        <w:textAlignment w:val="baseline"/>
        <w:rPr>
          <w:noProof/>
        </w:rPr>
      </w:pPr>
      <w:r>
        <w:rPr>
          <w:noProof/>
        </w:rPr>
        <w:t>the European Border and Coast Guard Agency shall be considered a data controller in accordance with Article 2(b) of Regulation No 45/2001 in relation to processing of personal data by the ETIAS Central Unit;</w:t>
      </w:r>
    </w:p>
    <w:p>
      <w:pPr>
        <w:pStyle w:val="Point1letter"/>
        <w:widowControl w:val="0"/>
        <w:numPr>
          <w:ilvl w:val="3"/>
          <w:numId w:val="97"/>
        </w:numPr>
        <w:adjustRightInd w:val="0"/>
        <w:textAlignment w:val="baseline"/>
        <w:rPr>
          <w:noProof/>
        </w:rPr>
      </w:pPr>
      <w:r>
        <w:rPr>
          <w:noProof/>
        </w:rPr>
        <w:t xml:space="preserve">the Member State authorities adding or modifying the data in the identity </w:t>
      </w:r>
      <w:r>
        <w:rPr>
          <w:noProof/>
        </w:rPr>
        <w:lastRenderedPageBreak/>
        <w:t>confirmation file are also to be considered as controllers in accordance with Article 4(7) of Regulation (EU) 2016/679 and shall have responsibility for the processing of the personal data in the multiple-identity detector;</w:t>
      </w:r>
    </w:p>
    <w:p>
      <w:pPr>
        <w:pStyle w:val="Titrearticle"/>
        <w:rPr>
          <w:noProof/>
        </w:rPr>
      </w:pPr>
      <w:r>
        <w:rPr>
          <w:noProof/>
        </w:rPr>
        <w:t>Article 41</w:t>
      </w:r>
      <w:r>
        <w:rPr>
          <w:noProof/>
        </w:rPr>
        <w:br/>
        <w:t>Data processor</w:t>
      </w:r>
    </w:p>
    <w:p>
      <w:pPr>
        <w:rPr>
          <w:noProof/>
        </w:rPr>
      </w:pPr>
      <w:r>
        <w:rPr>
          <w:noProof/>
        </w:rPr>
        <w:t>In relation to the processing of personal data in the CIR, eu-LISA is to be considered the data processor in accordance with Article 2(e) of Regulation (EC) No 45/2001.</w:t>
      </w:r>
    </w:p>
    <w:p>
      <w:pPr>
        <w:pStyle w:val="Titrearticle"/>
        <w:rPr>
          <w:noProof/>
        </w:rPr>
      </w:pPr>
      <w:r>
        <w:rPr>
          <w:noProof/>
        </w:rPr>
        <w:t>Article 42</w:t>
      </w:r>
      <w:r>
        <w:rPr>
          <w:noProof/>
        </w:rPr>
        <w:br/>
        <w:t>Security of processing</w:t>
      </w:r>
    </w:p>
    <w:p>
      <w:pPr>
        <w:pStyle w:val="ManualNumPar1"/>
        <w:rPr>
          <w:noProof/>
        </w:rPr>
      </w:pPr>
      <w:r>
        <w:t>1.</w:t>
      </w:r>
      <w:r>
        <w:tab/>
      </w:r>
      <w:r>
        <w:rPr>
          <w:noProof/>
        </w:rPr>
        <w:t>Both eu-LISA and the Member State authorities shall ensure the security of the processing of personal data that takes place pursuant to the application of this Regulation. eu-LISA, [the ETIAS Central Unit] and the Member State authorities shall cooperate on security-related tasks.</w:t>
      </w:r>
    </w:p>
    <w:p>
      <w:pPr>
        <w:pStyle w:val="ManualNumPar1"/>
        <w:rPr>
          <w:noProof/>
        </w:rPr>
      </w:pPr>
      <w:r>
        <w:t>2.</w:t>
      </w:r>
      <w:r>
        <w:tab/>
      </w:r>
      <w:r>
        <w:rPr>
          <w:noProof/>
        </w:rPr>
        <w:t>Without prejudice to Article 22 of Regulation (EC) No 45/2001, eu-LISA shall take the necessary measures to ensure the security of the interoperability components and their related communication infrastructure.</w:t>
      </w:r>
    </w:p>
    <w:p>
      <w:pPr>
        <w:pStyle w:val="ManualNumPar1"/>
        <w:rPr>
          <w:noProof/>
        </w:rPr>
      </w:pPr>
      <w:r>
        <w:t>3.</w:t>
      </w:r>
      <w:r>
        <w:tab/>
      </w:r>
      <w:r>
        <w:rPr>
          <w:noProof/>
        </w:rPr>
        <w:t>In particular,  eu-LISA shall adopt the necessary measures, including a security plan, a business continuity plan and a disaster recovery plan, in order to:</w:t>
      </w:r>
    </w:p>
    <w:p>
      <w:pPr>
        <w:pStyle w:val="Point1letter"/>
        <w:widowControl w:val="0"/>
        <w:numPr>
          <w:ilvl w:val="3"/>
          <w:numId w:val="83"/>
        </w:numPr>
        <w:adjustRightInd w:val="0"/>
        <w:textAlignment w:val="baseline"/>
        <w:rPr>
          <w:noProof/>
        </w:rPr>
      </w:pPr>
      <w:r>
        <w:rPr>
          <w:noProof/>
        </w:rPr>
        <w:t>physically protect data, including by making contingency plans for the protection of critical infrastructure;</w:t>
      </w:r>
    </w:p>
    <w:p>
      <w:pPr>
        <w:pStyle w:val="Point1letter"/>
        <w:widowControl w:val="0"/>
        <w:numPr>
          <w:ilvl w:val="3"/>
          <w:numId w:val="83"/>
        </w:numPr>
        <w:adjustRightInd w:val="0"/>
        <w:textAlignment w:val="baseline"/>
        <w:rPr>
          <w:noProof/>
        </w:rPr>
      </w:pPr>
      <w:r>
        <w:rPr>
          <w:noProof/>
        </w:rPr>
        <w:t>prevent the unauthorised reading, copying, modification or removal of data media;</w:t>
      </w:r>
    </w:p>
    <w:p>
      <w:pPr>
        <w:pStyle w:val="Point1letter"/>
        <w:widowControl w:val="0"/>
        <w:numPr>
          <w:ilvl w:val="3"/>
          <w:numId w:val="83"/>
        </w:numPr>
        <w:adjustRightInd w:val="0"/>
        <w:textAlignment w:val="baseline"/>
        <w:rPr>
          <w:noProof/>
        </w:rPr>
      </w:pPr>
      <w:r>
        <w:rPr>
          <w:noProof/>
        </w:rPr>
        <w:t>prevent the unauthorised input of data and the unauthorised inspection, modification or deletion of recorded personal data;</w:t>
      </w:r>
    </w:p>
    <w:p>
      <w:pPr>
        <w:pStyle w:val="Point1letter"/>
        <w:widowControl w:val="0"/>
        <w:numPr>
          <w:ilvl w:val="3"/>
          <w:numId w:val="83"/>
        </w:numPr>
        <w:adjustRightInd w:val="0"/>
        <w:textAlignment w:val="baseline"/>
        <w:rPr>
          <w:noProof/>
        </w:rPr>
      </w:pPr>
      <w:r>
        <w:rPr>
          <w:noProof/>
        </w:rPr>
        <w:t>prevent the unauthorised processing of data and any unauthorised copying, modification or deletion of data;</w:t>
      </w:r>
    </w:p>
    <w:p>
      <w:pPr>
        <w:pStyle w:val="Point1letter"/>
        <w:widowControl w:val="0"/>
        <w:numPr>
          <w:ilvl w:val="3"/>
          <w:numId w:val="83"/>
        </w:numPr>
        <w:adjustRightInd w:val="0"/>
        <w:textAlignment w:val="baseline"/>
        <w:rPr>
          <w:noProof/>
        </w:rPr>
      </w:pPr>
      <w:r>
        <w:rPr>
          <w:noProof/>
        </w:rPr>
        <w:t>ensure that persons authorised to access the interoperability components have access only to the data covered by their access authorisation, by means of individual user identities and confidential access modes only;</w:t>
      </w:r>
    </w:p>
    <w:p>
      <w:pPr>
        <w:pStyle w:val="Point1letter"/>
        <w:widowControl w:val="0"/>
        <w:numPr>
          <w:ilvl w:val="3"/>
          <w:numId w:val="83"/>
        </w:numPr>
        <w:adjustRightInd w:val="0"/>
        <w:textAlignment w:val="baseline"/>
        <w:rPr>
          <w:noProof/>
        </w:rPr>
      </w:pPr>
      <w:r>
        <w:rPr>
          <w:noProof/>
        </w:rPr>
        <w:t>ensure that it is possible to verify and establish to which bodies personal data may be transmitted using data communication equipment;</w:t>
      </w:r>
    </w:p>
    <w:p>
      <w:pPr>
        <w:pStyle w:val="Point1letter"/>
        <w:widowControl w:val="0"/>
        <w:numPr>
          <w:ilvl w:val="3"/>
          <w:numId w:val="83"/>
        </w:numPr>
        <w:adjustRightInd w:val="0"/>
        <w:textAlignment w:val="baseline"/>
        <w:rPr>
          <w:noProof/>
        </w:rPr>
      </w:pPr>
      <w:r>
        <w:rPr>
          <w:noProof/>
        </w:rPr>
        <w:t>ensure that it is possible to verify and establish what data has been processed in the interoperability components, when, by whom and for what purpose;</w:t>
      </w:r>
    </w:p>
    <w:p>
      <w:pPr>
        <w:pStyle w:val="Point1letter"/>
        <w:widowControl w:val="0"/>
        <w:numPr>
          <w:ilvl w:val="3"/>
          <w:numId w:val="83"/>
        </w:numPr>
        <w:adjustRightInd w:val="0"/>
        <w:textAlignment w:val="baseline"/>
        <w:rPr>
          <w:noProof/>
        </w:rPr>
      </w:pPr>
      <w:r>
        <w:rPr>
          <w:noProof/>
        </w:rPr>
        <w:t>prevent the unauthorised reading, copying, modification or deletion of personal data during the transmission of personal data to or from the interoperability components or during the transport of data media, in particular by means of appropriate encryption techniques;</w:t>
      </w:r>
    </w:p>
    <w:p>
      <w:pPr>
        <w:pStyle w:val="Point1letter"/>
        <w:widowControl w:val="0"/>
        <w:numPr>
          <w:ilvl w:val="3"/>
          <w:numId w:val="83"/>
        </w:numPr>
        <w:adjustRightInd w:val="0"/>
        <w:textAlignment w:val="baseline"/>
        <w:rPr>
          <w:noProof/>
        </w:rPr>
      </w:pPr>
      <w:r>
        <w:rPr>
          <w:noProof/>
        </w:rPr>
        <w:t>monitor the effectiveness of the security measures referred to in this paragraph and take the necessary organisational measures related to internal monitoring to ensure compliance with this Regulation.</w:t>
      </w:r>
    </w:p>
    <w:p>
      <w:pPr>
        <w:pStyle w:val="ManualNumPar1"/>
        <w:rPr>
          <w:noProof/>
        </w:rPr>
      </w:pPr>
      <w:r>
        <w:lastRenderedPageBreak/>
        <w:t>4.</w:t>
      </w:r>
      <w:r>
        <w:tab/>
      </w:r>
      <w:r>
        <w:rPr>
          <w:noProof/>
        </w:rPr>
        <w:t xml:space="preserve">Member States shall take measures equivalent to those referred to in paragraph 3 as regards security in respect of the processing of personal data by the authorities having a right to access any of the interoperability components. </w:t>
      </w:r>
    </w:p>
    <w:p>
      <w:pPr>
        <w:pStyle w:val="Titrearticle"/>
        <w:spacing w:after="0"/>
        <w:rPr>
          <w:noProof/>
        </w:rPr>
      </w:pPr>
      <w:r>
        <w:rPr>
          <w:noProof/>
        </w:rPr>
        <w:t>Article 43</w:t>
      </w:r>
    </w:p>
    <w:p>
      <w:pPr>
        <w:pStyle w:val="Titrearticle"/>
        <w:spacing w:before="0"/>
        <w:rPr>
          <w:noProof/>
        </w:rPr>
      </w:pPr>
      <w:r>
        <w:rPr>
          <w:noProof/>
        </w:rPr>
        <w:t>Confidentiality of SIS data</w:t>
      </w:r>
    </w:p>
    <w:p>
      <w:pPr>
        <w:pStyle w:val="ManualNumPar1"/>
        <w:rPr>
          <w:noProof/>
        </w:rPr>
      </w:pPr>
      <w:r>
        <w:t>1.</w:t>
      </w:r>
      <w:r>
        <w:tab/>
      </w:r>
      <w:r>
        <w:rPr>
          <w:noProof/>
        </w:rPr>
        <w:t>Each Member State shall apply its rules of professional secrecy or other equivalent duties of confidentiality to all persons and bodies required to work with SIS data accessed through any of the interoperability components in accordance with its national law. That obligation shall also apply after those persons leave office or employment or after the termination of the activities of those bodies.</w:t>
      </w:r>
    </w:p>
    <w:p>
      <w:pPr>
        <w:pStyle w:val="ManualNumPar1"/>
        <w:rPr>
          <w:noProof/>
        </w:rPr>
      </w:pPr>
      <w:r>
        <w:t>2.</w:t>
      </w:r>
      <w:r>
        <w:tab/>
      </w:r>
      <w:r>
        <w:rPr>
          <w:noProof/>
        </w:rPr>
        <w:t>Without prejudice to Article 17 of the Staff Regulations of officials and the Conditions of Employment of other servants of the European Union, eu-LISA shall apply appropriate rules of professional secrecy or other equivalent duties of confidentiality of comparable standards to those laid down in paragraph 1 to all its staff required to work with SIS data. This obligation shall also apply after those persons leave office or employment or after the termination of their activities.</w:t>
      </w:r>
    </w:p>
    <w:p>
      <w:pPr>
        <w:pStyle w:val="Titrearticle"/>
        <w:rPr>
          <w:noProof/>
        </w:rPr>
      </w:pPr>
      <w:r>
        <w:rPr>
          <w:noProof/>
        </w:rPr>
        <w:t>Article 4</w:t>
      </w:r>
      <w:bookmarkStart w:id="131" w:name="_DV_C1316"/>
      <w:r>
        <w:rPr>
          <w:noProof/>
        </w:rPr>
        <w:t>4</w:t>
      </w:r>
      <w:r>
        <w:rPr>
          <w:noProof/>
        </w:rPr>
        <w:br/>
        <w:t>Security incidents</w:t>
      </w:r>
      <w:bookmarkEnd w:id="131"/>
    </w:p>
    <w:p>
      <w:pPr>
        <w:pStyle w:val="ManualNumPar1"/>
        <w:rPr>
          <w:noProof/>
        </w:rPr>
      </w:pPr>
      <w:bookmarkStart w:id="132" w:name="_DV_C1317"/>
      <w:r>
        <w:t>1.</w:t>
      </w:r>
      <w:r>
        <w:tab/>
      </w:r>
      <w:r>
        <w:rPr>
          <w:noProof/>
        </w:rPr>
        <w:t>Any event that has or may have an impact on the security of the interoperability components and may cause damage to or loss of data stored in them shall be considered to be a security incident, in particular where unauthorised access to data may have occurred or where the availability, integrity and confidentiality of data has or may have been compromised.</w:t>
      </w:r>
      <w:bookmarkEnd w:id="132"/>
    </w:p>
    <w:p>
      <w:pPr>
        <w:pStyle w:val="ManualNumPar1"/>
        <w:rPr>
          <w:noProof/>
        </w:rPr>
      </w:pPr>
      <w:bookmarkStart w:id="133" w:name="_DV_C1318"/>
      <w:r>
        <w:t>2.</w:t>
      </w:r>
      <w:r>
        <w:tab/>
      </w:r>
      <w:r>
        <w:rPr>
          <w:noProof/>
        </w:rPr>
        <w:t>Security incidents shall be managed so as to ensure a quick, effective and proper response.</w:t>
      </w:r>
      <w:bookmarkEnd w:id="133"/>
    </w:p>
    <w:p>
      <w:pPr>
        <w:pStyle w:val="ManualNumPar1"/>
        <w:rPr>
          <w:noProof/>
        </w:rPr>
      </w:pPr>
      <w:bookmarkStart w:id="134" w:name="_DV_C1319"/>
      <w:r>
        <w:t>3.</w:t>
      </w:r>
      <w:r>
        <w:tab/>
      </w:r>
      <w:r>
        <w:rPr>
          <w:noProof/>
        </w:rPr>
        <w:t>Without prejudice to the notification and communication of a personal data breach pursuant to Article 33 of Regulation (EU) 2016/679, Article 30 of Directive (EU) 2016/680, or both, Member States shall notify the Commission, eu</w:t>
      </w:r>
      <w:r>
        <w:rPr>
          <w:noProof/>
        </w:rPr>
        <w:noBreakHyphen/>
        <w:t>LISA and the European Data Protection Supervisor of security incidents. In the event of a security incident in relation to the central infrastructure of the interoperability components, eu</w:t>
      </w:r>
      <w:r>
        <w:rPr>
          <w:noProof/>
        </w:rPr>
        <w:noBreakHyphen/>
        <w:t>LISA shall notify the Commission and the European Data Protection Supervisor.</w:t>
      </w:r>
      <w:bookmarkEnd w:id="134"/>
    </w:p>
    <w:p>
      <w:pPr>
        <w:pStyle w:val="ManualNumPar1"/>
        <w:rPr>
          <w:noProof/>
        </w:rPr>
      </w:pPr>
      <w:bookmarkStart w:id="135" w:name="_DV_C1320"/>
      <w:r>
        <w:t>4.</w:t>
      </w:r>
      <w:r>
        <w:tab/>
      </w:r>
      <w:r>
        <w:rPr>
          <w:noProof/>
        </w:rPr>
        <w:t>Information regarding a security incident that has or may have an impact on the operation of the interoperability components or on the availability, integrity and confidentiality of the data shall be provided to the Member States and reported in compliance with the incident management plan to be provided by eu</w:t>
      </w:r>
      <w:r>
        <w:rPr>
          <w:noProof/>
        </w:rPr>
        <w:noBreakHyphen/>
        <w:t>LISA.</w:t>
      </w:r>
      <w:bookmarkEnd w:id="135"/>
    </w:p>
    <w:p>
      <w:pPr>
        <w:pStyle w:val="ManualNumPar1"/>
        <w:rPr>
          <w:noProof/>
        </w:rPr>
      </w:pPr>
      <w:bookmarkStart w:id="136" w:name="_DV_C1321"/>
      <w:r>
        <w:t>5.</w:t>
      </w:r>
      <w:r>
        <w:tab/>
      </w:r>
      <w:r>
        <w:rPr>
          <w:noProof/>
        </w:rPr>
        <w:t>The Member States concerned and eu</w:t>
      </w:r>
      <w:r>
        <w:rPr>
          <w:noProof/>
        </w:rPr>
        <w:noBreakHyphen/>
        <w:t>LISA shall cooperate in the event of a security incident.</w:t>
      </w:r>
      <w:bookmarkEnd w:id="136"/>
      <w:r>
        <w:rPr>
          <w:noProof/>
        </w:rPr>
        <w:t xml:space="preserve"> The Commission shall lay down the specification of this cooperation procedure by means of implementing acts. Those implementing acts shall be adopted in accordance with the examination procedure referred to in Article 64(2).</w:t>
      </w:r>
    </w:p>
    <w:p>
      <w:pPr>
        <w:pStyle w:val="Titrearticle"/>
        <w:rPr>
          <w:iCs/>
          <w:noProof/>
        </w:rPr>
      </w:pPr>
      <w:r>
        <w:rPr>
          <w:noProof/>
        </w:rPr>
        <w:lastRenderedPageBreak/>
        <w:t>Article 45</w:t>
      </w:r>
      <w:r>
        <w:rPr>
          <w:noProof/>
        </w:rPr>
        <w:br/>
      </w:r>
      <w:r>
        <w:rPr>
          <w:iCs/>
          <w:noProof/>
        </w:rPr>
        <w:t>Self-monitoring</w:t>
      </w:r>
    </w:p>
    <w:p>
      <w:pPr>
        <w:pStyle w:val="Text1"/>
        <w:ind w:left="0"/>
        <w:rPr>
          <w:noProof/>
        </w:rPr>
      </w:pPr>
      <w:r>
        <w:rPr>
          <w:noProof/>
        </w:rPr>
        <w:t>Member States and the relevant EU bodies shall ensure that each authority entitled to access the interoperability components takes the measures necessary to monitor its compliance with this Regulation and cooperates, where necessary, with the supervisory authority.</w:t>
      </w:r>
    </w:p>
    <w:p>
      <w:pPr>
        <w:pStyle w:val="Text1"/>
        <w:ind w:left="0"/>
        <w:rPr>
          <w:noProof/>
        </w:rPr>
      </w:pPr>
      <w:r>
        <w:rPr>
          <w:noProof/>
        </w:rPr>
        <w:t>The data controllers as referred to in Article 40 shall take the necessary measures to monitor the compliance of the data processing pursuant to this Regulation, including frequent verification of logs, and cooperate, where necessary, with the supervisory authorities referred to in Articles 49 and 50.</w:t>
      </w:r>
    </w:p>
    <w:p>
      <w:pPr>
        <w:pStyle w:val="Titrearticle"/>
        <w:rPr>
          <w:noProof/>
        </w:rPr>
      </w:pPr>
      <w:bookmarkStart w:id="137" w:name="_DV_M1085"/>
      <w:bookmarkStart w:id="138" w:name="_DV_M1087"/>
      <w:bookmarkEnd w:id="137"/>
      <w:bookmarkEnd w:id="138"/>
      <w:r>
        <w:rPr>
          <w:noProof/>
        </w:rPr>
        <w:t>Article 46</w:t>
      </w:r>
      <w:r>
        <w:rPr>
          <w:noProof/>
        </w:rPr>
        <w:br/>
        <w:t>Right of information</w:t>
      </w:r>
    </w:p>
    <w:p>
      <w:pPr>
        <w:pStyle w:val="ManualNumPar1"/>
        <w:rPr>
          <w:noProof/>
        </w:rPr>
      </w:pPr>
      <w:r>
        <w:t>1.</w:t>
      </w:r>
      <w:r>
        <w:tab/>
      </w:r>
      <w:r>
        <w:rPr>
          <w:noProof/>
        </w:rPr>
        <w:t>Without prejudice to the right of information referred to in Articles 11 and 12 of Regulation (EC) 45/2001 and Articles 13 and 14 of Regulation (EU) 2016/679,  persons whose data are stored in the shared biometric matching service, the common identity repository or the multiple-identity detector shall be informed by the authority collecting their data, at the time their data are collected, about the processing of personal data for the purposes of this Regulation, including about identity and contact details of the respective data controllers, and about the procedures for exercising their rights of access, rectification and erasure, as well as about the contact details of the European Data Protection Supervisor and of the national supervisory authority of the Member State responsible for the collection of the data.</w:t>
      </w:r>
    </w:p>
    <w:p>
      <w:pPr>
        <w:pStyle w:val="ManualNumPar1"/>
        <w:rPr>
          <w:noProof/>
        </w:rPr>
      </w:pPr>
      <w:r>
        <w:t>2.</w:t>
      </w:r>
      <w:r>
        <w:tab/>
      </w:r>
      <w:r>
        <w:rPr>
          <w:noProof/>
        </w:rPr>
        <w:t xml:space="preserve">Persons whose data is recorded in the EES, the VIS or [the ETIAS] shall be informed about the processing of data for the purposes of this Regulation in accordance with paragraph 1 when: </w:t>
      </w:r>
    </w:p>
    <w:p>
      <w:pPr>
        <w:pStyle w:val="Point1letter"/>
        <w:widowControl w:val="0"/>
        <w:numPr>
          <w:ilvl w:val="3"/>
          <w:numId w:val="96"/>
        </w:numPr>
        <w:adjustRightInd w:val="0"/>
        <w:textAlignment w:val="baseline"/>
        <w:rPr>
          <w:noProof/>
        </w:rPr>
      </w:pPr>
      <w:r>
        <w:rPr>
          <w:noProof/>
        </w:rPr>
        <w:t>[an individual file is created or updated in the EES in accordance with Article 14 of the EES Regulation];</w:t>
      </w:r>
    </w:p>
    <w:p>
      <w:pPr>
        <w:pStyle w:val="Point1letter"/>
        <w:widowControl w:val="0"/>
        <w:numPr>
          <w:ilvl w:val="3"/>
          <w:numId w:val="96"/>
        </w:numPr>
        <w:adjustRightInd w:val="0"/>
        <w:textAlignment w:val="baseline"/>
        <w:rPr>
          <w:noProof/>
        </w:rPr>
      </w:pPr>
      <w:r>
        <w:rPr>
          <w:noProof/>
        </w:rPr>
        <w:t>an application file is created or updated in the VIS in accordance with Article 8 of Regulation (EC) No 767/2008;</w:t>
      </w:r>
    </w:p>
    <w:p>
      <w:pPr>
        <w:pStyle w:val="Point1letter"/>
        <w:widowControl w:val="0"/>
        <w:numPr>
          <w:ilvl w:val="3"/>
          <w:numId w:val="96"/>
        </w:numPr>
        <w:adjustRightInd w:val="0"/>
        <w:textAlignment w:val="baseline"/>
        <w:rPr>
          <w:noProof/>
        </w:rPr>
      </w:pPr>
      <w:r>
        <w:rPr>
          <w:noProof/>
        </w:rPr>
        <w:t>[an application file is created or updated in the ETIAS in accordance with Article 17 of the ETIAS Regulation;]</w:t>
      </w:r>
    </w:p>
    <w:p>
      <w:pPr>
        <w:pStyle w:val="Point1letter"/>
        <w:widowControl w:val="0"/>
        <w:numPr>
          <w:ilvl w:val="3"/>
          <w:numId w:val="96"/>
        </w:numPr>
        <w:adjustRightInd w:val="0"/>
        <w:textAlignment w:val="baseline"/>
        <w:rPr>
          <w:noProof/>
        </w:rPr>
      </w:pPr>
      <w:r>
        <w:rPr>
          <w:noProof/>
        </w:rPr>
        <w:t>– (not applicable);</w:t>
      </w:r>
    </w:p>
    <w:p>
      <w:pPr>
        <w:pStyle w:val="Point1letter"/>
        <w:widowControl w:val="0"/>
        <w:numPr>
          <w:ilvl w:val="3"/>
          <w:numId w:val="96"/>
        </w:numPr>
        <w:adjustRightInd w:val="0"/>
        <w:textAlignment w:val="baseline"/>
        <w:rPr>
          <w:b/>
          <w:noProof/>
        </w:rPr>
      </w:pPr>
      <w:r>
        <w:rPr>
          <w:noProof/>
        </w:rPr>
        <w:t>– (not applicable).</w:t>
      </w:r>
    </w:p>
    <w:p>
      <w:pPr>
        <w:pStyle w:val="Titrearticle"/>
        <w:rPr>
          <w:noProof/>
        </w:rPr>
      </w:pPr>
      <w:r>
        <w:rPr>
          <w:noProof/>
        </w:rPr>
        <w:t>Article 47</w:t>
      </w:r>
      <w:r>
        <w:rPr>
          <w:noProof/>
        </w:rPr>
        <w:br/>
        <w:t>Right of access, correction and erasure</w:t>
      </w:r>
    </w:p>
    <w:p>
      <w:pPr>
        <w:pStyle w:val="ManualNumPar1"/>
        <w:rPr>
          <w:noProof/>
        </w:rPr>
      </w:pPr>
      <w:r>
        <w:t>1.</w:t>
      </w:r>
      <w:r>
        <w:tab/>
      </w:r>
      <w:r>
        <w:rPr>
          <w:noProof/>
        </w:rPr>
        <w:t>In order to exercise their rights under Articles 13, 14, 15 and 16 of Regulation (EC) 45/2001 and Articles 15, 16, 17 and 18 of Regulation (EU) 2016/679, any person shall have the right to address him or herself to the Member State responsible for the manual verification of different identities or of any Member State, who shall examine and reply to the request.</w:t>
      </w:r>
      <w:bookmarkStart w:id="139" w:name="_DV_C1412"/>
    </w:p>
    <w:p>
      <w:pPr>
        <w:pStyle w:val="ManualNumPar1"/>
        <w:rPr>
          <w:noProof/>
        </w:rPr>
      </w:pPr>
      <w:r>
        <w:t>2.</w:t>
      </w:r>
      <w:r>
        <w:tab/>
      </w:r>
      <w:r>
        <w:rPr>
          <w:noProof/>
        </w:rPr>
        <w:t>The Member State responsible for the manual verification of different identities as referred to in Article 29 or the Member State to which the request has been made shall reply to such requests within 45 days of receipt of the request.</w:t>
      </w:r>
      <w:bookmarkEnd w:id="139"/>
    </w:p>
    <w:p>
      <w:pPr>
        <w:pStyle w:val="ManualNumPar1"/>
        <w:rPr>
          <w:noProof/>
        </w:rPr>
      </w:pPr>
      <w:r>
        <w:lastRenderedPageBreak/>
        <w:t>3.</w:t>
      </w:r>
      <w:r>
        <w:tab/>
      </w:r>
      <w:r>
        <w:rPr>
          <w:noProof/>
        </w:rPr>
        <w:t xml:space="preserve">If a request for </w:t>
      </w:r>
      <w:bookmarkStart w:id="140" w:name="_DV_C1414"/>
      <w:r>
        <w:rPr>
          <w:noProof/>
        </w:rPr>
        <w:t xml:space="preserve">correction or erasure of personal data </w:t>
      </w:r>
      <w:bookmarkStart w:id="141" w:name="_DV_M1132"/>
      <w:bookmarkEnd w:id="140"/>
      <w:bookmarkEnd w:id="141"/>
      <w:r>
        <w:rPr>
          <w:noProof/>
        </w:rPr>
        <w:t xml:space="preserve">is made to a Member State other than the Member State responsible, the Member State to which the request has been made shall contact the authorities of the Member State responsible within </w:t>
      </w:r>
      <w:bookmarkStart w:id="142" w:name="_DV_C1418"/>
      <w:r>
        <w:rPr>
          <w:noProof/>
        </w:rPr>
        <w:t>seven</w:t>
      </w:r>
      <w:bookmarkStart w:id="143" w:name="_DV_M1134"/>
      <w:bookmarkEnd w:id="142"/>
      <w:bookmarkEnd w:id="143"/>
      <w:r>
        <w:rPr>
          <w:noProof/>
        </w:rPr>
        <w:t xml:space="preserve"> days and the Member State responsible shall check the accuracy of the data and the lawfulness of the data processing within 30 days of such contact.</w:t>
      </w:r>
    </w:p>
    <w:p>
      <w:pPr>
        <w:pStyle w:val="ManualNumPar1"/>
        <w:rPr>
          <w:noProof/>
        </w:rPr>
      </w:pPr>
      <w:r>
        <w:t>4.</w:t>
      </w:r>
      <w:r>
        <w:tab/>
      </w:r>
      <w:r>
        <w:rPr>
          <w:noProof/>
        </w:rPr>
        <w:t>Where, following an examination, it is found that the data stored in the multiple-identity detector (MID) are factually inaccurate or have been recorded unlawfully, the Member State responsible or, where applicable, the Member State to which the request has been made shall correct or delete these data.</w:t>
      </w:r>
    </w:p>
    <w:p>
      <w:pPr>
        <w:pStyle w:val="ManualNumPar1"/>
        <w:rPr>
          <w:noProof/>
        </w:rPr>
      </w:pPr>
      <w:r>
        <w:t>5.</w:t>
      </w:r>
      <w:r>
        <w:tab/>
      </w:r>
      <w:r>
        <w:rPr>
          <w:noProof/>
        </w:rPr>
        <w:t>Where data in the MID is amended by the responsible Member State during its validity period, the responsible Member State shall carry out the processing laid down in Article 27 and, where relevant, Article 29 to determine whether the amended data shall be linked. Where the processing does not report any hit, the responsible Member State or, where applicable, the Member State to which the request has been made shall delete the data from the identity confirmation file. Where the automated processing reports one or several hit(s), the responsible Member State shall create or update the relevant link in accordance with the relevant provisions of this Regulation.</w:t>
      </w:r>
    </w:p>
    <w:p>
      <w:pPr>
        <w:pStyle w:val="ManualNumPar1"/>
        <w:rPr>
          <w:noProof/>
        </w:rPr>
      </w:pPr>
      <w:r>
        <w:t>6.</w:t>
      </w:r>
      <w:r>
        <w:tab/>
      </w:r>
      <w:r>
        <w:rPr>
          <w:noProof/>
        </w:rPr>
        <w:t>Where the responsible Member State or, where applicable, the Member State to which the request has been made does not agree that data stored in the MID are factually inaccurate or have been recorded unlawfully, that Member State shall adopt an administrative decision explaining in writing to the person concerned without delay why it is not prepared to correct or delete data relating to him or her.</w:t>
      </w:r>
    </w:p>
    <w:p>
      <w:pPr>
        <w:pStyle w:val="ManualNumPar1"/>
        <w:rPr>
          <w:noProof/>
        </w:rPr>
      </w:pPr>
      <w:r>
        <w:t>7.</w:t>
      </w:r>
      <w:r>
        <w:tab/>
      </w:r>
      <w:r>
        <w:rPr>
          <w:noProof/>
        </w:rPr>
        <w:t>This decision shall also provide the person concerned with information explaining the possibility to challenge the decision taken in respect of the request referred in paragraph 3 and, where relevant, information on how to bring an action or a complaint before the competent authorities or courts, and any assistance, including from the competent national supervisory authorities.</w:t>
      </w:r>
    </w:p>
    <w:p>
      <w:pPr>
        <w:pStyle w:val="ManualNumPar1"/>
        <w:rPr>
          <w:noProof/>
        </w:rPr>
      </w:pPr>
      <w:r>
        <w:t>8.</w:t>
      </w:r>
      <w:r>
        <w:tab/>
      </w:r>
      <w:r>
        <w:rPr>
          <w:noProof/>
        </w:rPr>
        <w:t xml:space="preserve">Any request made pursuant to paragraph 3 shall contain the necessary information to identify the person concerned. That information shall be used exclusively to enable the exercise of the rights referred to in paragraph 3 and shall be erased immediately afterwards. </w:t>
      </w:r>
    </w:p>
    <w:p>
      <w:pPr>
        <w:pStyle w:val="ManualNumPar1"/>
        <w:rPr>
          <w:noProof/>
        </w:rPr>
      </w:pPr>
      <w:r>
        <w:t>9.</w:t>
      </w:r>
      <w:r>
        <w:tab/>
      </w:r>
      <w:r>
        <w:rPr>
          <w:noProof/>
        </w:rPr>
        <w:t>The responsible Member State or, where applicable, the Member State to which the request has been made shall keep a record in the form of a written document that a request referred to in paragraph 3 was made and how it was addressed, and shall make that document available to competent data protection national supervisory authorities without delay.</w:t>
      </w:r>
    </w:p>
    <w:p>
      <w:pPr>
        <w:pStyle w:val="Titrearticle"/>
        <w:rPr>
          <w:noProof/>
        </w:rPr>
      </w:pPr>
      <w:r>
        <w:rPr>
          <w:noProof/>
        </w:rPr>
        <w:t>Article 48</w:t>
      </w:r>
      <w:r>
        <w:rPr>
          <w:noProof/>
        </w:rPr>
        <w:br/>
        <w:t>Communication of personal data to third countries, international organisations and private parties</w:t>
      </w:r>
    </w:p>
    <w:p>
      <w:pPr>
        <w:rPr>
          <w:noProof/>
        </w:rPr>
      </w:pPr>
      <w:r>
        <w:rPr>
          <w:noProof/>
        </w:rPr>
        <w:t>Personal data stored in or accessed by the interoperability components shall not be transferred or made available to any third country, to any international organisation or to any private party, with the exception of transfers to Interpol for the purpose of carrying out the automated processing referred to in [Article 18(2)(b) and (m) of the ETIAS Regulation] or for the purposes of Article 8(2) of Regulation (EU) 2016/399. Such transfers of personal data to Interpol shall be compliant with the provisions of Article 9 of Regulation (EC) No 45/2001 and Chapter V of Regulation (EU) 2016/679.</w:t>
      </w:r>
    </w:p>
    <w:p>
      <w:pPr>
        <w:pStyle w:val="Titrearticle"/>
        <w:rPr>
          <w:noProof/>
        </w:rPr>
      </w:pPr>
      <w:r>
        <w:rPr>
          <w:noProof/>
        </w:rPr>
        <w:lastRenderedPageBreak/>
        <w:t>Article 49</w:t>
      </w:r>
      <w:r>
        <w:rPr>
          <w:noProof/>
        </w:rPr>
        <w:br/>
        <w:t>Supervision by the national supervisory authority</w:t>
      </w:r>
    </w:p>
    <w:p>
      <w:pPr>
        <w:pStyle w:val="ManualNumPar1"/>
        <w:rPr>
          <w:noProof/>
        </w:rPr>
      </w:pPr>
      <w:r>
        <w:t>1.</w:t>
      </w:r>
      <w:r>
        <w:tab/>
      </w:r>
      <w:r>
        <w:rPr>
          <w:noProof/>
        </w:rPr>
        <w:t>The supervisory authority or authorities designated pursuant to Article 49 of Regulation (EU) 2016/679 shall ensure that an audit of the data processing operations by the responsible national authorities is carried out in accordance with relevant international auditing standards at least every four years.</w:t>
      </w:r>
    </w:p>
    <w:p>
      <w:pPr>
        <w:pStyle w:val="ManualNumPar1"/>
        <w:rPr>
          <w:noProof/>
        </w:rPr>
      </w:pPr>
      <w:r>
        <w:t>2.</w:t>
      </w:r>
      <w:r>
        <w:tab/>
      </w:r>
      <w:r>
        <w:rPr>
          <w:noProof/>
        </w:rPr>
        <w:t>Member States shall ensure that their supervisory authority has sufficient resources to fulfil the tasks entrusted to it under this Regulation.</w:t>
      </w:r>
    </w:p>
    <w:p>
      <w:pPr>
        <w:pStyle w:val="Titrearticle"/>
        <w:rPr>
          <w:noProof/>
        </w:rPr>
      </w:pPr>
      <w:r>
        <w:rPr>
          <w:noProof/>
        </w:rPr>
        <w:t>Article 50</w:t>
      </w:r>
      <w:r>
        <w:rPr>
          <w:noProof/>
        </w:rPr>
        <w:br/>
        <w:t>Supervision by the European Data Protection Supervisor</w:t>
      </w:r>
    </w:p>
    <w:p>
      <w:pPr>
        <w:pStyle w:val="Text1"/>
        <w:ind w:left="0"/>
        <w:rPr>
          <w:noProof/>
        </w:rPr>
      </w:pPr>
      <w:r>
        <w:rPr>
          <w:noProof/>
        </w:rPr>
        <w:t>The European Data Protection Supervisor shall ensure that an audit of eu-LISA’s personal data processing activities is carried out in accordance with relevant international auditing standards at least every four years. A report of that audit shall be sent to the European Parliament, the Council, eu-LISA, the Commission and the Member States. eu-LISA shall be given an opportunity to make comments before the reports are adopted.</w:t>
      </w:r>
    </w:p>
    <w:p>
      <w:pPr>
        <w:pStyle w:val="Titrearticle"/>
        <w:rPr>
          <w:noProof/>
        </w:rPr>
      </w:pPr>
      <w:r>
        <w:rPr>
          <w:noProof/>
        </w:rPr>
        <w:t>Article 51</w:t>
      </w:r>
      <w:r>
        <w:rPr>
          <w:noProof/>
        </w:rPr>
        <w:br/>
        <w:t>Cooperation between national supervisory authorities and the European Data Protection Supervisor</w:t>
      </w:r>
    </w:p>
    <w:p>
      <w:pPr>
        <w:pStyle w:val="ManualNumPar1"/>
        <w:rPr>
          <w:noProof/>
        </w:rPr>
      </w:pPr>
      <w:r>
        <w:t>1.</w:t>
      </w:r>
      <w:r>
        <w:tab/>
      </w:r>
      <w:r>
        <w:rPr>
          <w:noProof/>
        </w:rPr>
        <w:t>The European Data Protection Supervisor shall act in close cooperation with national supervisory authorities with respect to specific issues requiring national involvement, in particular if the European Data Protection Supervisor or a national supervisory authority finds major discrepancies between practices of Member States or finds potentially unlawful transfers using the communication channels of the interoperability components, or in the context of questions raised by one or more national supervisory authorities on the implementation and interpretation of this Regulation.</w:t>
      </w:r>
    </w:p>
    <w:p>
      <w:pPr>
        <w:pStyle w:val="ManualNumPar1"/>
        <w:rPr>
          <w:noProof/>
        </w:rPr>
      </w:pPr>
      <w:r>
        <w:t>2.</w:t>
      </w:r>
      <w:r>
        <w:tab/>
      </w:r>
      <w:r>
        <w:rPr>
          <w:noProof/>
        </w:rPr>
        <w:t>In the cases referred to in paragraph 1, coordinated supervision shall be ensured in accordance with Article 62 of Regulation (EU) XXXX/2018 [revised Regulation 45/2001].</w:t>
      </w:r>
    </w:p>
    <w:p>
      <w:pPr>
        <w:rPr>
          <w:noProof/>
        </w:rPr>
      </w:pPr>
    </w:p>
    <w:p>
      <w:pPr>
        <w:pStyle w:val="ChapterTitle"/>
        <w:rPr>
          <w:noProof/>
        </w:rPr>
      </w:pPr>
      <w:r>
        <w:rPr>
          <w:noProof/>
        </w:rPr>
        <w:t>CHAPTER VIII</w:t>
      </w:r>
      <w:r>
        <w:rPr>
          <w:noProof/>
        </w:rPr>
        <w:br/>
        <w:t>Responsibilities</w:t>
      </w:r>
    </w:p>
    <w:p>
      <w:pPr>
        <w:pStyle w:val="Titrearticle"/>
        <w:rPr>
          <w:noProof/>
        </w:rPr>
      </w:pPr>
      <w:r>
        <w:rPr>
          <w:noProof/>
        </w:rPr>
        <w:t>Article 52</w:t>
      </w:r>
      <w:r>
        <w:rPr>
          <w:noProof/>
        </w:rPr>
        <w:br/>
        <w:t>Responsibilities of eu-LISA during the design and development phase</w:t>
      </w:r>
    </w:p>
    <w:p>
      <w:pPr>
        <w:pStyle w:val="ManualNumPar1"/>
        <w:rPr>
          <w:noProof/>
        </w:rPr>
      </w:pPr>
      <w:r>
        <w:t>1.</w:t>
      </w:r>
      <w:r>
        <w:tab/>
      </w:r>
      <w:r>
        <w:rPr>
          <w:noProof/>
        </w:rPr>
        <w:t>eu-LISA shall ensure that the central infrastructures of the interoperability components are operated in accordance with this Regulation.</w:t>
      </w:r>
    </w:p>
    <w:p>
      <w:pPr>
        <w:pStyle w:val="ManualNumPar1"/>
        <w:rPr>
          <w:noProof/>
        </w:rPr>
      </w:pPr>
      <w:r>
        <w:t>2.</w:t>
      </w:r>
      <w:r>
        <w:tab/>
      </w:r>
      <w:r>
        <w:rPr>
          <w:noProof/>
        </w:rPr>
        <w:t>The interoperability components shall be hosted by eu-LISA in its technical sites and shall provide the functionalities laid down in this Regulation in accordance with the conditions of security, availability, quality and speed referred to in Article 53(1).</w:t>
      </w:r>
    </w:p>
    <w:p>
      <w:pPr>
        <w:pStyle w:val="ManualNumPar1"/>
        <w:rPr>
          <w:noProof/>
        </w:rPr>
      </w:pPr>
      <w:r>
        <w:t>3.</w:t>
      </w:r>
      <w:r>
        <w:tab/>
      </w:r>
      <w:r>
        <w:rPr>
          <w:noProof/>
        </w:rPr>
        <w:t xml:space="preserve">eu-LISA shall be responsible for the development of the interoperability components, for any adaptations required for establishing interoperability between the central systems of the EES, VIS, [ETIAS], SIS, and Eurodac, and [the ECRIS-TCN system], </w:t>
      </w:r>
      <w:r>
        <w:rPr>
          <w:noProof/>
        </w:rPr>
        <w:lastRenderedPageBreak/>
        <w:t>and the European search portal, the shared biometric matching service, the common identity repository and the multiple-identity detector.</w:t>
      </w:r>
    </w:p>
    <w:p>
      <w:pPr>
        <w:pStyle w:val="Text1"/>
        <w:rPr>
          <w:noProof/>
        </w:rPr>
      </w:pPr>
      <w:r>
        <w:rPr>
          <w:noProof/>
        </w:rPr>
        <w:t xml:space="preserve">eu-LISA shall define the design of the physical architecture of the interoperability components including their communication infrastructures and the technical specifications and their evolution as regards the central infrastructure and the secure communication infrastructure, which shall be adopted by the Management Board, subject to a favourable opinion of the Commission. eu-LISA shall also implement any necessary adaptations to the EES, [ETIAS], SIS or VIS deriving from the establishment of interoperability and provided for by this Regulation.    </w:t>
      </w:r>
    </w:p>
    <w:p>
      <w:pPr>
        <w:pStyle w:val="Text1"/>
        <w:rPr>
          <w:noProof/>
        </w:rPr>
      </w:pPr>
      <w:r>
        <w:rPr>
          <w:noProof/>
        </w:rPr>
        <w:t xml:space="preserve">eu-LISA shall develop and implement the interoperability components as soon as possible after the entry into force of this Regulation and the adoption by the Commission of the measures provided for in </w:t>
      </w:r>
      <w:r>
        <w:rPr>
          <w:noProof/>
          <w:color w:val="000000"/>
          <w:szCs w:val="24"/>
        </w:rPr>
        <w:t xml:space="preserve">Articles </w:t>
      </w:r>
      <w:r>
        <w:rPr>
          <w:noProof/>
        </w:rPr>
        <w:t>8(2), 9(7), 28(5) and (6), 37(4), 38(4), 39(5) and 44(5)</w:t>
      </w:r>
      <w:r>
        <w:rPr>
          <w:noProof/>
          <w:color w:val="000000"/>
          <w:szCs w:val="24"/>
        </w:rPr>
        <w:t>.</w:t>
      </w:r>
    </w:p>
    <w:p>
      <w:pPr>
        <w:pStyle w:val="Text1"/>
        <w:rPr>
          <w:noProof/>
        </w:rPr>
      </w:pPr>
      <w:r>
        <w:rPr>
          <w:noProof/>
        </w:rPr>
        <w:t>The development shall consist of the elaboration and implementation of the technical specifications, testing and overall project coordination.</w:t>
      </w:r>
    </w:p>
    <w:p>
      <w:pPr>
        <w:pStyle w:val="ManualNumPar1"/>
        <w:rPr>
          <w:noProof/>
        </w:rPr>
      </w:pPr>
      <w:r>
        <w:t>4.</w:t>
      </w:r>
      <w:r>
        <w:tab/>
      </w:r>
      <w:r>
        <w:rPr>
          <w:noProof/>
        </w:rPr>
        <w:t>During the design and development phase, a Programme Management Board composed of a maximum of 10 members shall be established. It shall be composed of seven members appointed by eu-LISA’s Management Board from among its members or its alternates, the Chair of the Interoperability Advisory Group referred to in Article 65, a member representing eu-LISA appointed by its Executive Director, and one member appointed by the Commission. The members appointed by eu-LISA’s Management Board shall be elected only from those Member States that are fully bound under Union law by the legislative instruments governing the development, establishment, operation and use of all the large-scale IT systems managed by eu-LISA and which will participate in the interoperability components.</w:t>
      </w:r>
    </w:p>
    <w:p>
      <w:pPr>
        <w:pStyle w:val="ManualNumPar1"/>
        <w:rPr>
          <w:noProof/>
        </w:rPr>
      </w:pPr>
      <w:r>
        <w:t>5.</w:t>
      </w:r>
      <w:r>
        <w:tab/>
      </w:r>
      <w:r>
        <w:rPr>
          <w:noProof/>
        </w:rPr>
        <w:t xml:space="preserve">The Programme Management Board shall meet </w:t>
      </w:r>
      <w:bookmarkStart w:id="144" w:name="_DV_C1194"/>
      <w:r>
        <w:rPr>
          <w:noProof/>
        </w:rPr>
        <w:t>regularly and at least three times per quarter</w:t>
      </w:r>
      <w:bookmarkStart w:id="145" w:name="_DV_M946"/>
      <w:bookmarkEnd w:id="144"/>
      <w:bookmarkEnd w:id="145"/>
      <w:r>
        <w:rPr>
          <w:noProof/>
        </w:rPr>
        <w:t>. It shall ensure the adequate management of the design and development phase of the interoperability components.</w:t>
      </w:r>
    </w:p>
    <w:p>
      <w:pPr>
        <w:pStyle w:val="Text1"/>
        <w:rPr>
          <w:noProof/>
        </w:rPr>
      </w:pPr>
      <w:r>
        <w:rPr>
          <w:noProof/>
        </w:rPr>
        <w:t>The Programme Management Board shall every month submit to the Management Board written reports on progress of the project. The Programme Management Board shall have no decision-making power nor any mandate to represent the members of eu-LISA’s Management Board.</w:t>
      </w:r>
    </w:p>
    <w:p>
      <w:pPr>
        <w:pStyle w:val="ManualNumPar1"/>
        <w:rPr>
          <w:noProof/>
        </w:rPr>
      </w:pPr>
      <w:r>
        <w:t>6.</w:t>
      </w:r>
      <w:r>
        <w:tab/>
      </w:r>
      <w:r>
        <w:rPr>
          <w:noProof/>
        </w:rPr>
        <w:t xml:space="preserve">eu-LISA’s Management Board shall establish the rules of procedure of the Programme Management Board, which shall include in particular rules on: </w:t>
      </w:r>
    </w:p>
    <w:p>
      <w:pPr>
        <w:pStyle w:val="Point1letter"/>
        <w:widowControl w:val="0"/>
        <w:numPr>
          <w:ilvl w:val="3"/>
          <w:numId w:val="84"/>
        </w:numPr>
        <w:adjustRightInd w:val="0"/>
        <w:textAlignment w:val="baseline"/>
        <w:rPr>
          <w:noProof/>
        </w:rPr>
      </w:pPr>
      <w:r>
        <w:rPr>
          <w:noProof/>
        </w:rPr>
        <w:t xml:space="preserve">chairmanship;  </w:t>
      </w:r>
    </w:p>
    <w:p>
      <w:pPr>
        <w:pStyle w:val="Point1letter"/>
        <w:widowControl w:val="0"/>
        <w:numPr>
          <w:ilvl w:val="3"/>
          <w:numId w:val="84"/>
        </w:numPr>
        <w:adjustRightInd w:val="0"/>
        <w:textAlignment w:val="baseline"/>
        <w:rPr>
          <w:noProof/>
        </w:rPr>
      </w:pPr>
      <w:r>
        <w:rPr>
          <w:noProof/>
        </w:rPr>
        <w:t>meeting venues;</w:t>
      </w:r>
    </w:p>
    <w:p>
      <w:pPr>
        <w:pStyle w:val="Point1letter"/>
        <w:widowControl w:val="0"/>
        <w:numPr>
          <w:ilvl w:val="3"/>
          <w:numId w:val="84"/>
        </w:numPr>
        <w:adjustRightInd w:val="0"/>
        <w:textAlignment w:val="baseline"/>
        <w:rPr>
          <w:noProof/>
        </w:rPr>
      </w:pPr>
      <w:r>
        <w:rPr>
          <w:noProof/>
        </w:rPr>
        <w:t>preparation of meetings;</w:t>
      </w:r>
    </w:p>
    <w:p>
      <w:pPr>
        <w:pStyle w:val="Point1letter"/>
        <w:widowControl w:val="0"/>
        <w:numPr>
          <w:ilvl w:val="3"/>
          <w:numId w:val="84"/>
        </w:numPr>
        <w:adjustRightInd w:val="0"/>
        <w:textAlignment w:val="baseline"/>
        <w:rPr>
          <w:noProof/>
        </w:rPr>
      </w:pPr>
      <w:r>
        <w:rPr>
          <w:noProof/>
        </w:rPr>
        <w:t>admission of experts to the meetings;</w:t>
      </w:r>
    </w:p>
    <w:p>
      <w:pPr>
        <w:pStyle w:val="Point1letter"/>
        <w:widowControl w:val="0"/>
        <w:numPr>
          <w:ilvl w:val="3"/>
          <w:numId w:val="84"/>
        </w:numPr>
        <w:adjustRightInd w:val="0"/>
        <w:textAlignment w:val="baseline"/>
        <w:rPr>
          <w:noProof/>
        </w:rPr>
      </w:pPr>
      <w:r>
        <w:rPr>
          <w:noProof/>
        </w:rPr>
        <w:t>communication plans ensuring full information to non-participating Members of the Management Board.</w:t>
      </w:r>
    </w:p>
    <w:p>
      <w:pPr>
        <w:pStyle w:val="Text1"/>
        <w:rPr>
          <w:noProof/>
        </w:rPr>
      </w:pPr>
      <w:r>
        <w:rPr>
          <w:noProof/>
        </w:rPr>
        <w:t xml:space="preserve">The chairmanship shall be held by </w:t>
      </w:r>
      <w:bookmarkStart w:id="146" w:name="_DV_C1196"/>
      <w:r>
        <w:rPr>
          <w:noProof/>
        </w:rPr>
        <w:t>a</w:t>
      </w:r>
      <w:bookmarkStart w:id="147" w:name="_DV_M955"/>
      <w:bookmarkEnd w:id="146"/>
      <w:bookmarkEnd w:id="147"/>
      <w:r>
        <w:rPr>
          <w:noProof/>
        </w:rPr>
        <w:t xml:space="preserve"> Member State</w:t>
      </w:r>
      <w:bookmarkStart w:id="148" w:name="_DV_C1198"/>
      <w:r>
        <w:rPr>
          <w:noProof/>
        </w:rPr>
        <w:t xml:space="preserve"> </w:t>
      </w:r>
      <w:bookmarkEnd w:id="148"/>
      <w:r>
        <w:rPr>
          <w:noProof/>
        </w:rPr>
        <w:t>that is fully bound under Union law by the legislative instruments governing the development, establishment, operation and use of all the large</w:t>
      </w:r>
      <w:r>
        <w:rPr>
          <w:noProof/>
        </w:rPr>
        <w:noBreakHyphen/>
        <w:t>scale IT systems managed by eu</w:t>
      </w:r>
      <w:r>
        <w:rPr>
          <w:noProof/>
        </w:rPr>
        <w:noBreakHyphen/>
        <w:t>LISA</w:t>
      </w:r>
      <w:bookmarkStart w:id="149" w:name="_DV_M957"/>
      <w:bookmarkEnd w:id="149"/>
      <w:r>
        <w:rPr>
          <w:noProof/>
        </w:rPr>
        <w:t>.</w:t>
      </w:r>
    </w:p>
    <w:p>
      <w:pPr>
        <w:pStyle w:val="Text1"/>
        <w:ind w:hanging="10"/>
        <w:rPr>
          <w:noProof/>
        </w:rPr>
      </w:pPr>
      <w:r>
        <w:rPr>
          <w:noProof/>
        </w:rPr>
        <w:lastRenderedPageBreak/>
        <w:t xml:space="preserve">All travel and subsistence expenses incurred by the members of the Programme Management Board shall be paid by the Agency, and Article 10 of the eu-LISA Rules of Procedure shall apply </w:t>
      </w:r>
      <w:r>
        <w:rPr>
          <w:i/>
          <w:noProof/>
        </w:rPr>
        <w:t>mutatis mutandis</w:t>
      </w:r>
      <w:r>
        <w:rPr>
          <w:noProof/>
        </w:rPr>
        <w:t>. eu</w:t>
      </w:r>
      <w:r>
        <w:rPr>
          <w:noProof/>
        </w:rPr>
        <w:noBreakHyphen/>
        <w:t>LISA shall provide the Programme Management Board with a secretariat.</w:t>
      </w:r>
    </w:p>
    <w:p>
      <w:pPr>
        <w:pStyle w:val="Text1"/>
        <w:rPr>
          <w:noProof/>
        </w:rPr>
      </w:pPr>
      <w:r>
        <w:rPr>
          <w:noProof/>
        </w:rPr>
        <w:t>The Interoperability Advisory Group referred to in Article 65 shall meet regularly until the start of operations of the interoperability components. It shall report after each meeting to the Programme Management Board. It shall provide the technical expertise to support the tasks of the Programme Management Board and shall follow up on the state of preparation of the Member States.</w:t>
      </w:r>
    </w:p>
    <w:p>
      <w:pPr>
        <w:pStyle w:val="Titrearticle"/>
        <w:rPr>
          <w:noProof/>
        </w:rPr>
      </w:pPr>
      <w:r>
        <w:rPr>
          <w:noProof/>
        </w:rPr>
        <w:t>Article 53</w:t>
      </w:r>
      <w:r>
        <w:rPr>
          <w:noProof/>
        </w:rPr>
        <w:br/>
        <w:t>Responsibilities of eu-LISA following the entry into operations</w:t>
      </w:r>
    </w:p>
    <w:p>
      <w:pPr>
        <w:pStyle w:val="ManualNumPar1"/>
        <w:rPr>
          <w:noProof/>
        </w:rPr>
      </w:pPr>
      <w:r>
        <w:t>1.</w:t>
      </w:r>
      <w:r>
        <w:tab/>
      </w:r>
      <w:r>
        <w:rPr>
          <w:noProof/>
        </w:rPr>
        <w:t>Following the entry into operations of each interoperability component, eu-LISA shall be responsible for the technical management of the central infrastructure and the national uniform interfaces. In cooperation with the Member States, it shall ensure at all times the best available technology, subject to a cost-benefit analysis. eu-LISA shall also be responsible for the technical management of the communication infrastructure referred to in Articles 6, 12, 17, 25 and 39.</w:t>
      </w:r>
    </w:p>
    <w:p>
      <w:pPr>
        <w:pStyle w:val="Text1"/>
        <w:rPr>
          <w:noProof/>
        </w:rPr>
      </w:pPr>
      <w:r>
        <w:rPr>
          <w:noProof/>
        </w:rPr>
        <w:t>Technical management of the interoperability components shall consist of all the tasks necessary to keep the interoperability components functioning 24 hours a day, 7 days a week in accordance with this Regulation, in particular the maintenance work and technical developments necessary to ensure that the components function at a satisfactory level of technical quality, in particular as regards the response time for interrogation of the central infrastructures in accordance with the technical specifications.</w:t>
      </w:r>
    </w:p>
    <w:p>
      <w:pPr>
        <w:pStyle w:val="ManualNumPar1"/>
        <w:rPr>
          <w:noProof/>
        </w:rPr>
      </w:pPr>
      <w:r>
        <w:t>2.</w:t>
      </w:r>
      <w:r>
        <w:tab/>
      </w:r>
      <w:r>
        <w:rPr>
          <w:noProof/>
        </w:rPr>
        <w:t>Without prejudice to Article 17 of the Staff Regulations of Officials of the European Union, eu-LISA shall apply appropriate rules of professional secrecy or other equivalent duties of confidentiality to its entire staff required to work with data stored in the interoperability components. This obligation shall also apply after such staff leave office or employment or after the termination of their activities.</w:t>
      </w:r>
    </w:p>
    <w:p>
      <w:pPr>
        <w:pStyle w:val="ManualNumPar1"/>
        <w:rPr>
          <w:noProof/>
        </w:rPr>
      </w:pPr>
      <w:r>
        <w:t>3.</w:t>
      </w:r>
      <w:r>
        <w:tab/>
      </w:r>
      <w:r>
        <w:rPr>
          <w:noProof/>
        </w:rPr>
        <w:t>eu-LISA shall develop and maintain a mechanism and procedures for carrying out quality checks on the data stored in the shared biometric matching service and the common identity repository in accordance with Article 37.</w:t>
      </w:r>
    </w:p>
    <w:p>
      <w:pPr>
        <w:pStyle w:val="ManualNumPar1"/>
        <w:rPr>
          <w:noProof/>
        </w:rPr>
      </w:pPr>
      <w:r>
        <w:t>4.</w:t>
      </w:r>
      <w:r>
        <w:tab/>
      </w:r>
      <w:r>
        <w:rPr>
          <w:noProof/>
        </w:rPr>
        <w:t>eu-LISA shall also perform tasks related to providing training on the technical use of the interoperability components.</w:t>
      </w:r>
    </w:p>
    <w:p>
      <w:pPr>
        <w:pStyle w:val="Titrearticle"/>
        <w:rPr>
          <w:noProof/>
        </w:rPr>
      </w:pPr>
      <w:r>
        <w:rPr>
          <w:noProof/>
        </w:rPr>
        <w:t xml:space="preserve"> Article 54</w:t>
      </w:r>
      <w:r>
        <w:rPr>
          <w:noProof/>
        </w:rPr>
        <w:br/>
        <w:t>Responsibilities of Member States</w:t>
      </w:r>
    </w:p>
    <w:p>
      <w:pPr>
        <w:pStyle w:val="ManualNumPar1"/>
        <w:rPr>
          <w:noProof/>
        </w:rPr>
      </w:pPr>
      <w:r>
        <w:t>1.</w:t>
      </w:r>
      <w:r>
        <w:tab/>
      </w:r>
      <w:r>
        <w:rPr>
          <w:noProof/>
        </w:rPr>
        <w:t>Each Member State shall be responsible for:</w:t>
      </w:r>
    </w:p>
    <w:p>
      <w:pPr>
        <w:pStyle w:val="Point1letter"/>
        <w:widowControl w:val="0"/>
        <w:numPr>
          <w:ilvl w:val="3"/>
          <w:numId w:val="85"/>
        </w:numPr>
        <w:adjustRightInd w:val="0"/>
        <w:textAlignment w:val="baseline"/>
        <w:rPr>
          <w:noProof/>
        </w:rPr>
      </w:pPr>
      <w:bookmarkStart w:id="150" w:name="_DV_M973"/>
      <w:bookmarkEnd w:id="150"/>
      <w:r>
        <w:rPr>
          <w:noProof/>
        </w:rPr>
        <w:t>the connection to the communication infrastructure of the European search portal (ESP) and the common identity repository (CIR);</w:t>
      </w:r>
    </w:p>
    <w:p>
      <w:pPr>
        <w:pStyle w:val="Point1letter"/>
        <w:widowControl w:val="0"/>
        <w:numPr>
          <w:ilvl w:val="3"/>
          <w:numId w:val="85"/>
        </w:numPr>
        <w:adjustRightInd w:val="0"/>
        <w:textAlignment w:val="baseline"/>
        <w:rPr>
          <w:noProof/>
        </w:rPr>
      </w:pPr>
      <w:r>
        <w:rPr>
          <w:noProof/>
        </w:rPr>
        <w:t xml:space="preserve">the integration of the existing national </w:t>
      </w:r>
      <w:bookmarkStart w:id="151" w:name="_DV_M974"/>
      <w:bookmarkEnd w:id="151"/>
      <w:r>
        <w:rPr>
          <w:noProof/>
        </w:rPr>
        <w:t xml:space="preserve">systems and </w:t>
      </w:r>
      <w:bookmarkStart w:id="152" w:name="_DV_C1213"/>
      <w:r>
        <w:rPr>
          <w:noProof/>
        </w:rPr>
        <w:t xml:space="preserve">infrastructures with </w:t>
      </w:r>
      <w:bookmarkStart w:id="153" w:name="_DV_M975"/>
      <w:bookmarkEnd w:id="152"/>
      <w:bookmarkEnd w:id="153"/>
      <w:r>
        <w:rPr>
          <w:noProof/>
        </w:rPr>
        <w:t>the ESP, shared biometric matching service, the CIR and the multiple-identity detector;</w:t>
      </w:r>
    </w:p>
    <w:p>
      <w:pPr>
        <w:pStyle w:val="Point1letter"/>
        <w:widowControl w:val="0"/>
        <w:numPr>
          <w:ilvl w:val="3"/>
          <w:numId w:val="85"/>
        </w:numPr>
        <w:adjustRightInd w:val="0"/>
        <w:textAlignment w:val="baseline"/>
        <w:rPr>
          <w:noProof/>
        </w:rPr>
      </w:pPr>
      <w:bookmarkStart w:id="154" w:name="_DV_M976"/>
      <w:bookmarkEnd w:id="154"/>
      <w:r>
        <w:rPr>
          <w:noProof/>
        </w:rPr>
        <w:t>the organisation, management, operation and maintenance of its existing national infrastructure and of its connection to the interoperability components;</w:t>
      </w:r>
    </w:p>
    <w:p>
      <w:pPr>
        <w:pStyle w:val="Point1letter"/>
        <w:widowControl w:val="0"/>
        <w:numPr>
          <w:ilvl w:val="3"/>
          <w:numId w:val="85"/>
        </w:numPr>
        <w:adjustRightInd w:val="0"/>
        <w:textAlignment w:val="baseline"/>
        <w:rPr>
          <w:noProof/>
        </w:rPr>
      </w:pPr>
      <w:bookmarkStart w:id="155" w:name="_DV_M978"/>
      <w:bookmarkStart w:id="156" w:name="_DV_M979"/>
      <w:bookmarkEnd w:id="155"/>
      <w:bookmarkEnd w:id="156"/>
      <w:r>
        <w:rPr>
          <w:noProof/>
        </w:rPr>
        <w:lastRenderedPageBreak/>
        <w:t>the management of, and arrangements for, access by the duly authorised staff, and by the duly empowered staff, of the competent national authorities to the ESP, the CIR and the multiple-identity detector in accordance with this Regulation and the creation and regular update of a list of those staff and their profiles;</w:t>
      </w:r>
    </w:p>
    <w:p>
      <w:pPr>
        <w:pStyle w:val="Point1letter"/>
        <w:widowControl w:val="0"/>
        <w:numPr>
          <w:ilvl w:val="3"/>
          <w:numId w:val="85"/>
        </w:numPr>
        <w:adjustRightInd w:val="0"/>
        <w:textAlignment w:val="baseline"/>
        <w:rPr>
          <w:noProof/>
        </w:rPr>
      </w:pPr>
      <w:r>
        <w:rPr>
          <w:noProof/>
        </w:rPr>
        <w:t>the adoption of the legislative measures referred to in Article 20(3) in order to access the CIR for identification purposes;</w:t>
      </w:r>
    </w:p>
    <w:p>
      <w:pPr>
        <w:pStyle w:val="Point1letter"/>
        <w:widowControl w:val="0"/>
        <w:numPr>
          <w:ilvl w:val="3"/>
          <w:numId w:val="85"/>
        </w:numPr>
        <w:adjustRightInd w:val="0"/>
        <w:textAlignment w:val="baseline"/>
        <w:rPr>
          <w:noProof/>
        </w:rPr>
      </w:pPr>
      <w:r>
        <w:rPr>
          <w:noProof/>
        </w:rPr>
        <w:t>the manual verification of different identities referred to in Article 29;</w:t>
      </w:r>
    </w:p>
    <w:p>
      <w:pPr>
        <w:pStyle w:val="Point1letter"/>
        <w:widowControl w:val="0"/>
        <w:numPr>
          <w:ilvl w:val="3"/>
          <w:numId w:val="85"/>
        </w:numPr>
        <w:adjustRightInd w:val="0"/>
        <w:textAlignment w:val="baseline"/>
        <w:rPr>
          <w:noProof/>
        </w:rPr>
      </w:pPr>
      <w:r>
        <w:rPr>
          <w:noProof/>
        </w:rPr>
        <w:t>the implementation of data quality requirements in the EU information systems and in the interoperability components;</w:t>
      </w:r>
    </w:p>
    <w:p>
      <w:pPr>
        <w:pStyle w:val="Point1letter"/>
        <w:widowControl w:val="0"/>
        <w:numPr>
          <w:ilvl w:val="3"/>
          <w:numId w:val="85"/>
        </w:numPr>
        <w:adjustRightInd w:val="0"/>
        <w:textAlignment w:val="baseline"/>
        <w:rPr>
          <w:noProof/>
        </w:rPr>
      </w:pPr>
      <w:r>
        <w:rPr>
          <w:noProof/>
        </w:rPr>
        <w:t>remedying any deficiencies identified in the Commission's evaluation report concerning data quality referred to in Article 37(5).</w:t>
      </w:r>
    </w:p>
    <w:p>
      <w:pPr>
        <w:pStyle w:val="ManualNumPar1"/>
        <w:rPr>
          <w:i/>
          <w:noProof/>
        </w:rPr>
      </w:pPr>
      <w:r>
        <w:t>2.</w:t>
      </w:r>
      <w:r>
        <w:tab/>
      </w:r>
      <w:r>
        <w:rPr>
          <w:noProof/>
        </w:rPr>
        <w:t xml:space="preserve">Each Member State </w:t>
      </w:r>
      <w:bookmarkStart w:id="157" w:name="_DV_M981"/>
      <w:bookmarkEnd w:id="157"/>
      <w:r>
        <w:rPr>
          <w:noProof/>
        </w:rPr>
        <w:t>shall connect their designated authorities referred to in Article 4(24) to the CIR.</w:t>
      </w:r>
    </w:p>
    <w:p>
      <w:pPr>
        <w:pStyle w:val="Titrearticle"/>
        <w:rPr>
          <w:noProof/>
        </w:rPr>
      </w:pPr>
      <w:r>
        <w:rPr>
          <w:noProof/>
        </w:rPr>
        <w:t>Article 55</w:t>
      </w:r>
      <w:r>
        <w:rPr>
          <w:noProof/>
        </w:rPr>
        <w:br/>
        <w:t>Responsibilities of the ETIAS Central Unit</w:t>
      </w:r>
    </w:p>
    <w:p>
      <w:pPr>
        <w:rPr>
          <w:noProof/>
        </w:rPr>
      </w:pPr>
      <w:r>
        <w:rPr>
          <w:noProof/>
        </w:rPr>
        <w:t>The ETIAS Central Unit shall be responsible for:</w:t>
      </w:r>
    </w:p>
    <w:p>
      <w:pPr>
        <w:pStyle w:val="Point1letter"/>
        <w:widowControl w:val="0"/>
        <w:numPr>
          <w:ilvl w:val="3"/>
          <w:numId w:val="86"/>
        </w:numPr>
        <w:adjustRightInd w:val="0"/>
        <w:textAlignment w:val="baseline"/>
        <w:rPr>
          <w:noProof/>
        </w:rPr>
      </w:pPr>
      <w:r>
        <w:rPr>
          <w:noProof/>
        </w:rPr>
        <w:t>the manual verification of different identities referred to in Article 29;</w:t>
      </w:r>
    </w:p>
    <w:p>
      <w:pPr>
        <w:pStyle w:val="Point1letter"/>
        <w:widowControl w:val="0"/>
        <w:numPr>
          <w:ilvl w:val="3"/>
          <w:numId w:val="86"/>
        </w:numPr>
        <w:adjustRightInd w:val="0"/>
        <w:textAlignment w:val="baseline"/>
        <w:rPr>
          <w:noProof/>
        </w:rPr>
      </w:pPr>
      <w:r>
        <w:rPr>
          <w:noProof/>
        </w:rPr>
        <w:t>carrying out a multiple-identity detection between the data stored in the VIS, Eurodac and the SIS referred to in Article 59.</w:t>
      </w:r>
    </w:p>
    <w:p>
      <w:pPr>
        <w:rPr>
          <w:noProof/>
        </w:rPr>
      </w:pPr>
    </w:p>
    <w:p>
      <w:pPr>
        <w:pStyle w:val="ChapterTitle"/>
        <w:rPr>
          <w:noProof/>
        </w:rPr>
      </w:pPr>
      <w:r>
        <w:rPr>
          <w:noProof/>
        </w:rPr>
        <w:t>CHAPTER IX</w:t>
      </w:r>
      <w:r>
        <w:rPr>
          <w:noProof/>
        </w:rPr>
        <w:br/>
        <w:t>Amendments to other Union instruments</w:t>
      </w:r>
    </w:p>
    <w:p>
      <w:pPr>
        <w:pStyle w:val="Titrearticle"/>
        <w:spacing w:before="0" w:after="0"/>
        <w:rPr>
          <w:noProof/>
        </w:rPr>
      </w:pPr>
      <w:bookmarkStart w:id="158" w:name="_DV_M516"/>
      <w:bookmarkStart w:id="159" w:name="_DV_M483"/>
      <w:bookmarkStart w:id="160" w:name="_DV_M487"/>
      <w:bookmarkStart w:id="161" w:name="_DV_M490"/>
      <w:bookmarkStart w:id="162" w:name="_DV_M492"/>
      <w:bookmarkStart w:id="163" w:name="_DV_M533"/>
      <w:bookmarkStart w:id="164" w:name="_DV_M535"/>
      <w:bookmarkStart w:id="165" w:name="_DV_M540"/>
      <w:bookmarkStart w:id="166" w:name="_DV_M1627"/>
      <w:bookmarkEnd w:id="158"/>
      <w:bookmarkEnd w:id="159"/>
      <w:bookmarkEnd w:id="160"/>
      <w:bookmarkEnd w:id="161"/>
      <w:bookmarkEnd w:id="162"/>
      <w:bookmarkEnd w:id="163"/>
      <w:bookmarkEnd w:id="164"/>
      <w:bookmarkEnd w:id="165"/>
      <w:bookmarkEnd w:id="166"/>
      <w:r>
        <w:rPr>
          <w:noProof/>
        </w:rPr>
        <w:t>Article 55a</w:t>
      </w:r>
    </w:p>
    <w:p>
      <w:pPr>
        <w:pStyle w:val="Titrearticle"/>
        <w:spacing w:before="0"/>
        <w:rPr>
          <w:noProof/>
        </w:rPr>
      </w:pPr>
      <w:r>
        <w:rPr>
          <w:noProof/>
        </w:rPr>
        <w:t>Amendments to Regulation (EU) 2016/399</w:t>
      </w:r>
    </w:p>
    <w:p>
      <w:pPr>
        <w:rPr>
          <w:noProof/>
        </w:rPr>
      </w:pPr>
      <w:r>
        <w:rPr>
          <w:noProof/>
        </w:rPr>
        <w:t>Regulation (EU) 2016/399 is amended as follows:</w:t>
      </w:r>
    </w:p>
    <w:p>
      <w:pPr>
        <w:rPr>
          <w:noProof/>
        </w:rPr>
      </w:pPr>
      <w:r>
        <w:rPr>
          <w:noProof/>
        </w:rPr>
        <w:t>In Article 8 of Regulation (EU) 2016/399, the following paragraph 4a is added:</w:t>
      </w:r>
    </w:p>
    <w:p>
      <w:pPr>
        <w:rPr>
          <w:noProof/>
        </w:rPr>
      </w:pPr>
      <w:r>
        <w:rPr>
          <w:noProof/>
        </w:rPr>
        <w:t>"4a. Where on entry or exit, the consultation of the relevant databases including the multiple-identity detector through the European search portal referred to respectively in [Article 4(36) and (33) of Regulation 2018/XX on interoperability] results in a yellow link or detects a red link, the person being checked shall be referred to the second-line check.</w:t>
      </w:r>
    </w:p>
    <w:p>
      <w:pPr>
        <w:rPr>
          <w:noProof/>
        </w:rPr>
      </w:pPr>
      <w:r>
        <w:rPr>
          <w:noProof/>
        </w:rPr>
        <w:t>The border guard at second line shall consult the multiple-identity detector together with the common identity repository referred to in [Article 4(35) of Regulation 2018/XX on interoperability] or the Schengen Information System or both to assess the differences in the linked identities and shall carry out any additional verification necessary to take a decision on the status and colour of the link as well as to take a decision on the entry or refusal of entry of the person concerned.</w:t>
      </w:r>
    </w:p>
    <w:p>
      <w:pPr>
        <w:rPr>
          <w:noProof/>
        </w:rPr>
      </w:pPr>
      <w:r>
        <w:rPr>
          <w:noProof/>
        </w:rPr>
        <w:t>In accordance with [Article 59(1) of Regulation 2018/XX], this paragraph shall apply only as from the start of operations of the multiple-identity detector."</w:t>
      </w:r>
    </w:p>
    <w:p>
      <w:pPr>
        <w:pStyle w:val="Titrearticle"/>
        <w:spacing w:before="0" w:after="0"/>
        <w:rPr>
          <w:noProof/>
        </w:rPr>
      </w:pPr>
      <w:r>
        <w:rPr>
          <w:noProof/>
        </w:rPr>
        <w:lastRenderedPageBreak/>
        <w:t>Article 55b</w:t>
      </w:r>
    </w:p>
    <w:p>
      <w:pPr>
        <w:pStyle w:val="Titrearticle"/>
        <w:spacing w:before="0"/>
        <w:rPr>
          <w:noProof/>
        </w:rPr>
      </w:pPr>
      <w:r>
        <w:rPr>
          <w:noProof/>
        </w:rPr>
        <w:t xml:space="preserve">Amendments to </w:t>
      </w:r>
      <w:r>
        <w:rPr>
          <w:bCs/>
          <w:noProof/>
        </w:rPr>
        <w:t>Regulation (EU) 2017/2226</w:t>
      </w:r>
    </w:p>
    <w:p>
      <w:pPr>
        <w:rPr>
          <w:noProof/>
        </w:rPr>
      </w:pPr>
      <w:r>
        <w:rPr>
          <w:bCs/>
          <w:noProof/>
        </w:rPr>
        <w:t>Regulation (EU) 2017/2226</w:t>
      </w:r>
      <w:r>
        <w:rPr>
          <w:noProof/>
        </w:rPr>
        <w:t xml:space="preserve"> is amended as follows:</w:t>
      </w:r>
    </w:p>
    <w:p>
      <w:pPr>
        <w:rPr>
          <w:noProof/>
        </w:rPr>
      </w:pPr>
      <w:r>
        <w:rPr>
          <w:noProof/>
        </w:rPr>
        <w:t>1)</w:t>
      </w:r>
      <w:r>
        <w:rPr>
          <w:noProof/>
        </w:rPr>
        <w:tab/>
        <w:t>In Article 1, the following paragraph is added:</w:t>
      </w:r>
    </w:p>
    <w:p>
      <w:pPr>
        <w:rPr>
          <w:noProof/>
        </w:rPr>
      </w:pPr>
      <w:r>
        <w:rPr>
          <w:noProof/>
        </w:rPr>
        <w:tab/>
        <w:t>"1a. By storing identity, travel document and biometric data in the common identity repository (CIR) established by [Article 17 of Regulation 2018/XX on interoperability], the EES contributes to facilitating and assisting in the correct identification of persons registered in the EES under the conditions and for the ultimate objectives referred to in [Article 20] of that Regulation."</w:t>
      </w:r>
    </w:p>
    <w:p>
      <w:pPr>
        <w:rPr>
          <w:noProof/>
        </w:rPr>
      </w:pPr>
      <w:r>
        <w:rPr>
          <w:noProof/>
        </w:rPr>
        <w:t>2)</w:t>
      </w:r>
      <w:r>
        <w:rPr>
          <w:noProof/>
        </w:rPr>
        <w:tab/>
        <w:t>In Article 3, the following point (21a) is added:</w:t>
      </w:r>
    </w:p>
    <w:p>
      <w:pPr>
        <w:rPr>
          <w:noProof/>
        </w:rPr>
      </w:pPr>
      <w:r>
        <w:rPr>
          <w:noProof/>
        </w:rPr>
        <w:tab/>
        <w:t>"'CIR' means the common identity repository as defined in [Article 4(35) of Regulation 2018/XX on interoperability]</w:t>
      </w:r>
    </w:p>
    <w:p>
      <w:pPr>
        <w:rPr>
          <w:noProof/>
        </w:rPr>
      </w:pPr>
      <w:r>
        <w:rPr>
          <w:noProof/>
        </w:rPr>
        <w:t>3)</w:t>
      </w:r>
      <w:r>
        <w:rPr>
          <w:noProof/>
        </w:rPr>
        <w:tab/>
        <w:t>Article 3(1)(22) shall be replaced by the following:</w:t>
      </w:r>
    </w:p>
    <w:p>
      <w:pPr>
        <w:rPr>
          <w:noProof/>
        </w:rPr>
      </w:pPr>
      <w:r>
        <w:rPr>
          <w:noProof/>
        </w:rPr>
        <w:tab/>
        <w:t>"(22) 'EES data' means all data stored in the EES Central System and in the CIR in accordance with Article 14 and Articles 16 to 20.</w:t>
      </w:r>
    </w:p>
    <w:p>
      <w:pPr>
        <w:rPr>
          <w:noProof/>
        </w:rPr>
      </w:pPr>
      <w:r>
        <w:rPr>
          <w:noProof/>
        </w:rPr>
        <w:t>4)</w:t>
      </w:r>
      <w:r>
        <w:rPr>
          <w:noProof/>
        </w:rPr>
        <w:tab/>
        <w:t>In Article 3, a new point (22a) is added:</w:t>
      </w:r>
    </w:p>
    <w:p>
      <w:pPr>
        <w:ind w:left="720"/>
        <w:rPr>
          <w:noProof/>
        </w:rPr>
      </w:pPr>
      <w:r>
        <w:rPr>
          <w:noProof/>
        </w:rPr>
        <w:t>"(22a) 'identity data' means the data referred to in Article 16(1)(a);</w:t>
      </w:r>
    </w:p>
    <w:p>
      <w:pPr>
        <w:rPr>
          <w:noProof/>
        </w:rPr>
      </w:pPr>
      <w:r>
        <w:rPr>
          <w:noProof/>
        </w:rPr>
        <w:t>5)</w:t>
      </w:r>
      <w:r>
        <w:rPr>
          <w:noProof/>
        </w:rPr>
        <w:tab/>
        <w:t>In Article 6(1), the following point is inserted:</w:t>
      </w:r>
    </w:p>
    <w:p>
      <w:pPr>
        <w:ind w:firstLine="720"/>
        <w:rPr>
          <w:noProof/>
        </w:rPr>
      </w:pPr>
      <w:r>
        <w:rPr>
          <w:noProof/>
        </w:rPr>
        <w:t>"(j) ensure the correct identification of persons."</w:t>
      </w:r>
    </w:p>
    <w:p>
      <w:pPr>
        <w:rPr>
          <w:noProof/>
        </w:rPr>
      </w:pPr>
      <w:r>
        <w:rPr>
          <w:noProof/>
        </w:rPr>
        <w:t>6)</w:t>
      </w:r>
      <w:r>
        <w:rPr>
          <w:noProof/>
        </w:rPr>
        <w:tab/>
        <w:t>Article 7(1)(a) is replaced by the following:</w:t>
      </w:r>
    </w:p>
    <w:p>
      <w:pPr>
        <w:rPr>
          <w:noProof/>
        </w:rPr>
      </w:pPr>
      <w:r>
        <w:rPr>
          <w:noProof/>
        </w:rPr>
        <w:tab/>
        <w:t>"(a) the common identity repository (CIR) as referred to in [Article 17(2)(a) of Regulation 2018/XX on interoperability];</w:t>
      </w:r>
    </w:p>
    <w:p>
      <w:pPr>
        <w:ind w:left="720"/>
        <w:rPr>
          <w:noProof/>
        </w:rPr>
      </w:pPr>
      <w:r>
        <w:rPr>
          <w:noProof/>
        </w:rPr>
        <w:t>(aa) a Central System (EES Central System);"</w:t>
      </w:r>
    </w:p>
    <w:p>
      <w:pPr>
        <w:rPr>
          <w:noProof/>
        </w:rPr>
      </w:pPr>
      <w:r>
        <w:rPr>
          <w:noProof/>
        </w:rPr>
        <w:t>7)</w:t>
      </w:r>
      <w:r>
        <w:rPr>
          <w:noProof/>
        </w:rPr>
        <w:tab/>
        <w:t>In Article 7(1), point (f) is replaced by the following:</w:t>
      </w:r>
    </w:p>
    <w:p>
      <w:pPr>
        <w:ind w:left="720"/>
        <w:rPr>
          <w:noProof/>
        </w:rPr>
      </w:pPr>
      <w:r>
        <w:rPr>
          <w:noProof/>
        </w:rPr>
        <w:t>"(f) a secure communication infrastructure between the EES Central System and the central infrastructures of the European search portal established by [Article 6 of Regulation 2018/XX on interoperability], the shared biometric matching service established by [Article 12 of Regulation 2018/XX on interoperability], the common identity repository established by [Article 17 of Regulation 2018/XX on interoperability] and the multiple-identity detector established by [Article 25 of Regulation 2018/XX on interoperability]".</w:t>
      </w:r>
    </w:p>
    <w:p>
      <w:pPr>
        <w:rPr>
          <w:noProof/>
        </w:rPr>
      </w:pPr>
      <w:r>
        <w:rPr>
          <w:noProof/>
        </w:rPr>
        <w:t>8)</w:t>
      </w:r>
      <w:r>
        <w:rPr>
          <w:noProof/>
        </w:rPr>
        <w:tab/>
        <w:t>In Article 7, the following paragraph is added:</w:t>
      </w:r>
    </w:p>
    <w:p>
      <w:pPr>
        <w:rPr>
          <w:noProof/>
        </w:rPr>
      </w:pPr>
      <w:r>
        <w:rPr>
          <w:noProof/>
        </w:rPr>
        <w:tab/>
        <w:t>"1a. The CIR shall contain the data referred to in Article 16(1)(a) to (d) and Article 17(1)(a) to (c), the remaining EES data shall be stored in the EES Central System.</w:t>
      </w:r>
    </w:p>
    <w:p>
      <w:pPr>
        <w:rPr>
          <w:noProof/>
        </w:rPr>
      </w:pPr>
      <w:r>
        <w:rPr>
          <w:noProof/>
        </w:rPr>
        <w:t>9)</w:t>
      </w:r>
      <w:r>
        <w:rPr>
          <w:noProof/>
        </w:rPr>
        <w:tab/>
        <w:t>In Article 9, the following paragraph is added:</w:t>
      </w:r>
    </w:p>
    <w:p>
      <w:pPr>
        <w:ind w:left="720"/>
        <w:rPr>
          <w:noProof/>
        </w:rPr>
      </w:pPr>
      <w:r>
        <w:rPr>
          <w:noProof/>
        </w:rPr>
        <w:t>"3. Access to consulting the EES data stored in the CIR shall be reserved exclusively for the duly authorised staff of the national authorities of each Member State and for the duly authorised staff of the EU bodies that are competent for the purposes laid down in [Article 20 and Article 21 of Regulation 2018/XX on interoperability]. That access shall be limited to the extent necessary for the performance of the tasks of those national authorities and EU bodies in accordance with those purposes and shall be proportionate to the objectives pursued."</w:t>
      </w:r>
    </w:p>
    <w:p>
      <w:pPr>
        <w:rPr>
          <w:noProof/>
        </w:rPr>
      </w:pPr>
      <w:r>
        <w:rPr>
          <w:noProof/>
        </w:rPr>
        <w:lastRenderedPageBreak/>
        <w:t>10)</w:t>
      </w:r>
      <w:r>
        <w:rPr>
          <w:noProof/>
        </w:rPr>
        <w:tab/>
        <w:t>In Article 21(1), the words "EES Central System" are replaced, both times they appear, by the words "EES Central System or the CIR".</w:t>
      </w:r>
    </w:p>
    <w:p>
      <w:pPr>
        <w:rPr>
          <w:noProof/>
        </w:rPr>
      </w:pPr>
      <w:r>
        <w:rPr>
          <w:noProof/>
        </w:rPr>
        <w:t>11)</w:t>
      </w:r>
      <w:r>
        <w:rPr>
          <w:noProof/>
        </w:rPr>
        <w:tab/>
        <w:t>In Article 21(2), the words "both the EES Central System and in the NUI" are replaced by the words "both the EES Central System and the CIR on the one hand and in the NUI on the other".</w:t>
      </w:r>
    </w:p>
    <w:p>
      <w:pPr>
        <w:rPr>
          <w:noProof/>
        </w:rPr>
      </w:pPr>
      <w:r>
        <w:rPr>
          <w:noProof/>
        </w:rPr>
        <w:t>12)</w:t>
      </w:r>
      <w:r>
        <w:rPr>
          <w:noProof/>
        </w:rPr>
        <w:tab/>
        <w:t>In Article 21(2), the words "shall be entered in the EES Central System" are replaced by the words "shall be entered in the EES Central System and the CIR".</w:t>
      </w:r>
    </w:p>
    <w:p>
      <w:pPr>
        <w:rPr>
          <w:noProof/>
        </w:rPr>
      </w:pPr>
      <w:r>
        <w:rPr>
          <w:noProof/>
        </w:rPr>
        <w:t>13)</w:t>
      </w:r>
      <w:r>
        <w:rPr>
          <w:noProof/>
        </w:rPr>
        <w:tab/>
        <w:t>A new paragraph (1a) is added to Article 32:</w:t>
      </w:r>
    </w:p>
    <w:p>
      <w:pPr>
        <w:pStyle w:val="Text1"/>
        <w:ind w:left="720"/>
        <w:rPr>
          <w:noProof/>
        </w:rPr>
      </w:pPr>
      <w:r>
        <w:rPr>
          <w:noProof/>
        </w:rPr>
        <w:t>"1a. In cases where the designated authorities launched a query to the CIR in accordance with [Article 22 of Regulation 2018/XX on interoperability], they may access EES for consultation where the reply received as referred to in paragraph 3 of [Article 22 of Regulation 2018/XX on interoperability] reveals that data is stored in the EES."</w:t>
      </w:r>
    </w:p>
    <w:p>
      <w:pPr>
        <w:rPr>
          <w:noProof/>
        </w:rPr>
      </w:pPr>
      <w:r>
        <w:rPr>
          <w:noProof/>
        </w:rPr>
        <w:t>14)</w:t>
      </w:r>
      <w:r>
        <w:rPr>
          <w:noProof/>
        </w:rPr>
        <w:tab/>
        <w:t>Article 32(2) is replaced by the following:</w:t>
      </w:r>
    </w:p>
    <w:p>
      <w:pPr>
        <w:pStyle w:val="Text1"/>
        <w:ind w:left="720" w:hanging="720"/>
        <w:rPr>
          <w:noProof/>
        </w:rPr>
      </w:pPr>
      <w:r>
        <w:rPr>
          <w:noProof/>
        </w:rPr>
        <w:tab/>
        <w:t>"2. Access to the EES as a tool for the purpose of identifying an unknown suspect, perpetrator or suspected victim of a terrorist office or otherwise serious criminal offence shall only be allowed when a query to the CIR was launched in accordance with [Article 22 of Regulation 2018/XX on interoperability] and all the conditions listed in paragraph 1 and paragraph 1a are met.</w:t>
      </w:r>
    </w:p>
    <w:p>
      <w:pPr>
        <w:pStyle w:val="Text1"/>
        <w:ind w:left="720"/>
        <w:rPr>
          <w:noProof/>
        </w:rPr>
      </w:pPr>
      <w:r>
        <w:rPr>
          <w:noProof/>
        </w:rPr>
        <w:t xml:space="preserve">However, </w:t>
      </w:r>
      <w:bookmarkStart w:id="167" w:name="_DV_C1026"/>
      <w:r>
        <w:rPr>
          <w:noProof/>
        </w:rPr>
        <w:t>this additional condition shall not apply</w:t>
      </w:r>
      <w:bookmarkStart w:id="168" w:name="_DV_M780"/>
      <w:bookmarkEnd w:id="167"/>
      <w:bookmarkEnd w:id="168"/>
      <w:r>
        <w:rPr>
          <w:noProof/>
        </w:rPr>
        <w:t xml:space="preserve"> </w:t>
      </w:r>
      <w:bookmarkStart w:id="169" w:name="_DV_C1027"/>
      <w:r>
        <w:rPr>
          <w:noProof/>
        </w:rPr>
        <w:t>in a case of urgency where there is a need to prevent an imminent danger to the life of a person associated with a terrorist offence or another serious criminal offence</w:t>
      </w:r>
      <w:bookmarkStart w:id="170" w:name="_DV_M781"/>
      <w:bookmarkEnd w:id="169"/>
      <w:bookmarkEnd w:id="170"/>
      <w:r>
        <w:rPr>
          <w:noProof/>
        </w:rPr>
        <w:t>. Those reasonable grounds shall be included in the electronic</w:t>
      </w:r>
      <w:bookmarkStart w:id="171" w:name="_DV_C1028"/>
      <w:r>
        <w:rPr>
          <w:noProof/>
        </w:rPr>
        <w:t xml:space="preserve"> or written</w:t>
      </w:r>
      <w:bookmarkStart w:id="172" w:name="_DV_M782"/>
      <w:bookmarkEnd w:id="171"/>
      <w:bookmarkEnd w:id="172"/>
      <w:r>
        <w:rPr>
          <w:noProof/>
        </w:rPr>
        <w:t xml:space="preserve"> request sent by the </w:t>
      </w:r>
      <w:bookmarkStart w:id="173" w:name="_DV_C1029"/>
      <w:r>
        <w:rPr>
          <w:noProof/>
        </w:rPr>
        <w:t xml:space="preserve">operating unit of the </w:t>
      </w:r>
      <w:bookmarkStart w:id="174" w:name="_DV_M783"/>
      <w:bookmarkEnd w:id="173"/>
      <w:bookmarkEnd w:id="174"/>
      <w:r>
        <w:rPr>
          <w:noProof/>
        </w:rPr>
        <w:t>designated authority to the central access point."</w:t>
      </w:r>
    </w:p>
    <w:p>
      <w:pPr>
        <w:pStyle w:val="Text1"/>
        <w:ind w:left="0"/>
        <w:rPr>
          <w:noProof/>
        </w:rPr>
      </w:pPr>
      <w:r>
        <w:rPr>
          <w:noProof/>
        </w:rPr>
        <w:t>15)</w:t>
      </w:r>
      <w:r>
        <w:rPr>
          <w:noProof/>
        </w:rPr>
        <w:tab/>
        <w:t>Article 32(4) is deleted.</w:t>
      </w:r>
    </w:p>
    <w:p>
      <w:pPr>
        <w:rPr>
          <w:noProof/>
        </w:rPr>
      </w:pPr>
      <w:r>
        <w:rPr>
          <w:noProof/>
        </w:rPr>
        <w:t>16)</w:t>
      </w:r>
      <w:r>
        <w:rPr>
          <w:noProof/>
        </w:rPr>
        <w:tab/>
        <w:t>A new paragraph (1a) is added to Article 33:</w:t>
      </w:r>
    </w:p>
    <w:p>
      <w:pPr>
        <w:pStyle w:val="Text1"/>
        <w:ind w:left="720"/>
        <w:rPr>
          <w:noProof/>
        </w:rPr>
      </w:pPr>
      <w:r>
        <w:rPr>
          <w:noProof/>
        </w:rPr>
        <w:t>"1a. In cases where Europol launched a query to the CIR in accordance with [Article 22 of Regulation 2018/XX on interoperability], they may access EES for consultation where the reply received as referred to in paragraph 3 of [Article 22 of Regulation 2018/XX on interoperability] reveals that data is stored in the EES."</w:t>
      </w:r>
    </w:p>
    <w:p>
      <w:pPr>
        <w:rPr>
          <w:noProof/>
        </w:rPr>
      </w:pPr>
      <w:r>
        <w:rPr>
          <w:noProof/>
        </w:rPr>
        <w:t>17)</w:t>
      </w:r>
      <w:r>
        <w:rPr>
          <w:noProof/>
        </w:rPr>
        <w:tab/>
        <w:t>In Article 33, paragraph 3 is replaced by the following:</w:t>
      </w:r>
    </w:p>
    <w:p>
      <w:pPr>
        <w:pStyle w:val="ListParagraph"/>
        <w:rPr>
          <w:noProof/>
        </w:rPr>
      </w:pPr>
      <w:r>
        <w:rPr>
          <w:noProof/>
        </w:rPr>
        <w:tab/>
        <w:t>"The conditions laid down in Article 32(</w:t>
      </w:r>
      <w:bookmarkStart w:id="175" w:name="_DV_C1079"/>
      <w:r>
        <w:rPr>
          <w:noProof/>
        </w:rPr>
        <w:t>3</w:t>
      </w:r>
      <w:bookmarkStart w:id="176" w:name="_DV_M836"/>
      <w:bookmarkEnd w:id="175"/>
      <w:bookmarkEnd w:id="176"/>
      <w:r>
        <w:rPr>
          <w:noProof/>
        </w:rPr>
        <w:t xml:space="preserve">) and (5) shall apply accordingly" </w:t>
      </w:r>
    </w:p>
    <w:p>
      <w:pPr>
        <w:rPr>
          <w:noProof/>
        </w:rPr>
      </w:pPr>
      <w:r>
        <w:rPr>
          <w:noProof/>
        </w:rPr>
        <w:t>18)</w:t>
      </w:r>
      <w:r>
        <w:rPr>
          <w:noProof/>
        </w:rPr>
        <w:tab/>
        <w:t>In Article 34(1) and (2), the words "in the EES Central System" shall be replaced by the words "in the CIR and in the EES Central System respectively".</w:t>
      </w:r>
    </w:p>
    <w:p>
      <w:pPr>
        <w:rPr>
          <w:noProof/>
        </w:rPr>
      </w:pPr>
      <w:r>
        <w:rPr>
          <w:noProof/>
        </w:rPr>
        <w:t>19)</w:t>
      </w:r>
      <w:r>
        <w:rPr>
          <w:noProof/>
        </w:rPr>
        <w:tab/>
        <w:t>In Article 34(5), the words "of the EES Central System" shall be replaced by the words "from the EES Central System and from the CIR".</w:t>
      </w:r>
    </w:p>
    <w:p>
      <w:pPr>
        <w:rPr>
          <w:noProof/>
        </w:rPr>
      </w:pPr>
      <w:r>
        <w:rPr>
          <w:noProof/>
        </w:rPr>
        <w:t>20)</w:t>
      </w:r>
      <w:r>
        <w:rPr>
          <w:noProof/>
        </w:rPr>
        <w:tab/>
        <w:t>In Article 35, paragraph 7 is replaced by the following:</w:t>
      </w:r>
    </w:p>
    <w:p>
      <w:pPr>
        <w:rPr>
          <w:noProof/>
        </w:rPr>
      </w:pPr>
      <w:r>
        <w:rPr>
          <w:noProof/>
        </w:rPr>
        <w:tab/>
        <w:t>"The EES Central System and the CIR shall immediately inform all Member States of the erasure of EES or CIR data and where applicable remove them from the list of identified persons referred to in Article 12(3)."</w:t>
      </w:r>
    </w:p>
    <w:p>
      <w:pPr>
        <w:rPr>
          <w:noProof/>
        </w:rPr>
      </w:pPr>
      <w:r>
        <w:rPr>
          <w:noProof/>
        </w:rPr>
        <w:t>21)</w:t>
      </w:r>
      <w:r>
        <w:rPr>
          <w:noProof/>
        </w:rPr>
        <w:tab/>
        <w:t>In Article 36, the words "of the EES Central System" shall be replaced by the words "of the EES Central System and the CIR".</w:t>
      </w:r>
    </w:p>
    <w:p>
      <w:pPr>
        <w:rPr>
          <w:noProof/>
        </w:rPr>
      </w:pPr>
      <w:r>
        <w:rPr>
          <w:noProof/>
        </w:rPr>
        <w:lastRenderedPageBreak/>
        <w:t>22)</w:t>
      </w:r>
      <w:r>
        <w:rPr>
          <w:noProof/>
        </w:rPr>
        <w:tab/>
        <w:t>In Article 37(1), the words "development of the EES Central System", shall be replaced by the words "development of the EES Central System and the CIR".</w:t>
      </w:r>
    </w:p>
    <w:p>
      <w:pPr>
        <w:rPr>
          <w:noProof/>
        </w:rPr>
      </w:pPr>
      <w:r>
        <w:rPr>
          <w:noProof/>
        </w:rPr>
        <w:t>23)</w:t>
      </w:r>
      <w:r>
        <w:rPr>
          <w:noProof/>
        </w:rPr>
        <w:tab/>
        <w:t>In the first subparagraph of Article 37(3), the words "the EES Central System" shall be replaced, the first and the third time they appear, by the words "the EES Central System and the CIR".</w:t>
      </w:r>
    </w:p>
    <w:p>
      <w:pPr>
        <w:rPr>
          <w:noProof/>
        </w:rPr>
      </w:pPr>
      <w:r>
        <w:rPr>
          <w:noProof/>
        </w:rPr>
        <w:t>24)</w:t>
      </w:r>
      <w:r>
        <w:rPr>
          <w:noProof/>
        </w:rPr>
        <w:tab/>
        <w:t>In Article 46(1) the following point (f) is added:</w:t>
      </w:r>
    </w:p>
    <w:p>
      <w:pPr>
        <w:rPr>
          <w:noProof/>
        </w:rPr>
      </w:pPr>
      <w:r>
        <w:rPr>
          <w:noProof/>
        </w:rPr>
        <w:tab/>
        <w:t>"(f) where relevant, a reference to the use of the European search portal to query the EES as referred to in [Article 7(2) of the Regulation 2018/XX on interoperability]."</w:t>
      </w:r>
    </w:p>
    <w:p>
      <w:pPr>
        <w:rPr>
          <w:noProof/>
        </w:rPr>
      </w:pPr>
      <w:r>
        <w:rPr>
          <w:noProof/>
        </w:rPr>
        <w:t>25)</w:t>
      </w:r>
      <w:r>
        <w:rPr>
          <w:noProof/>
        </w:rPr>
        <w:tab/>
        <w:t>Article 63(2) is replaced by the following:</w:t>
      </w:r>
    </w:p>
    <w:p>
      <w:pPr>
        <w:ind w:firstLine="720"/>
        <w:rPr>
          <w:noProof/>
        </w:rPr>
      </w:pPr>
      <w:r>
        <w:rPr>
          <w:noProof/>
        </w:rPr>
        <w:t>"2. For the purpose of paragraph 1 of this Article, eu</w:t>
      </w:r>
      <w:r>
        <w:rPr>
          <w:noProof/>
        </w:rPr>
        <w:noBreakHyphen/>
        <w:t>LISA shall store the data referred to in paragraph 1 in the central repository for reporting and statistics referred to in [Article 39 of the Regulation 2018/XX on interoperability]."</w:t>
      </w:r>
    </w:p>
    <w:p>
      <w:pPr>
        <w:rPr>
          <w:noProof/>
        </w:rPr>
      </w:pPr>
      <w:r>
        <w:rPr>
          <w:noProof/>
        </w:rPr>
        <w:t>26) In Article 63(4) a new subparagraph is added:</w:t>
      </w:r>
    </w:p>
    <w:p>
      <w:pPr>
        <w:rPr>
          <w:noProof/>
        </w:rPr>
      </w:pPr>
      <w:r>
        <w:rPr>
          <w:noProof/>
        </w:rPr>
        <w:tab/>
        <w:t>"The daily statistics shall be stored in the central repository for reporting and statistics."</w:t>
      </w:r>
    </w:p>
    <w:p>
      <w:pPr>
        <w:pStyle w:val="Titrearticle"/>
        <w:spacing w:before="0" w:after="0"/>
        <w:rPr>
          <w:noProof/>
        </w:rPr>
      </w:pPr>
      <w:r>
        <w:rPr>
          <w:noProof/>
        </w:rPr>
        <w:t>Article 55c</w:t>
      </w:r>
    </w:p>
    <w:p>
      <w:pPr>
        <w:pStyle w:val="Titrearticle"/>
        <w:spacing w:before="0"/>
        <w:rPr>
          <w:noProof/>
        </w:rPr>
      </w:pPr>
      <w:r>
        <w:rPr>
          <w:noProof/>
        </w:rPr>
        <w:t>Amendments to Council Decision 2004/512/EC</w:t>
      </w:r>
    </w:p>
    <w:p>
      <w:pPr>
        <w:rPr>
          <w:noProof/>
        </w:rPr>
      </w:pPr>
      <w:r>
        <w:rPr>
          <w:noProof/>
        </w:rPr>
        <w:t>Council Decision 2004/512/EC establishing the Visa Information System (VIS) is amended as follows:</w:t>
      </w:r>
    </w:p>
    <w:p>
      <w:pPr>
        <w:rPr>
          <w:noProof/>
        </w:rPr>
      </w:pPr>
      <w:r>
        <w:rPr>
          <w:noProof/>
        </w:rPr>
        <w:t>Article 1(2) is amended as follows:</w:t>
      </w:r>
    </w:p>
    <w:p>
      <w:pPr>
        <w:ind w:left="720"/>
        <w:rPr>
          <w:noProof/>
        </w:rPr>
      </w:pPr>
      <w:r>
        <w:rPr>
          <w:noProof/>
        </w:rPr>
        <w:t>"2. The Visa Information System shall be based on a centralised architecture and consist of:</w:t>
      </w:r>
    </w:p>
    <w:p>
      <w:pPr>
        <w:ind w:left="720"/>
        <w:rPr>
          <w:noProof/>
        </w:rPr>
      </w:pPr>
      <w:r>
        <w:rPr>
          <w:noProof/>
        </w:rPr>
        <w:t xml:space="preserve">a) the common identity repository as referred to in [Article 17(2)(a) of Regulation 2018/XX on interoperability], </w:t>
      </w:r>
    </w:p>
    <w:p>
      <w:pPr>
        <w:ind w:left="720"/>
        <w:rPr>
          <w:noProof/>
        </w:rPr>
      </w:pPr>
      <w:r>
        <w:rPr>
          <w:noProof/>
        </w:rPr>
        <w:t xml:space="preserve">b) a central information system, hereinafter referred to as ‘the Central Visa Information System’ (CS-VIS), </w:t>
      </w:r>
    </w:p>
    <w:p>
      <w:pPr>
        <w:ind w:left="720"/>
        <w:rPr>
          <w:noProof/>
        </w:rPr>
      </w:pPr>
      <w:r>
        <w:rPr>
          <w:noProof/>
        </w:rPr>
        <w:t>c) an interface in each Member State, hereinafter referred to as ‘the National Interface’ (NI-VIS) which shall provide the connection to the relevant central national authority of the respective Member State;</w:t>
      </w:r>
    </w:p>
    <w:p>
      <w:pPr>
        <w:ind w:left="720"/>
        <w:rPr>
          <w:noProof/>
        </w:rPr>
      </w:pPr>
      <w:r>
        <w:rPr>
          <w:noProof/>
        </w:rPr>
        <w:t>d) a communication infrastructure between the Central Visa Information System and the National Interfaces;</w:t>
      </w:r>
    </w:p>
    <w:p>
      <w:pPr>
        <w:ind w:left="720"/>
        <w:rPr>
          <w:noProof/>
        </w:rPr>
      </w:pPr>
      <w:r>
        <w:rPr>
          <w:noProof/>
        </w:rPr>
        <w:t>e) a Secure Communication Channel between the EES Central System and the CS-VIS;</w:t>
      </w:r>
    </w:p>
    <w:p>
      <w:pPr>
        <w:ind w:left="720"/>
        <w:rPr>
          <w:noProof/>
        </w:rPr>
      </w:pPr>
      <w:r>
        <w:rPr>
          <w:noProof/>
        </w:rPr>
        <w:t>f) a secure communication infrastructure between the VIS Central System and the central infrastructures of the European search portal established by [Article 6 of Regulation 2018/XX on interoperability], shared biometric matching service established by [Article 12 of Regulation 2018/XX on interoperability], the common identity repository and the multiple-identity detector (MID) established by [Article 25 of Regulation 2018/XX on interoperability]".</w:t>
      </w:r>
    </w:p>
    <w:p>
      <w:pPr>
        <w:pStyle w:val="Titrearticle"/>
        <w:spacing w:before="0" w:after="0"/>
        <w:rPr>
          <w:noProof/>
        </w:rPr>
      </w:pPr>
      <w:r>
        <w:rPr>
          <w:noProof/>
        </w:rPr>
        <w:t>Article 55d</w:t>
      </w:r>
    </w:p>
    <w:p>
      <w:pPr>
        <w:pStyle w:val="Titrearticle"/>
        <w:spacing w:before="0"/>
        <w:rPr>
          <w:noProof/>
        </w:rPr>
      </w:pPr>
      <w:r>
        <w:rPr>
          <w:noProof/>
        </w:rPr>
        <w:t xml:space="preserve">Amendments to Regulation </w:t>
      </w:r>
      <w:r>
        <w:rPr>
          <w:rFonts w:asciiTheme="majorBidi" w:hAnsiTheme="majorBidi" w:cstheme="majorBidi"/>
          <w:bCs/>
          <w:iCs/>
          <w:noProof/>
        </w:rPr>
        <w:t>(EC) 767/2008</w:t>
      </w:r>
    </w:p>
    <w:p>
      <w:pPr>
        <w:rPr>
          <w:noProof/>
        </w:rPr>
      </w:pPr>
      <w:r>
        <w:rPr>
          <w:noProof/>
        </w:rPr>
        <w:t>1)</w:t>
      </w:r>
      <w:r>
        <w:rPr>
          <w:noProof/>
        </w:rPr>
        <w:tab/>
        <w:t>In Article 1, the following paragraph is added:</w:t>
      </w:r>
    </w:p>
    <w:p>
      <w:pPr>
        <w:ind w:left="720"/>
        <w:rPr>
          <w:noProof/>
        </w:rPr>
      </w:pPr>
      <w:r>
        <w:rPr>
          <w:noProof/>
        </w:rPr>
        <w:lastRenderedPageBreak/>
        <w:t>"2. By storing identity, travel document and biometric data in the common identity repository (CIR) established by [Article 17 of Regulation 2018/XX on interoperability], the VIS contributes to facilitating and assisting in the correct identification of persons registered in the VIS under the conditions and for the ultimate objectives laid down in paragraph 1 of this Article."</w:t>
      </w:r>
    </w:p>
    <w:p>
      <w:pPr>
        <w:rPr>
          <w:noProof/>
        </w:rPr>
      </w:pPr>
      <w:r>
        <w:rPr>
          <w:noProof/>
        </w:rPr>
        <w:t>2)</w:t>
      </w:r>
      <w:r>
        <w:rPr>
          <w:noProof/>
        </w:rPr>
        <w:tab/>
        <w:t>In Article 4, the following points are added:</w:t>
      </w:r>
    </w:p>
    <w:p>
      <w:pPr>
        <w:ind w:left="720"/>
        <w:rPr>
          <w:noProof/>
        </w:rPr>
      </w:pPr>
      <w:r>
        <w:rPr>
          <w:noProof/>
        </w:rPr>
        <w:t>"(12) 'VIS data' means all data stored in the VIS Central System and in the CIR in accordance with Articles 9 to14.</w:t>
      </w:r>
    </w:p>
    <w:p>
      <w:pPr>
        <w:ind w:left="720"/>
        <w:rPr>
          <w:noProof/>
        </w:rPr>
      </w:pPr>
      <w:r>
        <w:rPr>
          <w:noProof/>
        </w:rPr>
        <w:t>"(13) 'identity data' means the data referred to in Article 9(4)(a) to aa);</w:t>
      </w:r>
    </w:p>
    <w:p>
      <w:pPr>
        <w:pStyle w:val="Point1"/>
        <w:rPr>
          <w:noProof/>
        </w:rPr>
      </w:pPr>
      <w:r>
        <w:rPr>
          <w:noProof/>
        </w:rPr>
        <w:t>(14)</w:t>
      </w:r>
      <w:r>
        <w:rPr>
          <w:noProof/>
        </w:rPr>
        <w:tab/>
        <w:t xml:space="preserve">‘fingerprint data’ means the data relating to the </w:t>
      </w:r>
      <w:bookmarkStart w:id="177" w:name="_DV_M260"/>
      <w:bookmarkEnd w:id="177"/>
      <w:r>
        <w:rPr>
          <w:noProof/>
        </w:rPr>
        <w:t>five fingerprints of the index, middle finger, ring finger, little finger and the thumb from the right hand</w:t>
      </w:r>
      <w:bookmarkStart w:id="178" w:name="_DV_M261"/>
      <w:bookmarkEnd w:id="178"/>
      <w:r>
        <w:rPr>
          <w:noProof/>
        </w:rPr>
        <w:t xml:space="preserve"> where present, and from the left hand;</w:t>
      </w:r>
    </w:p>
    <w:p>
      <w:pPr>
        <w:pStyle w:val="Point1"/>
        <w:rPr>
          <w:noProof/>
        </w:rPr>
      </w:pPr>
      <w:r>
        <w:rPr>
          <w:noProof/>
        </w:rPr>
        <w:t>(15)</w:t>
      </w:r>
      <w:r>
        <w:rPr>
          <w:noProof/>
        </w:rPr>
        <w:tab/>
        <w:t>‘facial image’ means digital images of the face</w:t>
      </w:r>
      <w:bookmarkStart w:id="179" w:name="_DV_M263"/>
      <w:bookmarkEnd w:id="179"/>
      <w:r>
        <w:rPr>
          <w:noProof/>
        </w:rPr>
        <w:t>;</w:t>
      </w:r>
    </w:p>
    <w:p>
      <w:pPr>
        <w:pStyle w:val="Point1"/>
        <w:rPr>
          <w:noProof/>
        </w:rPr>
      </w:pPr>
      <w:r>
        <w:rPr>
          <w:noProof/>
        </w:rPr>
        <w:t>(16)</w:t>
      </w:r>
      <w:r>
        <w:rPr>
          <w:noProof/>
        </w:rPr>
        <w:tab/>
        <w:t>‘biometric data’ means fingerprint data and facial image;"</w:t>
      </w:r>
    </w:p>
    <w:p>
      <w:pPr>
        <w:rPr>
          <w:noProof/>
        </w:rPr>
      </w:pPr>
      <w:r>
        <w:rPr>
          <w:noProof/>
        </w:rPr>
        <w:t>3)</w:t>
      </w:r>
      <w:r>
        <w:rPr>
          <w:noProof/>
        </w:rPr>
        <w:tab/>
        <w:t>In Article 5, the following paragraph is added:</w:t>
      </w:r>
    </w:p>
    <w:p>
      <w:pPr>
        <w:ind w:left="720"/>
        <w:rPr>
          <w:noProof/>
        </w:rPr>
      </w:pPr>
      <w:r>
        <w:rPr>
          <w:noProof/>
        </w:rPr>
        <w:t>"1a). The CIR shall contain the data referred to in Article 9(4)(a) to (cc), 9(5) and 9(6), the remaining VIS data shall be stored in the VIS Central System."</w:t>
      </w:r>
    </w:p>
    <w:p>
      <w:pPr>
        <w:rPr>
          <w:noProof/>
        </w:rPr>
      </w:pPr>
      <w:r>
        <w:rPr>
          <w:noProof/>
        </w:rPr>
        <w:t>4)</w:t>
      </w:r>
      <w:r>
        <w:rPr>
          <w:noProof/>
        </w:rPr>
        <w:tab/>
        <w:t>Article 6(2) is amended as follows:</w:t>
      </w:r>
    </w:p>
    <w:p>
      <w:pPr>
        <w:ind w:left="720"/>
        <w:rPr>
          <w:noProof/>
        </w:rPr>
      </w:pPr>
      <w:r>
        <w:rPr>
          <w:noProof/>
        </w:rPr>
        <w:t>"2. Access to the VIS for consulting the data shall be reserved exclusively for the duly authorised staff of the national authorities of each Member State which are competent for the purposes laid down in Article 15 to 22, and for the duly authorised staff of the national authorities of each Member State and of the EU bodies which are competent for the purposes laid down in [Article 20 and Article 21 of the Regulation 2018/XX on interoperability], limited to the extent that the data are required for the performance of their tasks in accordance with those purposes, and proportionate to the objectives pursued."</w:t>
      </w:r>
    </w:p>
    <w:p>
      <w:pPr>
        <w:rPr>
          <w:noProof/>
        </w:rPr>
      </w:pPr>
      <w:r>
        <w:rPr>
          <w:noProof/>
        </w:rPr>
        <w:t xml:space="preserve">5) </w:t>
      </w:r>
      <w:r>
        <w:rPr>
          <w:noProof/>
        </w:rPr>
        <w:tab/>
        <w:t>Article 9(4) (a) to (c) is amended as follows:</w:t>
      </w:r>
    </w:p>
    <w:p>
      <w:pPr>
        <w:pStyle w:val="Point1"/>
        <w:rPr>
          <w:noProof/>
        </w:rPr>
      </w:pPr>
      <w:r>
        <w:rPr>
          <w:noProof/>
        </w:rPr>
        <w:t>"(a)</w:t>
      </w:r>
      <w:r>
        <w:rPr>
          <w:noProof/>
        </w:rPr>
        <w:tab/>
        <w:t>surname (family name); first name or names (given names); date of birth; nationality or nationalities; sex;</w:t>
      </w:r>
    </w:p>
    <w:p>
      <w:pPr>
        <w:pStyle w:val="Point1"/>
        <w:rPr>
          <w:noProof/>
        </w:rPr>
      </w:pPr>
      <w:r>
        <w:rPr>
          <w:noProof/>
        </w:rPr>
        <w:t xml:space="preserve">(aa) surname at birth (former surname(s)); place and country of birth; nationality at birth; </w:t>
      </w:r>
    </w:p>
    <w:p>
      <w:pPr>
        <w:pStyle w:val="Point1"/>
        <w:rPr>
          <w:noProof/>
        </w:rPr>
      </w:pPr>
      <w:r>
        <w:rPr>
          <w:noProof/>
        </w:rPr>
        <w:t xml:space="preserve"> (b)</w:t>
      </w:r>
      <w:r>
        <w:rPr>
          <w:noProof/>
        </w:rPr>
        <w:tab/>
        <w:t>the type</w:t>
      </w:r>
      <w:bookmarkStart w:id="180" w:name="_DV_C706"/>
      <w:r>
        <w:rPr>
          <w:noProof/>
        </w:rPr>
        <w:t xml:space="preserve"> and</w:t>
      </w:r>
      <w:bookmarkStart w:id="181" w:name="_DV_M485"/>
      <w:bookmarkEnd w:id="180"/>
      <w:bookmarkEnd w:id="181"/>
      <w:r>
        <w:rPr>
          <w:noProof/>
        </w:rPr>
        <w:t xml:space="preserve"> number</w:t>
      </w:r>
      <w:bookmarkStart w:id="182" w:name="_DV_C707"/>
      <w:r>
        <w:rPr>
          <w:noProof/>
        </w:rPr>
        <w:t xml:space="preserve"> of the travel document or documents</w:t>
      </w:r>
      <w:bookmarkStart w:id="183" w:name="_DV_M486"/>
      <w:bookmarkEnd w:id="182"/>
      <w:bookmarkEnd w:id="183"/>
      <w:r>
        <w:rPr>
          <w:noProof/>
        </w:rPr>
        <w:t xml:space="preserve"> and the three-letter code of the issuing country of the travel document or documents;</w:t>
      </w:r>
    </w:p>
    <w:p>
      <w:pPr>
        <w:pStyle w:val="Point1"/>
        <w:rPr>
          <w:noProof/>
        </w:rPr>
      </w:pPr>
      <w:r>
        <w:rPr>
          <w:noProof/>
        </w:rPr>
        <w:t>(c)</w:t>
      </w:r>
      <w:r>
        <w:rPr>
          <w:noProof/>
        </w:rPr>
        <w:tab/>
        <w:t>the date of expiry of the validity of the travel document or documents;</w:t>
      </w:r>
      <w:bookmarkStart w:id="184" w:name="_DV_M488"/>
      <w:bookmarkEnd w:id="184"/>
    </w:p>
    <w:p>
      <w:pPr>
        <w:pStyle w:val="Point1"/>
        <w:rPr>
          <w:noProof/>
        </w:rPr>
      </w:pPr>
      <w:r>
        <w:rPr>
          <w:noProof/>
        </w:rPr>
        <w:t>(cc)</w:t>
      </w:r>
      <w:r>
        <w:rPr>
          <w:noProof/>
        </w:rPr>
        <w:tab/>
        <w:t>the authority which issued the travel document and its date of issue;</w:t>
      </w:r>
    </w:p>
    <w:p>
      <w:pPr>
        <w:pStyle w:val="Point1"/>
        <w:ind w:left="567"/>
        <w:rPr>
          <w:noProof/>
        </w:rPr>
      </w:pPr>
      <w:r>
        <w:rPr>
          <w:noProof/>
        </w:rPr>
        <w:t xml:space="preserve">6) </w:t>
      </w:r>
      <w:r>
        <w:rPr>
          <w:noProof/>
        </w:rPr>
        <w:tab/>
        <w:t>Article 9(5) is replaced by the following:</w:t>
      </w:r>
    </w:p>
    <w:p>
      <w:pPr>
        <w:pStyle w:val="Point1"/>
        <w:ind w:left="567"/>
        <w:rPr>
          <w:noProof/>
        </w:rPr>
      </w:pPr>
      <w:r>
        <w:rPr>
          <w:noProof/>
        </w:rPr>
        <w:tab/>
        <w:t>"facial image as defined in Article 4(15)".</w:t>
      </w:r>
    </w:p>
    <w:p>
      <w:pPr>
        <w:ind w:left="720" w:hanging="720"/>
        <w:rPr>
          <w:noProof/>
        </w:rPr>
      </w:pPr>
      <w:r>
        <w:rPr>
          <w:noProof/>
        </w:rPr>
        <w:t>7)</w:t>
      </w:r>
      <w:r>
        <w:rPr>
          <w:noProof/>
        </w:rPr>
        <w:tab/>
        <w:t>In Article 29(2)(a) the word "VIS" is replaced by the words "VIS or the CIR" in both instances where it appears.</w:t>
      </w:r>
    </w:p>
    <w:p>
      <w:pPr>
        <w:pStyle w:val="Titrearticle"/>
        <w:spacing w:before="0" w:after="0"/>
        <w:rPr>
          <w:noProof/>
        </w:rPr>
      </w:pPr>
      <w:r>
        <w:rPr>
          <w:noProof/>
        </w:rPr>
        <w:lastRenderedPageBreak/>
        <w:t>Article 55e</w:t>
      </w:r>
    </w:p>
    <w:p>
      <w:pPr>
        <w:pStyle w:val="Titrearticle"/>
        <w:spacing w:before="0"/>
        <w:rPr>
          <w:noProof/>
        </w:rPr>
      </w:pPr>
      <w:r>
        <w:rPr>
          <w:noProof/>
        </w:rPr>
        <w:t>Amendments to Council Decision 2008/633/JHA</w:t>
      </w:r>
    </w:p>
    <w:p>
      <w:pPr>
        <w:rPr>
          <w:noProof/>
          <w:szCs w:val="24"/>
        </w:rPr>
      </w:pPr>
      <w:r>
        <w:rPr>
          <w:noProof/>
          <w:szCs w:val="24"/>
        </w:rPr>
        <w:t xml:space="preserve">1) </w:t>
      </w:r>
      <w:r>
        <w:rPr>
          <w:noProof/>
        </w:rPr>
        <w:t>A new paragraph (1a) is added to Article 5:</w:t>
      </w:r>
    </w:p>
    <w:p>
      <w:pPr>
        <w:rPr>
          <w:noProof/>
        </w:rPr>
      </w:pPr>
      <w:r>
        <w:rPr>
          <w:noProof/>
        </w:rPr>
        <w:t>"1a. In cases where the designated authorities launched a query to the CIR in accordance with [Article 22 of Regulation 2018/XX on interoperability], they may access VIS for consultation where the reply received as referred to in paragraph 3 of [Article 22 of Regulation 2018/XX on interoperability] reveals that data is stored in the VIS."</w:t>
      </w:r>
    </w:p>
    <w:p>
      <w:pPr>
        <w:rPr>
          <w:noProof/>
          <w:szCs w:val="24"/>
        </w:rPr>
      </w:pPr>
      <w:r>
        <w:rPr>
          <w:noProof/>
        </w:rPr>
        <w:t>2) A new point (1a) is added to Article 7:</w:t>
      </w:r>
    </w:p>
    <w:p>
      <w:pPr>
        <w:pStyle w:val="Text1"/>
        <w:ind w:left="0"/>
        <w:rPr>
          <w:noProof/>
        </w:rPr>
      </w:pPr>
      <w:r>
        <w:rPr>
          <w:noProof/>
        </w:rPr>
        <w:t>"1a. In cases where Europol launched a query to the CIR in accordance with [Article 22 of Regulation 2018/XX on interoperability], they may access VIS for consultation where the reply received as referred to in paragraph 3 of [Article 22 of Regulation 2018/XX on interoperability] reveals that data is stored in the VIS."</w:t>
      </w:r>
    </w:p>
    <w:p>
      <w:pPr>
        <w:pStyle w:val="ChapterTitle"/>
        <w:rPr>
          <w:noProof/>
          <w:lang w:val="fr-BE"/>
        </w:rPr>
      </w:pPr>
      <w:r>
        <w:rPr>
          <w:noProof/>
          <w:lang w:val="fr-BE"/>
        </w:rPr>
        <w:t>CHAPTER X</w:t>
      </w:r>
      <w:r>
        <w:rPr>
          <w:noProof/>
          <w:lang w:val="fr-BE"/>
        </w:rPr>
        <w:br/>
        <w:t>Final provisions</w:t>
      </w:r>
    </w:p>
    <w:p>
      <w:pPr>
        <w:pStyle w:val="Titrearticle"/>
        <w:spacing w:before="0" w:after="0"/>
        <w:rPr>
          <w:noProof/>
          <w:lang w:val="fr-BE"/>
        </w:rPr>
      </w:pPr>
      <w:r>
        <w:rPr>
          <w:noProof/>
          <w:lang w:val="fr-BE"/>
        </w:rPr>
        <w:t>Article 56</w:t>
      </w:r>
    </w:p>
    <w:p>
      <w:pPr>
        <w:pStyle w:val="Titrearticle"/>
        <w:spacing w:before="0"/>
        <w:rPr>
          <w:noProof/>
        </w:rPr>
      </w:pPr>
      <w:r>
        <w:rPr>
          <w:noProof/>
        </w:rPr>
        <w:t>Reporting and statistics</w:t>
      </w:r>
    </w:p>
    <w:p>
      <w:pPr>
        <w:pStyle w:val="ManualNumPar1"/>
        <w:rPr>
          <w:noProof/>
        </w:rPr>
      </w:pPr>
      <w:r>
        <w:t>1.</w:t>
      </w:r>
      <w:r>
        <w:tab/>
      </w:r>
      <w:r>
        <w:rPr>
          <w:noProof/>
        </w:rPr>
        <w:t>The duly authorised staff of the competent authorities of Member States, the Commission and eu-LISA shall have access to consult the following data related to the European search portal (ESP), solely for the purposes of reporting and statistics without enabling individual identification:</w:t>
      </w:r>
    </w:p>
    <w:p>
      <w:pPr>
        <w:pStyle w:val="Point1letter"/>
        <w:widowControl w:val="0"/>
        <w:numPr>
          <w:ilvl w:val="3"/>
          <w:numId w:val="88"/>
        </w:numPr>
        <w:adjustRightInd w:val="0"/>
        <w:textAlignment w:val="baseline"/>
        <w:rPr>
          <w:noProof/>
        </w:rPr>
      </w:pPr>
      <w:bookmarkStart w:id="185" w:name="_DV_M1546"/>
      <w:bookmarkEnd w:id="185"/>
      <w:r>
        <w:rPr>
          <w:noProof/>
        </w:rPr>
        <w:t>number of queries per user of the ESP profile;</w:t>
      </w:r>
    </w:p>
    <w:p>
      <w:pPr>
        <w:pStyle w:val="Point1letter"/>
        <w:widowControl w:val="0"/>
        <w:numPr>
          <w:ilvl w:val="3"/>
          <w:numId w:val="88"/>
        </w:numPr>
        <w:adjustRightInd w:val="0"/>
        <w:textAlignment w:val="baseline"/>
        <w:rPr>
          <w:noProof/>
        </w:rPr>
      </w:pPr>
      <w:bookmarkStart w:id="186" w:name="_DV_M1548"/>
      <w:bookmarkStart w:id="187" w:name="_DV_M1549"/>
      <w:bookmarkEnd w:id="186"/>
      <w:bookmarkEnd w:id="187"/>
      <w:r>
        <w:rPr>
          <w:noProof/>
        </w:rPr>
        <w:t>number of queries to each of the Interpol databases.</w:t>
      </w:r>
    </w:p>
    <w:p>
      <w:pPr>
        <w:pStyle w:val="ManualNumPar1"/>
        <w:rPr>
          <w:noProof/>
        </w:rPr>
      </w:pPr>
      <w:r>
        <w:t>2.</w:t>
      </w:r>
      <w:r>
        <w:tab/>
      </w:r>
      <w:r>
        <w:rPr>
          <w:noProof/>
        </w:rPr>
        <w:t>The duly authorised staff of the competent authorities of Member States, the Commission and eu-LISA shall have access to consult the following data related to the common identity repository, solely for the purposes of reporting and statistics without enabling individual identification:</w:t>
      </w:r>
    </w:p>
    <w:p>
      <w:pPr>
        <w:pStyle w:val="Point1letter"/>
        <w:widowControl w:val="0"/>
        <w:numPr>
          <w:ilvl w:val="3"/>
          <w:numId w:val="87"/>
        </w:numPr>
        <w:adjustRightInd w:val="0"/>
        <w:textAlignment w:val="baseline"/>
        <w:rPr>
          <w:noProof/>
        </w:rPr>
      </w:pPr>
      <w:r>
        <w:rPr>
          <w:noProof/>
        </w:rPr>
        <w:t>number of queries for the purposes of Articles 20, 21 and 22;</w:t>
      </w:r>
      <w:r>
        <w:rPr>
          <w:noProof/>
        </w:rPr>
        <w:tab/>
      </w:r>
    </w:p>
    <w:p>
      <w:pPr>
        <w:pStyle w:val="Point1letter"/>
        <w:widowControl w:val="0"/>
        <w:numPr>
          <w:ilvl w:val="3"/>
          <w:numId w:val="87"/>
        </w:numPr>
        <w:adjustRightInd w:val="0"/>
        <w:textAlignment w:val="baseline"/>
        <w:rPr>
          <w:noProof/>
        </w:rPr>
      </w:pPr>
      <w:r>
        <w:rPr>
          <w:noProof/>
        </w:rPr>
        <w:t xml:space="preserve">nationality, sex and </w:t>
      </w:r>
      <w:bookmarkStart w:id="188" w:name="_DV_C1724"/>
      <w:r>
        <w:rPr>
          <w:noProof/>
        </w:rPr>
        <w:t>year</w:t>
      </w:r>
      <w:bookmarkStart w:id="189" w:name="_DV_M1547"/>
      <w:bookmarkEnd w:id="188"/>
      <w:bookmarkEnd w:id="189"/>
      <w:r>
        <w:rPr>
          <w:noProof/>
        </w:rPr>
        <w:t xml:space="preserve"> of birth of the person;</w:t>
      </w:r>
    </w:p>
    <w:p>
      <w:pPr>
        <w:pStyle w:val="Point1letter"/>
        <w:widowControl w:val="0"/>
        <w:numPr>
          <w:ilvl w:val="3"/>
          <w:numId w:val="87"/>
        </w:numPr>
        <w:adjustRightInd w:val="0"/>
        <w:textAlignment w:val="baseline"/>
        <w:rPr>
          <w:noProof/>
        </w:rPr>
      </w:pPr>
      <w:r>
        <w:rPr>
          <w:noProof/>
        </w:rPr>
        <w:t>the type of the travel document and the three-letter code of the issuing country;</w:t>
      </w:r>
    </w:p>
    <w:p>
      <w:pPr>
        <w:pStyle w:val="Point1letter"/>
        <w:widowControl w:val="0"/>
        <w:numPr>
          <w:ilvl w:val="3"/>
          <w:numId w:val="87"/>
        </w:numPr>
        <w:adjustRightInd w:val="0"/>
        <w:textAlignment w:val="baseline"/>
        <w:rPr>
          <w:noProof/>
        </w:rPr>
      </w:pPr>
      <w:r>
        <w:rPr>
          <w:noProof/>
        </w:rPr>
        <w:t>the number of searches conducted with and without biometric data.</w:t>
      </w:r>
    </w:p>
    <w:p>
      <w:pPr>
        <w:pStyle w:val="ManualNumPar1"/>
        <w:rPr>
          <w:noProof/>
        </w:rPr>
      </w:pPr>
      <w:r>
        <w:t>3.</w:t>
      </w:r>
      <w:r>
        <w:tab/>
      </w:r>
      <w:r>
        <w:rPr>
          <w:noProof/>
        </w:rPr>
        <w:t>The duly authorised staff of the competent authorities of Member States, the Commission and eu-LISA shall have access to consult the following data related to the multiple-identity detector, solely for the purposes of reporting and statistics without enabling individual identification:</w:t>
      </w:r>
    </w:p>
    <w:p>
      <w:pPr>
        <w:pStyle w:val="Point1letter"/>
        <w:widowControl w:val="0"/>
        <w:numPr>
          <w:ilvl w:val="3"/>
          <w:numId w:val="49"/>
        </w:numPr>
        <w:adjustRightInd w:val="0"/>
        <w:textAlignment w:val="baseline"/>
        <w:rPr>
          <w:noProof/>
        </w:rPr>
      </w:pPr>
      <w:r>
        <w:rPr>
          <w:noProof/>
        </w:rPr>
        <w:tab/>
        <w:t>nationality, sex and year of birth of the person;</w:t>
      </w:r>
    </w:p>
    <w:p>
      <w:pPr>
        <w:pStyle w:val="Point1letter"/>
        <w:widowControl w:val="0"/>
        <w:numPr>
          <w:ilvl w:val="3"/>
          <w:numId w:val="46"/>
        </w:numPr>
        <w:adjustRightInd w:val="0"/>
        <w:textAlignment w:val="baseline"/>
        <w:rPr>
          <w:noProof/>
        </w:rPr>
      </w:pPr>
      <w:r>
        <w:rPr>
          <w:noProof/>
        </w:rPr>
        <w:t>the type of the travel document and the three-letter code of the issuing country;</w:t>
      </w:r>
    </w:p>
    <w:p>
      <w:pPr>
        <w:pStyle w:val="Point1letter"/>
        <w:widowControl w:val="0"/>
        <w:numPr>
          <w:ilvl w:val="3"/>
          <w:numId w:val="46"/>
        </w:numPr>
        <w:adjustRightInd w:val="0"/>
        <w:textAlignment w:val="baseline"/>
        <w:rPr>
          <w:noProof/>
        </w:rPr>
      </w:pPr>
      <w:r>
        <w:rPr>
          <w:noProof/>
        </w:rPr>
        <w:t>the number of searches conducted with and without biometric data;</w:t>
      </w:r>
    </w:p>
    <w:p>
      <w:pPr>
        <w:pStyle w:val="Point1letter"/>
        <w:widowControl w:val="0"/>
        <w:numPr>
          <w:ilvl w:val="3"/>
          <w:numId w:val="46"/>
        </w:numPr>
        <w:adjustRightInd w:val="0"/>
        <w:textAlignment w:val="baseline"/>
        <w:rPr>
          <w:noProof/>
        </w:rPr>
      </w:pPr>
      <w:r>
        <w:rPr>
          <w:noProof/>
        </w:rPr>
        <w:t>the number of each type of link.</w:t>
      </w:r>
    </w:p>
    <w:p>
      <w:pPr>
        <w:pStyle w:val="ManualNumPar1"/>
        <w:rPr>
          <w:noProof/>
        </w:rPr>
      </w:pPr>
      <w:r>
        <w:t>4.</w:t>
      </w:r>
      <w:r>
        <w:tab/>
      </w:r>
      <w:r>
        <w:rPr>
          <w:noProof/>
        </w:rPr>
        <w:t xml:space="preserve">The duly authorised staff of the European Border and Coast Guard Agency established by Regulation (EU) 2016/1624 of the European Parliament and of the </w:t>
      </w:r>
      <w:r>
        <w:rPr>
          <w:noProof/>
        </w:rPr>
        <w:lastRenderedPageBreak/>
        <w:t>Council</w:t>
      </w:r>
      <w:r>
        <w:rPr>
          <w:rStyle w:val="FootnoteReference"/>
          <w:noProof/>
        </w:rPr>
        <w:footnoteReference w:id="76"/>
      </w:r>
      <w:r>
        <w:rPr>
          <w:noProof/>
        </w:rPr>
        <w:t xml:space="preserve"> shall have access to consult the data referred to in paragraphs 1, 2 and 3 for the purpose of carrying out risk analyses and vulnerability assessments as referred to in Articles 11 and 13 of that Regulation.</w:t>
      </w:r>
    </w:p>
    <w:p>
      <w:pPr>
        <w:pStyle w:val="ManualNumPar1"/>
        <w:rPr>
          <w:noProof/>
        </w:rPr>
      </w:pPr>
      <w:bookmarkStart w:id="190" w:name="_DV_M1559"/>
      <w:bookmarkEnd w:id="190"/>
      <w:r>
        <w:t>5.</w:t>
      </w:r>
      <w:r>
        <w:tab/>
      </w:r>
      <w:r>
        <w:rPr>
          <w:noProof/>
        </w:rPr>
        <w:t xml:space="preserve">For the purpose of paragraph 1 of this Article, eu-LISA shall store the data referred to in paragraph 1 of this Article in the central repository for reporting and statistics referred to in Chapter VII of this Regulation. The data included in the repository shall not enable the identification of individuals, but it shall allow the authorities listed in paragraph 1 of this Article to obtain customisable reports and statistics </w:t>
      </w:r>
      <w:bookmarkStart w:id="191" w:name="_DV_M1562"/>
      <w:bookmarkEnd w:id="191"/>
      <w:r>
        <w:rPr>
          <w:noProof/>
        </w:rPr>
        <w:t>to enhance the efficiency of border checks, to help authorities processing visa applications and to support evidence-based policymaking on migration and security in the Union.</w:t>
      </w:r>
    </w:p>
    <w:p>
      <w:pPr>
        <w:pStyle w:val="Titrearticle"/>
        <w:rPr>
          <w:noProof/>
        </w:rPr>
      </w:pPr>
      <w:r>
        <w:rPr>
          <w:noProof/>
        </w:rPr>
        <w:t>Article 57</w:t>
      </w:r>
      <w:r>
        <w:rPr>
          <w:noProof/>
        </w:rPr>
        <w:br/>
        <w:t>Transitional period for the use of the European search portal</w:t>
      </w:r>
    </w:p>
    <w:p>
      <w:pPr>
        <w:rPr>
          <w:noProof/>
        </w:rPr>
      </w:pPr>
      <w:r>
        <w:rPr>
          <w:noProof/>
        </w:rPr>
        <w:t>For a period of two years from the date the ESP commences operations, the obligations referred to in Article 7(2) and (4) shall not apply and the utilisation of the ESP shall be optional.</w:t>
      </w:r>
    </w:p>
    <w:p>
      <w:pPr>
        <w:pStyle w:val="Titrearticle"/>
        <w:spacing w:after="0"/>
        <w:rPr>
          <w:noProof/>
        </w:rPr>
      </w:pPr>
      <w:r>
        <w:rPr>
          <w:noProof/>
        </w:rPr>
        <w:t>Article 58</w:t>
      </w:r>
    </w:p>
    <w:p>
      <w:pPr>
        <w:pStyle w:val="Titrearticle"/>
        <w:spacing w:before="0"/>
        <w:rPr>
          <w:noProof/>
        </w:rPr>
      </w:pPr>
      <w:r>
        <w:rPr>
          <w:noProof/>
        </w:rPr>
        <w:t>Transitional period applicable to the provisions on access to the common identity repository for law enforcement purposes</w:t>
      </w:r>
    </w:p>
    <w:p>
      <w:pPr>
        <w:pStyle w:val="Text1"/>
        <w:ind w:left="0"/>
        <w:rPr>
          <w:noProof/>
        </w:rPr>
      </w:pPr>
      <w:r>
        <w:rPr>
          <w:noProof/>
        </w:rPr>
        <w:t>Article 22, points 13, 14, 15 and 16 of Article 55b and Article 55e shall apply from the date of the start of operations referred to in Article 62(1).</w:t>
      </w:r>
    </w:p>
    <w:p>
      <w:pPr>
        <w:pStyle w:val="Titrearticle"/>
        <w:rPr>
          <w:noProof/>
        </w:rPr>
      </w:pPr>
      <w:r>
        <w:rPr>
          <w:noProof/>
        </w:rPr>
        <w:t>Article 59</w:t>
      </w:r>
      <w:r>
        <w:rPr>
          <w:noProof/>
        </w:rPr>
        <w:br/>
        <w:t>Transitional period for the multiple-identity detection</w:t>
      </w:r>
    </w:p>
    <w:p>
      <w:pPr>
        <w:pStyle w:val="ManualNumPar1"/>
        <w:rPr>
          <w:noProof/>
        </w:rPr>
      </w:pPr>
      <w:r>
        <w:t>1.</w:t>
      </w:r>
      <w:r>
        <w:tab/>
      </w:r>
      <w:r>
        <w:rPr>
          <w:noProof/>
        </w:rPr>
        <w:t>For a period of one year following the notification by eu-LISA of the completion of the test referred to in Article 62(1)(b) regarding the multiple-identity detector (MID) and before the start of operations of the MID, the ETIAS Central Unit as referred to in [Article 33(a) of Regulation (EU) 2016/1624] shall be responsible for carrying out a multiple-identity detection between the data stored in the VIS, Eurodac and the SIS. The multiple-identity detections shall be carried out using only biometric data in accordance with Article 27(2) of this Regulation.</w:t>
      </w:r>
    </w:p>
    <w:p>
      <w:pPr>
        <w:pStyle w:val="ManualNumPar1"/>
        <w:rPr>
          <w:noProof/>
        </w:rPr>
      </w:pPr>
      <w:r>
        <w:t>2.</w:t>
      </w:r>
      <w:r>
        <w:tab/>
      </w:r>
      <w:r>
        <w:rPr>
          <w:noProof/>
        </w:rPr>
        <w:t>Where the query reports one or several hit(s) and the identity data of the linked files is identical or similar, a white link shall be created in accordance with Article 33.</w:t>
      </w:r>
    </w:p>
    <w:p>
      <w:pPr>
        <w:pStyle w:val="Text1"/>
        <w:rPr>
          <w:noProof/>
        </w:rPr>
      </w:pPr>
      <w:r>
        <w:rPr>
          <w:noProof/>
        </w:rPr>
        <w:t xml:space="preserve">Where the query reports one or several hit(s) and the identity data of the linked files cannot be considered as similar, a yellow link shall be created in accordance with Article 30 and the procedure referred to in Article 29 shall apply. </w:t>
      </w:r>
    </w:p>
    <w:p>
      <w:pPr>
        <w:pStyle w:val="Text1"/>
        <w:rPr>
          <w:noProof/>
        </w:rPr>
      </w:pPr>
      <w:r>
        <w:rPr>
          <w:noProof/>
        </w:rPr>
        <w:t>Where several hits are reported, a link shall be created to each piece of data triggering the hit.</w:t>
      </w:r>
    </w:p>
    <w:p>
      <w:pPr>
        <w:pStyle w:val="ManualNumPar1"/>
        <w:rPr>
          <w:noProof/>
        </w:rPr>
      </w:pPr>
      <w:r>
        <w:t>3.</w:t>
      </w:r>
      <w:r>
        <w:tab/>
      </w:r>
      <w:r>
        <w:rPr>
          <w:noProof/>
        </w:rPr>
        <w:t>Where a yellow link is created, the MID shall grant access to the identity data present in the different information systems to the ETIAS Central Unit.</w:t>
      </w:r>
    </w:p>
    <w:p>
      <w:pPr>
        <w:pStyle w:val="ManualNumPar1"/>
        <w:rPr>
          <w:noProof/>
        </w:rPr>
      </w:pPr>
      <w:r>
        <w:lastRenderedPageBreak/>
        <w:t>4.</w:t>
      </w:r>
      <w:r>
        <w:tab/>
      </w:r>
      <w:r>
        <w:rPr>
          <w:noProof/>
        </w:rPr>
        <w:t>Where a link is created to an alert in the SIS, other than a refusal of entry alert or an alert on a travel document reported lost, stolen or invalidated in accordance with Article 24 of the Regulation on SIS in the field of border checks and Article 38 of the Regulation on SIS in the field of law enforcement respectively, the MID shall grant access to the identity data present in the different information systems to the SIRENE Bureau of the Member State that created the alert.</w:t>
      </w:r>
    </w:p>
    <w:p>
      <w:pPr>
        <w:pStyle w:val="ManualNumPar1"/>
        <w:rPr>
          <w:noProof/>
        </w:rPr>
      </w:pPr>
      <w:r>
        <w:t>5.</w:t>
      </w:r>
      <w:r>
        <w:tab/>
      </w:r>
      <w:r>
        <w:rPr>
          <w:noProof/>
        </w:rPr>
        <w:t>The ETIAS Central Unit or the SIRENE Bureau of the Member State that created the alert shall have access to the data contained in the identity confirmation file and shall assess the different identities and shall update the link in accordance with Articles 31, 32 and 33 and add it to the identity confirmation file.</w:t>
      </w:r>
    </w:p>
    <w:p>
      <w:pPr>
        <w:pStyle w:val="ManualNumPar1"/>
        <w:rPr>
          <w:noProof/>
        </w:rPr>
      </w:pPr>
      <w:r>
        <w:t>6.</w:t>
      </w:r>
      <w:r>
        <w:tab/>
      </w:r>
      <w:r>
        <w:rPr>
          <w:noProof/>
        </w:rPr>
        <w:t>eu-LISA shall assist where necessary the ETIAS Central Unit in carrying out the multiple-identity detection referred to in this Article.</w:t>
      </w:r>
    </w:p>
    <w:p>
      <w:pPr>
        <w:pStyle w:val="Titrearticle"/>
        <w:rPr>
          <w:noProof/>
        </w:rPr>
      </w:pPr>
      <w:r>
        <w:rPr>
          <w:noProof/>
        </w:rPr>
        <w:t>Article 60</w:t>
      </w:r>
      <w:r>
        <w:rPr>
          <w:noProof/>
        </w:rPr>
        <w:br/>
        <w:t>Costs</w:t>
      </w:r>
    </w:p>
    <w:p>
      <w:pPr>
        <w:pStyle w:val="ManualNumPar1"/>
        <w:rPr>
          <w:noProof/>
        </w:rPr>
      </w:pPr>
      <w:r>
        <w:rPr>
          <w:noProof/>
        </w:rPr>
        <w:t>1.</w:t>
      </w:r>
      <w:r>
        <w:rPr>
          <w:noProof/>
        </w:rPr>
        <w:tab/>
        <w:t xml:space="preserve">The costs incurred in connection with the establishment and operation of the </w:t>
      </w:r>
      <w:bookmarkStart w:id="192" w:name="_DV_C1738"/>
      <w:r>
        <w:rPr>
          <w:noProof/>
        </w:rPr>
        <w:t xml:space="preserve">ESP, the shared biometric matching service, the common identity repository (CIR) and the MID </w:t>
      </w:r>
      <w:bookmarkStart w:id="193" w:name="_DV_M1575"/>
      <w:bookmarkEnd w:id="192"/>
      <w:bookmarkEnd w:id="193"/>
      <w:r>
        <w:rPr>
          <w:noProof/>
        </w:rPr>
        <w:t>shall be borne by the general budget of the Union.</w:t>
      </w:r>
    </w:p>
    <w:p>
      <w:pPr>
        <w:pStyle w:val="ManualNumPar1"/>
        <w:rPr>
          <w:noProof/>
        </w:rPr>
      </w:pPr>
      <w:bookmarkStart w:id="194" w:name="_DV_M1576"/>
      <w:bookmarkEnd w:id="194"/>
      <w:r>
        <w:rPr>
          <w:noProof/>
        </w:rPr>
        <w:t>2.</w:t>
      </w:r>
      <w:r>
        <w:rPr>
          <w:noProof/>
        </w:rPr>
        <w:tab/>
        <w:t>Costs incurred in connection with the integration of the existing national infrastructures and their connection to the national uniform interfaces as well as in connection with hosting the national uniform interfaces shall be borne by the general budget of the Union.</w:t>
      </w:r>
    </w:p>
    <w:p>
      <w:pPr>
        <w:pStyle w:val="Text1"/>
        <w:rPr>
          <w:noProof/>
        </w:rPr>
      </w:pPr>
      <w:bookmarkStart w:id="195" w:name="_DV_M1577"/>
      <w:bookmarkEnd w:id="195"/>
      <w:r>
        <w:rPr>
          <w:noProof/>
        </w:rPr>
        <w:t>The following costs shall be excluded:</w:t>
      </w:r>
    </w:p>
    <w:p>
      <w:pPr>
        <w:pStyle w:val="Point1letter"/>
        <w:widowControl w:val="0"/>
        <w:numPr>
          <w:ilvl w:val="3"/>
          <w:numId w:val="89"/>
        </w:numPr>
        <w:adjustRightInd w:val="0"/>
        <w:textAlignment w:val="baseline"/>
        <w:rPr>
          <w:noProof/>
        </w:rPr>
      </w:pPr>
      <w:bookmarkStart w:id="196" w:name="_DV_M1578"/>
      <w:bookmarkEnd w:id="196"/>
      <w:r>
        <w:rPr>
          <w:noProof/>
        </w:rPr>
        <w:t>Member States’ project management office (meetings, missions, offices);</w:t>
      </w:r>
    </w:p>
    <w:p>
      <w:pPr>
        <w:pStyle w:val="Point1letter"/>
        <w:widowControl w:val="0"/>
        <w:numPr>
          <w:ilvl w:val="3"/>
          <w:numId w:val="89"/>
        </w:numPr>
        <w:adjustRightInd w:val="0"/>
        <w:textAlignment w:val="baseline"/>
        <w:rPr>
          <w:noProof/>
        </w:rPr>
      </w:pPr>
      <w:bookmarkStart w:id="197" w:name="_DV_M1579"/>
      <w:bookmarkEnd w:id="197"/>
      <w:r>
        <w:rPr>
          <w:noProof/>
        </w:rPr>
        <w:t>hosting of national</w:t>
      </w:r>
      <w:bookmarkStart w:id="198" w:name="_DV_C1739"/>
      <w:r>
        <w:rPr>
          <w:noProof/>
        </w:rPr>
        <w:t xml:space="preserve"> IT</w:t>
      </w:r>
      <w:bookmarkStart w:id="199" w:name="_DV_M1580"/>
      <w:bookmarkEnd w:id="198"/>
      <w:bookmarkEnd w:id="199"/>
      <w:r>
        <w:rPr>
          <w:noProof/>
        </w:rPr>
        <w:t xml:space="preserve"> systems (space, implementation, electricity, cooling);</w:t>
      </w:r>
    </w:p>
    <w:p>
      <w:pPr>
        <w:pStyle w:val="Point1letter"/>
        <w:widowControl w:val="0"/>
        <w:numPr>
          <w:ilvl w:val="3"/>
          <w:numId w:val="89"/>
        </w:numPr>
        <w:adjustRightInd w:val="0"/>
        <w:textAlignment w:val="baseline"/>
        <w:rPr>
          <w:noProof/>
        </w:rPr>
      </w:pPr>
      <w:bookmarkStart w:id="200" w:name="_DV_M1581"/>
      <w:bookmarkEnd w:id="200"/>
      <w:r>
        <w:rPr>
          <w:noProof/>
        </w:rPr>
        <w:t xml:space="preserve">operation of national </w:t>
      </w:r>
      <w:bookmarkStart w:id="201" w:name="_DV_C1740"/>
      <w:r>
        <w:rPr>
          <w:noProof/>
        </w:rPr>
        <w:t xml:space="preserve">IT </w:t>
      </w:r>
      <w:bookmarkStart w:id="202" w:name="_DV_M1582"/>
      <w:bookmarkEnd w:id="201"/>
      <w:bookmarkEnd w:id="202"/>
      <w:r>
        <w:rPr>
          <w:noProof/>
        </w:rPr>
        <w:t>systems (operators and support contracts);</w:t>
      </w:r>
    </w:p>
    <w:p>
      <w:pPr>
        <w:pStyle w:val="Point1letter"/>
        <w:widowControl w:val="0"/>
        <w:numPr>
          <w:ilvl w:val="3"/>
          <w:numId w:val="89"/>
        </w:numPr>
        <w:adjustRightInd w:val="0"/>
        <w:textAlignment w:val="baseline"/>
        <w:rPr>
          <w:noProof/>
        </w:rPr>
      </w:pPr>
      <w:bookmarkStart w:id="203" w:name="_DV_M1583"/>
      <w:bookmarkStart w:id="204" w:name="_DV_M1585"/>
      <w:bookmarkStart w:id="205" w:name="_DV_M1586"/>
      <w:bookmarkEnd w:id="203"/>
      <w:bookmarkEnd w:id="204"/>
      <w:bookmarkEnd w:id="205"/>
      <w:r>
        <w:rPr>
          <w:noProof/>
        </w:rPr>
        <w:t>design, development, implementation, operation and maintenance of national communication networks.</w:t>
      </w:r>
    </w:p>
    <w:p>
      <w:pPr>
        <w:pStyle w:val="ManualNumPar1"/>
        <w:rPr>
          <w:noProof/>
        </w:rPr>
      </w:pPr>
      <w:bookmarkStart w:id="206" w:name="_DV_M1587"/>
      <w:bookmarkEnd w:id="206"/>
      <w:r>
        <w:rPr>
          <w:noProof/>
        </w:rPr>
        <w:t>3.</w:t>
      </w:r>
      <w:r>
        <w:rPr>
          <w:noProof/>
        </w:rPr>
        <w:tab/>
        <w:t xml:space="preserve">The costs incurred by the designated authorities </w:t>
      </w:r>
      <w:bookmarkStart w:id="207" w:name="_DV_C1744"/>
      <w:r>
        <w:rPr>
          <w:noProof/>
        </w:rPr>
        <w:t>referred to in Article 4(24) shall be borne, respectively, by each Member State and Europol. The</w:t>
      </w:r>
      <w:bookmarkEnd w:id="207"/>
      <w:r>
        <w:rPr>
          <w:noProof/>
        </w:rPr>
        <w:t xml:space="preserve"> costs for </w:t>
      </w:r>
      <w:bookmarkStart w:id="208" w:name="_DV_C1746"/>
      <w:r>
        <w:rPr>
          <w:noProof/>
        </w:rPr>
        <w:t>the</w:t>
      </w:r>
      <w:bookmarkStart w:id="209" w:name="_DV_M1589"/>
      <w:bookmarkEnd w:id="208"/>
      <w:bookmarkEnd w:id="209"/>
      <w:r>
        <w:rPr>
          <w:noProof/>
        </w:rPr>
        <w:t xml:space="preserve"> connection </w:t>
      </w:r>
      <w:bookmarkStart w:id="210" w:name="_DV_C1747"/>
      <w:r>
        <w:rPr>
          <w:noProof/>
        </w:rPr>
        <w:t xml:space="preserve">of the designated authorities </w:t>
      </w:r>
      <w:bookmarkStart w:id="211" w:name="_DV_M1590"/>
      <w:bookmarkEnd w:id="210"/>
      <w:bookmarkEnd w:id="211"/>
      <w:r>
        <w:rPr>
          <w:noProof/>
        </w:rPr>
        <w:t xml:space="preserve">to the </w:t>
      </w:r>
      <w:bookmarkStart w:id="212" w:name="_DV_C1748"/>
      <w:r>
        <w:rPr>
          <w:noProof/>
        </w:rPr>
        <w:t xml:space="preserve">CIR </w:t>
      </w:r>
      <w:bookmarkStart w:id="213" w:name="_DV_M1591"/>
      <w:bookmarkEnd w:id="212"/>
      <w:bookmarkEnd w:id="213"/>
      <w:r>
        <w:rPr>
          <w:noProof/>
        </w:rPr>
        <w:t>shall be borne by each Member State</w:t>
      </w:r>
      <w:bookmarkStart w:id="214" w:name="_DV_C1749"/>
      <w:r>
        <w:rPr>
          <w:noProof/>
        </w:rPr>
        <w:t xml:space="preserve"> and Europol, respectively</w:t>
      </w:r>
      <w:bookmarkStart w:id="215" w:name="_DV_M1592"/>
      <w:bookmarkEnd w:id="214"/>
      <w:bookmarkEnd w:id="215"/>
      <w:r>
        <w:rPr>
          <w:noProof/>
        </w:rPr>
        <w:t>.</w:t>
      </w:r>
    </w:p>
    <w:p>
      <w:pPr>
        <w:pStyle w:val="Titrearticle"/>
        <w:rPr>
          <w:noProof/>
        </w:rPr>
      </w:pPr>
      <w:bookmarkStart w:id="216" w:name="_DV_M1593"/>
      <w:bookmarkEnd w:id="216"/>
      <w:r>
        <w:rPr>
          <w:bCs/>
          <w:noProof/>
        </w:rPr>
        <w:t>Article 61</w:t>
      </w:r>
      <w:r>
        <w:rPr>
          <w:noProof/>
        </w:rPr>
        <w:br/>
      </w:r>
      <w:r>
        <w:rPr>
          <w:bCs/>
          <w:noProof/>
        </w:rPr>
        <w:t>Notification</w:t>
      </w:r>
      <w:r>
        <w:rPr>
          <w:noProof/>
        </w:rPr>
        <w:t>s</w:t>
      </w:r>
    </w:p>
    <w:p>
      <w:pPr>
        <w:pStyle w:val="ManualNumPar1"/>
        <w:rPr>
          <w:noProof/>
        </w:rPr>
      </w:pPr>
      <w:r>
        <w:t>1.</w:t>
      </w:r>
      <w:r>
        <w:tab/>
      </w:r>
      <w:r>
        <w:rPr>
          <w:noProof/>
        </w:rPr>
        <w:t>The Member States shall notify eu-LISA of the authorities referred to in Articles 7, 20, 21 and 26 that may use or have access to the ESP, the CIR and the MID respectively.</w:t>
      </w:r>
    </w:p>
    <w:p>
      <w:pPr>
        <w:pStyle w:val="Text1"/>
        <w:rPr>
          <w:noProof/>
        </w:rPr>
      </w:pPr>
      <w:r>
        <w:rPr>
          <w:noProof/>
        </w:rPr>
        <w:t xml:space="preserve">A consolidated list of those authorities shall be published in the </w:t>
      </w:r>
      <w:r>
        <w:rPr>
          <w:i/>
          <w:noProof/>
        </w:rPr>
        <w:t xml:space="preserve">Official Journal of the European Union </w:t>
      </w:r>
      <w:r>
        <w:rPr>
          <w:noProof/>
        </w:rPr>
        <w:t>within a period of three months from the date on which each interoperability component commenced operations in accordance with Article 62. Where there are amendments to the list, eu-LISA shall publish an updated consolidated list once a year.</w:t>
      </w:r>
    </w:p>
    <w:p>
      <w:pPr>
        <w:pStyle w:val="ManualNumPar1"/>
        <w:rPr>
          <w:noProof/>
        </w:rPr>
      </w:pPr>
      <w:r>
        <w:lastRenderedPageBreak/>
        <w:t>2.</w:t>
      </w:r>
      <w:r>
        <w:tab/>
      </w:r>
      <w:r>
        <w:rPr>
          <w:noProof/>
        </w:rPr>
        <w:t>eu-LISA shall notify the Commission of the successful completion of the test referred to in Article 62(1)(b).</w:t>
      </w:r>
    </w:p>
    <w:p>
      <w:pPr>
        <w:pStyle w:val="ManualNumPar1"/>
        <w:rPr>
          <w:noProof/>
        </w:rPr>
      </w:pPr>
      <w:r>
        <w:t>3.</w:t>
      </w:r>
      <w:r>
        <w:tab/>
      </w:r>
      <w:r>
        <w:rPr>
          <w:noProof/>
        </w:rPr>
        <w:t>The ETIAS Central Unit shall notify the Commission of the successful completion of the transitional measure laid down in Article 59.</w:t>
      </w:r>
    </w:p>
    <w:p>
      <w:pPr>
        <w:pStyle w:val="ManualNumPar1"/>
        <w:rPr>
          <w:noProof/>
        </w:rPr>
      </w:pPr>
      <w:r>
        <w:t>4.</w:t>
      </w:r>
      <w:r>
        <w:tab/>
      </w:r>
      <w:r>
        <w:rPr>
          <w:noProof/>
        </w:rPr>
        <w:t>The Commission shall make available to the Member States and the public, by a constantly updated public website, the information notified pursuant to paragraph 1.</w:t>
      </w:r>
    </w:p>
    <w:p>
      <w:pPr>
        <w:pStyle w:val="Titrearticle"/>
        <w:rPr>
          <w:bCs/>
          <w:noProof/>
        </w:rPr>
      </w:pPr>
      <w:r>
        <w:rPr>
          <w:bCs/>
          <w:noProof/>
        </w:rPr>
        <w:t xml:space="preserve">Article </w:t>
      </w:r>
      <w:r>
        <w:rPr>
          <w:noProof/>
        </w:rPr>
        <w:t>62</w:t>
      </w:r>
      <w:r>
        <w:rPr>
          <w:noProof/>
        </w:rPr>
        <w:br/>
      </w:r>
      <w:r>
        <w:rPr>
          <w:bCs/>
          <w:noProof/>
        </w:rPr>
        <w:t>Start of operations</w:t>
      </w:r>
    </w:p>
    <w:p>
      <w:pPr>
        <w:pStyle w:val="ManualNumPar1"/>
        <w:rPr>
          <w:noProof/>
        </w:rPr>
      </w:pPr>
      <w:r>
        <w:t>1.</w:t>
      </w:r>
      <w:r>
        <w:tab/>
      </w:r>
      <w:r>
        <w:rPr>
          <w:noProof/>
        </w:rPr>
        <w:t>The Commission shall decide the date from which each interoperability component is to start operations, after the following conditions are met:</w:t>
      </w:r>
    </w:p>
    <w:p>
      <w:pPr>
        <w:pStyle w:val="Point1letter"/>
        <w:widowControl w:val="0"/>
        <w:numPr>
          <w:ilvl w:val="3"/>
          <w:numId w:val="90"/>
        </w:numPr>
        <w:adjustRightInd w:val="0"/>
        <w:textAlignment w:val="baseline"/>
        <w:rPr>
          <w:noProof/>
        </w:rPr>
      </w:pPr>
      <w:bookmarkStart w:id="217" w:name="_DV_M1614"/>
      <w:bookmarkEnd w:id="217"/>
      <w:r>
        <w:rPr>
          <w:noProof/>
        </w:rPr>
        <w:t>the measures referred to in Articles 8(2), 9(7), 28(5) and (6), 37(4), 38(4), 39(5) and 44(5) have been adopted;</w:t>
      </w:r>
    </w:p>
    <w:p>
      <w:pPr>
        <w:pStyle w:val="Point1letter"/>
        <w:widowControl w:val="0"/>
        <w:numPr>
          <w:ilvl w:val="3"/>
          <w:numId w:val="90"/>
        </w:numPr>
        <w:adjustRightInd w:val="0"/>
        <w:textAlignment w:val="baseline"/>
        <w:rPr>
          <w:noProof/>
        </w:rPr>
      </w:pPr>
      <w:bookmarkStart w:id="218" w:name="_DV_M1615"/>
      <w:bookmarkEnd w:id="218"/>
      <w:r>
        <w:rPr>
          <w:noProof/>
        </w:rPr>
        <w:t>eu</w:t>
      </w:r>
      <w:r>
        <w:rPr>
          <w:noProof/>
        </w:rPr>
        <w:noBreakHyphen/>
        <w:t>LISA has declared the successful completion of a comprehensive test of the relevant interoperability component, which is to be conducted by eu</w:t>
      </w:r>
      <w:r>
        <w:rPr>
          <w:noProof/>
        </w:rPr>
        <w:noBreakHyphen/>
        <w:t>LISA in cooperation with the Member States;</w:t>
      </w:r>
    </w:p>
    <w:p>
      <w:pPr>
        <w:pStyle w:val="Point1letter"/>
        <w:widowControl w:val="0"/>
        <w:numPr>
          <w:ilvl w:val="3"/>
          <w:numId w:val="90"/>
        </w:numPr>
        <w:adjustRightInd w:val="0"/>
        <w:textAlignment w:val="baseline"/>
        <w:rPr>
          <w:noProof/>
        </w:rPr>
      </w:pPr>
      <w:bookmarkStart w:id="219" w:name="_DV_M1616"/>
      <w:bookmarkEnd w:id="219"/>
      <w:r>
        <w:rPr>
          <w:noProof/>
        </w:rPr>
        <w:t>eu-LISA has validated the technical and legal arrangements to collect and transmit the data referred to in Articles 8(1), 13, 19, 34 and 39 and have notified them to the Commission;</w:t>
      </w:r>
    </w:p>
    <w:p>
      <w:pPr>
        <w:pStyle w:val="Point1letter"/>
        <w:widowControl w:val="0"/>
        <w:numPr>
          <w:ilvl w:val="3"/>
          <w:numId w:val="90"/>
        </w:numPr>
        <w:adjustRightInd w:val="0"/>
        <w:textAlignment w:val="baseline"/>
        <w:rPr>
          <w:noProof/>
        </w:rPr>
      </w:pPr>
      <w:bookmarkStart w:id="220" w:name="_DV_M1617"/>
      <w:bookmarkEnd w:id="220"/>
      <w:r>
        <w:rPr>
          <w:noProof/>
        </w:rPr>
        <w:t>the Member States have notified the Commission as referred to in Article 61(1);</w:t>
      </w:r>
    </w:p>
    <w:p>
      <w:pPr>
        <w:pStyle w:val="Point1letter"/>
        <w:widowControl w:val="0"/>
        <w:numPr>
          <w:ilvl w:val="3"/>
          <w:numId w:val="90"/>
        </w:numPr>
        <w:adjustRightInd w:val="0"/>
        <w:textAlignment w:val="baseline"/>
        <w:rPr>
          <w:noProof/>
        </w:rPr>
      </w:pPr>
      <w:r>
        <w:rPr>
          <w:noProof/>
        </w:rPr>
        <w:t>for the multiple-identity detector, the ETIAS Central Unit has notified the Commission as referred to in Article 61(3).</w:t>
      </w:r>
    </w:p>
    <w:p>
      <w:pPr>
        <w:pStyle w:val="ManualNumPar1"/>
        <w:rPr>
          <w:noProof/>
        </w:rPr>
      </w:pPr>
      <w:r>
        <w:t>2.</w:t>
      </w:r>
      <w:r>
        <w:tab/>
      </w:r>
      <w:r>
        <w:rPr>
          <w:noProof/>
        </w:rPr>
        <w:t>The Commission shall inform the European Parliament and the Council of the results of the test carried out pursuant to paragraph 1(b).</w:t>
      </w:r>
    </w:p>
    <w:p>
      <w:pPr>
        <w:pStyle w:val="ManualNumPar1"/>
        <w:rPr>
          <w:noProof/>
        </w:rPr>
      </w:pPr>
      <w:bookmarkStart w:id="221" w:name="_DV_M1619"/>
      <w:bookmarkEnd w:id="221"/>
      <w:r>
        <w:t>3.</w:t>
      </w:r>
      <w:r>
        <w:tab/>
      </w:r>
      <w:r>
        <w:rPr>
          <w:noProof/>
        </w:rPr>
        <w:t>The Commission decision referred to in paragraph 1</w:t>
      </w:r>
      <w:bookmarkStart w:id="222" w:name="_DV_C1768"/>
      <w:r>
        <w:rPr>
          <w:noProof/>
        </w:rPr>
        <w:t xml:space="preserve"> </w:t>
      </w:r>
      <w:bookmarkEnd w:id="222"/>
      <w:r>
        <w:rPr>
          <w:noProof/>
        </w:rPr>
        <w:t>shall be published in the</w:t>
      </w:r>
      <w:r>
        <w:rPr>
          <w:i/>
          <w:noProof/>
        </w:rPr>
        <w:t xml:space="preserve"> Official Journal of the European Union</w:t>
      </w:r>
      <w:r>
        <w:rPr>
          <w:noProof/>
        </w:rPr>
        <w:t>.</w:t>
      </w:r>
    </w:p>
    <w:p>
      <w:pPr>
        <w:pStyle w:val="ManualNumPar1"/>
        <w:rPr>
          <w:noProof/>
        </w:rPr>
      </w:pPr>
      <w:bookmarkStart w:id="223" w:name="_DV_M1621"/>
      <w:bookmarkEnd w:id="223"/>
      <w:r>
        <w:t>4.</w:t>
      </w:r>
      <w:r>
        <w:tab/>
      </w:r>
      <w:r>
        <w:rPr>
          <w:noProof/>
        </w:rPr>
        <w:t>The Member States and Europol shall start using the interoperability components from the date determined by the Commission in accordance with paragraph 1.</w:t>
      </w:r>
    </w:p>
    <w:p>
      <w:pPr>
        <w:pStyle w:val="Titrearticle"/>
        <w:spacing w:after="0"/>
        <w:rPr>
          <w:bCs/>
          <w:noProof/>
        </w:rPr>
      </w:pPr>
      <w:r>
        <w:rPr>
          <w:bCs/>
          <w:noProof/>
        </w:rPr>
        <w:t>Article 63</w:t>
      </w:r>
      <w:r>
        <w:rPr>
          <w:bCs/>
          <w:noProof/>
        </w:rPr>
        <w:br/>
        <w:t>Exercise of the delegation</w:t>
      </w:r>
    </w:p>
    <w:p>
      <w:pPr>
        <w:pStyle w:val="ManualNumPar1"/>
        <w:rPr>
          <w:noProof/>
        </w:rPr>
      </w:pPr>
      <w:r>
        <w:t>1.</w:t>
      </w:r>
      <w:r>
        <w:tab/>
      </w:r>
      <w:r>
        <w:rPr>
          <w:noProof/>
        </w:rPr>
        <w:t>The power to adopt delegated acts is conferred on the Commission subject to the conditions laid down in this Article.</w:t>
      </w:r>
    </w:p>
    <w:p>
      <w:pPr>
        <w:pStyle w:val="ManualNumPar1"/>
        <w:rPr>
          <w:noProof/>
        </w:rPr>
      </w:pPr>
      <w:r>
        <w:t>2.</w:t>
      </w:r>
      <w:r>
        <w:tab/>
      </w:r>
      <w:r>
        <w:rPr>
          <w:noProof/>
        </w:rPr>
        <w:t xml:space="preserve">The power to adopt delegated acts referred to in </w:t>
      </w:r>
      <w:r>
        <w:rPr>
          <w:noProof/>
          <w:color w:val="000000"/>
          <w:szCs w:val="24"/>
        </w:rPr>
        <w:t xml:space="preserve">Articles </w:t>
      </w:r>
      <w:r>
        <w:rPr>
          <w:noProof/>
        </w:rPr>
        <w:t>8(2) and 9(7) shall be conferred</w:t>
      </w:r>
      <w:r>
        <w:rPr>
          <w:b/>
          <w:noProof/>
        </w:rPr>
        <w:t xml:space="preserve"> </w:t>
      </w:r>
      <w:r>
        <w:rPr>
          <w:noProof/>
        </w:rPr>
        <w:t>on the Commission for an indeterminate period of time from [</w:t>
      </w:r>
      <w:r>
        <w:rPr>
          <w:i/>
          <w:noProof/>
        </w:rPr>
        <w:t>the date of entry into force of this Regulation</w:t>
      </w:r>
      <w:r>
        <w:rPr>
          <w:noProof/>
        </w:rPr>
        <w:t>].</w:t>
      </w:r>
    </w:p>
    <w:p>
      <w:pPr>
        <w:pStyle w:val="ManualNumPar1"/>
        <w:rPr>
          <w:noProof/>
        </w:rPr>
      </w:pPr>
      <w:r>
        <w:t>3.</w:t>
      </w:r>
      <w:r>
        <w:tab/>
      </w:r>
      <w:r>
        <w:rPr>
          <w:noProof/>
        </w:rPr>
        <w:t xml:space="preserve">The delegation of power referred to in </w:t>
      </w:r>
      <w:r>
        <w:rPr>
          <w:noProof/>
          <w:color w:val="000000"/>
          <w:szCs w:val="24"/>
        </w:rPr>
        <w:t xml:space="preserve">Articles </w:t>
      </w:r>
      <w:r>
        <w:rPr>
          <w:noProof/>
        </w:rPr>
        <w:t xml:space="preserve">8(2) and 9(7) may be revoked at any time by the European Parliament or by the Council. A decision to revoke shall put an end to the delegation of the power specified in that decision. It shall take effect the day following the publication of the decision in the </w:t>
      </w:r>
      <w:r>
        <w:rPr>
          <w:i/>
          <w:noProof/>
        </w:rPr>
        <w:t>Official Journal</w:t>
      </w:r>
      <w:r>
        <w:rPr>
          <w:noProof/>
        </w:rPr>
        <w:t xml:space="preserve"> </w:t>
      </w:r>
      <w:r>
        <w:rPr>
          <w:i/>
          <w:noProof/>
        </w:rPr>
        <w:t xml:space="preserve">of the European Union </w:t>
      </w:r>
      <w:r>
        <w:rPr>
          <w:noProof/>
        </w:rPr>
        <w:t>or at a later date specified therein. It shall not affect the validity of any delegated acts already in force.</w:t>
      </w:r>
    </w:p>
    <w:p>
      <w:pPr>
        <w:pStyle w:val="ManualNumPar1"/>
        <w:rPr>
          <w:noProof/>
        </w:rPr>
      </w:pPr>
      <w:r>
        <w:lastRenderedPageBreak/>
        <w:t>4.</w:t>
      </w:r>
      <w:r>
        <w:tab/>
      </w:r>
      <w:r>
        <w:rPr>
          <w:noProof/>
        </w:rPr>
        <w:t>Before adopting a delegated act, the Commission shall consult experts designated by each Member State in accordance with the principles laid down in the Interinstitutional Agreement on Better Law-Making of 13 April 2016.</w:t>
      </w:r>
    </w:p>
    <w:p>
      <w:pPr>
        <w:pStyle w:val="ManualNumPar1"/>
        <w:rPr>
          <w:noProof/>
        </w:rPr>
      </w:pPr>
      <w:r>
        <w:t>5.</w:t>
      </w:r>
      <w:r>
        <w:tab/>
      </w:r>
      <w:r>
        <w:rPr>
          <w:noProof/>
        </w:rPr>
        <w:t>As soon as it adopts a delegated act, the Commission shall notify it simultaneously to the European Parliament and to the Council.</w:t>
      </w:r>
    </w:p>
    <w:p>
      <w:pPr>
        <w:pStyle w:val="ManualNumPar1"/>
        <w:rPr>
          <w:noProof/>
        </w:rPr>
      </w:pPr>
      <w:r>
        <w:t>6.</w:t>
      </w:r>
      <w:r>
        <w:tab/>
      </w:r>
      <w:r>
        <w:rPr>
          <w:noProof/>
        </w:rPr>
        <w:t xml:space="preserve">A delegated act adopted pursuant to </w:t>
      </w:r>
      <w:r>
        <w:rPr>
          <w:noProof/>
          <w:color w:val="000000"/>
          <w:szCs w:val="24"/>
        </w:rPr>
        <w:t xml:space="preserve">Articles </w:t>
      </w:r>
      <w:r>
        <w:rPr>
          <w:noProof/>
        </w:rPr>
        <w:t>8(2) and 9(7) shall enter into force only if no objection has been expressed either by the European Parliament or the Council within a period of [two months] of notification of that act to the European Parliament and the Council</w:t>
      </w:r>
      <w:r>
        <w:rPr>
          <w:b/>
          <w:noProof/>
        </w:rPr>
        <w:t xml:space="preserve"> </w:t>
      </w:r>
      <w:r>
        <w:rPr>
          <w:noProof/>
        </w:rPr>
        <w:t xml:space="preserve">or if, </w:t>
      </w:r>
      <w:r>
        <w:rPr>
          <w:noProof/>
          <w:lang w:eastAsia="cs-CZ"/>
        </w:rPr>
        <w:t>before the expiry of that period, t</w:t>
      </w:r>
      <w:r>
        <w:rPr>
          <w:noProof/>
        </w:rPr>
        <w:t>he European Parliament and the Council have both informed the Commission that they will not object.</w:t>
      </w:r>
      <w:r>
        <w:rPr>
          <w:i/>
          <w:noProof/>
        </w:rPr>
        <w:t xml:space="preserve"> </w:t>
      </w:r>
      <w:r>
        <w:rPr>
          <w:noProof/>
        </w:rPr>
        <w:t>That period shall be extended by [two months] at the initiative of the European Parliament or of the Council.</w:t>
      </w:r>
    </w:p>
    <w:p>
      <w:pPr>
        <w:pStyle w:val="Titrearticle"/>
        <w:rPr>
          <w:noProof/>
        </w:rPr>
      </w:pPr>
      <w:r>
        <w:rPr>
          <w:noProof/>
        </w:rPr>
        <w:t>Article 64</w:t>
      </w:r>
      <w:r>
        <w:rPr>
          <w:noProof/>
        </w:rPr>
        <w:br/>
        <w:t>Committee procedure</w:t>
      </w:r>
    </w:p>
    <w:p>
      <w:pPr>
        <w:pStyle w:val="ManualNumPar1"/>
        <w:rPr>
          <w:noProof/>
        </w:rPr>
      </w:pPr>
      <w:r>
        <w:t>1.</w:t>
      </w:r>
      <w:r>
        <w:tab/>
      </w:r>
      <w:r>
        <w:rPr>
          <w:noProof/>
        </w:rPr>
        <w:t>The Commission shall be assisted by a committee. That committee shall be a committee within the meaning of Regulation (EU) No 182/2011.</w:t>
      </w:r>
    </w:p>
    <w:p>
      <w:pPr>
        <w:pStyle w:val="ManualNumPar1"/>
        <w:rPr>
          <w:noProof/>
        </w:rPr>
      </w:pPr>
      <w:r>
        <w:t>2.</w:t>
      </w:r>
      <w:r>
        <w:tab/>
      </w:r>
      <w:r>
        <w:rPr>
          <w:noProof/>
        </w:rPr>
        <w:t>Where reference is made to this paragraph, Article 5 of Regulation (EU) No 182/2011 shall apply.</w:t>
      </w:r>
    </w:p>
    <w:p>
      <w:pPr>
        <w:pStyle w:val="Titrearticle"/>
        <w:rPr>
          <w:noProof/>
        </w:rPr>
      </w:pPr>
      <w:r>
        <w:rPr>
          <w:noProof/>
        </w:rPr>
        <w:t>Article 65</w:t>
      </w:r>
      <w:r>
        <w:rPr>
          <w:noProof/>
        </w:rPr>
        <w:br/>
        <w:t>Advisory group</w:t>
      </w:r>
    </w:p>
    <w:p>
      <w:pPr>
        <w:pStyle w:val="Applicationdirecte"/>
        <w:rPr>
          <w:noProof/>
        </w:rPr>
      </w:pPr>
      <w:r>
        <w:rPr>
          <w:noProof/>
        </w:rPr>
        <w:t xml:space="preserve">An Advisory Group shall be established by eu-LISA in order to provide it with the expertise related to interoperability, in particular in the context of the preparation of its annual work programme and its annual activity report. </w:t>
      </w:r>
      <w:bookmarkStart w:id="224" w:name="_DV_C1776"/>
      <w:r>
        <w:rPr>
          <w:noProof/>
        </w:rPr>
        <w:t>During the design and development phase of the interoperability instruments, Article 52(4) to (6) shall apply.</w:t>
      </w:r>
      <w:bookmarkEnd w:id="224"/>
    </w:p>
    <w:p>
      <w:pPr>
        <w:pStyle w:val="Titrearticle"/>
        <w:rPr>
          <w:noProof/>
        </w:rPr>
      </w:pPr>
      <w:r>
        <w:rPr>
          <w:noProof/>
        </w:rPr>
        <w:t>Article </w:t>
      </w:r>
      <w:bookmarkStart w:id="225" w:name="_DV_M1629"/>
      <w:bookmarkEnd w:id="225"/>
      <w:r>
        <w:rPr>
          <w:noProof/>
        </w:rPr>
        <w:t>66</w:t>
      </w:r>
      <w:r>
        <w:rPr>
          <w:noProof/>
        </w:rPr>
        <w:br/>
        <w:t>Training</w:t>
      </w:r>
    </w:p>
    <w:p>
      <w:pPr>
        <w:rPr>
          <w:noProof/>
        </w:rPr>
      </w:pPr>
      <w:bookmarkStart w:id="226" w:name="_DV_M1630"/>
      <w:bookmarkEnd w:id="226"/>
      <w:r>
        <w:rPr>
          <w:noProof/>
        </w:rPr>
        <w:t>eu</w:t>
      </w:r>
      <w:r>
        <w:rPr>
          <w:noProof/>
        </w:rPr>
        <w:noBreakHyphen/>
        <w:t xml:space="preserve">LISA shall perform tasks related to the provision of training on the technical use of the </w:t>
      </w:r>
      <w:bookmarkStart w:id="227" w:name="_DV_C1778"/>
      <w:r>
        <w:rPr>
          <w:noProof/>
        </w:rPr>
        <w:t>interoperability components in accordance with Regulation (EU) No 1077/2011.</w:t>
      </w:r>
      <w:bookmarkEnd w:id="227"/>
    </w:p>
    <w:p>
      <w:pPr>
        <w:pStyle w:val="Titrearticle"/>
        <w:rPr>
          <w:noProof/>
        </w:rPr>
      </w:pPr>
      <w:bookmarkStart w:id="228" w:name="_DV_C1779"/>
      <w:r>
        <w:rPr>
          <w:noProof/>
        </w:rPr>
        <w:t>Article</w:t>
      </w:r>
      <w:bookmarkEnd w:id="228"/>
      <w:r>
        <w:rPr>
          <w:noProof/>
        </w:rPr>
        <w:t> </w:t>
      </w:r>
      <w:bookmarkStart w:id="229" w:name="_DV_C1780"/>
      <w:r>
        <w:rPr>
          <w:noProof/>
        </w:rPr>
        <w:t>67</w:t>
      </w:r>
      <w:r>
        <w:rPr>
          <w:noProof/>
        </w:rPr>
        <w:br/>
        <w:t>Practical handbook</w:t>
      </w:r>
      <w:bookmarkEnd w:id="229"/>
    </w:p>
    <w:p>
      <w:pPr>
        <w:rPr>
          <w:noProof/>
        </w:rPr>
      </w:pPr>
      <w:bookmarkStart w:id="230" w:name="_DV_C1781"/>
      <w:r>
        <w:rPr>
          <w:noProof/>
        </w:rPr>
        <w:t>The Commission shall, in close cooperation with the Member States, eu</w:t>
      </w:r>
      <w:r>
        <w:rPr>
          <w:noProof/>
        </w:rPr>
        <w:noBreakHyphen/>
        <w:t>LISA and other relevant agencies, make available a practical handbook for the implementation and management of the interoperability components. The practical handbook shall provide technical and operational guidelines, recommendations and best practices. The Commission shall adopt the practical handbook in the form of a recommendation.</w:t>
      </w:r>
      <w:bookmarkEnd w:id="230"/>
    </w:p>
    <w:p>
      <w:pPr>
        <w:pStyle w:val="Titrearticle"/>
        <w:rPr>
          <w:noProof/>
        </w:rPr>
      </w:pPr>
      <w:r>
        <w:rPr>
          <w:noProof/>
        </w:rPr>
        <w:t>Article 68</w:t>
      </w:r>
      <w:r>
        <w:rPr>
          <w:noProof/>
        </w:rPr>
        <w:br/>
        <w:t>Monitoring and evaluation</w:t>
      </w:r>
    </w:p>
    <w:p>
      <w:pPr>
        <w:pStyle w:val="ManualNumPar1"/>
        <w:rPr>
          <w:noProof/>
        </w:rPr>
      </w:pPr>
      <w:r>
        <w:t>1.</w:t>
      </w:r>
      <w:r>
        <w:tab/>
      </w:r>
      <w:r>
        <w:rPr>
          <w:noProof/>
        </w:rPr>
        <w:t xml:space="preserve">eu-LISA shall ensure that procedures are in place to monitor the development of the interoperability components in light of objectives relating to planning and costs and </w:t>
      </w:r>
      <w:r>
        <w:rPr>
          <w:noProof/>
        </w:rPr>
        <w:lastRenderedPageBreak/>
        <w:t>to monitor the functioning of the interoperability components in light of objectives relating to the technical output, cost-effectiveness, security and quality of service.</w:t>
      </w:r>
    </w:p>
    <w:p>
      <w:pPr>
        <w:pStyle w:val="ManualNumPar1"/>
        <w:rPr>
          <w:noProof/>
        </w:rPr>
      </w:pPr>
      <w:r>
        <w:t>2.</w:t>
      </w:r>
      <w:r>
        <w:tab/>
      </w:r>
      <w:r>
        <w:rPr>
          <w:noProof/>
        </w:rPr>
        <w:t>By [</w:t>
      </w:r>
      <w:r>
        <w:rPr>
          <w:i/>
          <w:noProof/>
        </w:rPr>
        <w:t>Six months after the entry into force of this Regulation</w:t>
      </w:r>
      <w:r>
        <w:rPr>
          <w:noProof/>
        </w:rPr>
        <w:t xml:space="preserve"> — OPOCE, please replace with the actual date] and every six months thereafter during the development phase of the interoperability components, eu-LISA shall submit a report to the European Parliament and the Council on the state of play of the development of the interoperability components. Once the development is finalised, a report shall be submitted to the European Parliament and the Council explaining in detail how the objectives, in particular relating to planning and costs, were achieved as well as justifying any divergences.</w:t>
      </w:r>
    </w:p>
    <w:p>
      <w:pPr>
        <w:pStyle w:val="ManualNumPar1"/>
        <w:rPr>
          <w:noProof/>
        </w:rPr>
      </w:pPr>
      <w:r>
        <w:t>3.</w:t>
      </w:r>
      <w:r>
        <w:tab/>
      </w:r>
      <w:r>
        <w:rPr>
          <w:noProof/>
        </w:rPr>
        <w:t>For the purposes of technical maintenance, eu-LISA shall have access to the necessary information relating to the data processing operations performed in the interoperability components.</w:t>
      </w:r>
    </w:p>
    <w:p>
      <w:pPr>
        <w:pStyle w:val="ManualNumPar1"/>
        <w:rPr>
          <w:noProof/>
        </w:rPr>
      </w:pPr>
      <w:r>
        <w:t>4.</w:t>
      </w:r>
      <w:r>
        <w:tab/>
      </w:r>
      <w:r>
        <w:rPr>
          <w:noProof/>
        </w:rPr>
        <w:t xml:space="preserve">Four years after the start of operations of each interoperability component and every four years thereafter, eu-LISA shall submit to the European Parliament, the Council and the Commission a report on the technical functioning of the interoperability components, including the security thereof. </w:t>
      </w:r>
    </w:p>
    <w:p>
      <w:pPr>
        <w:pStyle w:val="ManualNumPar1"/>
        <w:rPr>
          <w:noProof/>
        </w:rPr>
      </w:pPr>
      <w:r>
        <w:t>5.</w:t>
      </w:r>
      <w:r>
        <w:tab/>
      </w:r>
      <w:r>
        <w:rPr>
          <w:noProof/>
        </w:rPr>
        <w:t>In addition, one year after each report from eu-LISA, the Commission shall produce an overall evaluation of the components, including:</w:t>
      </w:r>
    </w:p>
    <w:p>
      <w:pPr>
        <w:pStyle w:val="Point1letter"/>
        <w:widowControl w:val="0"/>
        <w:numPr>
          <w:ilvl w:val="3"/>
          <w:numId w:val="91"/>
        </w:numPr>
        <w:adjustRightInd w:val="0"/>
        <w:textAlignment w:val="baseline"/>
        <w:rPr>
          <w:noProof/>
        </w:rPr>
      </w:pPr>
      <w:bookmarkStart w:id="231" w:name="_DV_C1786"/>
      <w:r>
        <w:rPr>
          <w:noProof/>
        </w:rPr>
        <w:t>an assessment of the application of this Regulation;</w:t>
      </w:r>
      <w:bookmarkEnd w:id="231"/>
    </w:p>
    <w:p>
      <w:pPr>
        <w:pStyle w:val="Point1letter"/>
        <w:widowControl w:val="0"/>
        <w:numPr>
          <w:ilvl w:val="3"/>
          <w:numId w:val="91"/>
        </w:numPr>
        <w:adjustRightInd w:val="0"/>
        <w:textAlignment w:val="baseline"/>
        <w:rPr>
          <w:noProof/>
        </w:rPr>
      </w:pPr>
      <w:bookmarkStart w:id="232" w:name="_DV_M1640"/>
      <w:bookmarkEnd w:id="232"/>
      <w:r>
        <w:rPr>
          <w:noProof/>
        </w:rPr>
        <w:t>an examination of the results achieved against objectives and the impact on fundamental rights</w:t>
      </w:r>
      <w:bookmarkStart w:id="233" w:name="_DV_C1789"/>
      <w:r>
        <w:rPr>
          <w:noProof/>
        </w:rPr>
        <w:t>;</w:t>
      </w:r>
      <w:bookmarkEnd w:id="233"/>
    </w:p>
    <w:p>
      <w:pPr>
        <w:pStyle w:val="Point1letter"/>
        <w:widowControl w:val="0"/>
        <w:numPr>
          <w:ilvl w:val="3"/>
          <w:numId w:val="91"/>
        </w:numPr>
        <w:adjustRightInd w:val="0"/>
        <w:textAlignment w:val="baseline"/>
        <w:rPr>
          <w:noProof/>
        </w:rPr>
      </w:pPr>
      <w:bookmarkStart w:id="234" w:name="_DV_C1790"/>
      <w:r>
        <w:rPr>
          <w:noProof/>
        </w:rPr>
        <w:t>an assessment of</w:t>
      </w:r>
      <w:bookmarkStart w:id="235" w:name="_DV_M1641"/>
      <w:bookmarkEnd w:id="234"/>
      <w:bookmarkEnd w:id="235"/>
      <w:r>
        <w:rPr>
          <w:noProof/>
        </w:rPr>
        <w:t xml:space="preserve"> the continuing validity of the underlying rationale of the </w:t>
      </w:r>
      <w:bookmarkStart w:id="236" w:name="_DV_C1792"/>
      <w:r>
        <w:rPr>
          <w:noProof/>
        </w:rPr>
        <w:t>interoperability components;</w:t>
      </w:r>
      <w:bookmarkEnd w:id="236"/>
    </w:p>
    <w:p>
      <w:pPr>
        <w:pStyle w:val="Point1letter"/>
        <w:widowControl w:val="0"/>
        <w:numPr>
          <w:ilvl w:val="3"/>
          <w:numId w:val="91"/>
        </w:numPr>
        <w:adjustRightInd w:val="0"/>
        <w:textAlignment w:val="baseline"/>
        <w:rPr>
          <w:noProof/>
        </w:rPr>
      </w:pPr>
      <w:bookmarkStart w:id="237" w:name="_DV_C1795"/>
      <w:r>
        <w:rPr>
          <w:noProof/>
        </w:rPr>
        <w:t>an assessment of the security of the interoperability components;</w:t>
      </w:r>
      <w:bookmarkEnd w:id="237"/>
    </w:p>
    <w:p>
      <w:pPr>
        <w:pStyle w:val="Point1letter"/>
        <w:widowControl w:val="0"/>
        <w:numPr>
          <w:ilvl w:val="3"/>
          <w:numId w:val="91"/>
        </w:numPr>
        <w:adjustRightInd w:val="0"/>
        <w:textAlignment w:val="baseline"/>
        <w:rPr>
          <w:noProof/>
        </w:rPr>
      </w:pPr>
      <w:bookmarkStart w:id="238" w:name="_DV_C1796"/>
      <w:r>
        <w:rPr>
          <w:noProof/>
        </w:rPr>
        <w:t>an assessment of any implications, including any disproportionate impact on the flow of traffic at border crossing points and those with a budgetary impact on the Union budget.</w:t>
      </w:r>
      <w:bookmarkEnd w:id="238"/>
    </w:p>
    <w:p>
      <w:pPr>
        <w:pStyle w:val="Text1"/>
        <w:rPr>
          <w:noProof/>
        </w:rPr>
      </w:pPr>
      <w:bookmarkStart w:id="239" w:name="_DV_C1797"/>
      <w:r>
        <w:rPr>
          <w:noProof/>
        </w:rPr>
        <w:t>The evaluations shall include</w:t>
      </w:r>
      <w:bookmarkStart w:id="240" w:name="_DV_M1642"/>
      <w:bookmarkEnd w:id="239"/>
      <w:bookmarkEnd w:id="240"/>
      <w:r>
        <w:rPr>
          <w:noProof/>
        </w:rPr>
        <w:t xml:space="preserve"> any necessary recommendations. The Commission shall transmit the evaluation report to the European Parliament</w:t>
      </w:r>
      <w:bookmarkStart w:id="241" w:name="_DV_C1799"/>
      <w:r>
        <w:rPr>
          <w:noProof/>
        </w:rPr>
        <w:t>,</w:t>
      </w:r>
      <w:bookmarkStart w:id="242" w:name="_DV_M1643"/>
      <w:bookmarkEnd w:id="241"/>
      <w:bookmarkEnd w:id="242"/>
      <w:r>
        <w:rPr>
          <w:noProof/>
        </w:rPr>
        <w:t xml:space="preserve"> to the Council</w:t>
      </w:r>
      <w:bookmarkStart w:id="243" w:name="_DV_C1800"/>
      <w:r>
        <w:rPr>
          <w:noProof/>
        </w:rPr>
        <w:t>, to the European Data Protection Supervisor and to the European Union Agency for Fundamental Rights established by Council Regulation (EC) No 168/2007.</w:t>
      </w:r>
      <w:r>
        <w:rPr>
          <w:rStyle w:val="FootnoteReference"/>
          <w:noProof/>
        </w:rPr>
        <w:footnoteReference w:id="77"/>
      </w:r>
      <w:bookmarkEnd w:id="243"/>
    </w:p>
    <w:p>
      <w:pPr>
        <w:pStyle w:val="ManualNumPar1"/>
        <w:rPr>
          <w:noProof/>
        </w:rPr>
      </w:pPr>
      <w:r>
        <w:t>6.</w:t>
      </w:r>
      <w:r>
        <w:tab/>
      </w:r>
      <w:r>
        <w:rPr>
          <w:noProof/>
        </w:rPr>
        <w:t>The Member States and Europol shall provide eu-LISA and the Commission with the information necessary to draft the reports referred to in paragraphs 4 and 5. This information shall not jeopardise working methods or include information that reveals sources, staff members or investigations of the designated authorities.</w:t>
      </w:r>
    </w:p>
    <w:p>
      <w:pPr>
        <w:pStyle w:val="ManualNumPar1"/>
        <w:rPr>
          <w:noProof/>
        </w:rPr>
      </w:pPr>
      <w:r>
        <w:t>7.</w:t>
      </w:r>
      <w:r>
        <w:tab/>
      </w:r>
      <w:r>
        <w:rPr>
          <w:noProof/>
        </w:rPr>
        <w:t>eu-LISA shall provide the Commission with the information necessary to produce the evaluations referred to in paragraph 5.</w:t>
      </w:r>
    </w:p>
    <w:p>
      <w:pPr>
        <w:pStyle w:val="ManualNumPar1"/>
        <w:rPr>
          <w:noProof/>
        </w:rPr>
      </w:pPr>
      <w:r>
        <w:t>8.</w:t>
      </w:r>
      <w:r>
        <w:tab/>
      </w:r>
      <w:r>
        <w:rPr>
          <w:noProof/>
        </w:rPr>
        <w:t>While respecting the provisions of national law on the publication of sensitive information, each Member State and Europol shall prepare annual reports on the effectiveness of access to data stored in the common identity repository for law enforcement purposes, containing information and statistics on:</w:t>
      </w:r>
    </w:p>
    <w:p>
      <w:pPr>
        <w:pStyle w:val="Point1letter"/>
        <w:widowControl w:val="0"/>
        <w:numPr>
          <w:ilvl w:val="3"/>
          <w:numId w:val="92"/>
        </w:numPr>
        <w:adjustRightInd w:val="0"/>
        <w:textAlignment w:val="baseline"/>
        <w:rPr>
          <w:noProof/>
        </w:rPr>
      </w:pPr>
      <w:r>
        <w:rPr>
          <w:noProof/>
        </w:rPr>
        <w:lastRenderedPageBreak/>
        <w:t>the exact purpose of the consultation including the type of terrorist or serious criminal offence;</w:t>
      </w:r>
    </w:p>
    <w:p>
      <w:pPr>
        <w:pStyle w:val="Point1letter"/>
        <w:widowControl w:val="0"/>
        <w:numPr>
          <w:ilvl w:val="3"/>
          <w:numId w:val="92"/>
        </w:numPr>
        <w:adjustRightInd w:val="0"/>
        <w:textAlignment w:val="baseline"/>
        <w:rPr>
          <w:noProof/>
        </w:rPr>
      </w:pPr>
      <w:r>
        <w:rPr>
          <w:noProof/>
        </w:rPr>
        <w:t>reasonable grounds given for the substantiated suspicion that the suspect, perpetrator or victim is covered by the [EES Regulation], the VIS Regulation or the [ETIAS Regulation];</w:t>
      </w:r>
    </w:p>
    <w:p>
      <w:pPr>
        <w:pStyle w:val="Point1letter"/>
        <w:widowControl w:val="0"/>
        <w:numPr>
          <w:ilvl w:val="3"/>
          <w:numId w:val="92"/>
        </w:numPr>
        <w:adjustRightInd w:val="0"/>
        <w:textAlignment w:val="baseline"/>
        <w:rPr>
          <w:noProof/>
        </w:rPr>
      </w:pPr>
      <w:r>
        <w:rPr>
          <w:noProof/>
        </w:rPr>
        <w:t>the number of requests for access to the common identity repository for law enforcement purposes;</w:t>
      </w:r>
    </w:p>
    <w:p>
      <w:pPr>
        <w:pStyle w:val="Point1letter"/>
        <w:widowControl w:val="0"/>
        <w:numPr>
          <w:ilvl w:val="3"/>
          <w:numId w:val="92"/>
        </w:numPr>
        <w:adjustRightInd w:val="0"/>
        <w:textAlignment w:val="baseline"/>
        <w:rPr>
          <w:noProof/>
        </w:rPr>
      </w:pPr>
      <w:r>
        <w:rPr>
          <w:noProof/>
        </w:rPr>
        <w:t>the number and type of cases that have ended in successful identifications;</w:t>
      </w:r>
    </w:p>
    <w:p>
      <w:pPr>
        <w:pStyle w:val="Point1letter"/>
        <w:widowControl w:val="0"/>
        <w:numPr>
          <w:ilvl w:val="3"/>
          <w:numId w:val="92"/>
        </w:numPr>
        <w:adjustRightInd w:val="0"/>
        <w:textAlignment w:val="baseline"/>
        <w:rPr>
          <w:noProof/>
        </w:rPr>
      </w:pPr>
      <w:r>
        <w:rPr>
          <w:noProof/>
        </w:rPr>
        <w:t xml:space="preserve">the need and use made of the exceptional case of urgency including those cases where that urgency was not accepted by the </w:t>
      </w:r>
      <w:r>
        <w:rPr>
          <w:i/>
          <w:noProof/>
        </w:rPr>
        <w:t>ex post</w:t>
      </w:r>
      <w:r>
        <w:rPr>
          <w:noProof/>
        </w:rPr>
        <w:t xml:space="preserve"> verification carried out by the central access point.</w:t>
      </w:r>
    </w:p>
    <w:p>
      <w:pPr>
        <w:pStyle w:val="Text1"/>
        <w:rPr>
          <w:noProof/>
        </w:rPr>
      </w:pPr>
      <w:r>
        <w:rPr>
          <w:noProof/>
        </w:rPr>
        <w:t>Member State and Europol annual reports shall be transmitted to the Commission by 30 June of the subsequent year.</w:t>
      </w:r>
    </w:p>
    <w:p>
      <w:pPr>
        <w:rPr>
          <w:noProof/>
        </w:rPr>
      </w:pPr>
    </w:p>
    <w:p>
      <w:pPr>
        <w:pStyle w:val="Titrearticle"/>
        <w:rPr>
          <w:noProof/>
        </w:rPr>
      </w:pPr>
      <w:r>
        <w:rPr>
          <w:noProof/>
        </w:rPr>
        <w:t>Article 69</w:t>
      </w:r>
      <w:r>
        <w:rPr>
          <w:noProof/>
        </w:rPr>
        <w:br/>
        <w:t>Entry into force and applicability</w:t>
      </w:r>
    </w:p>
    <w:p>
      <w:pPr>
        <w:pStyle w:val="Applicationdirecte"/>
        <w:rPr>
          <w:noProof/>
        </w:rPr>
      </w:pPr>
      <w:r>
        <w:rPr>
          <w:noProof/>
        </w:rPr>
        <w:t xml:space="preserve">This Regulation shall enter into force on the twentieth day following that of its publication in the </w:t>
      </w:r>
      <w:r>
        <w:rPr>
          <w:i/>
          <w:noProof/>
        </w:rPr>
        <w:t>Official Journal of the European Union</w:t>
      </w:r>
      <w:r>
        <w:rPr>
          <w:noProof/>
        </w:rPr>
        <w:t>.</w:t>
      </w:r>
    </w:p>
    <w:p>
      <w:pPr>
        <w:pStyle w:val="Applicationdirecte"/>
        <w:rPr>
          <w:noProof/>
        </w:rPr>
      </w:pPr>
      <w:r>
        <w:rPr>
          <w:noProof/>
        </w:rPr>
        <w:t>This Regulation shall be binding in its entirety and directly applicable in the Member States in accordance with the Treaties.</w:t>
      </w:r>
    </w:p>
    <w:p>
      <w:pPr>
        <w:pStyle w:val="Fait"/>
        <w:rPr>
          <w:noProof/>
        </w:rPr>
      </w:pPr>
      <w:r>
        <w:t>Done at Strasbourg,</w:t>
      </w:r>
    </w:p>
    <w:p>
      <w:pPr>
        <w:pStyle w:val="Institutionquisigne"/>
        <w:rPr>
          <w:noProof/>
        </w:rPr>
      </w:pPr>
      <w:r>
        <w:rPr>
          <w:noProof/>
        </w:rPr>
        <w:t>For the European Parliament</w:t>
      </w:r>
      <w:r>
        <w:rPr>
          <w:noProof/>
        </w:rPr>
        <w:tab/>
        <w:t>For the Council</w:t>
      </w:r>
    </w:p>
    <w:p>
      <w:pPr>
        <w:pStyle w:val="Personnequisigne"/>
        <w:rPr>
          <w:noProof/>
        </w:rPr>
      </w:pPr>
      <w:r>
        <w:rPr>
          <w:noProof/>
        </w:rPr>
        <w:t>The President</w:t>
      </w:r>
      <w:r>
        <w:rPr>
          <w:noProof/>
        </w:rPr>
        <w:tab/>
        <w:t>The President</w:t>
      </w:r>
      <w:bookmarkStart w:id="244" w:name="_CopyToNewDocument_"/>
      <w:bookmarkEnd w:id="244"/>
    </w:p>
    <w:p>
      <w:pPr>
        <w:rPr>
          <w:noProof/>
        </w:rPr>
        <w:sectPr>
          <w:pgSz w:w="11907" w:h="16839"/>
          <w:pgMar w:top="1134" w:right="1417" w:bottom="1134" w:left="1417" w:header="709" w:footer="709" w:gutter="0"/>
          <w:cols w:space="708"/>
          <w:docGrid w:linePitch="360"/>
        </w:sectPr>
      </w:pPr>
    </w:p>
    <w:p>
      <w:pPr>
        <w:pStyle w:val="Fichefinanciretitre"/>
        <w:rPr>
          <w:noProof/>
        </w:rPr>
      </w:pPr>
      <w:r>
        <w:rPr>
          <w:noProof/>
        </w:rPr>
        <w:lastRenderedPageBreak/>
        <w:t>LEGISLATIVE FINANCIAL STATEMENT</w:t>
      </w:r>
    </w:p>
    <w:p>
      <w:pPr>
        <w:pStyle w:val="ManualHeading1"/>
        <w:rPr>
          <w:noProof/>
        </w:rPr>
      </w:pPr>
      <w:r>
        <w:rPr>
          <w:noProof/>
        </w:rPr>
        <w:t>1.</w:t>
      </w:r>
      <w:r>
        <w:rPr>
          <w:noProof/>
        </w:rPr>
        <w:tab/>
        <w:t>FRAMEWORK OF THE PROPOSAL/INITIATIVE</w:t>
      </w:r>
    </w:p>
    <w:p>
      <w:pPr>
        <w:pStyle w:val="ManualHeading2"/>
        <w:ind w:left="1418" w:hanging="568"/>
        <w:rPr>
          <w:b w:val="0"/>
          <w:noProof/>
        </w:rPr>
      </w:pPr>
      <w:bookmarkStart w:id="245" w:name="_Toc498514129"/>
      <w:r>
        <w:rPr>
          <w:b w:val="0"/>
          <w:noProof/>
        </w:rPr>
        <w:t>1.1.</w:t>
      </w:r>
      <w:r>
        <w:rPr>
          <w:b w:val="0"/>
          <w:noProof/>
        </w:rPr>
        <w:tab/>
        <w:t>Title of the proposal/initiative</w:t>
      </w:r>
      <w:bookmarkEnd w:id="245"/>
      <w:r>
        <w:rPr>
          <w:b w:val="0"/>
          <w:noProof/>
        </w:rPr>
        <w:t xml:space="preserve"> </w:t>
      </w:r>
    </w:p>
    <w:p>
      <w:pPr>
        <w:pStyle w:val="ManualHeading2"/>
        <w:rPr>
          <w:b w:val="0"/>
          <w:noProof/>
        </w:rPr>
      </w:pPr>
      <w:r>
        <w:rPr>
          <w:b w:val="0"/>
          <w:noProof/>
        </w:rPr>
        <w:tab/>
      </w:r>
      <w:bookmarkStart w:id="246" w:name="_Toc498514130"/>
      <w:r>
        <w:rPr>
          <w:b w:val="0"/>
          <w:noProof/>
        </w:rPr>
        <w:t>1.2.</w:t>
      </w:r>
      <w:r>
        <w:rPr>
          <w:b w:val="0"/>
          <w:noProof/>
        </w:rPr>
        <w:tab/>
        <w:t>Policy area(s) concerned</w:t>
      </w:r>
      <w:bookmarkEnd w:id="246"/>
    </w:p>
    <w:p>
      <w:pPr>
        <w:pStyle w:val="ManualHeading2"/>
        <w:rPr>
          <w:b w:val="0"/>
          <w:noProof/>
        </w:rPr>
      </w:pPr>
      <w:r>
        <w:rPr>
          <w:b w:val="0"/>
          <w:noProof/>
        </w:rPr>
        <w:tab/>
      </w:r>
      <w:bookmarkStart w:id="247" w:name="_Toc498514131"/>
      <w:r>
        <w:rPr>
          <w:b w:val="0"/>
          <w:noProof/>
        </w:rPr>
        <w:t>1.3.</w:t>
      </w:r>
      <w:r>
        <w:rPr>
          <w:b w:val="0"/>
          <w:noProof/>
        </w:rPr>
        <w:tab/>
        <w:t>Nature of the proposal/initiative</w:t>
      </w:r>
      <w:bookmarkEnd w:id="247"/>
      <w:r>
        <w:rPr>
          <w:b w:val="0"/>
          <w:noProof/>
        </w:rPr>
        <w:t xml:space="preserve"> </w:t>
      </w:r>
    </w:p>
    <w:p>
      <w:pPr>
        <w:pStyle w:val="ManualHeading2"/>
        <w:rPr>
          <w:b w:val="0"/>
          <w:noProof/>
        </w:rPr>
      </w:pPr>
      <w:r>
        <w:rPr>
          <w:b w:val="0"/>
          <w:noProof/>
        </w:rPr>
        <w:tab/>
      </w:r>
      <w:bookmarkStart w:id="248" w:name="_Toc498514132"/>
      <w:r>
        <w:rPr>
          <w:b w:val="0"/>
          <w:noProof/>
        </w:rPr>
        <w:t>1.4.</w:t>
      </w:r>
      <w:r>
        <w:rPr>
          <w:b w:val="0"/>
          <w:noProof/>
        </w:rPr>
        <w:tab/>
        <w:t>Objective(s)</w:t>
      </w:r>
      <w:bookmarkEnd w:id="248"/>
      <w:r>
        <w:rPr>
          <w:b w:val="0"/>
          <w:noProof/>
        </w:rPr>
        <w:t xml:space="preserve"> </w:t>
      </w:r>
    </w:p>
    <w:p>
      <w:pPr>
        <w:pStyle w:val="ManualHeading2"/>
        <w:rPr>
          <w:b w:val="0"/>
          <w:noProof/>
        </w:rPr>
      </w:pPr>
      <w:r>
        <w:rPr>
          <w:b w:val="0"/>
          <w:noProof/>
        </w:rPr>
        <w:tab/>
      </w:r>
      <w:bookmarkStart w:id="249" w:name="_Toc498514133"/>
      <w:r>
        <w:rPr>
          <w:b w:val="0"/>
          <w:noProof/>
        </w:rPr>
        <w:t>1.5.</w:t>
      </w:r>
      <w:r>
        <w:rPr>
          <w:b w:val="0"/>
          <w:noProof/>
        </w:rPr>
        <w:tab/>
        <w:t>Grounds for the proposal/initiative</w:t>
      </w:r>
      <w:bookmarkEnd w:id="249"/>
      <w:r>
        <w:rPr>
          <w:b w:val="0"/>
          <w:noProof/>
        </w:rPr>
        <w:t xml:space="preserve"> </w:t>
      </w:r>
    </w:p>
    <w:p>
      <w:pPr>
        <w:pStyle w:val="ManualHeading2"/>
        <w:rPr>
          <w:b w:val="0"/>
          <w:noProof/>
        </w:rPr>
      </w:pPr>
      <w:r>
        <w:rPr>
          <w:b w:val="0"/>
          <w:noProof/>
        </w:rPr>
        <w:tab/>
      </w:r>
      <w:bookmarkStart w:id="250" w:name="_Toc498514134"/>
      <w:r>
        <w:rPr>
          <w:b w:val="0"/>
          <w:noProof/>
        </w:rPr>
        <w:t>1.6.</w:t>
      </w:r>
      <w:r>
        <w:rPr>
          <w:b w:val="0"/>
          <w:noProof/>
        </w:rPr>
        <w:tab/>
        <w:t>Duration and financial impact</w:t>
      </w:r>
      <w:bookmarkEnd w:id="250"/>
      <w:r>
        <w:rPr>
          <w:b w:val="0"/>
          <w:noProof/>
        </w:rPr>
        <w:t xml:space="preserve"> </w:t>
      </w:r>
    </w:p>
    <w:p>
      <w:pPr>
        <w:pStyle w:val="ManualHeading2"/>
        <w:rPr>
          <w:b w:val="0"/>
          <w:noProof/>
        </w:rPr>
      </w:pPr>
      <w:r>
        <w:rPr>
          <w:b w:val="0"/>
          <w:noProof/>
        </w:rPr>
        <w:tab/>
      </w:r>
      <w:bookmarkStart w:id="251" w:name="_Toc498514135"/>
      <w:r>
        <w:rPr>
          <w:b w:val="0"/>
          <w:noProof/>
        </w:rPr>
        <w:t>1.7.</w:t>
      </w:r>
      <w:r>
        <w:rPr>
          <w:b w:val="0"/>
          <w:noProof/>
        </w:rPr>
        <w:tab/>
        <w:t>Management mode(s) planned</w:t>
      </w:r>
      <w:bookmarkEnd w:id="251"/>
      <w:r>
        <w:rPr>
          <w:b w:val="0"/>
          <w:noProof/>
        </w:rPr>
        <w:t xml:space="preserve"> </w:t>
      </w:r>
    </w:p>
    <w:p>
      <w:pPr>
        <w:pStyle w:val="ManualHeading1"/>
        <w:rPr>
          <w:noProof/>
        </w:rPr>
      </w:pPr>
      <w:bookmarkStart w:id="252" w:name="_Toc498514136"/>
      <w:r>
        <w:rPr>
          <w:noProof/>
        </w:rPr>
        <w:t>2.</w:t>
      </w:r>
      <w:r>
        <w:rPr>
          <w:noProof/>
        </w:rPr>
        <w:tab/>
        <w:t>MANAGEMENT MEASURES</w:t>
      </w:r>
      <w:bookmarkEnd w:id="252"/>
      <w:r>
        <w:rPr>
          <w:noProof/>
        </w:rPr>
        <w:t xml:space="preserve"> </w:t>
      </w:r>
    </w:p>
    <w:p>
      <w:pPr>
        <w:pStyle w:val="ManualHeading2"/>
        <w:rPr>
          <w:b w:val="0"/>
          <w:noProof/>
        </w:rPr>
      </w:pPr>
      <w:r>
        <w:rPr>
          <w:b w:val="0"/>
          <w:noProof/>
        </w:rPr>
        <w:tab/>
      </w:r>
      <w:bookmarkStart w:id="253" w:name="_Toc498514137"/>
      <w:r>
        <w:rPr>
          <w:b w:val="0"/>
          <w:noProof/>
        </w:rPr>
        <w:t>2.1.</w:t>
      </w:r>
      <w:r>
        <w:rPr>
          <w:b w:val="0"/>
          <w:noProof/>
        </w:rPr>
        <w:tab/>
        <w:t>Monitoring and reporting rules</w:t>
      </w:r>
      <w:bookmarkEnd w:id="253"/>
      <w:r>
        <w:rPr>
          <w:b w:val="0"/>
          <w:noProof/>
        </w:rPr>
        <w:t xml:space="preserve"> </w:t>
      </w:r>
    </w:p>
    <w:p>
      <w:pPr>
        <w:pStyle w:val="ManualHeading2"/>
        <w:rPr>
          <w:b w:val="0"/>
          <w:noProof/>
        </w:rPr>
      </w:pPr>
      <w:r>
        <w:rPr>
          <w:b w:val="0"/>
          <w:noProof/>
        </w:rPr>
        <w:tab/>
      </w:r>
      <w:bookmarkStart w:id="254" w:name="_Toc498514138"/>
      <w:r>
        <w:rPr>
          <w:b w:val="0"/>
          <w:noProof/>
        </w:rPr>
        <w:t>2.2.</w:t>
      </w:r>
      <w:r>
        <w:rPr>
          <w:b w:val="0"/>
          <w:noProof/>
        </w:rPr>
        <w:tab/>
        <w:t>Management and control system</w:t>
      </w:r>
      <w:bookmarkEnd w:id="254"/>
      <w:r>
        <w:rPr>
          <w:b w:val="0"/>
          <w:noProof/>
        </w:rPr>
        <w:t xml:space="preserve"> </w:t>
      </w:r>
    </w:p>
    <w:p>
      <w:pPr>
        <w:pStyle w:val="ManualHeading2"/>
        <w:rPr>
          <w:b w:val="0"/>
          <w:noProof/>
        </w:rPr>
      </w:pPr>
      <w:r>
        <w:rPr>
          <w:b w:val="0"/>
          <w:noProof/>
        </w:rPr>
        <w:tab/>
      </w:r>
      <w:bookmarkStart w:id="255" w:name="_Toc498514139"/>
      <w:r>
        <w:rPr>
          <w:b w:val="0"/>
          <w:noProof/>
        </w:rPr>
        <w:t>2.3.</w:t>
      </w:r>
      <w:r>
        <w:rPr>
          <w:b w:val="0"/>
          <w:noProof/>
        </w:rPr>
        <w:tab/>
        <w:t>Measures to prevent fraud and irregularities</w:t>
      </w:r>
      <w:bookmarkEnd w:id="255"/>
      <w:r>
        <w:rPr>
          <w:b w:val="0"/>
          <w:noProof/>
        </w:rPr>
        <w:t xml:space="preserve"> </w:t>
      </w:r>
    </w:p>
    <w:p>
      <w:pPr>
        <w:pStyle w:val="ManualHeading1"/>
        <w:rPr>
          <w:noProof/>
        </w:rPr>
      </w:pPr>
      <w:bookmarkStart w:id="256" w:name="_Toc498514140"/>
      <w:r>
        <w:rPr>
          <w:noProof/>
        </w:rPr>
        <w:t>3.</w:t>
      </w:r>
      <w:r>
        <w:rPr>
          <w:noProof/>
        </w:rPr>
        <w:tab/>
        <w:t>ESTIMATED FINANCIAL IMPACT OF THE PROPOSAL/INITIATIVE</w:t>
      </w:r>
      <w:bookmarkEnd w:id="256"/>
      <w:r>
        <w:rPr>
          <w:noProof/>
        </w:rPr>
        <w:t xml:space="preserve"> </w:t>
      </w:r>
    </w:p>
    <w:p>
      <w:pPr>
        <w:pStyle w:val="ManualHeading2"/>
        <w:rPr>
          <w:b w:val="0"/>
          <w:noProof/>
        </w:rPr>
      </w:pPr>
      <w:r>
        <w:rPr>
          <w:b w:val="0"/>
          <w:noProof/>
        </w:rPr>
        <w:tab/>
      </w:r>
      <w:bookmarkStart w:id="257" w:name="_Toc498514141"/>
      <w:r>
        <w:rPr>
          <w:b w:val="0"/>
          <w:noProof/>
        </w:rPr>
        <w:t>3.1.</w:t>
      </w:r>
      <w:r>
        <w:rPr>
          <w:b w:val="0"/>
          <w:noProof/>
        </w:rPr>
        <w:tab/>
        <w:t>Heading(s) of the multiannual financial framework and expenditure budget line(s) affected</w:t>
      </w:r>
      <w:bookmarkEnd w:id="257"/>
      <w:r>
        <w:rPr>
          <w:b w:val="0"/>
          <w:noProof/>
        </w:rPr>
        <w:t xml:space="preserve"> </w:t>
      </w:r>
    </w:p>
    <w:p>
      <w:pPr>
        <w:pStyle w:val="ManualHeading2"/>
        <w:rPr>
          <w:noProof/>
        </w:rPr>
      </w:pPr>
      <w:r>
        <w:rPr>
          <w:b w:val="0"/>
          <w:noProof/>
        </w:rPr>
        <w:tab/>
      </w:r>
      <w:bookmarkStart w:id="258" w:name="_Toc498514142"/>
      <w:r>
        <w:rPr>
          <w:b w:val="0"/>
          <w:noProof/>
        </w:rPr>
        <w:t>3.2.</w:t>
      </w:r>
      <w:r>
        <w:rPr>
          <w:b w:val="0"/>
          <w:noProof/>
        </w:rPr>
        <w:tab/>
        <w:t>Estimated impact on expenditure</w:t>
      </w:r>
      <w:bookmarkEnd w:id="258"/>
      <w:r>
        <w:rPr>
          <w:noProof/>
        </w:rPr>
        <w:t xml:space="preserve"> </w:t>
      </w:r>
    </w:p>
    <w:p>
      <w:pPr>
        <w:pStyle w:val="ManualHeading3"/>
        <w:rPr>
          <w:noProof/>
        </w:rPr>
      </w:pPr>
      <w:r>
        <w:rPr>
          <w:noProof/>
        </w:rPr>
        <w:tab/>
      </w:r>
      <w:bookmarkStart w:id="259" w:name="_Toc498514143"/>
      <w:r>
        <w:rPr>
          <w:noProof/>
        </w:rPr>
        <w:t>3.2.1.</w:t>
      </w:r>
      <w:r>
        <w:rPr>
          <w:noProof/>
        </w:rPr>
        <w:tab/>
        <w:t>Summary of estimated impact on expenditure</w:t>
      </w:r>
      <w:bookmarkEnd w:id="259"/>
      <w:r>
        <w:rPr>
          <w:noProof/>
        </w:rPr>
        <w:t xml:space="preserve"> </w:t>
      </w:r>
    </w:p>
    <w:p>
      <w:pPr>
        <w:pStyle w:val="ManualHeading3"/>
        <w:rPr>
          <w:noProof/>
        </w:rPr>
      </w:pPr>
      <w:r>
        <w:rPr>
          <w:noProof/>
        </w:rPr>
        <w:tab/>
      </w:r>
      <w:bookmarkStart w:id="260" w:name="_Toc498514144"/>
      <w:r>
        <w:rPr>
          <w:noProof/>
        </w:rPr>
        <w:t>3.2.2.</w:t>
      </w:r>
      <w:r>
        <w:rPr>
          <w:noProof/>
        </w:rPr>
        <w:tab/>
        <w:t>Estimated impact on operational appropriations</w:t>
      </w:r>
      <w:bookmarkEnd w:id="260"/>
      <w:r>
        <w:rPr>
          <w:noProof/>
        </w:rPr>
        <w:t xml:space="preserve"> </w:t>
      </w:r>
    </w:p>
    <w:p>
      <w:pPr>
        <w:pStyle w:val="ManualHeading3"/>
        <w:rPr>
          <w:noProof/>
        </w:rPr>
      </w:pPr>
      <w:r>
        <w:rPr>
          <w:noProof/>
        </w:rPr>
        <w:tab/>
      </w:r>
      <w:bookmarkStart w:id="261" w:name="_Toc498514145"/>
      <w:r>
        <w:rPr>
          <w:noProof/>
        </w:rPr>
        <w:t>3.2.3.</w:t>
      </w:r>
      <w:r>
        <w:rPr>
          <w:noProof/>
        </w:rPr>
        <w:tab/>
        <w:t>Estimated impact on appropriations of an administrative nature</w:t>
      </w:r>
      <w:bookmarkEnd w:id="261"/>
    </w:p>
    <w:p>
      <w:pPr>
        <w:pStyle w:val="ManualHeading3"/>
        <w:rPr>
          <w:noProof/>
        </w:rPr>
      </w:pPr>
      <w:r>
        <w:rPr>
          <w:noProof/>
        </w:rPr>
        <w:tab/>
      </w:r>
      <w:bookmarkStart w:id="262" w:name="_Toc498514146"/>
      <w:r>
        <w:rPr>
          <w:noProof/>
        </w:rPr>
        <w:t>3.2.4.</w:t>
      </w:r>
      <w:r>
        <w:rPr>
          <w:noProof/>
        </w:rPr>
        <w:tab/>
        <w:t>Compatibility with the current multiannual financial framework</w:t>
      </w:r>
      <w:bookmarkEnd w:id="262"/>
    </w:p>
    <w:p>
      <w:pPr>
        <w:pStyle w:val="ManualHeading3"/>
        <w:rPr>
          <w:noProof/>
        </w:rPr>
      </w:pPr>
      <w:r>
        <w:rPr>
          <w:noProof/>
        </w:rPr>
        <w:tab/>
      </w:r>
      <w:bookmarkStart w:id="263" w:name="_Toc498514147"/>
      <w:r>
        <w:rPr>
          <w:noProof/>
        </w:rPr>
        <w:t>3.2.5.</w:t>
      </w:r>
      <w:r>
        <w:rPr>
          <w:noProof/>
        </w:rPr>
        <w:tab/>
        <w:t>Third-party contributions</w:t>
      </w:r>
      <w:bookmarkEnd w:id="263"/>
      <w:r>
        <w:rPr>
          <w:noProof/>
        </w:rPr>
        <w:t xml:space="preserve"> </w:t>
      </w:r>
    </w:p>
    <w:p>
      <w:pPr>
        <w:pStyle w:val="ManualHeading2"/>
        <w:jc w:val="left"/>
        <w:rPr>
          <w:b w:val="0"/>
          <w:noProof/>
        </w:rPr>
      </w:pPr>
      <w:r>
        <w:rPr>
          <w:b w:val="0"/>
          <w:noProof/>
        </w:rPr>
        <w:tab/>
      </w:r>
      <w:bookmarkStart w:id="264" w:name="_Toc498514148"/>
      <w:r>
        <w:rPr>
          <w:b w:val="0"/>
          <w:noProof/>
        </w:rPr>
        <w:t>3.3.</w:t>
      </w:r>
      <w:r>
        <w:rPr>
          <w:b w:val="0"/>
          <w:noProof/>
        </w:rPr>
        <w:tab/>
        <w:t>Estimated impact on revenue</w:t>
      </w:r>
      <w:bookmarkEnd w:id="264"/>
    </w:p>
    <w:p>
      <w:pPr>
        <w:pStyle w:val="Text1"/>
        <w:rPr>
          <w:noProof/>
        </w:rPr>
      </w:pPr>
    </w:p>
    <w:p>
      <w:pPr>
        <w:pStyle w:val="Text1"/>
        <w:rPr>
          <w:noProof/>
        </w:rPr>
        <w:sectPr>
          <w:pgSz w:w="11907" w:h="16840" w:code="9"/>
          <w:pgMar w:top="1134" w:right="1418" w:bottom="1134" w:left="1418" w:header="709" w:footer="709" w:gutter="0"/>
          <w:cols w:space="720"/>
          <w:docGrid w:linePitch="360"/>
        </w:sectPr>
      </w:pPr>
    </w:p>
    <w:p>
      <w:pPr>
        <w:jc w:val="center"/>
        <w:rPr>
          <w:b/>
          <w:noProof/>
          <w:u w:val="single"/>
        </w:rPr>
      </w:pPr>
      <w:r>
        <w:rPr>
          <w:b/>
          <w:noProof/>
          <w:u w:val="single"/>
        </w:rPr>
        <w:t>LEGISLATIVE FINANCIAL STATEMENT</w:t>
      </w:r>
    </w:p>
    <w:p>
      <w:pPr>
        <w:pStyle w:val="ManualHeading1"/>
        <w:rPr>
          <w:noProof/>
        </w:rPr>
      </w:pPr>
      <w:bookmarkStart w:id="265" w:name="_Toc498514149"/>
      <w:r>
        <w:t>1.</w:t>
      </w:r>
      <w:r>
        <w:tab/>
      </w:r>
      <w:r>
        <w:rPr>
          <w:noProof/>
        </w:rPr>
        <w:t>FRAMEWORK OF THE PROPOSAL/INITIATIVE</w:t>
      </w:r>
      <w:bookmarkEnd w:id="265"/>
      <w:r>
        <w:rPr>
          <w:noProof/>
        </w:rPr>
        <w:t xml:space="preserve"> </w:t>
      </w:r>
    </w:p>
    <w:p>
      <w:pPr>
        <w:pStyle w:val="ManualHeading2"/>
        <w:rPr>
          <w:noProof/>
        </w:rPr>
      </w:pPr>
      <w:bookmarkStart w:id="266" w:name="_Toc498514150"/>
      <w:r>
        <w:t>1.1.</w:t>
      </w:r>
      <w:r>
        <w:tab/>
      </w:r>
      <w:r>
        <w:rPr>
          <w:noProof/>
        </w:rPr>
        <w:t>Title of the proposal/initiative</w:t>
      </w:r>
      <w:bookmarkEnd w:id="266"/>
      <w:r>
        <w:rPr>
          <w:noProof/>
        </w:rPr>
        <w:t xml:space="preserve"> </w:t>
      </w:r>
    </w:p>
    <w:p>
      <w:pPr>
        <w:pStyle w:val="Text1"/>
        <w:pBdr>
          <w:top w:val="single" w:sz="4" w:space="1" w:color="auto"/>
          <w:left w:val="single" w:sz="4" w:space="4" w:color="auto"/>
          <w:bottom w:val="single" w:sz="4" w:space="1" w:color="auto"/>
          <w:right w:val="single" w:sz="4" w:space="4" w:color="auto"/>
        </w:pBdr>
        <w:rPr>
          <w:noProof/>
        </w:rPr>
      </w:pPr>
      <w:r>
        <w:rPr>
          <w:noProof/>
        </w:rPr>
        <w:t>Proposal for a Regulation of the European Parliament and the Council establishing interoperability between European Union information systems for security, border and migration management.</w:t>
      </w:r>
    </w:p>
    <w:p>
      <w:pPr>
        <w:pStyle w:val="ManualHeading2"/>
        <w:rPr>
          <w:noProof/>
          <w:szCs w:val="24"/>
        </w:rPr>
      </w:pPr>
      <w:bookmarkStart w:id="267" w:name="_Toc498514151"/>
      <w:r>
        <w:t>1.2.</w:t>
      </w:r>
      <w:r>
        <w:tab/>
      </w:r>
      <w:r>
        <w:rPr>
          <w:noProof/>
        </w:rPr>
        <w:t>Policy area(s) concerned</w:t>
      </w:r>
      <w:bookmarkEnd w:id="267"/>
      <w:r>
        <w:rPr>
          <w:i/>
          <w:noProof/>
        </w:rPr>
        <w:t xml:space="preserve"> </w:t>
      </w:r>
    </w:p>
    <w:p>
      <w:pPr>
        <w:pStyle w:val="Text1"/>
        <w:pBdr>
          <w:top w:val="single" w:sz="4" w:space="1" w:color="auto"/>
          <w:left w:val="single" w:sz="4" w:space="4" w:color="auto"/>
          <w:bottom w:val="single" w:sz="4" w:space="1" w:color="auto"/>
          <w:right w:val="single" w:sz="4" w:space="4" w:color="auto"/>
        </w:pBdr>
        <w:rPr>
          <w:noProof/>
        </w:rPr>
      </w:pPr>
      <w:r>
        <w:rPr>
          <w:noProof/>
        </w:rPr>
        <w:t>Home Affairs (title 18)</w:t>
      </w:r>
    </w:p>
    <w:p>
      <w:pPr>
        <w:pStyle w:val="ManualHeading2"/>
        <w:rPr>
          <w:bCs/>
          <w:noProof/>
          <w:szCs w:val="24"/>
        </w:rPr>
      </w:pPr>
      <w:bookmarkStart w:id="268" w:name="_Toc498514152"/>
      <w:r>
        <w:t>1.3.</w:t>
      </w:r>
      <w:r>
        <w:tab/>
      </w:r>
      <w:r>
        <w:rPr>
          <w:noProof/>
        </w:rPr>
        <w:t>Nature of the proposal/initiative</w:t>
      </w:r>
      <w:bookmarkEnd w:id="268"/>
      <w:r>
        <w:rPr>
          <w:noProof/>
        </w:rPr>
        <w:t xml:space="preserve"> </w:t>
      </w:r>
    </w:p>
    <w:p>
      <w:pPr>
        <w:pStyle w:val="Text1"/>
        <w:rPr>
          <w:b/>
          <w:noProof/>
          <w:sz w:val="22"/>
        </w:rPr>
      </w:pPr>
      <w:r>
        <w:rPr>
          <w:noProof/>
          <w:sz w:val="23"/>
          <w:szCs w:val="23"/>
        </w:rPr>
        <w:t>X</w:t>
      </w:r>
      <w:r>
        <w:rPr>
          <w:b/>
          <w:i/>
          <w:noProof/>
          <w:sz w:val="22"/>
        </w:rPr>
        <w:t xml:space="preserve"> </w:t>
      </w:r>
      <w:r>
        <w:rPr>
          <w:noProof/>
        </w:rPr>
        <w:t xml:space="preserve">The proposal/initiative relates to </w:t>
      </w:r>
      <w:r>
        <w:rPr>
          <w:b/>
          <w:noProof/>
        </w:rPr>
        <w:t>a new action</w:t>
      </w:r>
      <w:r>
        <w:rPr>
          <w:b/>
          <w:noProof/>
          <w:sz w:val="22"/>
        </w:rPr>
        <w:t xml:space="preserve"> </w:t>
      </w:r>
    </w:p>
    <w:p>
      <w:pPr>
        <w:pStyle w:val="Text1"/>
        <w:rPr>
          <w:noProof/>
          <w:sz w:val="22"/>
        </w:rPr>
      </w:pPr>
      <w:r>
        <w:rPr>
          <w:noProof/>
          <w:sz w:val="22"/>
        </w:rPr>
        <w:sym w:font="Wingdings" w:char="F0A8"/>
      </w:r>
      <w:r>
        <w:rPr>
          <w:i/>
          <w:noProof/>
          <w:sz w:val="22"/>
        </w:rPr>
        <w:t xml:space="preserve"> </w:t>
      </w:r>
      <w:r>
        <w:rPr>
          <w:noProof/>
        </w:rPr>
        <w:t xml:space="preserve">The proposal/initiative relates to </w:t>
      </w:r>
      <w:r>
        <w:rPr>
          <w:b/>
          <w:noProof/>
        </w:rPr>
        <w:t>a new action following a pilot project/preparatory action</w:t>
      </w:r>
      <w:r>
        <w:rPr>
          <w:rStyle w:val="FootnoteReference"/>
          <w:b/>
          <w:noProof/>
        </w:rPr>
        <w:footnoteReference w:id="78"/>
      </w:r>
      <w:r>
        <w:rPr>
          <w:noProof/>
          <w:sz w:val="22"/>
        </w:rPr>
        <w:t xml:space="preserve"> </w:t>
      </w:r>
    </w:p>
    <w:p>
      <w:pPr>
        <w:pStyle w:val="Text1"/>
        <w:rPr>
          <w:noProof/>
          <w:sz w:val="22"/>
        </w:rPr>
      </w:pPr>
      <w:r>
        <w:rPr>
          <w:noProof/>
          <w:sz w:val="22"/>
        </w:rPr>
        <w:sym w:font="Wingdings" w:char="F0A8"/>
      </w:r>
      <w:r>
        <w:rPr>
          <w:i/>
          <w:noProof/>
          <w:sz w:val="22"/>
        </w:rPr>
        <w:t xml:space="preserve"> </w:t>
      </w:r>
      <w:r>
        <w:rPr>
          <w:noProof/>
        </w:rPr>
        <w:t xml:space="preserve">The proposal/initiative relates to </w:t>
      </w:r>
      <w:r>
        <w:rPr>
          <w:b/>
          <w:noProof/>
        </w:rPr>
        <w:t>the extension of an existing action</w:t>
      </w:r>
      <w:r>
        <w:rPr>
          <w:noProof/>
          <w:sz w:val="22"/>
        </w:rPr>
        <w:t xml:space="preserve"> </w:t>
      </w:r>
    </w:p>
    <w:p>
      <w:pPr>
        <w:pStyle w:val="Text1"/>
        <w:rPr>
          <w:noProof/>
        </w:rPr>
      </w:pPr>
      <w:r>
        <w:rPr>
          <w:noProof/>
          <w:sz w:val="22"/>
        </w:rPr>
        <w:sym w:font="Wingdings" w:char="F0A8"/>
      </w:r>
      <w:r>
        <w:rPr>
          <w:i/>
          <w:noProof/>
          <w:sz w:val="22"/>
        </w:rPr>
        <w:t xml:space="preserve"> </w:t>
      </w:r>
      <w:r>
        <w:rPr>
          <w:noProof/>
        </w:rPr>
        <w:t xml:space="preserve">The proposal/initiative relates to </w:t>
      </w:r>
      <w:r>
        <w:rPr>
          <w:b/>
          <w:noProof/>
        </w:rPr>
        <w:t>an action redirected towards a new action</w:t>
      </w:r>
      <w:r>
        <w:rPr>
          <w:noProof/>
        </w:rPr>
        <w:t xml:space="preserve"> </w:t>
      </w:r>
    </w:p>
    <w:p>
      <w:pPr>
        <w:pStyle w:val="ManualHeading2"/>
        <w:rPr>
          <w:bCs/>
          <w:noProof/>
          <w:szCs w:val="24"/>
        </w:rPr>
      </w:pPr>
      <w:bookmarkStart w:id="269" w:name="_Toc498514153"/>
      <w:r>
        <w:t>1.4.</w:t>
      </w:r>
      <w:r>
        <w:tab/>
      </w:r>
      <w:r>
        <w:rPr>
          <w:noProof/>
        </w:rPr>
        <w:t>Objective(s)</w:t>
      </w:r>
      <w:bookmarkEnd w:id="269"/>
    </w:p>
    <w:p>
      <w:pPr>
        <w:pStyle w:val="ManualHeading3"/>
        <w:rPr>
          <w:noProof/>
        </w:rPr>
      </w:pPr>
      <w:bookmarkStart w:id="270" w:name="_Toc498514154"/>
      <w:r>
        <w:t>1.4.1.</w:t>
      </w:r>
      <w:r>
        <w:tab/>
      </w:r>
      <w:r>
        <w:rPr>
          <w:noProof/>
        </w:rPr>
        <w:t>The Commission's multiannual strategic objective(s) targeted by the proposal/initiative</w:t>
      </w:r>
      <w:bookmarkEnd w:id="270"/>
      <w:r>
        <w:rPr>
          <w:noProof/>
        </w:rPr>
        <w:t xml:space="preserve"> </w:t>
      </w:r>
    </w:p>
    <w:p>
      <w:pPr>
        <w:pStyle w:val="Text1"/>
        <w:pBdr>
          <w:top w:val="single" w:sz="4" w:space="1" w:color="auto"/>
          <w:left w:val="single" w:sz="4" w:space="4" w:color="auto"/>
          <w:bottom w:val="single" w:sz="4" w:space="1" w:color="auto"/>
          <w:right w:val="single" w:sz="4" w:space="4" w:color="auto"/>
        </w:pBdr>
        <w:rPr>
          <w:noProof/>
        </w:rPr>
      </w:pPr>
      <w:r>
        <w:rPr>
          <w:noProof/>
        </w:rPr>
        <w:t>Border management – saving lives and securing external borders</w:t>
      </w:r>
    </w:p>
    <w:p>
      <w:pPr>
        <w:pStyle w:val="Text1"/>
        <w:pBdr>
          <w:top w:val="single" w:sz="4" w:space="1" w:color="auto"/>
          <w:left w:val="single" w:sz="4" w:space="4" w:color="auto"/>
          <w:bottom w:val="single" w:sz="4" w:space="1" w:color="auto"/>
          <w:right w:val="single" w:sz="4" w:space="4" w:color="auto"/>
        </w:pBdr>
        <w:rPr>
          <w:noProof/>
        </w:rPr>
      </w:pPr>
      <w:r>
        <w:rPr>
          <w:noProof/>
        </w:rPr>
        <w:t>The interoperability components create the opportunity for a better use of the information contained in the existing EU systems for security, border and migration management. These measures mainly avoid that the same person is recorded in different systems with different identities. Currently, the unique identification of a person is possible within a given system but not across systems. This can lead to erroneous decisions by the authorities or conversely be used by male fide travellers to hide their real identity.</w:t>
      </w:r>
    </w:p>
    <w:p>
      <w:pPr>
        <w:pStyle w:val="Text1"/>
        <w:pBdr>
          <w:top w:val="single" w:sz="4" w:space="1" w:color="auto"/>
          <w:left w:val="single" w:sz="4" w:space="4" w:color="auto"/>
          <w:bottom w:val="single" w:sz="4" w:space="1" w:color="auto"/>
          <w:right w:val="single" w:sz="4" w:space="4" w:color="auto"/>
        </w:pBdr>
        <w:rPr>
          <w:noProof/>
        </w:rPr>
      </w:pPr>
      <w:r>
        <w:rPr>
          <w:noProof/>
        </w:rPr>
        <w:t>Better information exchange</w:t>
      </w:r>
    </w:p>
    <w:p>
      <w:pPr>
        <w:pStyle w:val="Text1"/>
        <w:pBdr>
          <w:top w:val="single" w:sz="4" w:space="1" w:color="auto"/>
          <w:left w:val="single" w:sz="4" w:space="4" w:color="auto"/>
          <w:bottom w:val="single" w:sz="4" w:space="1" w:color="auto"/>
          <w:right w:val="single" w:sz="4" w:space="4" w:color="auto"/>
        </w:pBdr>
        <w:rPr>
          <w:noProof/>
          <w:color w:val="000000" w:themeColor="text1"/>
        </w:rPr>
      </w:pPr>
      <w:r>
        <w:rPr>
          <w:noProof/>
        </w:rPr>
        <w:t>The proposed measures also provide a streamlined but still delimited access of law enforcement services to these data. But, unlike today, there is one single set of conditions rather than a different set for accessing each data collection.</w:t>
      </w:r>
    </w:p>
    <w:p>
      <w:pPr>
        <w:pStyle w:val="Text1"/>
        <w:pBdr>
          <w:top w:val="single" w:sz="4" w:space="1" w:color="auto"/>
          <w:left w:val="single" w:sz="4" w:space="4" w:color="auto"/>
          <w:bottom w:val="single" w:sz="4" w:space="1" w:color="auto"/>
          <w:right w:val="single" w:sz="4" w:space="4" w:color="auto"/>
        </w:pBdr>
        <w:rPr>
          <w:noProof/>
          <w:color w:val="000000" w:themeColor="text1"/>
        </w:rPr>
      </w:pPr>
    </w:p>
    <w:p>
      <w:pPr>
        <w:pStyle w:val="ManualHeading3"/>
        <w:rPr>
          <w:bCs/>
          <w:noProof/>
          <w:szCs w:val="24"/>
        </w:rPr>
      </w:pPr>
      <w:bookmarkStart w:id="271" w:name="_Toc498514155"/>
      <w:r>
        <w:t>1.4.2.</w:t>
      </w:r>
      <w:r>
        <w:tab/>
      </w:r>
      <w:r>
        <w:rPr>
          <w:noProof/>
        </w:rPr>
        <w:t>Specific objective(s) and Specific objective No [ ]</w:t>
      </w:r>
      <w:bookmarkEnd w:id="271"/>
      <w:r>
        <w:rPr>
          <w:noProof/>
        </w:rPr>
        <w:t xml:space="preserve"> </w:t>
      </w:r>
    </w:p>
    <w:p>
      <w:pPr>
        <w:pStyle w:val="Text1"/>
        <w:pBdr>
          <w:top w:val="single" w:sz="4" w:space="1" w:color="auto"/>
          <w:left w:val="single" w:sz="4" w:space="4" w:color="auto"/>
          <w:bottom w:val="single" w:sz="4" w:space="1" w:color="auto"/>
          <w:right w:val="single" w:sz="4" w:space="4" w:color="auto"/>
        </w:pBdr>
        <w:rPr>
          <w:noProof/>
        </w:rPr>
      </w:pPr>
      <w:r>
        <w:rPr>
          <w:noProof/>
        </w:rPr>
        <w:t>The establishment of the interoperability components has the following general objectives:</w:t>
      </w:r>
    </w:p>
    <w:p>
      <w:pPr>
        <w:pStyle w:val="Point1letter"/>
        <w:numPr>
          <w:ilvl w:val="3"/>
          <w:numId w:val="114"/>
        </w:numPr>
        <w:rPr>
          <w:noProof/>
        </w:rPr>
      </w:pPr>
      <w:r>
        <w:rPr>
          <w:noProof/>
        </w:rPr>
        <w:t>to improve the management of the external borders;</w:t>
      </w:r>
    </w:p>
    <w:p>
      <w:pPr>
        <w:pStyle w:val="Point1letter"/>
        <w:rPr>
          <w:noProof/>
        </w:rPr>
      </w:pPr>
      <w:r>
        <w:rPr>
          <w:noProof/>
        </w:rPr>
        <w:t>to contribute to preventing and combating irregular migration; and</w:t>
      </w:r>
    </w:p>
    <w:p>
      <w:pPr>
        <w:pStyle w:val="Point1letter"/>
        <w:rPr>
          <w:noProof/>
        </w:rPr>
      </w:pPr>
      <w:r>
        <w:rPr>
          <w:noProof/>
        </w:rPr>
        <w:t>to contribute to a high level of security within the area of freedom, security and justice of the Union including the maintenance of public security and public policy and safeguarding the security in the territories of the Member States.</w:t>
      </w:r>
    </w:p>
    <w:p>
      <w:pPr>
        <w:pStyle w:val="Text1"/>
        <w:pBdr>
          <w:top w:val="single" w:sz="4" w:space="1" w:color="auto"/>
          <w:left w:val="single" w:sz="4" w:space="4" w:color="auto"/>
          <w:bottom w:val="single" w:sz="4" w:space="1" w:color="auto"/>
          <w:right w:val="single" w:sz="4" w:space="4" w:color="auto"/>
        </w:pBdr>
        <w:rPr>
          <w:noProof/>
        </w:rPr>
      </w:pPr>
      <w:r>
        <w:rPr>
          <w:noProof/>
        </w:rPr>
        <w:t>The objectives of ensuring interoperability shall be achieved by:</w:t>
      </w:r>
    </w:p>
    <w:p>
      <w:pPr>
        <w:pStyle w:val="Text1"/>
        <w:pBdr>
          <w:top w:val="single" w:sz="4" w:space="1" w:color="auto"/>
          <w:left w:val="single" w:sz="4" w:space="4" w:color="auto"/>
          <w:bottom w:val="single" w:sz="4" w:space="1" w:color="auto"/>
          <w:right w:val="single" w:sz="4" w:space="4" w:color="auto"/>
        </w:pBdr>
        <w:rPr>
          <w:noProof/>
        </w:rPr>
      </w:pPr>
      <w:r>
        <w:rPr>
          <w:noProof/>
        </w:rPr>
        <w:t>(a)</w:t>
      </w:r>
      <w:r>
        <w:rPr>
          <w:noProof/>
        </w:rPr>
        <w:tab/>
        <w:t>ensuring the correct identification of persons;</w:t>
      </w:r>
    </w:p>
    <w:p>
      <w:pPr>
        <w:pStyle w:val="Text1"/>
        <w:pBdr>
          <w:top w:val="single" w:sz="4" w:space="1" w:color="auto"/>
          <w:left w:val="single" w:sz="4" w:space="4" w:color="auto"/>
          <w:bottom w:val="single" w:sz="4" w:space="1" w:color="auto"/>
          <w:right w:val="single" w:sz="4" w:space="4" w:color="auto"/>
        </w:pBdr>
        <w:rPr>
          <w:noProof/>
        </w:rPr>
      </w:pPr>
      <w:r>
        <w:rPr>
          <w:noProof/>
        </w:rPr>
        <w:t>(b)</w:t>
      </w:r>
      <w:r>
        <w:rPr>
          <w:noProof/>
        </w:rPr>
        <w:tab/>
        <w:t>contributing to fighting identity fraud;</w:t>
      </w:r>
    </w:p>
    <w:p>
      <w:pPr>
        <w:pStyle w:val="Text1"/>
        <w:pBdr>
          <w:top w:val="single" w:sz="4" w:space="1" w:color="auto"/>
          <w:left w:val="single" w:sz="4" w:space="4" w:color="auto"/>
          <w:bottom w:val="single" w:sz="4" w:space="1" w:color="auto"/>
          <w:right w:val="single" w:sz="4" w:space="4" w:color="auto"/>
        </w:pBdr>
        <w:rPr>
          <w:noProof/>
        </w:rPr>
      </w:pPr>
      <w:r>
        <w:rPr>
          <w:noProof/>
        </w:rPr>
        <w:t>(c)</w:t>
      </w:r>
      <w:r>
        <w:rPr>
          <w:noProof/>
        </w:rPr>
        <w:tab/>
        <w:t>improving and harmonising data quality requirements of the respective EU information systems;</w:t>
      </w:r>
    </w:p>
    <w:p>
      <w:pPr>
        <w:pStyle w:val="Text1"/>
        <w:pBdr>
          <w:top w:val="single" w:sz="4" w:space="1" w:color="auto"/>
          <w:left w:val="single" w:sz="4" w:space="4" w:color="auto"/>
          <w:bottom w:val="single" w:sz="4" w:space="1" w:color="auto"/>
          <w:right w:val="single" w:sz="4" w:space="4" w:color="auto"/>
        </w:pBdr>
        <w:rPr>
          <w:noProof/>
        </w:rPr>
      </w:pPr>
      <w:r>
        <w:rPr>
          <w:noProof/>
        </w:rPr>
        <w:t>(d)</w:t>
      </w:r>
      <w:r>
        <w:rPr>
          <w:noProof/>
        </w:rPr>
        <w:tab/>
        <w:t>facilitating the technical and operational implementation by Member States of existing and future EU information systems;</w:t>
      </w:r>
    </w:p>
    <w:p>
      <w:pPr>
        <w:pStyle w:val="Text1"/>
        <w:pBdr>
          <w:top w:val="single" w:sz="4" w:space="1" w:color="auto"/>
          <w:left w:val="single" w:sz="4" w:space="4" w:color="auto"/>
          <w:bottom w:val="single" w:sz="4" w:space="1" w:color="auto"/>
          <w:right w:val="single" w:sz="4" w:space="4" w:color="auto"/>
        </w:pBdr>
        <w:rPr>
          <w:noProof/>
        </w:rPr>
      </w:pPr>
      <w:r>
        <w:rPr>
          <w:noProof/>
        </w:rPr>
        <w:t>(e)</w:t>
      </w:r>
      <w:r>
        <w:rPr>
          <w:noProof/>
        </w:rPr>
        <w:tab/>
        <w:t>strengthening and simplifying and making more uniform the data security and data protection conditions that govern the respective EU information systems;</w:t>
      </w:r>
    </w:p>
    <w:p>
      <w:pPr>
        <w:pStyle w:val="Text1"/>
        <w:pBdr>
          <w:top w:val="single" w:sz="4" w:space="1" w:color="auto"/>
          <w:left w:val="single" w:sz="4" w:space="4" w:color="auto"/>
          <w:bottom w:val="single" w:sz="4" w:space="1" w:color="auto"/>
          <w:right w:val="single" w:sz="4" w:space="4" w:color="auto"/>
        </w:pBdr>
        <w:rPr>
          <w:noProof/>
        </w:rPr>
      </w:pPr>
      <w:r>
        <w:rPr>
          <w:noProof/>
        </w:rPr>
        <w:t>(f)</w:t>
      </w:r>
      <w:r>
        <w:rPr>
          <w:noProof/>
        </w:rPr>
        <w:tab/>
        <w:t>simplifying and making more uniform the conditions for law enforcement access to the EES, the VIS, the ETIAS and Eurodac;</w:t>
      </w:r>
    </w:p>
    <w:p>
      <w:pPr>
        <w:pStyle w:val="Text1"/>
        <w:pBdr>
          <w:top w:val="single" w:sz="4" w:space="1" w:color="auto"/>
          <w:left w:val="single" w:sz="4" w:space="4" w:color="auto"/>
          <w:bottom w:val="single" w:sz="4" w:space="1" w:color="auto"/>
          <w:right w:val="single" w:sz="4" w:space="4" w:color="auto"/>
        </w:pBdr>
        <w:rPr>
          <w:noProof/>
        </w:rPr>
      </w:pPr>
      <w:r>
        <w:rPr>
          <w:noProof/>
        </w:rPr>
        <w:t>(g)</w:t>
      </w:r>
      <w:r>
        <w:rPr>
          <w:noProof/>
        </w:rPr>
        <w:tab/>
        <w:t>supporting the purposes of the EES, the VIS, the ETIAS, Eurodac, the SIS and the ECRIS-TCN System</w:t>
      </w:r>
    </w:p>
    <w:p>
      <w:pPr>
        <w:pStyle w:val="Text1"/>
        <w:pBdr>
          <w:top w:val="single" w:sz="4" w:space="1" w:color="auto"/>
          <w:left w:val="single" w:sz="4" w:space="4" w:color="auto"/>
          <w:bottom w:val="single" w:sz="4" w:space="1" w:color="auto"/>
          <w:right w:val="single" w:sz="4" w:space="4" w:color="auto"/>
        </w:pBdr>
        <w:rPr>
          <w:noProof/>
        </w:rPr>
      </w:pPr>
      <w:r>
        <w:rPr>
          <w:noProof/>
        </w:rPr>
        <w:t>ABM/ABB activity(ies) concerned</w:t>
      </w:r>
    </w:p>
    <w:p>
      <w:pPr>
        <w:pStyle w:val="Text1"/>
        <w:pBdr>
          <w:top w:val="single" w:sz="4" w:space="1" w:color="auto"/>
          <w:left w:val="single" w:sz="4" w:space="4" w:color="auto"/>
          <w:bottom w:val="single" w:sz="4" w:space="1" w:color="auto"/>
          <w:right w:val="single" w:sz="4" w:space="4" w:color="auto"/>
        </w:pBdr>
        <w:rPr>
          <w:noProof/>
        </w:rPr>
      </w:pPr>
      <w:r>
        <w:rPr>
          <w:noProof/>
        </w:rPr>
        <w:t>Chapter Security and Safeguarding Liberties: Internal Security</w:t>
      </w:r>
    </w:p>
    <w:p>
      <w:pPr>
        <w:pStyle w:val="Text1"/>
        <w:pBdr>
          <w:top w:val="single" w:sz="4" w:space="1" w:color="auto"/>
          <w:left w:val="single" w:sz="4" w:space="4" w:color="auto"/>
          <w:bottom w:val="single" w:sz="4" w:space="1" w:color="auto"/>
          <w:right w:val="single" w:sz="4" w:space="4" w:color="auto"/>
        </w:pBdr>
        <w:rPr>
          <w:noProof/>
        </w:rPr>
      </w:pPr>
    </w:p>
    <w:p>
      <w:pPr>
        <w:pStyle w:val="ManualHeading3"/>
        <w:rPr>
          <w:bCs/>
          <w:noProof/>
          <w:szCs w:val="24"/>
        </w:rPr>
      </w:pPr>
      <w:r>
        <w:rPr>
          <w:noProof/>
        </w:rPr>
        <w:br w:type="page"/>
      </w:r>
      <w:bookmarkStart w:id="272" w:name="_Toc498514156"/>
      <w:r>
        <w:t>1.4.3.</w:t>
      </w:r>
      <w:r>
        <w:tab/>
      </w:r>
      <w:r>
        <w:rPr>
          <w:noProof/>
        </w:rPr>
        <w:t>Expected result(s) and impact</w:t>
      </w:r>
      <w:bookmarkEnd w:id="272"/>
    </w:p>
    <w:p>
      <w:pPr>
        <w:pStyle w:val="Text1"/>
        <w:rPr>
          <w:i/>
          <w:noProof/>
          <w:sz w:val="20"/>
        </w:rPr>
      </w:pPr>
      <w:r>
        <w:rPr>
          <w:i/>
          <w:noProof/>
          <w:sz w:val="20"/>
        </w:rPr>
        <w:t>Specify the effects which the proposal/initiative should have on the beneficiaries/groups targeted.</w:t>
      </w:r>
    </w:p>
    <w:p>
      <w:pPr>
        <w:pStyle w:val="Text1"/>
        <w:pBdr>
          <w:top w:val="single" w:sz="4" w:space="1" w:color="auto"/>
          <w:left w:val="single" w:sz="4" w:space="4" w:color="auto"/>
          <w:bottom w:val="single" w:sz="4" w:space="1" w:color="auto"/>
          <w:right w:val="single" w:sz="4" w:space="4" w:color="auto"/>
        </w:pBdr>
        <w:rPr>
          <w:noProof/>
        </w:rPr>
      </w:pPr>
      <w:r>
        <w:rPr>
          <w:noProof/>
        </w:rPr>
        <w:t>The general objectives of this initiative result from the two Treaty-based goals:</w:t>
      </w:r>
    </w:p>
    <w:p>
      <w:pPr>
        <w:pStyle w:val="Text1"/>
        <w:pBdr>
          <w:top w:val="single" w:sz="4" w:space="1" w:color="auto"/>
          <w:left w:val="single" w:sz="4" w:space="4" w:color="auto"/>
          <w:bottom w:val="single" w:sz="4" w:space="1" w:color="auto"/>
          <w:right w:val="single" w:sz="4" w:space="4" w:color="auto"/>
        </w:pBdr>
        <w:rPr>
          <w:noProof/>
        </w:rPr>
      </w:pPr>
      <w:r>
        <w:rPr>
          <w:noProof/>
        </w:rPr>
        <w:tab/>
        <w:t>1. To improve the management of the Schengen external borders, building on the European Agenda on Migration and subsequent communications, including the Communication on preserving and strengthening Schengen area.</w:t>
      </w:r>
    </w:p>
    <w:p>
      <w:pPr>
        <w:pStyle w:val="Text1"/>
        <w:pBdr>
          <w:top w:val="single" w:sz="4" w:space="1" w:color="auto"/>
          <w:left w:val="single" w:sz="4" w:space="4" w:color="auto"/>
          <w:bottom w:val="single" w:sz="4" w:space="1" w:color="auto"/>
          <w:right w:val="single" w:sz="4" w:space="4" w:color="auto"/>
        </w:pBdr>
        <w:rPr>
          <w:noProof/>
        </w:rPr>
      </w:pPr>
      <w:r>
        <w:rPr>
          <w:noProof/>
        </w:rPr>
        <w:tab/>
        <w:t>2. To contribute to the internal security of the European Union, building on the European Agenda on Security and the Commission's work towards an effective and genuine Security Union.</w:t>
      </w:r>
    </w:p>
    <w:p>
      <w:pPr>
        <w:pStyle w:val="Text1"/>
        <w:pBdr>
          <w:top w:val="single" w:sz="4" w:space="1" w:color="auto"/>
          <w:left w:val="single" w:sz="4" w:space="4" w:color="auto"/>
          <w:bottom w:val="single" w:sz="4" w:space="1" w:color="auto"/>
          <w:right w:val="single" w:sz="4" w:space="4" w:color="auto"/>
        </w:pBdr>
        <w:rPr>
          <w:noProof/>
        </w:rPr>
      </w:pPr>
      <w:r>
        <w:rPr>
          <w:noProof/>
        </w:rPr>
        <w:t>The specific policy objectives of this interoperability initiative are:</w:t>
      </w:r>
    </w:p>
    <w:p>
      <w:pPr>
        <w:pStyle w:val="Text1"/>
        <w:pBdr>
          <w:top w:val="single" w:sz="4" w:space="1" w:color="auto"/>
          <w:left w:val="single" w:sz="4" w:space="4" w:color="auto"/>
          <w:bottom w:val="single" w:sz="4" w:space="1" w:color="auto"/>
          <w:right w:val="single" w:sz="4" w:space="4" w:color="auto"/>
        </w:pBdr>
        <w:rPr>
          <w:noProof/>
        </w:rPr>
      </w:pPr>
      <w:r>
        <w:rPr>
          <w:noProof/>
        </w:rPr>
        <w:t>The specific objectives of this proposal are to:</w:t>
      </w:r>
    </w:p>
    <w:p>
      <w:pPr>
        <w:pStyle w:val="Text1"/>
        <w:pBdr>
          <w:top w:val="single" w:sz="4" w:space="1" w:color="auto"/>
          <w:left w:val="single" w:sz="4" w:space="4" w:color="auto"/>
          <w:bottom w:val="single" w:sz="4" w:space="1" w:color="auto"/>
          <w:right w:val="single" w:sz="4" w:space="4" w:color="auto"/>
        </w:pBdr>
        <w:rPr>
          <w:noProof/>
        </w:rPr>
      </w:pPr>
      <w:r>
        <w:rPr>
          <w:noProof/>
        </w:rPr>
        <w:t>1.</w:t>
      </w:r>
      <w:r>
        <w:rPr>
          <w:noProof/>
        </w:rPr>
        <w:tab/>
        <w:t>ensure that end-users, particularly border guards, law enforcement officers, immigration officials and judicial authorities have fast, seamless, systematic and controlled access to the information that they need to perform their tasks;</w:t>
      </w:r>
    </w:p>
    <w:p>
      <w:pPr>
        <w:pStyle w:val="Text1"/>
        <w:pBdr>
          <w:top w:val="single" w:sz="4" w:space="1" w:color="auto"/>
          <w:left w:val="single" w:sz="4" w:space="4" w:color="auto"/>
          <w:bottom w:val="single" w:sz="4" w:space="1" w:color="auto"/>
          <w:right w:val="single" w:sz="4" w:space="4" w:color="auto"/>
        </w:pBdr>
        <w:rPr>
          <w:noProof/>
        </w:rPr>
      </w:pPr>
      <w:r>
        <w:rPr>
          <w:noProof/>
        </w:rPr>
        <w:t>2.</w:t>
      </w:r>
      <w:r>
        <w:rPr>
          <w:noProof/>
        </w:rPr>
        <w:tab/>
        <w:t>provide a solution to detect multiple identities linked to the same set of biometric data, with the dual purpose of ensuring the correct identification of bona fide persons and combating identity fraud;</w:t>
      </w:r>
    </w:p>
    <w:p>
      <w:pPr>
        <w:pStyle w:val="Text1"/>
        <w:pBdr>
          <w:top w:val="single" w:sz="4" w:space="1" w:color="auto"/>
          <w:left w:val="single" w:sz="4" w:space="4" w:color="auto"/>
          <w:bottom w:val="single" w:sz="4" w:space="1" w:color="auto"/>
          <w:right w:val="single" w:sz="4" w:space="4" w:color="auto"/>
        </w:pBdr>
        <w:rPr>
          <w:noProof/>
        </w:rPr>
      </w:pPr>
      <w:r>
        <w:rPr>
          <w:noProof/>
        </w:rPr>
        <w:t>3.</w:t>
      </w:r>
      <w:r>
        <w:rPr>
          <w:noProof/>
        </w:rPr>
        <w:tab/>
        <w:t>facilitate identity checks of third-country nationals, on the territory of a Member State, by police authorities; and</w:t>
      </w:r>
    </w:p>
    <w:p>
      <w:pPr>
        <w:pStyle w:val="Text1"/>
        <w:pBdr>
          <w:top w:val="single" w:sz="4" w:space="1" w:color="auto"/>
          <w:left w:val="single" w:sz="4" w:space="4" w:color="auto"/>
          <w:bottom w:val="single" w:sz="4" w:space="1" w:color="auto"/>
          <w:right w:val="single" w:sz="4" w:space="4" w:color="auto"/>
        </w:pBdr>
        <w:rPr>
          <w:noProof/>
        </w:rPr>
      </w:pPr>
      <w:r>
        <w:rPr>
          <w:noProof/>
        </w:rPr>
        <w:t>4.</w:t>
      </w:r>
      <w:r>
        <w:rPr>
          <w:noProof/>
        </w:rPr>
        <w:tab/>
        <w:t>facilitate and streamline access by law enforcement authorities to non-law enforcement information systems at EU level, where necessary for the prevention, investigation, detection or prosecution of serious crime and terrorism.</w:t>
      </w:r>
      <w:r>
        <w:rPr>
          <w:noProof/>
        </w:rPr>
        <w:tab/>
      </w:r>
    </w:p>
    <w:p>
      <w:pPr>
        <w:pStyle w:val="Text1"/>
        <w:pBdr>
          <w:top w:val="single" w:sz="4" w:space="1" w:color="auto"/>
          <w:left w:val="single" w:sz="4" w:space="4" w:color="auto"/>
          <w:bottom w:val="single" w:sz="4" w:space="1" w:color="auto"/>
          <w:right w:val="single" w:sz="4" w:space="4" w:color="auto"/>
        </w:pBdr>
        <w:rPr>
          <w:noProof/>
        </w:rPr>
      </w:pPr>
      <w:r>
        <w:rPr>
          <w:noProof/>
        </w:rPr>
        <w:t>To meet the specific objective 1, the European search portal (ESP) will be developed.</w:t>
      </w:r>
    </w:p>
    <w:p>
      <w:pPr>
        <w:pStyle w:val="Text1"/>
        <w:pBdr>
          <w:top w:val="single" w:sz="4" w:space="1" w:color="auto"/>
          <w:left w:val="single" w:sz="4" w:space="4" w:color="auto"/>
          <w:bottom w:val="single" w:sz="4" w:space="1" w:color="auto"/>
          <w:right w:val="single" w:sz="4" w:space="4" w:color="auto"/>
        </w:pBdr>
        <w:rPr>
          <w:noProof/>
        </w:rPr>
      </w:pPr>
      <w:r>
        <w:rPr>
          <w:noProof/>
        </w:rPr>
        <w:t>To meet the specific objective 2, the multiple identity detector (MID) will be put in place, supported by the common identity repository (CIR) and the shared biometric matching service (shared BMS).</w:t>
      </w:r>
    </w:p>
    <w:p>
      <w:pPr>
        <w:pStyle w:val="Text1"/>
        <w:pBdr>
          <w:top w:val="single" w:sz="4" w:space="1" w:color="auto"/>
          <w:left w:val="single" w:sz="4" w:space="4" w:color="auto"/>
          <w:bottom w:val="single" w:sz="4" w:space="1" w:color="auto"/>
          <w:right w:val="single" w:sz="4" w:space="4" w:color="auto"/>
        </w:pBdr>
        <w:rPr>
          <w:noProof/>
        </w:rPr>
      </w:pPr>
      <w:r>
        <w:rPr>
          <w:noProof/>
        </w:rPr>
        <w:t xml:space="preserve">To meet the specific objective 3, authorised officials will be granted access to the  CIR for the purpose of identification.  </w:t>
      </w:r>
    </w:p>
    <w:p>
      <w:pPr>
        <w:pStyle w:val="Text1"/>
        <w:pBdr>
          <w:top w:val="single" w:sz="4" w:space="1" w:color="auto"/>
          <w:left w:val="single" w:sz="4" w:space="4" w:color="auto"/>
          <w:bottom w:val="single" w:sz="4" w:space="1" w:color="auto"/>
          <w:right w:val="single" w:sz="4" w:space="4" w:color="auto"/>
        </w:pBdr>
        <w:rPr>
          <w:noProof/>
        </w:rPr>
      </w:pPr>
      <w:r>
        <w:rPr>
          <w:noProof/>
        </w:rPr>
        <w:t>To meet objective 4 the CIR will contain a hit-flag functionality which will allow for a two-step approach for law enforcement access to border management systems.</w:t>
      </w:r>
    </w:p>
    <w:p>
      <w:pPr>
        <w:pStyle w:val="Text1"/>
        <w:pBdr>
          <w:top w:val="single" w:sz="4" w:space="1" w:color="auto"/>
          <w:left w:val="single" w:sz="4" w:space="4" w:color="auto"/>
          <w:bottom w:val="single" w:sz="4" w:space="1" w:color="auto"/>
          <w:right w:val="single" w:sz="4" w:space="4" w:color="auto"/>
        </w:pBdr>
        <w:rPr>
          <w:noProof/>
        </w:rPr>
      </w:pPr>
      <w:r>
        <w:rPr>
          <w:noProof/>
        </w:rPr>
        <w:t>In addition to these four interoperability components the objectives described in section 1.4.2 will be furthermore be supported by the establishment and governance of the Universal Message Format (UMF) as an EU standard for the development of information systems in the area of justice and home affairs, and by the establishment of a common repository for reporting and statistics (CRRS).</w:t>
      </w:r>
    </w:p>
    <w:p>
      <w:pPr>
        <w:pStyle w:val="ManualHeading3"/>
        <w:rPr>
          <w:bCs/>
          <w:noProof/>
          <w:szCs w:val="24"/>
        </w:rPr>
      </w:pPr>
      <w:bookmarkStart w:id="273" w:name="_Toc498514157"/>
      <w:r>
        <w:t>1.4.4.</w:t>
      </w:r>
      <w:r>
        <w:tab/>
      </w:r>
      <w:r>
        <w:rPr>
          <w:noProof/>
        </w:rPr>
        <w:t>Indicators of results and impact</w:t>
      </w:r>
      <w:bookmarkEnd w:id="273"/>
      <w:r>
        <w:rPr>
          <w:noProof/>
        </w:rPr>
        <w:t xml:space="preserve"> </w:t>
      </w:r>
    </w:p>
    <w:p>
      <w:pPr>
        <w:pStyle w:val="Text1"/>
        <w:rPr>
          <w:i/>
          <w:noProof/>
          <w:sz w:val="20"/>
        </w:rPr>
      </w:pPr>
      <w:r>
        <w:rPr>
          <w:i/>
          <w:noProof/>
          <w:sz w:val="20"/>
        </w:rPr>
        <w:t>Specify the indicators for monitoring implementation of the proposal/initiative.</w:t>
      </w:r>
    </w:p>
    <w:p>
      <w:pPr>
        <w:pStyle w:val="Text1"/>
        <w:pBdr>
          <w:top w:val="single" w:sz="4" w:space="1" w:color="auto"/>
          <w:left w:val="single" w:sz="4" w:space="4" w:color="auto"/>
          <w:bottom w:val="single" w:sz="4" w:space="1" w:color="auto"/>
          <w:right w:val="single" w:sz="4" w:space="4" w:color="auto"/>
        </w:pBdr>
        <w:rPr>
          <w:noProof/>
        </w:rPr>
      </w:pPr>
      <w:r>
        <w:rPr>
          <w:noProof/>
        </w:rPr>
        <w:t>Each of the measures proposed requires the development, followed by the maintenance and operations, of that component.</w:t>
      </w:r>
    </w:p>
    <w:p>
      <w:pPr>
        <w:pStyle w:val="Text1"/>
        <w:pBdr>
          <w:top w:val="single" w:sz="4" w:space="1" w:color="auto"/>
          <w:left w:val="single" w:sz="4" w:space="4" w:color="auto"/>
          <w:bottom w:val="single" w:sz="4" w:space="1" w:color="auto"/>
          <w:right w:val="single" w:sz="4" w:space="4" w:color="auto"/>
        </w:pBdr>
        <w:rPr>
          <w:noProof/>
        </w:rPr>
      </w:pPr>
      <w:r>
        <w:rPr>
          <w:noProof/>
        </w:rPr>
        <w:t>During the development</w:t>
      </w:r>
    </w:p>
    <w:p>
      <w:pPr>
        <w:pStyle w:val="Text1"/>
        <w:pBdr>
          <w:top w:val="single" w:sz="4" w:space="1" w:color="auto"/>
          <w:left w:val="single" w:sz="4" w:space="4" w:color="auto"/>
          <w:bottom w:val="single" w:sz="4" w:space="1" w:color="auto"/>
          <w:right w:val="single" w:sz="4" w:space="4" w:color="auto"/>
        </w:pBdr>
        <w:rPr>
          <w:noProof/>
        </w:rPr>
      </w:pPr>
      <w:r>
        <w:rPr>
          <w:noProof/>
        </w:rPr>
        <w:t>The development of each component will be done once the prerequisites are fulfilled i.e. the legal proposal is adopted by the co-legislators and the technical prerequisites fulfilled, as some components can only be built once another one is available.</w:t>
      </w:r>
    </w:p>
    <w:p>
      <w:pPr>
        <w:pStyle w:val="Text1"/>
        <w:pBdr>
          <w:top w:val="single" w:sz="4" w:space="1" w:color="auto"/>
          <w:left w:val="single" w:sz="4" w:space="4" w:color="auto"/>
          <w:bottom w:val="single" w:sz="4" w:space="1" w:color="auto"/>
          <w:right w:val="single" w:sz="4" w:space="4" w:color="auto"/>
        </w:pBdr>
        <w:rPr>
          <w:noProof/>
        </w:rPr>
      </w:pPr>
      <w:r>
        <w:rPr>
          <w:noProof/>
        </w:rPr>
        <w:t>Specific objective: ready for operations by the target due date</w:t>
      </w:r>
    </w:p>
    <w:p>
      <w:pPr>
        <w:pStyle w:val="Text1"/>
        <w:pBdr>
          <w:top w:val="single" w:sz="4" w:space="1" w:color="auto"/>
          <w:left w:val="single" w:sz="4" w:space="4" w:color="auto"/>
          <w:bottom w:val="single" w:sz="4" w:space="1" w:color="auto"/>
          <w:right w:val="single" w:sz="4" w:space="4" w:color="auto"/>
        </w:pBdr>
        <w:rPr>
          <w:noProof/>
        </w:rPr>
      </w:pPr>
      <w:r>
        <w:rPr>
          <w:noProof/>
        </w:rPr>
        <w:t>By the end of 2017, the proposal is sent to the co-legislators for their adoption. The assumption is made that the adoption process will be completed during 2018 by analogy with the time taken for other proposals.</w:t>
      </w:r>
    </w:p>
    <w:p>
      <w:pPr>
        <w:pStyle w:val="Text1"/>
        <w:pBdr>
          <w:top w:val="single" w:sz="4" w:space="1" w:color="auto"/>
          <w:left w:val="single" w:sz="4" w:space="4" w:color="auto"/>
          <w:bottom w:val="single" w:sz="4" w:space="1" w:color="auto"/>
          <w:right w:val="single" w:sz="4" w:space="4" w:color="auto"/>
        </w:pBdr>
        <w:rPr>
          <w:noProof/>
        </w:rPr>
      </w:pPr>
      <w:r>
        <w:rPr>
          <w:noProof/>
        </w:rPr>
        <w:t>Under that assumption, the start of the development period is set at the beginning of 2019 (= T0) in order to have a reference point from where durations are counted and not absolute dates. If adoption by co-legislators occurs at a later date, the whole schedule shifts accordingly. On the other hand, the shared BMS needs to be available before the CIR and the MID can be completed. The durations of development are indicated on the chart below:</w:t>
      </w:r>
    </w:p>
    <w:p>
      <w:pPr>
        <w:pStyle w:val="Text1"/>
        <w:pBdr>
          <w:top w:val="single" w:sz="4" w:space="1" w:color="auto"/>
          <w:left w:val="single" w:sz="4" w:space="4" w:color="auto"/>
          <w:bottom w:val="single" w:sz="4" w:space="1" w:color="auto"/>
          <w:right w:val="single" w:sz="4" w:space="4" w:color="auto"/>
        </w:pBdr>
        <w:rPr>
          <w:noProof/>
        </w:rPr>
      </w:pPr>
      <w:r>
        <w:rPr>
          <w:noProof/>
          <w:lang w:val="en-US"/>
        </w:rPr>
        <w:drawing>
          <wp:inline distT="0" distB="0" distL="0" distR="0">
            <wp:extent cx="5125674" cy="1635004"/>
            <wp:effectExtent l="0" t="0" r="0" b="381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130623" cy="1636583"/>
                    </a:xfrm>
                    <a:prstGeom prst="rect">
                      <a:avLst/>
                    </a:prstGeom>
                    <a:noFill/>
                    <a:ln>
                      <a:noFill/>
                    </a:ln>
                  </pic:spPr>
                </pic:pic>
              </a:graphicData>
            </a:graphic>
          </wp:inline>
        </w:drawing>
      </w:r>
    </w:p>
    <w:p>
      <w:pPr>
        <w:pStyle w:val="Text1"/>
        <w:pBdr>
          <w:top w:val="single" w:sz="4" w:space="1" w:color="auto"/>
          <w:left w:val="single" w:sz="4" w:space="4" w:color="auto"/>
          <w:bottom w:val="single" w:sz="4" w:space="1" w:color="auto"/>
          <w:right w:val="single" w:sz="4" w:space="4" w:color="auto"/>
        </w:pBdr>
        <w:rPr>
          <w:noProof/>
        </w:rPr>
      </w:pPr>
      <w:r>
        <w:rPr>
          <w:noProof/>
        </w:rPr>
        <w:t>(Block in yellow relates to a specific Eurodac-related task.)</w:t>
      </w:r>
    </w:p>
    <w:p>
      <w:pPr>
        <w:pStyle w:val="Text1"/>
        <w:pBdr>
          <w:top w:val="single" w:sz="4" w:space="1" w:color="auto"/>
          <w:left w:val="single" w:sz="4" w:space="4" w:color="auto"/>
          <w:bottom w:val="single" w:sz="4" w:space="1" w:color="auto"/>
          <w:right w:val="single" w:sz="4" w:space="4" w:color="auto"/>
        </w:pBdr>
        <w:rPr>
          <w:noProof/>
        </w:rPr>
      </w:pPr>
      <w:r>
        <w:rPr>
          <w:noProof/>
        </w:rPr>
        <w:t>- Common repository for reporting and statistics (CRRS): due date: T0 + 12 months (2019-2020)</w:t>
      </w:r>
    </w:p>
    <w:p>
      <w:pPr>
        <w:pStyle w:val="Text1"/>
        <w:pBdr>
          <w:top w:val="single" w:sz="4" w:space="1" w:color="auto"/>
          <w:left w:val="single" w:sz="4" w:space="4" w:color="auto"/>
          <w:bottom w:val="single" w:sz="4" w:space="1" w:color="auto"/>
          <w:right w:val="single" w:sz="4" w:space="4" w:color="auto"/>
        </w:pBdr>
        <w:rPr>
          <w:noProof/>
        </w:rPr>
      </w:pPr>
      <w:r>
        <w:rPr>
          <w:noProof/>
        </w:rPr>
        <w:t>- European search portal (ESP): due date: T0+36 months (2019-2021)</w:t>
      </w:r>
    </w:p>
    <w:p>
      <w:pPr>
        <w:pStyle w:val="Text1"/>
        <w:pBdr>
          <w:top w:val="single" w:sz="4" w:space="1" w:color="auto"/>
          <w:left w:val="single" w:sz="4" w:space="4" w:color="auto"/>
          <w:bottom w:val="single" w:sz="4" w:space="1" w:color="auto"/>
          <w:right w:val="single" w:sz="4" w:space="4" w:color="auto"/>
        </w:pBdr>
        <w:rPr>
          <w:noProof/>
        </w:rPr>
      </w:pPr>
      <w:r>
        <w:rPr>
          <w:noProof/>
        </w:rPr>
        <w:t>- Shared biometric matching service (shared BMS) is first created for delivering the Entry/Exit System (EES).  When this milestone is achieved, the applications that will use the shared BMS need to be updated and the data contained in the SIS automated fingerprint identification system (AFIS), the Eurodac AFIS and the data of ECRIS-TCN migrated into the shared BMS. The due date for completion is end-2023.</w:t>
      </w:r>
    </w:p>
    <w:p>
      <w:pPr>
        <w:pStyle w:val="Text1"/>
        <w:pBdr>
          <w:top w:val="single" w:sz="4" w:space="1" w:color="auto"/>
          <w:left w:val="single" w:sz="4" w:space="4" w:color="auto"/>
          <w:bottom w:val="single" w:sz="4" w:space="1" w:color="auto"/>
          <w:right w:val="single" w:sz="4" w:space="4" w:color="auto"/>
        </w:pBdr>
        <w:rPr>
          <w:noProof/>
        </w:rPr>
      </w:pPr>
      <w:r>
        <w:rPr>
          <w:noProof/>
        </w:rPr>
        <w:t xml:space="preserve">- The common identity repository (CIR) is first created during the implementation of EES. When the EES is completed, the data from Eurodac and ECRIS are incorporated into the CIR. The due date for completion is end-2022 (availability of shared BMS + 12 months).  </w:t>
      </w:r>
    </w:p>
    <w:p>
      <w:pPr>
        <w:pStyle w:val="Text1"/>
        <w:pBdr>
          <w:top w:val="single" w:sz="4" w:space="1" w:color="auto"/>
          <w:left w:val="single" w:sz="4" w:space="4" w:color="auto"/>
          <w:bottom w:val="single" w:sz="4" w:space="1" w:color="auto"/>
          <w:right w:val="single" w:sz="4" w:space="4" w:color="auto"/>
        </w:pBdr>
        <w:rPr>
          <w:noProof/>
        </w:rPr>
      </w:pPr>
      <w:r>
        <w:rPr>
          <w:noProof/>
        </w:rPr>
        <w:t>- The multiple identity detector (MID) is created after the CIR is operational. The due date for completion is end-2022 (availability of shared BMS + 24 months) but there is a very resource-consuming period of validating links between identities that are proposed by the MID. Each of the estimated links needs to be manually validated. This takes till the end of 2023.</w:t>
      </w:r>
    </w:p>
    <w:p>
      <w:pPr>
        <w:pStyle w:val="Text1"/>
        <w:pBdr>
          <w:top w:val="single" w:sz="4" w:space="1" w:color="auto"/>
          <w:left w:val="single" w:sz="4" w:space="4" w:color="auto"/>
          <w:bottom w:val="single" w:sz="4" w:space="1" w:color="auto"/>
          <w:right w:val="single" w:sz="4" w:space="4" w:color="auto"/>
        </w:pBdr>
        <w:rPr>
          <w:noProof/>
        </w:rPr>
      </w:pPr>
      <w:r>
        <w:rPr>
          <w:noProof/>
        </w:rPr>
        <w:t>The period of operations starts once the development period indicated above is completed.</w:t>
      </w:r>
    </w:p>
    <w:p>
      <w:pPr>
        <w:pStyle w:val="Text1"/>
        <w:pBdr>
          <w:top w:val="single" w:sz="4" w:space="1" w:color="auto"/>
          <w:left w:val="single" w:sz="4" w:space="4" w:color="auto"/>
          <w:bottom w:val="single" w:sz="4" w:space="1" w:color="auto"/>
          <w:right w:val="single" w:sz="4" w:space="4" w:color="auto"/>
        </w:pBdr>
        <w:rPr>
          <w:noProof/>
        </w:rPr>
      </w:pPr>
      <w:r>
        <w:rPr>
          <w:noProof/>
        </w:rPr>
        <w:t>Operations</w:t>
      </w:r>
    </w:p>
    <w:p>
      <w:pPr>
        <w:pStyle w:val="Text1"/>
        <w:pBdr>
          <w:top w:val="single" w:sz="4" w:space="1" w:color="auto"/>
          <w:left w:val="single" w:sz="4" w:space="4" w:color="auto"/>
          <w:bottom w:val="single" w:sz="4" w:space="1" w:color="auto"/>
          <w:right w:val="single" w:sz="4" w:space="4" w:color="auto"/>
        </w:pBdr>
        <w:rPr>
          <w:noProof/>
        </w:rPr>
      </w:pPr>
      <w:r>
        <w:rPr>
          <w:noProof/>
        </w:rPr>
        <w:t xml:space="preserve">Indicators related to each specific objective mentioned under 1.4.3 are as follows: </w:t>
      </w:r>
    </w:p>
    <w:p>
      <w:pPr>
        <w:pStyle w:val="Text1"/>
        <w:pBdr>
          <w:top w:val="single" w:sz="4" w:space="1" w:color="auto"/>
          <w:left w:val="single" w:sz="4" w:space="4" w:color="auto"/>
          <w:bottom w:val="single" w:sz="4" w:space="1" w:color="auto"/>
          <w:right w:val="single" w:sz="4" w:space="4" w:color="auto"/>
        </w:pBdr>
        <w:rPr>
          <w:noProof/>
        </w:rPr>
      </w:pPr>
      <w:r>
        <w:rPr>
          <w:noProof/>
        </w:rPr>
        <w:t>1. Specific objective: Fast, seamless and systematic access to authorised data sources</w:t>
      </w:r>
    </w:p>
    <w:p>
      <w:pPr>
        <w:pStyle w:val="Text1"/>
        <w:pBdr>
          <w:top w:val="single" w:sz="4" w:space="1" w:color="auto"/>
          <w:left w:val="single" w:sz="4" w:space="4" w:color="auto"/>
          <w:bottom w:val="single" w:sz="4" w:space="1" w:color="auto"/>
          <w:right w:val="single" w:sz="4" w:space="4" w:color="auto"/>
        </w:pBdr>
        <w:rPr>
          <w:noProof/>
        </w:rPr>
      </w:pPr>
      <w:r>
        <w:rPr>
          <w:noProof/>
        </w:rPr>
        <w:t>- The number of use cases executed (= number of searches that can be handled by ESP) per time period.</w:t>
      </w:r>
    </w:p>
    <w:p>
      <w:pPr>
        <w:pStyle w:val="Text1"/>
        <w:pBdr>
          <w:top w:val="single" w:sz="4" w:space="1" w:color="auto"/>
          <w:left w:val="single" w:sz="4" w:space="4" w:color="auto"/>
          <w:bottom w:val="single" w:sz="4" w:space="1" w:color="auto"/>
          <w:right w:val="single" w:sz="4" w:space="4" w:color="auto"/>
        </w:pBdr>
        <w:rPr>
          <w:noProof/>
        </w:rPr>
      </w:pPr>
      <w:r>
        <w:rPr>
          <w:noProof/>
        </w:rPr>
        <w:t>- Number of searches handled by ESP compared with total number of searches (via ESP and systems directly) per time period.</w:t>
      </w:r>
    </w:p>
    <w:p>
      <w:pPr>
        <w:pStyle w:val="Text1"/>
        <w:pBdr>
          <w:top w:val="single" w:sz="4" w:space="1" w:color="auto"/>
          <w:left w:val="single" w:sz="4" w:space="4" w:color="auto"/>
          <w:bottom w:val="single" w:sz="4" w:space="1" w:color="auto"/>
          <w:right w:val="single" w:sz="4" w:space="4" w:color="auto"/>
        </w:pBdr>
        <w:rPr>
          <w:noProof/>
        </w:rPr>
      </w:pPr>
      <w:r>
        <w:rPr>
          <w:noProof/>
        </w:rPr>
        <w:t>2. Specific objective: Detect multiple identities</w:t>
      </w:r>
    </w:p>
    <w:p>
      <w:pPr>
        <w:pStyle w:val="Text1"/>
        <w:pBdr>
          <w:top w:val="single" w:sz="4" w:space="1" w:color="auto"/>
          <w:left w:val="single" w:sz="4" w:space="4" w:color="auto"/>
          <w:bottom w:val="single" w:sz="4" w:space="1" w:color="auto"/>
          <w:right w:val="single" w:sz="4" w:space="4" w:color="auto"/>
        </w:pBdr>
        <w:rPr>
          <w:noProof/>
        </w:rPr>
      </w:pPr>
      <w:r>
        <w:rPr>
          <w:noProof/>
        </w:rPr>
        <w:t xml:space="preserve">- The number of identities linked to the same set of biometric data </w:t>
      </w:r>
      <w:r>
        <w:rPr>
          <w:noProof/>
          <w:color w:val="000000" w:themeColor="text1"/>
        </w:rPr>
        <w:t>compared with</w:t>
      </w:r>
      <w:r>
        <w:rPr>
          <w:noProof/>
        </w:rPr>
        <w:t xml:space="preserve"> the number of identities with biographical information</w:t>
      </w:r>
      <w:r>
        <w:rPr>
          <w:noProof/>
          <w:color w:val="000000" w:themeColor="text1"/>
        </w:rPr>
        <w:t xml:space="preserve"> </w:t>
      </w:r>
      <w:r>
        <w:rPr>
          <w:noProof/>
        </w:rPr>
        <w:t>per time period.</w:t>
      </w:r>
    </w:p>
    <w:p>
      <w:pPr>
        <w:pStyle w:val="Text1"/>
        <w:pBdr>
          <w:top w:val="single" w:sz="4" w:space="1" w:color="auto"/>
          <w:left w:val="single" w:sz="4" w:space="4" w:color="auto"/>
          <w:bottom w:val="single" w:sz="4" w:space="1" w:color="auto"/>
          <w:right w:val="single" w:sz="4" w:space="4" w:color="auto"/>
        </w:pBdr>
        <w:rPr>
          <w:noProof/>
        </w:rPr>
      </w:pPr>
      <w:r>
        <w:rPr>
          <w:noProof/>
        </w:rPr>
        <w:t xml:space="preserve">- The number of detected cases of identity fraud </w:t>
      </w:r>
      <w:r>
        <w:rPr>
          <w:noProof/>
          <w:color w:val="000000" w:themeColor="text1"/>
        </w:rPr>
        <w:t>compared with</w:t>
      </w:r>
      <w:r>
        <w:rPr>
          <w:noProof/>
        </w:rPr>
        <w:t xml:space="preserve"> the number of linked identities and total number of identities</w:t>
      </w:r>
      <w:r>
        <w:rPr>
          <w:noProof/>
          <w:color w:val="000000" w:themeColor="text1"/>
        </w:rPr>
        <w:t xml:space="preserve"> </w:t>
      </w:r>
      <w:r>
        <w:rPr>
          <w:noProof/>
        </w:rPr>
        <w:t>per time period.</w:t>
      </w:r>
    </w:p>
    <w:p>
      <w:pPr>
        <w:pStyle w:val="Text1"/>
        <w:pBdr>
          <w:top w:val="single" w:sz="4" w:space="1" w:color="auto"/>
          <w:left w:val="single" w:sz="4" w:space="4" w:color="auto"/>
          <w:bottom w:val="single" w:sz="4" w:space="1" w:color="auto"/>
          <w:right w:val="single" w:sz="4" w:space="4" w:color="auto"/>
        </w:pBdr>
        <w:rPr>
          <w:noProof/>
        </w:rPr>
      </w:pPr>
      <w:r>
        <w:rPr>
          <w:noProof/>
        </w:rPr>
        <w:t>3. Specific objective: Facilitate identifications of third-country nationals</w:t>
      </w:r>
    </w:p>
    <w:p>
      <w:pPr>
        <w:pStyle w:val="Text1"/>
        <w:pBdr>
          <w:top w:val="single" w:sz="4" w:space="1" w:color="auto"/>
          <w:left w:val="single" w:sz="4" w:space="4" w:color="auto"/>
          <w:bottom w:val="single" w:sz="4" w:space="1" w:color="auto"/>
          <w:right w:val="single" w:sz="4" w:space="4" w:color="auto"/>
        </w:pBdr>
        <w:rPr>
          <w:noProof/>
        </w:rPr>
      </w:pPr>
      <w:r>
        <w:rPr>
          <w:noProof/>
        </w:rPr>
        <w:t xml:space="preserve">- The number of identification checks performed </w:t>
      </w:r>
      <w:r>
        <w:rPr>
          <w:noProof/>
          <w:color w:val="000000" w:themeColor="text1"/>
        </w:rPr>
        <w:t>compared with</w:t>
      </w:r>
      <w:r>
        <w:rPr>
          <w:noProof/>
        </w:rPr>
        <w:t xml:space="preserve"> total number of transactions per time period.</w:t>
      </w:r>
    </w:p>
    <w:p>
      <w:pPr>
        <w:pStyle w:val="Text1"/>
        <w:pBdr>
          <w:top w:val="single" w:sz="4" w:space="1" w:color="auto"/>
          <w:left w:val="single" w:sz="4" w:space="4" w:color="auto"/>
          <w:bottom w:val="single" w:sz="4" w:space="1" w:color="auto"/>
          <w:right w:val="single" w:sz="4" w:space="4" w:color="auto"/>
        </w:pBdr>
        <w:rPr>
          <w:noProof/>
        </w:rPr>
      </w:pPr>
      <w:r>
        <w:rPr>
          <w:noProof/>
        </w:rPr>
        <w:t>4. Specific objective: Simplify access to authorised data sources for law enforcement purposes</w:t>
      </w:r>
    </w:p>
    <w:p>
      <w:pPr>
        <w:pStyle w:val="Text1"/>
        <w:pBdr>
          <w:top w:val="single" w:sz="4" w:space="1" w:color="auto"/>
          <w:left w:val="single" w:sz="4" w:space="4" w:color="auto"/>
          <w:bottom w:val="single" w:sz="4" w:space="1" w:color="auto"/>
          <w:right w:val="single" w:sz="4" w:space="4" w:color="auto"/>
        </w:pBdr>
        <w:rPr>
          <w:noProof/>
        </w:rPr>
      </w:pPr>
      <w:r>
        <w:rPr>
          <w:noProof/>
        </w:rPr>
        <w:t>- The number of 'step 1' (= a data presence check) accesses for law enforcement purposes per time period.</w:t>
      </w:r>
    </w:p>
    <w:p>
      <w:pPr>
        <w:pStyle w:val="Text1"/>
        <w:pBdr>
          <w:top w:val="single" w:sz="4" w:space="1" w:color="auto"/>
          <w:left w:val="single" w:sz="4" w:space="4" w:color="auto"/>
          <w:bottom w:val="single" w:sz="4" w:space="1" w:color="auto"/>
          <w:right w:val="single" w:sz="4" w:space="4" w:color="auto"/>
        </w:pBdr>
        <w:rPr>
          <w:noProof/>
        </w:rPr>
      </w:pPr>
      <w:r>
        <w:rPr>
          <w:noProof/>
        </w:rPr>
        <w:t>- Number of 'step 2' (= the actual consultation of data from the EU systems within the scope) accesses for law enforcement purposes per time period.</w:t>
      </w:r>
    </w:p>
    <w:p>
      <w:pPr>
        <w:pStyle w:val="Text1"/>
        <w:pBdr>
          <w:top w:val="single" w:sz="4" w:space="1" w:color="auto"/>
          <w:left w:val="single" w:sz="4" w:space="4" w:color="auto"/>
          <w:bottom w:val="single" w:sz="4" w:space="1" w:color="auto"/>
          <w:right w:val="single" w:sz="4" w:space="4" w:color="auto"/>
        </w:pBdr>
        <w:rPr>
          <w:noProof/>
        </w:rPr>
      </w:pPr>
      <w:r>
        <w:rPr>
          <w:noProof/>
        </w:rPr>
        <w:t>5. Cross-cutting, additional objective: Improving the quality of data and the use of data for better policymaking</w:t>
      </w:r>
    </w:p>
    <w:p>
      <w:pPr>
        <w:pStyle w:val="Text1"/>
        <w:pBdr>
          <w:top w:val="single" w:sz="4" w:space="1" w:color="auto"/>
          <w:left w:val="single" w:sz="4" w:space="4" w:color="auto"/>
          <w:bottom w:val="single" w:sz="4" w:space="1" w:color="auto"/>
          <w:right w:val="single" w:sz="4" w:space="4" w:color="auto"/>
        </w:pBdr>
        <w:rPr>
          <w:noProof/>
        </w:rPr>
      </w:pPr>
      <w:r>
        <w:rPr>
          <w:noProof/>
        </w:rPr>
        <w:t>- The regular issuance of data quality monitoring reports.</w:t>
      </w:r>
    </w:p>
    <w:p>
      <w:pPr>
        <w:pStyle w:val="Text1"/>
        <w:pBdr>
          <w:top w:val="single" w:sz="4" w:space="1" w:color="auto"/>
          <w:left w:val="single" w:sz="4" w:space="4" w:color="auto"/>
          <w:bottom w:val="single" w:sz="4" w:space="1" w:color="auto"/>
          <w:right w:val="single" w:sz="4" w:space="4" w:color="auto"/>
        </w:pBdr>
        <w:rPr>
          <w:noProof/>
        </w:rPr>
      </w:pPr>
      <w:r>
        <w:rPr>
          <w:noProof/>
        </w:rPr>
        <w:t>- The number of ad hoc requests for statistical information per time period.</w:t>
      </w:r>
    </w:p>
    <w:p>
      <w:pPr>
        <w:pStyle w:val="Text1"/>
        <w:pBdr>
          <w:top w:val="single" w:sz="4" w:space="1" w:color="auto"/>
          <w:left w:val="single" w:sz="4" w:space="4" w:color="auto"/>
          <w:bottom w:val="single" w:sz="4" w:space="1" w:color="auto"/>
          <w:right w:val="single" w:sz="4" w:space="4" w:color="auto"/>
        </w:pBdr>
        <w:rPr>
          <w:noProof/>
        </w:rPr>
      </w:pPr>
    </w:p>
    <w:p>
      <w:pPr>
        <w:pStyle w:val="ManualHeading2"/>
        <w:rPr>
          <w:bCs/>
          <w:noProof/>
          <w:szCs w:val="24"/>
        </w:rPr>
      </w:pPr>
      <w:bookmarkStart w:id="274" w:name="_Toc498514158"/>
      <w:r>
        <w:t>1.5.</w:t>
      </w:r>
      <w:r>
        <w:tab/>
      </w:r>
      <w:r>
        <w:rPr>
          <w:noProof/>
        </w:rPr>
        <w:t>Grounds for the proposal/initiative</w:t>
      </w:r>
      <w:bookmarkEnd w:id="274"/>
      <w:r>
        <w:rPr>
          <w:noProof/>
        </w:rPr>
        <w:t xml:space="preserve"> </w:t>
      </w:r>
    </w:p>
    <w:p>
      <w:pPr>
        <w:pStyle w:val="ManualHeading3"/>
        <w:rPr>
          <w:noProof/>
        </w:rPr>
      </w:pPr>
      <w:bookmarkStart w:id="275" w:name="_Toc498514159"/>
      <w:r>
        <w:t>1.5.1.</w:t>
      </w:r>
      <w:r>
        <w:tab/>
      </w:r>
      <w:r>
        <w:rPr>
          <w:noProof/>
        </w:rPr>
        <w:t>Requirement(s) to be met in the short or long term</w:t>
      </w:r>
      <w:bookmarkEnd w:id="275"/>
      <w:r>
        <w:rPr>
          <w:noProof/>
        </w:rPr>
        <w:t xml:space="preserve"> </w:t>
      </w:r>
    </w:p>
    <w:p>
      <w:pPr>
        <w:pStyle w:val="Text1"/>
        <w:pBdr>
          <w:top w:val="single" w:sz="4" w:space="1" w:color="auto"/>
          <w:left w:val="single" w:sz="4" w:space="4" w:color="auto"/>
          <w:bottom w:val="single" w:sz="4" w:space="1" w:color="auto"/>
          <w:right w:val="single" w:sz="4" w:space="4" w:color="auto"/>
        </w:pBdr>
        <w:rPr>
          <w:noProof/>
        </w:rPr>
      </w:pPr>
      <w:r>
        <w:rPr>
          <w:noProof/>
        </w:rPr>
        <w:t>As demonstrated in the impact assessment that accompanies this legal proposal the respective proposed components are necessary to achieve interoperability:</w:t>
      </w:r>
    </w:p>
    <w:p>
      <w:pPr>
        <w:pStyle w:val="Text1"/>
        <w:pBdr>
          <w:top w:val="single" w:sz="4" w:space="1" w:color="auto"/>
          <w:left w:val="single" w:sz="4" w:space="4" w:color="auto"/>
          <w:bottom w:val="single" w:sz="4" w:space="1" w:color="auto"/>
          <w:right w:val="single" w:sz="4" w:space="4" w:color="auto"/>
        </w:pBdr>
        <w:rPr>
          <w:noProof/>
        </w:rPr>
      </w:pPr>
      <w:r>
        <w:rPr>
          <w:noProof/>
        </w:rPr>
        <w:t>•</w:t>
      </w:r>
      <w:r>
        <w:rPr>
          <w:noProof/>
        </w:rPr>
        <w:tab/>
        <w:t>To meet the objective of providing authorised users with fast, seamless, systematic and controlled access to relevant information systems, a European search portal (ESP) should be created, built on a shared BMS to address all databases.</w:t>
      </w:r>
    </w:p>
    <w:p>
      <w:pPr>
        <w:pStyle w:val="Text1"/>
        <w:pBdr>
          <w:top w:val="single" w:sz="4" w:space="1" w:color="auto"/>
          <w:left w:val="single" w:sz="4" w:space="4" w:color="auto"/>
          <w:bottom w:val="single" w:sz="4" w:space="1" w:color="auto"/>
          <w:right w:val="single" w:sz="4" w:space="4" w:color="auto"/>
        </w:pBdr>
        <w:rPr>
          <w:noProof/>
        </w:rPr>
      </w:pPr>
      <w:r>
        <w:rPr>
          <w:noProof/>
        </w:rPr>
        <w:t>•</w:t>
      </w:r>
      <w:r>
        <w:rPr>
          <w:noProof/>
        </w:rPr>
        <w:tab/>
        <w:t>To meet the objective of facilitating identity checks of third-country nationals, on the territory of a Member State, by authorised officers, a common identity repository (CIR) should be created, containing the minimum set of identification data, and built on the same shared BMS.</w:t>
      </w:r>
    </w:p>
    <w:p>
      <w:pPr>
        <w:pStyle w:val="Text1"/>
        <w:pBdr>
          <w:top w:val="single" w:sz="4" w:space="1" w:color="auto"/>
          <w:left w:val="single" w:sz="4" w:space="4" w:color="auto"/>
          <w:bottom w:val="single" w:sz="4" w:space="1" w:color="auto"/>
          <w:right w:val="single" w:sz="4" w:space="4" w:color="auto"/>
        </w:pBdr>
        <w:rPr>
          <w:noProof/>
        </w:rPr>
      </w:pPr>
      <w:r>
        <w:rPr>
          <w:noProof/>
        </w:rPr>
        <w:t>•</w:t>
      </w:r>
      <w:r>
        <w:rPr>
          <w:noProof/>
        </w:rPr>
        <w:tab/>
        <w:t>To meet the objective of detecting multiple identities linked to the same set of biometric data, with the dual purpose of facilitating identity checks for bona fide travellers and combating identity fraud, a multiple identity detector (MID) should be built, containing links between multiple identities across systems.</w:t>
      </w:r>
    </w:p>
    <w:p>
      <w:pPr>
        <w:pStyle w:val="Text1"/>
        <w:pBdr>
          <w:top w:val="single" w:sz="4" w:space="1" w:color="auto"/>
          <w:left w:val="single" w:sz="4" w:space="4" w:color="auto"/>
          <w:bottom w:val="single" w:sz="4" w:space="1" w:color="auto"/>
          <w:right w:val="single" w:sz="4" w:space="4" w:color="auto"/>
        </w:pBdr>
        <w:rPr>
          <w:noProof/>
        </w:rPr>
      </w:pPr>
      <w:r>
        <w:rPr>
          <w:noProof/>
        </w:rPr>
        <w:t>•</w:t>
      </w:r>
      <w:r>
        <w:rPr>
          <w:noProof/>
        </w:rPr>
        <w:tab/>
        <w:t>To meet the objective of facilitating and streamlining access by law enforcement authorities to non-law enforcement information systems, for the purpose of preventing, investigating, detecting or prosecuting serious crime and terrorism, a ‘hit-flagging’ functionality should be included in the common identity repository (CIR).</w:t>
      </w:r>
    </w:p>
    <w:p>
      <w:pPr>
        <w:pStyle w:val="Text1"/>
        <w:pBdr>
          <w:top w:val="single" w:sz="4" w:space="1" w:color="auto"/>
          <w:left w:val="single" w:sz="4" w:space="4" w:color="auto"/>
          <w:bottom w:val="single" w:sz="4" w:space="1" w:color="auto"/>
          <w:right w:val="single" w:sz="4" w:space="4" w:color="auto"/>
        </w:pBdr>
        <w:rPr>
          <w:noProof/>
        </w:rPr>
      </w:pPr>
      <w:r>
        <w:rPr>
          <w:noProof/>
        </w:rPr>
        <w:t>Since all objectives must be met, the complete solution is the combination of ESP, CIR (with hit flagging) and MID, all relying on the shared BMS.</w:t>
      </w:r>
    </w:p>
    <w:p>
      <w:pPr>
        <w:pStyle w:val="ManualHeading3"/>
        <w:rPr>
          <w:bCs/>
          <w:noProof/>
          <w:szCs w:val="24"/>
        </w:rPr>
      </w:pPr>
      <w:bookmarkStart w:id="276" w:name="_Toc498514160"/>
      <w:r>
        <w:t>1.5.2.</w:t>
      </w:r>
      <w:r>
        <w:tab/>
      </w:r>
      <w:r>
        <w:rPr>
          <w:noProof/>
        </w:rPr>
        <w:t>Added value of Union involvement (it may result from different factors, e.g. coordination gains, legal certainty, greater effectiveness or complementarities). For the purposes of this point, 'added value of Union involvement' is the value resulting from Union intervention that is additional to the value that would have been otherwise created by Member States alone.</w:t>
      </w:r>
      <w:bookmarkEnd w:id="276"/>
    </w:p>
    <w:p>
      <w:pPr>
        <w:pStyle w:val="Text1"/>
        <w:pBdr>
          <w:top w:val="single" w:sz="4" w:space="1" w:color="auto"/>
          <w:left w:val="single" w:sz="4" w:space="4" w:color="auto"/>
          <w:bottom w:val="single" w:sz="4" w:space="1" w:color="auto"/>
          <w:right w:val="single" w:sz="4" w:space="4" w:color="auto"/>
        </w:pBdr>
        <w:rPr>
          <w:noProof/>
        </w:rPr>
      </w:pPr>
      <w:r>
        <w:rPr>
          <w:noProof/>
        </w:rPr>
        <w:t>Action is required at the European level because the systems that are proposed to be made interoperable are systems used by multiple Member States: either all Member States (in the case of Eurodac) or all Member States that are part of the Schengen area (for EES, VIS, ETIAS and SIS).  By definition, action simply cannot be taken at another level.</w:t>
      </w:r>
    </w:p>
    <w:p>
      <w:pPr>
        <w:pStyle w:val="Text1"/>
        <w:pBdr>
          <w:top w:val="single" w:sz="4" w:space="1" w:color="auto"/>
          <w:left w:val="single" w:sz="4" w:space="4" w:color="auto"/>
          <w:bottom w:val="single" w:sz="4" w:space="1" w:color="auto"/>
          <w:right w:val="single" w:sz="4" w:space="4" w:color="auto"/>
        </w:pBdr>
        <w:rPr>
          <w:noProof/>
        </w:rPr>
      </w:pPr>
      <w:r>
        <w:rPr>
          <w:noProof/>
        </w:rPr>
        <w:t xml:space="preserve">The main expected added value is to eliminate the cases of identity fraud, map the cases where a person has used different identities to enter the EU, and avoid that </w:t>
      </w:r>
      <w:r>
        <w:rPr>
          <w:i/>
          <w:noProof/>
        </w:rPr>
        <w:t>bona fide</w:t>
      </w:r>
      <w:r>
        <w:rPr>
          <w:noProof/>
        </w:rPr>
        <w:t xml:space="preserve"> persons are confused with </w:t>
      </w:r>
      <w:r>
        <w:rPr>
          <w:i/>
          <w:noProof/>
        </w:rPr>
        <w:t>mala fide</w:t>
      </w:r>
      <w:r>
        <w:rPr>
          <w:noProof/>
        </w:rPr>
        <w:t xml:space="preserve"> persons with the same name. An additional added value is that the interoperability proposed here allows an easier implementation and maintenance of EU large-scale IT systems. For law enforcement services, the measures proposed should result in a more frequent and successful access to specific data within EU large-scale IT systems. At an operational level, the quality of data can only be maintained and improved if it is monitored. Further, for policymaking and decision-making, there is a need to make it possible to undertake </w:t>
      </w:r>
      <w:r>
        <w:rPr>
          <w:i/>
          <w:noProof/>
        </w:rPr>
        <w:t>ad hoc</w:t>
      </w:r>
      <w:r>
        <w:rPr>
          <w:noProof/>
        </w:rPr>
        <w:t xml:space="preserve"> queries of anonymised data.</w:t>
      </w:r>
    </w:p>
    <w:p>
      <w:pPr>
        <w:pStyle w:val="Text1"/>
        <w:pBdr>
          <w:top w:val="single" w:sz="4" w:space="1" w:color="auto"/>
          <w:left w:val="single" w:sz="4" w:space="4" w:color="auto"/>
          <w:bottom w:val="single" w:sz="4" w:space="1" w:color="auto"/>
          <w:right w:val="single" w:sz="4" w:space="4" w:color="auto"/>
        </w:pBdr>
        <w:rPr>
          <w:noProof/>
        </w:rPr>
      </w:pPr>
      <w:bookmarkStart w:id="277" w:name="_Toc498514161"/>
      <w:r>
        <w:rPr>
          <w:noProof/>
        </w:rPr>
        <w:t>A cost-benefit analysis is part of the impact assessment and taking only those benefits that can be quantified, the expected benefits can reasonably be estimated at about € 77.5 million per year and accrue mainly to Member States. These benefits stem essentially from:</w:t>
      </w:r>
    </w:p>
    <w:p>
      <w:pPr>
        <w:pStyle w:val="Text1"/>
        <w:pBdr>
          <w:top w:val="single" w:sz="4" w:space="1" w:color="auto"/>
          <w:left w:val="single" w:sz="4" w:space="4" w:color="auto"/>
          <w:bottom w:val="single" w:sz="4" w:space="1" w:color="auto"/>
          <w:right w:val="single" w:sz="4" w:space="4" w:color="auto"/>
        </w:pBdr>
        <w:rPr>
          <w:noProof/>
        </w:rPr>
      </w:pPr>
      <w:r>
        <w:rPr>
          <w:noProof/>
        </w:rPr>
        <w:t>-</w:t>
      </w:r>
      <w:r>
        <w:rPr>
          <w:noProof/>
        </w:rPr>
        <w:tab/>
        <w:t>Reduced cost of changes to national applications when the central system is operational (estimated at €6m per year for Member State IT departments);</w:t>
      </w:r>
    </w:p>
    <w:p>
      <w:pPr>
        <w:pStyle w:val="Text1"/>
        <w:pBdr>
          <w:top w:val="single" w:sz="4" w:space="1" w:color="auto"/>
          <w:left w:val="single" w:sz="4" w:space="4" w:color="auto"/>
          <w:bottom w:val="single" w:sz="4" w:space="1" w:color="auto"/>
          <w:right w:val="single" w:sz="4" w:space="4" w:color="auto"/>
        </w:pBdr>
        <w:rPr>
          <w:noProof/>
        </w:rPr>
      </w:pPr>
      <w:r>
        <w:rPr>
          <w:noProof/>
        </w:rPr>
        <w:t>-</w:t>
      </w:r>
      <w:r>
        <w:rPr>
          <w:noProof/>
        </w:rPr>
        <w:tab/>
        <w:t>Cost saving of having one central shared BMS rather than one BMS per central system containing biometrics (estimated at €1.5m per year and a one-off saving of €8m for eu-LISA.</w:t>
      </w:r>
    </w:p>
    <w:p>
      <w:pPr>
        <w:pStyle w:val="Text1"/>
        <w:pBdr>
          <w:top w:val="single" w:sz="4" w:space="1" w:color="auto"/>
          <w:left w:val="single" w:sz="4" w:space="4" w:color="auto"/>
          <w:bottom w:val="single" w:sz="4" w:space="1" w:color="auto"/>
          <w:right w:val="single" w:sz="4" w:space="4" w:color="auto"/>
        </w:pBdr>
        <w:rPr>
          <w:noProof/>
        </w:rPr>
      </w:pPr>
      <w:r>
        <w:rPr>
          <w:noProof/>
        </w:rPr>
        <w:t>-</w:t>
      </w:r>
      <w:r>
        <w:rPr>
          <w:noProof/>
        </w:rPr>
        <w:tab/>
        <w:t>Saved cost of identification of multiple identities compared with the situation where the same result would be achieved without the proposed means. This would represent a cost saving of at least €50m per year for Member State administrations for border management, migration and law enforcement.</w:t>
      </w:r>
    </w:p>
    <w:p>
      <w:pPr>
        <w:pStyle w:val="Text1"/>
        <w:pBdr>
          <w:top w:val="single" w:sz="4" w:space="1" w:color="auto"/>
          <w:left w:val="single" w:sz="4" w:space="4" w:color="auto"/>
          <w:bottom w:val="single" w:sz="4" w:space="1" w:color="auto"/>
          <w:right w:val="single" w:sz="4" w:space="4" w:color="auto"/>
        </w:pBdr>
        <w:rPr>
          <w:noProof/>
        </w:rPr>
      </w:pPr>
      <w:r>
        <w:rPr>
          <w:noProof/>
        </w:rPr>
        <w:t>-</w:t>
      </w:r>
      <w:r>
        <w:rPr>
          <w:noProof/>
        </w:rPr>
        <w:tab/>
        <w:t>Saved training costs for a large end-user group compared with a situation where training is required on a recurrent basis, estimated at €20m per year for Member State administrations for border management, migration and law enforcement.</w:t>
      </w:r>
    </w:p>
    <w:p>
      <w:pPr>
        <w:pStyle w:val="ManualHeading3"/>
        <w:rPr>
          <w:bCs/>
          <w:noProof/>
          <w:szCs w:val="24"/>
        </w:rPr>
      </w:pPr>
      <w:r>
        <w:t>1.5.3.</w:t>
      </w:r>
      <w:r>
        <w:tab/>
      </w:r>
      <w:r>
        <w:rPr>
          <w:noProof/>
        </w:rPr>
        <w:t>Lessons learned from similar experiences in the past</w:t>
      </w:r>
      <w:bookmarkEnd w:id="277"/>
    </w:p>
    <w:p>
      <w:pPr>
        <w:pStyle w:val="Text1"/>
        <w:pBdr>
          <w:top w:val="single" w:sz="4" w:space="1" w:color="auto"/>
          <w:left w:val="single" w:sz="4" w:space="4" w:color="auto"/>
          <w:bottom w:val="single" w:sz="4" w:space="1" w:color="auto"/>
          <w:right w:val="single" w:sz="4" w:space="4" w:color="auto"/>
        </w:pBdr>
        <w:rPr>
          <w:noProof/>
        </w:rPr>
      </w:pPr>
      <w:r>
        <w:rPr>
          <w:noProof/>
        </w:rPr>
        <w:t>Experience with the development of the second generation Schengen (SIS II) and of the Visa Information System (VIS) showed the following lessons:</w:t>
      </w:r>
    </w:p>
    <w:p>
      <w:pPr>
        <w:pStyle w:val="Text1"/>
        <w:pBdr>
          <w:top w:val="single" w:sz="4" w:space="1" w:color="auto"/>
          <w:left w:val="single" w:sz="4" w:space="4" w:color="auto"/>
          <w:bottom w:val="single" w:sz="4" w:space="1" w:color="auto"/>
          <w:right w:val="single" w:sz="4" w:space="4" w:color="auto"/>
        </w:pBdr>
        <w:rPr>
          <w:noProof/>
        </w:rPr>
      </w:pPr>
      <w:r>
        <w:rPr>
          <w:noProof/>
        </w:rPr>
        <w:t>1. As a possible safeguard against cost overruns and delays resulting from changing requirements, any new information system in the area of freedom, security and justice, particularly if it involves a large-scale IT system, should not be developed before the underlying legal instruments setting out its purpose, scope, functions and technical details have been definitively adopted.</w:t>
      </w:r>
    </w:p>
    <w:p>
      <w:pPr>
        <w:pStyle w:val="Text1"/>
        <w:pBdr>
          <w:top w:val="single" w:sz="4" w:space="1" w:color="auto"/>
          <w:left w:val="single" w:sz="4" w:space="4" w:color="auto"/>
          <w:bottom w:val="single" w:sz="4" w:space="1" w:color="auto"/>
          <w:right w:val="single" w:sz="4" w:space="4" w:color="auto"/>
        </w:pBdr>
        <w:rPr>
          <w:noProof/>
        </w:rPr>
      </w:pPr>
      <w:r>
        <w:rPr>
          <w:noProof/>
        </w:rPr>
        <w:t>2. For SIS II and VIS, national development in Member States could be co-financed under the External Borders Fund (EBF) but this was not compulsory. Hence it was not possible to have an overview of the level of advancement in those Member States that had not provided for the respective activities in their multiannual programming or lacked precision in their programming. Therefore, it is now proposed that the Commission reimburses all integration costs incurred by Member States, so as to be able to monitor the advancement of these developments.</w:t>
      </w:r>
    </w:p>
    <w:p>
      <w:pPr>
        <w:pStyle w:val="Text1"/>
        <w:pBdr>
          <w:top w:val="single" w:sz="4" w:space="1" w:color="auto"/>
          <w:left w:val="single" w:sz="4" w:space="4" w:color="auto"/>
          <w:bottom w:val="single" w:sz="4" w:space="1" w:color="auto"/>
          <w:right w:val="single" w:sz="4" w:space="4" w:color="auto"/>
        </w:pBdr>
        <w:rPr>
          <w:noProof/>
        </w:rPr>
      </w:pPr>
      <w:r>
        <w:rPr>
          <w:noProof/>
        </w:rPr>
        <w:t>3. With a view to facilitating the general coordination of the implementation, all the proposed message exchanges between national and central systems will reuse existing networks and the national uniform interface.</w:t>
      </w:r>
    </w:p>
    <w:p>
      <w:pPr>
        <w:pStyle w:val="ManualHeading3"/>
        <w:rPr>
          <w:bCs/>
          <w:noProof/>
          <w:szCs w:val="24"/>
        </w:rPr>
      </w:pPr>
      <w:bookmarkStart w:id="278" w:name="_Toc498514162"/>
      <w:r>
        <w:t>1.5.4.</w:t>
      </w:r>
      <w:r>
        <w:tab/>
      </w:r>
      <w:r>
        <w:rPr>
          <w:noProof/>
        </w:rPr>
        <w:t>Compatibility and possible synergy with other appropriate instruments</w:t>
      </w:r>
      <w:bookmarkEnd w:id="278"/>
    </w:p>
    <w:p>
      <w:pPr>
        <w:pStyle w:val="Text1"/>
        <w:pBdr>
          <w:top w:val="single" w:sz="4" w:space="1" w:color="auto"/>
          <w:left w:val="single" w:sz="4" w:space="4" w:color="auto"/>
          <w:bottom w:val="single" w:sz="4" w:space="1" w:color="auto"/>
          <w:right w:val="single" w:sz="4" w:space="4" w:color="auto"/>
        </w:pBdr>
        <w:rPr>
          <w:noProof/>
        </w:rPr>
      </w:pPr>
      <w:r>
        <w:rPr>
          <w:noProof/>
        </w:rPr>
        <w:t>Compatibility with the current MFF</w:t>
      </w:r>
    </w:p>
    <w:p>
      <w:pPr>
        <w:pStyle w:val="Text1"/>
        <w:pBdr>
          <w:top w:val="single" w:sz="4" w:space="1" w:color="auto"/>
          <w:left w:val="single" w:sz="4" w:space="4" w:color="auto"/>
          <w:bottom w:val="single" w:sz="4" w:space="1" w:color="auto"/>
          <w:right w:val="single" w:sz="4" w:space="4" w:color="auto"/>
        </w:pBdr>
        <w:rPr>
          <w:noProof/>
        </w:rPr>
      </w:pPr>
      <w:r>
        <w:rPr>
          <w:noProof/>
        </w:rPr>
        <w:t>The ISF Borders Regulation is the financial instrument where the budget for implementation of the interoperability initiative has been included.</w:t>
      </w:r>
    </w:p>
    <w:p>
      <w:pPr>
        <w:pStyle w:val="Text1"/>
        <w:pBdr>
          <w:top w:val="single" w:sz="4" w:space="1" w:color="auto"/>
          <w:left w:val="single" w:sz="4" w:space="4" w:color="auto"/>
          <w:bottom w:val="single" w:sz="4" w:space="1" w:color="auto"/>
          <w:right w:val="single" w:sz="4" w:space="4" w:color="auto"/>
        </w:pBdr>
        <w:rPr>
          <w:noProof/>
        </w:rPr>
      </w:pPr>
      <w:r>
        <w:rPr>
          <w:noProof/>
        </w:rPr>
        <w:t>It provides in Article 5(b) that EUR 791 million is to be implemented through a programme for developing IT systems based on existing and/or new IT systems, supporting the management of migration flows across the external borders subject to the adoption of the relevant Union legislative acts and under the conditions laid down in Article 15. Of this EUR 791 million, EUR 480.2 million is reserved for the development of the EES, EUR 210 million for ETIAS and EUR 67.9 million for the revision of SIS II. The remainder (EUR 32.9 million) is to be reallocated using ISF-B mechanisms. The current proposal requires EUR 32.1 million for the current multiannual financial framework period which fits with the remaining budget.</w:t>
      </w:r>
    </w:p>
    <w:p>
      <w:pPr>
        <w:pStyle w:val="Text1"/>
        <w:pBdr>
          <w:top w:val="single" w:sz="4" w:space="1" w:color="auto"/>
          <w:left w:val="single" w:sz="4" w:space="4" w:color="auto"/>
          <w:bottom w:val="single" w:sz="4" w:space="1" w:color="auto"/>
          <w:right w:val="single" w:sz="4" w:space="4" w:color="auto"/>
        </w:pBdr>
        <w:rPr>
          <w:noProof/>
        </w:rPr>
      </w:pPr>
      <w:r>
        <w:rPr>
          <w:noProof/>
        </w:rPr>
        <w:t>The current proposal requires EUR 424.7 million budget in total (heading 5 included) over the period from 2019 till 2027. The current MFF only covers the two-year period for 2019 and 2020. Costs have however been estimated till 2027 included to give an informed view on the financial consequences of this proposal and without prejudging the next multiannual financial framework.</w:t>
      </w:r>
    </w:p>
    <w:p>
      <w:pPr>
        <w:pStyle w:val="Text1"/>
        <w:pBdr>
          <w:top w:val="single" w:sz="4" w:space="1" w:color="auto"/>
          <w:left w:val="single" w:sz="4" w:space="4" w:color="auto"/>
          <w:bottom w:val="single" w:sz="4" w:space="1" w:color="auto"/>
          <w:right w:val="single" w:sz="4" w:space="4" w:color="auto"/>
        </w:pBdr>
        <w:rPr>
          <w:noProof/>
        </w:rPr>
      </w:pPr>
      <w:r>
        <w:rPr>
          <w:noProof/>
        </w:rPr>
        <w:t>The budget requested over nine years amounts to € 424.7 million as the following items are also covered:</w:t>
      </w:r>
    </w:p>
    <w:p>
      <w:pPr>
        <w:pStyle w:val="Text1"/>
        <w:pBdr>
          <w:top w:val="single" w:sz="4" w:space="1" w:color="auto"/>
          <w:left w:val="single" w:sz="4" w:space="4" w:color="auto"/>
          <w:bottom w:val="single" w:sz="4" w:space="1" w:color="auto"/>
          <w:right w:val="single" w:sz="4" w:space="4" w:color="auto"/>
        </w:pBdr>
        <w:rPr>
          <w:noProof/>
        </w:rPr>
      </w:pPr>
      <w:r>
        <w:rPr>
          <w:noProof/>
        </w:rPr>
        <w:t>(1)</w:t>
      </w:r>
      <w:r>
        <w:rPr>
          <w:noProof/>
        </w:rPr>
        <w:tab/>
        <w:t>EUR 136.3 million for Member States to cover the changes to their national systems in order to use the interoperability components, the NUI delivered by eu-LISA and a budget for the training of the substantial end-user community. There is no impact on current MFF as financing is provided from 2021 onwards.</w:t>
      </w:r>
    </w:p>
    <w:p>
      <w:pPr>
        <w:pStyle w:val="Text1"/>
        <w:pBdr>
          <w:top w:val="single" w:sz="4" w:space="1" w:color="auto"/>
          <w:left w:val="single" w:sz="4" w:space="4" w:color="auto"/>
          <w:bottom w:val="single" w:sz="4" w:space="1" w:color="auto"/>
          <w:right w:val="single" w:sz="4" w:space="4" w:color="auto"/>
        </w:pBdr>
        <w:rPr>
          <w:noProof/>
        </w:rPr>
      </w:pPr>
      <w:r>
        <w:rPr>
          <w:noProof/>
        </w:rPr>
        <w:t>(2)</w:t>
      </w:r>
      <w:r>
        <w:rPr>
          <w:noProof/>
        </w:rPr>
        <w:tab/>
        <w:t>EUR 4.8 million for the EBCG Agency for hosting a team of specialists who during one year (2023) will validate the links between identities at the moment the MID goes live. The activities of the team can be associated with identity disambiguation as attributed to the EBCG Agency under the ETIAS proposal. There is no impact on current MFF as financing is provided from 2021 onwards.</w:t>
      </w:r>
    </w:p>
    <w:p>
      <w:pPr>
        <w:pStyle w:val="Text1"/>
        <w:pBdr>
          <w:top w:val="single" w:sz="4" w:space="1" w:color="auto"/>
          <w:left w:val="single" w:sz="4" w:space="4" w:color="auto"/>
          <w:bottom w:val="single" w:sz="4" w:space="1" w:color="auto"/>
          <w:right w:val="single" w:sz="4" w:space="4" w:color="auto"/>
        </w:pBdr>
        <w:rPr>
          <w:noProof/>
        </w:rPr>
      </w:pPr>
      <w:r>
        <w:rPr>
          <w:noProof/>
        </w:rPr>
        <w:t>(3)</w:t>
      </w:r>
      <w:r>
        <w:rPr>
          <w:noProof/>
        </w:rPr>
        <w:tab/>
        <w:t>EUR 48.9 million for Europol to cover the upgrade of Europol's IT systems to the volume of messages to be handled and the increased performance levels. The interoperability components will be used by ETIAS in order to consult the Europol data. However the current information handling capacity of Europol is not compliant with the substantial volumes (average of 100,000 queries per day) and shortened response time. EUR 9,1 million is spent on current MFF.</w:t>
      </w:r>
    </w:p>
    <w:p>
      <w:pPr>
        <w:pStyle w:val="Text1"/>
        <w:pBdr>
          <w:top w:val="single" w:sz="4" w:space="1" w:color="auto"/>
          <w:left w:val="single" w:sz="4" w:space="4" w:color="auto"/>
          <w:bottom w:val="single" w:sz="4" w:space="1" w:color="auto"/>
          <w:right w:val="single" w:sz="4" w:space="4" w:color="auto"/>
        </w:pBdr>
        <w:rPr>
          <w:noProof/>
        </w:rPr>
      </w:pPr>
      <w:r>
        <w:rPr>
          <w:noProof/>
        </w:rPr>
        <w:t>(4)</w:t>
      </w:r>
      <w:r>
        <w:rPr>
          <w:noProof/>
        </w:rPr>
        <w:tab/>
        <w:t>EUR 2.0 million for CEPOL to cover the preparation and delivery of training to operational staff. EUR 0,1 million is scheduled in 2020.</w:t>
      </w:r>
      <w:r>
        <w:rPr>
          <w:noProof/>
        </w:rPr>
        <w:tab/>
        <w:t xml:space="preserve"> </w:t>
      </w:r>
    </w:p>
    <w:p>
      <w:pPr>
        <w:pStyle w:val="Text1"/>
        <w:pBdr>
          <w:top w:val="single" w:sz="4" w:space="1" w:color="auto"/>
          <w:left w:val="single" w:sz="4" w:space="4" w:color="auto"/>
          <w:bottom w:val="single" w:sz="4" w:space="1" w:color="auto"/>
          <w:right w:val="single" w:sz="4" w:space="4" w:color="auto"/>
        </w:pBdr>
        <w:rPr>
          <w:noProof/>
        </w:rPr>
      </w:pPr>
      <w:r>
        <w:rPr>
          <w:noProof/>
        </w:rPr>
        <w:t>(5)</w:t>
      </w:r>
      <w:r>
        <w:rPr>
          <w:noProof/>
        </w:rPr>
        <w:tab/>
        <w:t>EUR 225.0 million for eu-LISA which covers the total cost for the development of the programme delivering the five interoperability components ( € 68.3 million), the maintenance cost from the moment components are delivered up until 2027 (€ 56.1 million), a specific budget of € 25.0 million for the migration of data from existing systems to the shared BMS and the additional costs for the NUI update, network, training and meetings. A specific budget of € 18.7 million covers the cost of upgrading and operating ECRIS-TCN in high-availability mode from 2022. Out of the total amount, EUR 23.0 million is spent during the current MFF.</w:t>
      </w:r>
    </w:p>
    <w:p>
      <w:pPr>
        <w:pStyle w:val="Text1"/>
        <w:pBdr>
          <w:top w:val="single" w:sz="4" w:space="1" w:color="auto"/>
          <w:left w:val="single" w:sz="4" w:space="4" w:color="auto"/>
          <w:bottom w:val="single" w:sz="4" w:space="1" w:color="auto"/>
          <w:right w:val="single" w:sz="4" w:space="4" w:color="auto"/>
        </w:pBdr>
        <w:rPr>
          <w:noProof/>
        </w:rPr>
      </w:pPr>
      <w:r>
        <w:rPr>
          <w:noProof/>
        </w:rPr>
        <w:t>(6)</w:t>
      </w:r>
      <w:r>
        <w:rPr>
          <w:noProof/>
        </w:rPr>
        <w:tab/>
        <w:t>EUR 7.7 million for DG HOME in order to cover a limited increase of staff and related costs during the development period of the different components, as the Commission will also take the responsibility for the committee dealing with UMF (Uniform Message Format). This budget which falls under heading 5 is not to be covered by the ISF budget. For information EUR 2,0 million are due over the period 2019-2020.</w:t>
      </w:r>
    </w:p>
    <w:p>
      <w:pPr>
        <w:pStyle w:val="Text1"/>
        <w:pBdr>
          <w:top w:val="single" w:sz="4" w:space="1" w:color="auto"/>
          <w:left w:val="single" w:sz="4" w:space="4" w:color="auto"/>
          <w:bottom w:val="single" w:sz="4" w:space="1" w:color="auto"/>
          <w:right w:val="single" w:sz="4" w:space="4" w:color="auto"/>
        </w:pBdr>
        <w:rPr>
          <w:noProof/>
        </w:rPr>
      </w:pPr>
      <w:r>
        <w:rPr>
          <w:noProof/>
        </w:rPr>
        <w:t>Compatibility with previous initiatives</w:t>
      </w:r>
    </w:p>
    <w:p>
      <w:pPr>
        <w:pStyle w:val="Text1"/>
        <w:pBdr>
          <w:top w:val="single" w:sz="4" w:space="1" w:color="auto"/>
          <w:left w:val="single" w:sz="4" w:space="4" w:color="auto"/>
          <w:bottom w:val="single" w:sz="4" w:space="1" w:color="auto"/>
          <w:right w:val="single" w:sz="4" w:space="4" w:color="auto"/>
        </w:pBdr>
        <w:rPr>
          <w:noProof/>
        </w:rPr>
      </w:pPr>
      <w:r>
        <w:rPr>
          <w:noProof/>
        </w:rPr>
        <w:t>This initiative is compatible with the following:</w:t>
      </w:r>
    </w:p>
    <w:p>
      <w:pPr>
        <w:pStyle w:val="Text1"/>
        <w:pBdr>
          <w:top w:val="single" w:sz="4" w:space="1" w:color="auto"/>
          <w:left w:val="single" w:sz="4" w:space="4" w:color="auto"/>
          <w:bottom w:val="single" w:sz="4" w:space="1" w:color="auto"/>
          <w:right w:val="single" w:sz="4" w:space="4" w:color="auto"/>
        </w:pBdr>
        <w:rPr>
          <w:noProof/>
          <w:szCs w:val="24"/>
        </w:rPr>
      </w:pPr>
      <w:r>
        <w:rPr>
          <w:noProof/>
          <w:szCs w:val="24"/>
        </w:rPr>
        <w:t xml:space="preserve">In April 2016, the Commission presented a </w:t>
      </w:r>
      <w:r>
        <w:rPr>
          <w:b/>
          <w:bCs/>
          <w:noProof/>
          <w:szCs w:val="24"/>
        </w:rPr>
        <w:t xml:space="preserve">Communication </w:t>
      </w:r>
      <w:r>
        <w:rPr>
          <w:b/>
          <w:bCs/>
          <w:i/>
          <w:iCs/>
          <w:noProof/>
          <w:szCs w:val="24"/>
        </w:rPr>
        <w:t>Stronger and smarter information systems for borders and security</w:t>
      </w:r>
      <w:r>
        <w:rPr>
          <w:noProof/>
          <w:szCs w:val="24"/>
        </w:rPr>
        <w:t xml:space="preserve"> to address a number of structural shortcomings related to information systems. Three actions arose from this:</w:t>
      </w:r>
    </w:p>
    <w:p>
      <w:pPr>
        <w:pStyle w:val="Text1"/>
        <w:pBdr>
          <w:top w:val="single" w:sz="4" w:space="1" w:color="auto"/>
          <w:left w:val="single" w:sz="4" w:space="4" w:color="auto"/>
          <w:bottom w:val="single" w:sz="4" w:space="1" w:color="auto"/>
          <w:right w:val="single" w:sz="4" w:space="4" w:color="auto"/>
        </w:pBdr>
        <w:rPr>
          <w:noProof/>
          <w:szCs w:val="24"/>
        </w:rPr>
      </w:pPr>
      <w:r>
        <w:rPr>
          <w:noProof/>
          <w:szCs w:val="24"/>
        </w:rPr>
        <w:t xml:space="preserve">First, the Commission took </w:t>
      </w:r>
      <w:r>
        <w:rPr>
          <w:b/>
          <w:bCs/>
          <w:noProof/>
          <w:szCs w:val="24"/>
        </w:rPr>
        <w:t>action to strengthen and maximise the benefits of existing information systems</w:t>
      </w:r>
      <w:r>
        <w:rPr>
          <w:noProof/>
          <w:szCs w:val="24"/>
        </w:rPr>
        <w:t>. In December 2016, the Commission adopted proposals for the further reinforcement of the existing Schengen Information System (SIS). In the meantime, following the Commission's proposal of May 2016, negotiations were accelerated on the revised legal basis for Eurodac — the EU asylum fingerprint database. A proposal for a new legal basis for the Visa Information System (VIS) is also under preparation, and will be submitted in the second quarter of 2018.</w:t>
      </w:r>
    </w:p>
    <w:p>
      <w:pPr>
        <w:pStyle w:val="Text1"/>
        <w:pBdr>
          <w:top w:val="single" w:sz="4" w:space="1" w:color="auto"/>
          <w:left w:val="single" w:sz="4" w:space="4" w:color="auto"/>
          <w:bottom w:val="single" w:sz="4" w:space="1" w:color="auto"/>
          <w:right w:val="single" w:sz="4" w:space="4" w:color="auto"/>
        </w:pBdr>
        <w:rPr>
          <w:noProof/>
          <w:szCs w:val="24"/>
        </w:rPr>
      </w:pPr>
      <w:r>
        <w:rPr>
          <w:noProof/>
          <w:szCs w:val="24"/>
        </w:rPr>
        <w:t xml:space="preserve">Second, the Commission proposed </w:t>
      </w:r>
      <w:r>
        <w:rPr>
          <w:b/>
          <w:bCs/>
          <w:noProof/>
          <w:szCs w:val="24"/>
        </w:rPr>
        <w:t xml:space="preserve">additional information systems to address identified gaps </w:t>
      </w:r>
      <w:r>
        <w:rPr>
          <w:noProof/>
          <w:szCs w:val="24"/>
        </w:rPr>
        <w:t>in the EU's data management architecture. Negotiations on the Commission's April 2016 proposal to establish an Entry/Exit System (EES)</w:t>
      </w:r>
      <w:r>
        <w:rPr>
          <w:rStyle w:val="FootnoteReference"/>
          <w:noProof/>
          <w:szCs w:val="24"/>
        </w:rPr>
        <w:footnoteReference w:id="79"/>
      </w:r>
      <w:r>
        <w:rPr>
          <w:noProof/>
          <w:szCs w:val="24"/>
        </w:rPr>
        <w:t xml:space="preserve"> — to improve border check procedures for non-EU nationals travelling to the EU — were concluded as early as July 2017, when the co-legislators reached a political agreement, confirmed by the European Parliament in October 2017 and formally adopted by the Council in November 2017. In November 2016, the Commission also presented a proposal for the establishment of a European Travel Information and Authorisation System (ETIAS)</w:t>
      </w:r>
      <w:r>
        <w:rPr>
          <w:rStyle w:val="FootnoteReference"/>
          <w:noProof/>
          <w:szCs w:val="24"/>
        </w:rPr>
        <w:footnoteReference w:id="80"/>
      </w:r>
      <w:r>
        <w:rPr>
          <w:noProof/>
          <w:szCs w:val="24"/>
        </w:rPr>
        <w:t>. This proposal aims to strengthen security checks on visa-free travellers by enabling advance irregular migration and security checks. It is currently under negotiation by the co-legislators. In June 2017, the European Criminal Record Information System for third-country nationals (ECRIS-TCN system)</w:t>
      </w:r>
      <w:r>
        <w:rPr>
          <w:rStyle w:val="FootnoteReference"/>
          <w:noProof/>
          <w:szCs w:val="24"/>
        </w:rPr>
        <w:footnoteReference w:id="81"/>
      </w:r>
      <w:r>
        <w:rPr>
          <w:noProof/>
          <w:szCs w:val="24"/>
        </w:rPr>
        <w:t xml:space="preserve"> was also proposed to address the gap identified with regards to exchange of information between Member States on convicted non-EU nationals</w:t>
      </w:r>
    </w:p>
    <w:p>
      <w:pPr>
        <w:pStyle w:val="Text1"/>
        <w:pBdr>
          <w:top w:val="single" w:sz="4" w:space="1" w:color="auto"/>
          <w:left w:val="single" w:sz="4" w:space="4" w:color="auto"/>
          <w:bottom w:val="single" w:sz="4" w:space="1" w:color="auto"/>
          <w:right w:val="single" w:sz="4" w:space="4" w:color="auto"/>
        </w:pBdr>
        <w:rPr>
          <w:noProof/>
        </w:rPr>
      </w:pPr>
      <w:r>
        <w:rPr>
          <w:noProof/>
          <w:szCs w:val="24"/>
        </w:rPr>
        <w:t xml:space="preserve">Third, the Commission worked </w:t>
      </w:r>
      <w:r>
        <w:rPr>
          <w:b/>
          <w:bCs/>
          <w:noProof/>
          <w:szCs w:val="24"/>
        </w:rPr>
        <w:t>towards the interoperability of information systems</w:t>
      </w:r>
      <w:r>
        <w:rPr>
          <w:noProof/>
          <w:szCs w:val="24"/>
        </w:rPr>
        <w:t>, focusing on the four options presented in the April 2016 Communication</w:t>
      </w:r>
      <w:r>
        <w:rPr>
          <w:rStyle w:val="FootnoteReference"/>
          <w:noProof/>
          <w:szCs w:val="24"/>
        </w:rPr>
        <w:footnoteReference w:id="82"/>
      </w:r>
      <w:r>
        <w:rPr>
          <w:noProof/>
          <w:szCs w:val="24"/>
        </w:rPr>
        <w:t xml:space="preserve"> to achieve interoperability. Three of the four options are precisely the ESP, the CIR and the shared BMS. It became clear afterwards a distinction had to be made between the CIR as the database of identities and a new component that identifies multiple identities linked to a same biometric identifier (MID).  So the four components are now: the ESP, the CIR, the MID and the shared BMS.</w:t>
      </w:r>
    </w:p>
    <w:p>
      <w:pPr>
        <w:pStyle w:val="Text1"/>
        <w:pBdr>
          <w:top w:val="single" w:sz="4" w:space="1" w:color="auto"/>
          <w:left w:val="single" w:sz="4" w:space="4" w:color="auto"/>
          <w:bottom w:val="single" w:sz="4" w:space="1" w:color="auto"/>
          <w:right w:val="single" w:sz="4" w:space="4" w:color="auto"/>
        </w:pBdr>
        <w:rPr>
          <w:noProof/>
        </w:rPr>
      </w:pPr>
      <w:r>
        <w:rPr>
          <w:noProof/>
        </w:rPr>
        <w:t>Synergy</w:t>
      </w:r>
    </w:p>
    <w:p>
      <w:pPr>
        <w:pStyle w:val="Text1"/>
        <w:pBdr>
          <w:top w:val="single" w:sz="4" w:space="1" w:color="auto"/>
          <w:left w:val="single" w:sz="4" w:space="4" w:color="auto"/>
          <w:bottom w:val="single" w:sz="4" w:space="1" w:color="auto"/>
          <w:right w:val="single" w:sz="4" w:space="4" w:color="auto"/>
        </w:pBdr>
        <w:rPr>
          <w:noProof/>
        </w:rPr>
      </w:pPr>
      <w:r>
        <w:rPr>
          <w:noProof/>
        </w:rPr>
        <w:t>Synergy is understood here as the benefit realised by reusing existing solutions and avoiding new investments all the way around.</w:t>
      </w:r>
    </w:p>
    <w:p>
      <w:pPr>
        <w:pStyle w:val="Text1"/>
        <w:pBdr>
          <w:top w:val="single" w:sz="4" w:space="1" w:color="auto"/>
          <w:left w:val="single" w:sz="4" w:space="4" w:color="auto"/>
          <w:bottom w:val="single" w:sz="4" w:space="1" w:color="auto"/>
          <w:right w:val="single" w:sz="4" w:space="4" w:color="auto"/>
        </w:pBdr>
        <w:rPr>
          <w:noProof/>
        </w:rPr>
      </w:pPr>
      <w:r>
        <w:rPr>
          <w:noProof/>
        </w:rPr>
        <w:t>A major synergy exists between these initiatives and the development of the EES and ETIAS.</w:t>
      </w:r>
    </w:p>
    <w:p>
      <w:pPr>
        <w:pStyle w:val="Text1"/>
        <w:pBdr>
          <w:top w:val="single" w:sz="4" w:space="1" w:color="auto"/>
          <w:left w:val="single" w:sz="4" w:space="4" w:color="auto"/>
          <w:bottom w:val="single" w:sz="4" w:space="1" w:color="auto"/>
          <w:right w:val="single" w:sz="4" w:space="4" w:color="auto"/>
        </w:pBdr>
        <w:rPr>
          <w:noProof/>
        </w:rPr>
      </w:pPr>
      <w:r>
        <w:rPr>
          <w:noProof/>
        </w:rPr>
        <w:t>For the functioning of the EES, an individual file is created for all third-country nationals entering the Schengen area for a short stay. For this purpose, the current biometric matching system used for VIS, containing the fingerprint templates for all visa-required travellers, will be extended to also include the biometrics from visa-exempt travellers. The shared BMS is thus conceptually a further generalisation of the biometrics matcher that will be built as part of the EES. The biometric templates contained in the biometric matcher of SIS and Eurodac will then be migrated (this is the technical term when data are moved from one system to another) to that shared BMS. According to supplier data, the storage in separate databases costs on average 1 euro per biometric set (there are potentially 200 million data sets in total) while the average cost drops to €0.35 per biometric set when a shared BMS solution is created. The higher costs on the hardware required for a high volume of data partly offsets these benefits but in the end the cost of a shared BMS is estimated to be 30% lower than when the same data are stored in multiple smaller BMS systems.</w:t>
      </w:r>
    </w:p>
    <w:p>
      <w:pPr>
        <w:pStyle w:val="Text1"/>
        <w:pBdr>
          <w:top w:val="single" w:sz="4" w:space="1" w:color="auto"/>
          <w:left w:val="single" w:sz="4" w:space="4" w:color="auto"/>
          <w:bottom w:val="single" w:sz="4" w:space="1" w:color="auto"/>
          <w:right w:val="single" w:sz="4" w:space="4" w:color="auto"/>
        </w:pBdr>
        <w:rPr>
          <w:noProof/>
        </w:rPr>
      </w:pPr>
      <w:r>
        <w:rPr>
          <w:noProof/>
        </w:rPr>
        <w:t>For the functioning of ETIAS, a component needs to be available for querying a set of EU systems. Either the ESP is used or a specific component is built as part of the ESP proposal. The interoperability proposal enables the building of one component rather than two.</w:t>
      </w:r>
    </w:p>
    <w:p>
      <w:pPr>
        <w:pStyle w:val="Text1"/>
        <w:pBdr>
          <w:top w:val="single" w:sz="4" w:space="1" w:color="auto"/>
          <w:left w:val="single" w:sz="4" w:space="4" w:color="auto"/>
          <w:bottom w:val="single" w:sz="4" w:space="1" w:color="auto"/>
          <w:right w:val="single" w:sz="4" w:space="4" w:color="auto"/>
        </w:pBdr>
        <w:rPr>
          <w:noProof/>
        </w:rPr>
      </w:pPr>
      <w:r>
        <w:rPr>
          <w:noProof/>
        </w:rPr>
        <w:t>There is also a synergy achieved by reusing the same national uniform interface (NUI) that is used for EES and ETIAS. The NUI will need to be updated but will continue to be used.</w:t>
      </w:r>
    </w:p>
    <w:p>
      <w:pPr>
        <w:pStyle w:val="Text1"/>
        <w:pBdr>
          <w:top w:val="single" w:sz="4" w:space="1" w:color="auto"/>
          <w:left w:val="single" w:sz="4" w:space="4" w:color="auto"/>
          <w:bottom w:val="single" w:sz="4" w:space="1" w:color="auto"/>
          <w:right w:val="single" w:sz="4" w:space="4" w:color="auto"/>
        </w:pBdr>
        <w:rPr>
          <w:noProof/>
          <w:szCs w:val="24"/>
        </w:rPr>
      </w:pPr>
    </w:p>
    <w:p>
      <w:pPr>
        <w:pStyle w:val="ManualHeading2"/>
        <w:rPr>
          <w:bCs/>
          <w:noProof/>
          <w:szCs w:val="24"/>
        </w:rPr>
      </w:pPr>
      <w:r>
        <w:rPr>
          <w:noProof/>
        </w:rPr>
        <w:br w:type="page"/>
      </w:r>
      <w:bookmarkStart w:id="279" w:name="_Toc498514163"/>
      <w:r>
        <w:t>1.6.</w:t>
      </w:r>
      <w:r>
        <w:tab/>
      </w:r>
      <w:r>
        <w:rPr>
          <w:noProof/>
        </w:rPr>
        <w:t>Duration and financial impact</w:t>
      </w:r>
      <w:bookmarkEnd w:id="279"/>
      <w:r>
        <w:rPr>
          <w:noProof/>
        </w:rPr>
        <w:t xml:space="preserve"> </w:t>
      </w:r>
    </w:p>
    <w:p>
      <w:pPr>
        <w:pStyle w:val="Text1"/>
        <w:rPr>
          <w:noProof/>
        </w:rPr>
      </w:pPr>
      <w:r>
        <w:rPr>
          <w:noProof/>
        </w:rPr>
        <w:sym w:font="Wingdings" w:char="F0A8"/>
      </w:r>
      <w:r>
        <w:rPr>
          <w:b/>
          <w:i/>
          <w:noProof/>
        </w:rPr>
        <w:t xml:space="preserve"> </w:t>
      </w:r>
      <w:r>
        <w:rPr>
          <w:noProof/>
        </w:rPr>
        <w:t xml:space="preserve">Proposal/initiative of </w:t>
      </w:r>
      <w:r>
        <w:rPr>
          <w:b/>
          <w:noProof/>
        </w:rPr>
        <w:t xml:space="preserve">limited duration </w:t>
      </w:r>
    </w:p>
    <w:p>
      <w:pPr>
        <w:pStyle w:val="ListDash2"/>
        <w:rPr>
          <w:noProof/>
        </w:rPr>
      </w:pPr>
      <w:r>
        <w:rPr>
          <w:noProof/>
        </w:rPr>
        <w:sym w:font="Wingdings" w:char="F0A8"/>
      </w:r>
      <w:r>
        <w:rPr>
          <w:noProof/>
        </w:rPr>
        <w:tab/>
        <w:t xml:space="preserve">Proposal/initiative in effect from [DD/MM]YYYY to [DD/MM]YYYY </w:t>
      </w:r>
    </w:p>
    <w:p>
      <w:pPr>
        <w:pStyle w:val="ListDash2"/>
        <w:rPr>
          <w:noProof/>
        </w:rPr>
      </w:pPr>
      <w:r>
        <w:rPr>
          <w:noProof/>
        </w:rPr>
        <w:sym w:font="Wingdings" w:char="F0A8"/>
      </w:r>
      <w:r>
        <w:rPr>
          <w:noProof/>
        </w:rPr>
        <w:tab/>
        <w:t xml:space="preserve">Financial impact from YYYY to YYYY </w:t>
      </w:r>
    </w:p>
    <w:p>
      <w:pPr>
        <w:pStyle w:val="Text1"/>
        <w:rPr>
          <w:noProof/>
        </w:rPr>
      </w:pPr>
      <w:r>
        <w:rPr>
          <w:noProof/>
        </w:rPr>
        <w:sym w:font="Wingdings" w:char="F078"/>
      </w:r>
      <w:r>
        <w:rPr>
          <w:b/>
          <w:i/>
          <w:noProof/>
        </w:rPr>
        <w:t xml:space="preserve"> </w:t>
      </w:r>
      <w:r>
        <w:rPr>
          <w:noProof/>
        </w:rPr>
        <w:t xml:space="preserve">Proposal/initiative of </w:t>
      </w:r>
      <w:r>
        <w:rPr>
          <w:b/>
          <w:noProof/>
        </w:rPr>
        <w:t>unlimited duration</w:t>
      </w:r>
    </w:p>
    <w:p>
      <w:pPr>
        <w:pStyle w:val="ListDash1"/>
        <w:rPr>
          <w:noProof/>
        </w:rPr>
      </w:pPr>
      <w:r>
        <w:rPr>
          <w:noProof/>
        </w:rPr>
        <w:t>Development period from 2019 to 2023 included, followed by full-scale operations.</w:t>
      </w:r>
    </w:p>
    <w:p>
      <w:pPr>
        <w:pStyle w:val="ListDash1"/>
        <w:rPr>
          <w:noProof/>
        </w:rPr>
      </w:pPr>
      <w:r>
        <w:rPr>
          <w:noProof/>
        </w:rPr>
        <w:t>Duration of the financial impact is therefore provided for 2019 to 2027.</w:t>
      </w:r>
    </w:p>
    <w:p>
      <w:pPr>
        <w:pStyle w:val="ManualHeading2"/>
        <w:rPr>
          <w:bCs/>
          <w:noProof/>
          <w:szCs w:val="24"/>
        </w:rPr>
      </w:pPr>
      <w:bookmarkStart w:id="280" w:name="_Toc498514164"/>
      <w:r>
        <w:t>1.7.</w:t>
      </w:r>
      <w:r>
        <w:tab/>
      </w:r>
      <w:r>
        <w:rPr>
          <w:noProof/>
        </w:rPr>
        <w:t>Management mode(s) planned</w:t>
      </w:r>
      <w:r>
        <w:rPr>
          <w:rStyle w:val="FootnoteReference"/>
          <w:noProof/>
        </w:rPr>
        <w:footnoteReference w:id="83"/>
      </w:r>
      <w:bookmarkEnd w:id="280"/>
      <w:r>
        <w:rPr>
          <w:rStyle w:val="FootnoteReference"/>
          <w:noProof/>
        </w:rPr>
        <w:t xml:space="preserve"> </w:t>
      </w:r>
    </w:p>
    <w:p>
      <w:pPr>
        <w:pStyle w:val="Text1"/>
        <w:rPr>
          <w:noProof/>
        </w:rPr>
      </w:pPr>
      <w:r>
        <w:rPr>
          <w:noProof/>
        </w:rPr>
        <w:sym w:font="Wingdings" w:char="F078"/>
      </w:r>
      <w:r>
        <w:rPr>
          <w:i/>
          <w:noProof/>
        </w:rPr>
        <w:t xml:space="preserve"> </w:t>
      </w:r>
      <w:r>
        <w:rPr>
          <w:b/>
          <w:noProof/>
        </w:rPr>
        <w:t>Direct management</w:t>
      </w:r>
      <w:r>
        <w:rPr>
          <w:noProof/>
        </w:rPr>
        <w:t xml:space="preserve"> by the Commission</w:t>
      </w:r>
    </w:p>
    <w:p>
      <w:pPr>
        <w:pStyle w:val="ListDash2"/>
        <w:rPr>
          <w:rFonts w:cs="EUAlbertina"/>
          <w:noProof/>
        </w:rPr>
      </w:pPr>
      <w:r>
        <w:rPr>
          <w:noProof/>
        </w:rPr>
        <w:t xml:space="preserve">X by its departments, including by its staff in the Union delegations; </w:t>
      </w:r>
    </w:p>
    <w:p>
      <w:pPr>
        <w:pStyle w:val="ListDash2"/>
        <w:rPr>
          <w:noProof/>
        </w:rPr>
      </w:pPr>
      <w:r>
        <w:rPr>
          <w:noProof/>
        </w:rPr>
        <w:sym w:font="Wingdings" w:char="F0A8"/>
      </w:r>
      <w:r>
        <w:rPr>
          <w:noProof/>
        </w:rPr>
        <w:tab/>
        <w:t xml:space="preserve">by the executive agencies </w:t>
      </w:r>
    </w:p>
    <w:p>
      <w:pPr>
        <w:pStyle w:val="Text1"/>
        <w:rPr>
          <w:noProof/>
        </w:rPr>
      </w:pPr>
      <w:r>
        <w:rPr>
          <w:noProof/>
        </w:rPr>
        <w:sym w:font="Wingdings" w:char="F078"/>
      </w:r>
      <w:r>
        <w:rPr>
          <w:b/>
          <w:i/>
          <w:noProof/>
        </w:rPr>
        <w:t xml:space="preserve"> </w:t>
      </w:r>
      <w:r>
        <w:rPr>
          <w:b/>
          <w:noProof/>
        </w:rPr>
        <w:t>Shared management</w:t>
      </w:r>
      <w:r>
        <w:rPr>
          <w:noProof/>
        </w:rPr>
        <w:t xml:space="preserve"> with the Member States </w:t>
      </w:r>
    </w:p>
    <w:p>
      <w:pPr>
        <w:pStyle w:val="Text1"/>
        <w:rPr>
          <w:noProof/>
        </w:rPr>
      </w:pPr>
      <w:r>
        <w:rPr>
          <w:noProof/>
        </w:rPr>
        <w:sym w:font="Wingdings" w:char="F078"/>
      </w:r>
      <w:r>
        <w:rPr>
          <w:i/>
          <w:noProof/>
        </w:rPr>
        <w:t xml:space="preserve"> </w:t>
      </w:r>
      <w:r>
        <w:rPr>
          <w:b/>
          <w:noProof/>
        </w:rPr>
        <w:t>Indirect management</w:t>
      </w:r>
      <w:r>
        <w:rPr>
          <w:noProof/>
        </w:rPr>
        <w:t xml:space="preserve"> by entrusting budget implementation tasks to:</w:t>
      </w:r>
    </w:p>
    <w:p>
      <w:pPr>
        <w:pStyle w:val="ListDash2"/>
        <w:rPr>
          <w:noProof/>
        </w:rPr>
      </w:pPr>
      <w:r>
        <w:rPr>
          <w:noProof/>
        </w:rPr>
        <w:sym w:font="Wingdings" w:char="F0A8"/>
      </w:r>
      <w:r>
        <w:rPr>
          <w:noProof/>
        </w:rPr>
        <w:t xml:space="preserve"> third countries or the bodies they have designated;</w:t>
      </w:r>
    </w:p>
    <w:p>
      <w:pPr>
        <w:pStyle w:val="ListDash2"/>
        <w:rPr>
          <w:noProof/>
        </w:rPr>
      </w:pPr>
      <w:r>
        <w:rPr>
          <w:noProof/>
        </w:rPr>
        <w:sym w:font="Wingdings" w:char="F0A8"/>
      </w:r>
      <w:r>
        <w:rPr>
          <w:noProof/>
        </w:rPr>
        <w:t xml:space="preserve"> international organisations and their agencies (to be specified);</w:t>
      </w:r>
    </w:p>
    <w:p>
      <w:pPr>
        <w:pStyle w:val="ListDash2"/>
        <w:rPr>
          <w:noProof/>
        </w:rPr>
      </w:pPr>
      <w:r>
        <w:rPr>
          <w:noProof/>
        </w:rPr>
        <w:sym w:font="Wingdings" w:char="F0A8"/>
      </w:r>
      <w:r>
        <w:rPr>
          <w:noProof/>
        </w:rPr>
        <w:t>the EIB and the European Investment Fund;</w:t>
      </w:r>
    </w:p>
    <w:p>
      <w:pPr>
        <w:pStyle w:val="ListDash2"/>
        <w:rPr>
          <w:noProof/>
        </w:rPr>
      </w:pPr>
      <w:r>
        <w:rPr>
          <w:noProof/>
        </w:rPr>
        <w:sym w:font="Wingdings" w:char="F078"/>
      </w:r>
      <w:r>
        <w:rPr>
          <w:noProof/>
        </w:rPr>
        <w:t xml:space="preserve"> bodies referred to in Articles 208 and 209 of the Financial Regulation;</w:t>
      </w:r>
    </w:p>
    <w:p>
      <w:pPr>
        <w:pStyle w:val="ListDash2"/>
        <w:rPr>
          <w:noProof/>
        </w:rPr>
      </w:pPr>
      <w:r>
        <w:rPr>
          <w:noProof/>
        </w:rPr>
        <w:sym w:font="Wingdings" w:char="F0A8"/>
      </w:r>
      <w:r>
        <w:rPr>
          <w:noProof/>
        </w:rPr>
        <w:t xml:space="preserve"> public law bodies;</w:t>
      </w:r>
    </w:p>
    <w:p>
      <w:pPr>
        <w:pStyle w:val="ListDash2"/>
        <w:rPr>
          <w:noProof/>
        </w:rPr>
      </w:pPr>
      <w:r>
        <w:rPr>
          <w:noProof/>
        </w:rPr>
        <w:sym w:font="Wingdings" w:char="F0A8"/>
      </w:r>
      <w:r>
        <w:rPr>
          <w:noProof/>
        </w:rPr>
        <w:t xml:space="preserve"> bodies governed by private law with a public service mission to the extent that they provide adequate financial guarantees;</w:t>
      </w:r>
    </w:p>
    <w:p>
      <w:pPr>
        <w:pStyle w:val="ListDash2"/>
        <w:rPr>
          <w:noProof/>
        </w:rPr>
      </w:pPr>
      <w:r>
        <w:rPr>
          <w:noProof/>
        </w:rPr>
        <w:sym w:font="Wingdings" w:char="F0A8"/>
      </w:r>
      <w:r>
        <w:rPr>
          <w:noProof/>
        </w:rPr>
        <w:t xml:space="preserve"> bodies governed by the private law of a Member State that are entrusted with the implementation of a public-private partnership and that provide adequate financial guarantees;</w:t>
      </w:r>
    </w:p>
    <w:p>
      <w:pPr>
        <w:pStyle w:val="ListDash2"/>
        <w:rPr>
          <w:noProof/>
        </w:rPr>
      </w:pPr>
      <w:r>
        <w:rPr>
          <w:noProof/>
        </w:rPr>
        <w:sym w:font="Wingdings" w:char="F0A8"/>
      </w:r>
      <w:r>
        <w:rPr>
          <w:noProof/>
        </w:rPr>
        <w:t xml:space="preserve"> persons entrusted with the implementation of specific actions in the CFSP pursuant to Title V of the TEU, and identified in the relevant basic act.</w:t>
      </w:r>
    </w:p>
    <w:p>
      <w:pPr>
        <w:pStyle w:val="ListDash2"/>
        <w:rPr>
          <w:i/>
          <w:noProof/>
          <w:sz w:val="18"/>
          <w:u w:val="single"/>
        </w:rPr>
      </w:pPr>
      <w:r>
        <w:rPr>
          <w:i/>
          <w:noProof/>
          <w:sz w:val="18"/>
        </w:rPr>
        <w:t>If more than one management mode is indicated, please provide details in the ‘Comments’ section.</w:t>
      </w:r>
    </w:p>
    <w:p>
      <w:pPr>
        <w:rPr>
          <w:noProof/>
        </w:rPr>
      </w:pPr>
      <w:r>
        <w:rPr>
          <w:noProof/>
        </w:rPr>
        <w:t xml:space="preserve">Comments </w:t>
      </w:r>
    </w:p>
    <w:tbl>
      <w:tblPr>
        <w:tblStyle w:val="TableGrid"/>
        <w:tblW w:w="9640" w:type="dxa"/>
        <w:tblLayout w:type="fixed"/>
        <w:tblLook w:val="04A0" w:firstRow="1" w:lastRow="0" w:firstColumn="1" w:lastColumn="0" w:noHBand="0" w:noVBand="1"/>
      </w:tblPr>
      <w:tblGrid>
        <w:gridCol w:w="3085"/>
        <w:gridCol w:w="1843"/>
        <w:gridCol w:w="1559"/>
        <w:gridCol w:w="1514"/>
        <w:gridCol w:w="1639"/>
      </w:tblGrid>
      <w:tr>
        <w:trPr>
          <w:tblHeader/>
        </w:trPr>
        <w:tc>
          <w:tcPr>
            <w:tcW w:w="3085" w:type="dxa"/>
          </w:tcPr>
          <w:p>
            <w:pPr>
              <w:jc w:val="center"/>
              <w:rPr>
                <w:noProof/>
              </w:rPr>
            </w:pPr>
            <w:r>
              <w:rPr>
                <w:noProof/>
              </w:rPr>
              <w:t>Blocks</w:t>
            </w:r>
          </w:p>
        </w:tc>
        <w:tc>
          <w:tcPr>
            <w:tcW w:w="1843" w:type="dxa"/>
          </w:tcPr>
          <w:p>
            <w:pPr>
              <w:jc w:val="center"/>
              <w:rPr>
                <w:noProof/>
              </w:rPr>
            </w:pPr>
            <w:r>
              <w:rPr>
                <w:noProof/>
              </w:rPr>
              <w:t>Development phase</w:t>
            </w:r>
          </w:p>
        </w:tc>
        <w:tc>
          <w:tcPr>
            <w:tcW w:w="1559" w:type="dxa"/>
          </w:tcPr>
          <w:p>
            <w:pPr>
              <w:jc w:val="center"/>
              <w:rPr>
                <w:noProof/>
              </w:rPr>
            </w:pPr>
            <w:r>
              <w:rPr>
                <w:noProof/>
              </w:rPr>
              <w:t>Operations phase</w:t>
            </w:r>
          </w:p>
        </w:tc>
        <w:tc>
          <w:tcPr>
            <w:tcW w:w="1514" w:type="dxa"/>
          </w:tcPr>
          <w:p>
            <w:pPr>
              <w:jc w:val="center"/>
              <w:rPr>
                <w:noProof/>
              </w:rPr>
            </w:pPr>
            <w:r>
              <w:rPr>
                <w:noProof/>
              </w:rPr>
              <w:t>Management mode</w:t>
            </w:r>
          </w:p>
        </w:tc>
        <w:tc>
          <w:tcPr>
            <w:tcW w:w="1639" w:type="dxa"/>
          </w:tcPr>
          <w:p>
            <w:pPr>
              <w:jc w:val="center"/>
              <w:rPr>
                <w:noProof/>
              </w:rPr>
            </w:pPr>
            <w:r>
              <w:rPr>
                <w:noProof/>
              </w:rPr>
              <w:t>Actor</w:t>
            </w:r>
          </w:p>
        </w:tc>
      </w:tr>
      <w:tr>
        <w:tc>
          <w:tcPr>
            <w:tcW w:w="3085" w:type="dxa"/>
          </w:tcPr>
          <w:p>
            <w:pPr>
              <w:jc w:val="left"/>
              <w:rPr>
                <w:noProof/>
              </w:rPr>
            </w:pPr>
            <w:r>
              <w:rPr>
                <w:noProof/>
              </w:rPr>
              <w:t>Development and maintenance (of interoperability components for the central systems, system training)</w:t>
            </w:r>
          </w:p>
        </w:tc>
        <w:tc>
          <w:tcPr>
            <w:tcW w:w="1843" w:type="dxa"/>
          </w:tcPr>
          <w:p>
            <w:pPr>
              <w:jc w:val="center"/>
              <w:rPr>
                <w:noProof/>
              </w:rPr>
            </w:pPr>
            <w:r>
              <w:rPr>
                <w:noProof/>
              </w:rPr>
              <w:t>X</w:t>
            </w:r>
          </w:p>
        </w:tc>
        <w:tc>
          <w:tcPr>
            <w:tcW w:w="1559" w:type="dxa"/>
          </w:tcPr>
          <w:p>
            <w:pPr>
              <w:jc w:val="center"/>
              <w:rPr>
                <w:noProof/>
              </w:rPr>
            </w:pPr>
            <w:r>
              <w:rPr>
                <w:noProof/>
              </w:rPr>
              <w:t>X</w:t>
            </w:r>
          </w:p>
        </w:tc>
        <w:tc>
          <w:tcPr>
            <w:tcW w:w="1514" w:type="dxa"/>
          </w:tcPr>
          <w:p>
            <w:pPr>
              <w:jc w:val="center"/>
              <w:rPr>
                <w:noProof/>
              </w:rPr>
            </w:pPr>
            <w:r>
              <w:rPr>
                <w:noProof/>
              </w:rPr>
              <w:t>Indirect</w:t>
            </w:r>
          </w:p>
        </w:tc>
        <w:tc>
          <w:tcPr>
            <w:tcW w:w="1639" w:type="dxa"/>
          </w:tcPr>
          <w:p>
            <w:pPr>
              <w:jc w:val="center"/>
              <w:rPr>
                <w:noProof/>
              </w:rPr>
            </w:pPr>
            <w:r>
              <w:rPr>
                <w:noProof/>
              </w:rPr>
              <w:t>eu-LISA</w:t>
            </w:r>
            <w:r>
              <w:rPr>
                <w:noProof/>
              </w:rPr>
              <w:br/>
              <w:t>Europol</w:t>
            </w:r>
            <w:r>
              <w:rPr>
                <w:noProof/>
              </w:rPr>
              <w:br/>
              <w:t>CEPOL</w:t>
            </w:r>
          </w:p>
          <w:p>
            <w:pPr>
              <w:jc w:val="center"/>
              <w:rPr>
                <w:noProof/>
              </w:rPr>
            </w:pPr>
          </w:p>
        </w:tc>
      </w:tr>
      <w:tr>
        <w:tc>
          <w:tcPr>
            <w:tcW w:w="3085" w:type="dxa"/>
          </w:tcPr>
          <w:p>
            <w:pPr>
              <w:jc w:val="left"/>
              <w:rPr>
                <w:noProof/>
              </w:rPr>
            </w:pPr>
            <w:r>
              <w:rPr>
                <w:noProof/>
              </w:rPr>
              <w:t xml:space="preserve">Data migration (migration of biometric templates to a shared BMS), network costs, NUI update, meetings and training </w:t>
            </w:r>
          </w:p>
        </w:tc>
        <w:tc>
          <w:tcPr>
            <w:tcW w:w="1843" w:type="dxa"/>
          </w:tcPr>
          <w:p>
            <w:pPr>
              <w:jc w:val="center"/>
              <w:rPr>
                <w:noProof/>
              </w:rPr>
            </w:pPr>
            <w:r>
              <w:rPr>
                <w:noProof/>
              </w:rPr>
              <w:t>X</w:t>
            </w:r>
          </w:p>
        </w:tc>
        <w:tc>
          <w:tcPr>
            <w:tcW w:w="1559" w:type="dxa"/>
          </w:tcPr>
          <w:p>
            <w:pPr>
              <w:jc w:val="center"/>
              <w:rPr>
                <w:noProof/>
              </w:rPr>
            </w:pPr>
            <w:r>
              <w:rPr>
                <w:noProof/>
              </w:rPr>
              <w:t>X</w:t>
            </w:r>
          </w:p>
        </w:tc>
        <w:tc>
          <w:tcPr>
            <w:tcW w:w="1514" w:type="dxa"/>
          </w:tcPr>
          <w:p>
            <w:pPr>
              <w:jc w:val="center"/>
              <w:rPr>
                <w:noProof/>
              </w:rPr>
            </w:pPr>
            <w:r>
              <w:rPr>
                <w:noProof/>
              </w:rPr>
              <w:t>Indirect</w:t>
            </w:r>
          </w:p>
        </w:tc>
        <w:tc>
          <w:tcPr>
            <w:tcW w:w="1639" w:type="dxa"/>
          </w:tcPr>
          <w:p>
            <w:pPr>
              <w:jc w:val="center"/>
              <w:rPr>
                <w:noProof/>
              </w:rPr>
            </w:pPr>
            <w:r>
              <w:rPr>
                <w:noProof/>
              </w:rPr>
              <w:t>eu-LISA</w:t>
            </w:r>
          </w:p>
        </w:tc>
      </w:tr>
      <w:tr>
        <w:tc>
          <w:tcPr>
            <w:tcW w:w="3085" w:type="dxa"/>
          </w:tcPr>
          <w:p>
            <w:pPr>
              <w:jc w:val="left"/>
              <w:rPr>
                <w:noProof/>
              </w:rPr>
            </w:pPr>
            <w:r>
              <w:rPr>
                <w:noProof/>
              </w:rPr>
              <w:t>Validation of links when creating MID</w:t>
            </w:r>
          </w:p>
        </w:tc>
        <w:tc>
          <w:tcPr>
            <w:tcW w:w="1843" w:type="dxa"/>
          </w:tcPr>
          <w:p>
            <w:pPr>
              <w:jc w:val="center"/>
              <w:rPr>
                <w:noProof/>
              </w:rPr>
            </w:pPr>
            <w:r>
              <w:rPr>
                <w:noProof/>
              </w:rPr>
              <w:t>X</w:t>
            </w:r>
          </w:p>
        </w:tc>
        <w:tc>
          <w:tcPr>
            <w:tcW w:w="1559" w:type="dxa"/>
          </w:tcPr>
          <w:p>
            <w:pPr>
              <w:jc w:val="center"/>
              <w:rPr>
                <w:noProof/>
              </w:rPr>
            </w:pPr>
            <w:r>
              <w:rPr>
                <w:noProof/>
              </w:rPr>
              <w:t>-</w:t>
            </w:r>
          </w:p>
        </w:tc>
        <w:tc>
          <w:tcPr>
            <w:tcW w:w="1514" w:type="dxa"/>
          </w:tcPr>
          <w:p>
            <w:pPr>
              <w:jc w:val="center"/>
              <w:rPr>
                <w:noProof/>
              </w:rPr>
            </w:pPr>
            <w:r>
              <w:rPr>
                <w:noProof/>
              </w:rPr>
              <w:t>Indirect</w:t>
            </w:r>
          </w:p>
        </w:tc>
        <w:tc>
          <w:tcPr>
            <w:tcW w:w="1639" w:type="dxa"/>
          </w:tcPr>
          <w:p>
            <w:pPr>
              <w:jc w:val="center"/>
              <w:rPr>
                <w:noProof/>
              </w:rPr>
            </w:pPr>
            <w:r>
              <w:rPr>
                <w:noProof/>
              </w:rPr>
              <w:t>EBCG</w:t>
            </w:r>
          </w:p>
        </w:tc>
      </w:tr>
      <w:tr>
        <w:tc>
          <w:tcPr>
            <w:tcW w:w="3085" w:type="dxa"/>
          </w:tcPr>
          <w:p>
            <w:pPr>
              <w:jc w:val="left"/>
              <w:rPr>
                <w:noProof/>
              </w:rPr>
            </w:pPr>
            <w:r>
              <w:rPr>
                <w:noProof/>
              </w:rPr>
              <w:t>Customisation of NUI,  integration of national systems and end-user training</w:t>
            </w:r>
          </w:p>
        </w:tc>
        <w:tc>
          <w:tcPr>
            <w:tcW w:w="1843" w:type="dxa"/>
          </w:tcPr>
          <w:p>
            <w:pPr>
              <w:jc w:val="center"/>
              <w:rPr>
                <w:noProof/>
              </w:rPr>
            </w:pPr>
            <w:r>
              <w:rPr>
                <w:noProof/>
              </w:rPr>
              <w:t>X</w:t>
            </w:r>
          </w:p>
        </w:tc>
        <w:tc>
          <w:tcPr>
            <w:tcW w:w="1559" w:type="dxa"/>
          </w:tcPr>
          <w:p>
            <w:pPr>
              <w:jc w:val="center"/>
              <w:rPr>
                <w:noProof/>
              </w:rPr>
            </w:pPr>
            <w:r>
              <w:rPr>
                <w:noProof/>
              </w:rPr>
              <w:t xml:space="preserve">X </w:t>
            </w:r>
          </w:p>
        </w:tc>
        <w:tc>
          <w:tcPr>
            <w:tcW w:w="1514" w:type="dxa"/>
          </w:tcPr>
          <w:p>
            <w:pPr>
              <w:jc w:val="center"/>
              <w:rPr>
                <w:noProof/>
              </w:rPr>
            </w:pPr>
            <w:r>
              <w:rPr>
                <w:noProof/>
              </w:rPr>
              <w:t>Shared</w:t>
            </w:r>
            <w:r>
              <w:rPr>
                <w:noProof/>
              </w:rPr>
              <w:br/>
              <w:t xml:space="preserve"> (or direct) (1)</w:t>
            </w:r>
          </w:p>
        </w:tc>
        <w:tc>
          <w:tcPr>
            <w:tcW w:w="1639" w:type="dxa"/>
          </w:tcPr>
          <w:p>
            <w:pPr>
              <w:jc w:val="center"/>
              <w:rPr>
                <w:noProof/>
              </w:rPr>
            </w:pPr>
            <w:r>
              <w:rPr>
                <w:noProof/>
              </w:rPr>
              <w:t>COM</w:t>
            </w:r>
            <w:r>
              <w:rPr>
                <w:noProof/>
              </w:rPr>
              <w:br/>
              <w:t xml:space="preserve">+ </w:t>
            </w:r>
            <w:r>
              <w:rPr>
                <w:noProof/>
              </w:rPr>
              <w:br/>
              <w:t>Member States</w:t>
            </w:r>
          </w:p>
        </w:tc>
      </w:tr>
    </w:tbl>
    <w:p>
      <w:pPr>
        <w:rPr>
          <w:noProof/>
        </w:rPr>
      </w:pPr>
      <w:r>
        <w:rPr>
          <w:noProof/>
        </w:rPr>
        <w:t>(1) There are no amounts for the operations phase included in this instrument.</w:t>
      </w:r>
    </w:p>
    <w:p>
      <w:pPr>
        <w:rPr>
          <w:noProof/>
        </w:rPr>
      </w:pPr>
    </w:p>
    <w:p>
      <w:pPr>
        <w:pBdr>
          <w:top w:val="single" w:sz="4" w:space="1" w:color="auto"/>
          <w:left w:val="single" w:sz="4" w:space="4" w:color="auto"/>
          <w:bottom w:val="single" w:sz="4" w:space="1" w:color="auto"/>
          <w:right w:val="single" w:sz="4" w:space="4" w:color="auto"/>
        </w:pBdr>
        <w:rPr>
          <w:noProof/>
        </w:rPr>
      </w:pPr>
      <w:r>
        <w:rPr>
          <w:noProof/>
        </w:rPr>
        <w:t>The development period starts from 2019 and lasts till the delivery of each component, running from 2019 to 2023 (see Section 1.4.4).</w:t>
      </w:r>
    </w:p>
    <w:p>
      <w:pPr>
        <w:pBdr>
          <w:top w:val="single" w:sz="4" w:space="1" w:color="auto"/>
          <w:left w:val="single" w:sz="4" w:space="4" w:color="auto"/>
          <w:bottom w:val="single" w:sz="4" w:space="1" w:color="auto"/>
          <w:right w:val="single" w:sz="4" w:space="4" w:color="auto"/>
        </w:pBdr>
        <w:rPr>
          <w:noProof/>
        </w:rPr>
      </w:pPr>
      <w:r>
        <w:rPr>
          <w:noProof/>
        </w:rPr>
        <w:t>1. Direct management by DG HOME: During the development period, if necessary, actions may also be implemented directly by the Commission. This could include, in particular, Union financial support for activities in the form of grants (including to Member State national authorities), public procurement contracts and/or reimbursement of costs incurred by external experts.</w:t>
      </w:r>
    </w:p>
    <w:p>
      <w:pPr>
        <w:pBdr>
          <w:top w:val="single" w:sz="4" w:space="1" w:color="auto"/>
          <w:left w:val="single" w:sz="4" w:space="4" w:color="auto"/>
          <w:bottom w:val="single" w:sz="4" w:space="1" w:color="auto"/>
          <w:right w:val="single" w:sz="4" w:space="4" w:color="auto"/>
        </w:pBdr>
        <w:rPr>
          <w:noProof/>
        </w:rPr>
      </w:pPr>
      <w:r>
        <w:rPr>
          <w:noProof/>
        </w:rPr>
        <w:t xml:space="preserve">2. Shared management: During the development phase, Member States will be required to adapt their national systems in order to access the ESP rather than individual systems (this is for the outgoing messages from Member States) and for changes to the answers of their search requests (the incoming messages towards Member States). An update of the existing NUI implemented for EES and ETIAS will also be performed.  </w:t>
      </w:r>
    </w:p>
    <w:p>
      <w:pPr>
        <w:pBdr>
          <w:top w:val="single" w:sz="4" w:space="1" w:color="auto"/>
          <w:left w:val="single" w:sz="4" w:space="4" w:color="auto"/>
          <w:bottom w:val="single" w:sz="4" w:space="1" w:color="auto"/>
          <w:right w:val="single" w:sz="4" w:space="4" w:color="auto"/>
        </w:pBdr>
        <w:rPr>
          <w:noProof/>
        </w:rPr>
      </w:pPr>
      <w:r>
        <w:rPr>
          <w:noProof/>
        </w:rPr>
        <w:t xml:space="preserve">3. Indirect management: eu-LISA will cover the development part of all IT strands of the project, i.e. the interoperability components, the update of the national uniform interface (NUI) in each Member State, the update of the communication infrastructure between the central systems and the national uniform interfaces, the migration of biometric templates from the existing biometric matching systems of SIS and Eurodac to the shared BMS and the data cleansing activity that goes with this. </w:t>
      </w:r>
    </w:p>
    <w:p>
      <w:pPr>
        <w:pBdr>
          <w:top w:val="single" w:sz="4" w:space="1" w:color="auto"/>
          <w:left w:val="single" w:sz="4" w:space="4" w:color="auto"/>
          <w:bottom w:val="single" w:sz="4" w:space="1" w:color="auto"/>
          <w:right w:val="single" w:sz="4" w:space="4" w:color="auto"/>
        </w:pBdr>
        <w:rPr>
          <w:noProof/>
        </w:rPr>
      </w:pPr>
      <w:r>
        <w:rPr>
          <w:noProof/>
        </w:rPr>
        <w:t>During the period of operations, eu-LISA will execute all technical activities linked to the maintenance of the components.</w:t>
      </w:r>
    </w:p>
    <w:p>
      <w:pPr>
        <w:pBdr>
          <w:top w:val="single" w:sz="4" w:space="1" w:color="auto"/>
          <w:left w:val="single" w:sz="4" w:space="4" w:color="auto"/>
          <w:bottom w:val="single" w:sz="4" w:space="1" w:color="auto"/>
          <w:right w:val="single" w:sz="4" w:space="4" w:color="auto"/>
        </w:pBdr>
        <w:rPr>
          <w:noProof/>
        </w:rPr>
      </w:pPr>
      <w:r>
        <w:rPr>
          <w:noProof/>
        </w:rPr>
        <w:t xml:space="preserve">The European Border and Coast Guard (EBCG) Agency will incorporate an additional team dedicated to the validation of links once the MID is put into operation. This is a task limited in duration. </w:t>
      </w:r>
    </w:p>
    <w:p>
      <w:pPr>
        <w:pBdr>
          <w:top w:val="single" w:sz="4" w:space="1" w:color="auto"/>
          <w:left w:val="single" w:sz="4" w:space="4" w:color="auto"/>
          <w:bottom w:val="single" w:sz="4" w:space="1" w:color="auto"/>
          <w:right w:val="single" w:sz="4" w:space="4" w:color="auto"/>
        </w:pBdr>
        <w:rPr>
          <w:noProof/>
        </w:rPr>
      </w:pPr>
      <w:r>
        <w:rPr>
          <w:noProof/>
        </w:rPr>
        <w:t>Europol will cover the development and maintenance of its systems to ensure interoperability with ESP and ETIAS.</w:t>
      </w:r>
    </w:p>
    <w:p>
      <w:pPr>
        <w:pBdr>
          <w:top w:val="single" w:sz="4" w:space="1" w:color="auto"/>
          <w:left w:val="single" w:sz="4" w:space="4" w:color="auto"/>
          <w:bottom w:val="single" w:sz="4" w:space="1" w:color="auto"/>
          <w:right w:val="single" w:sz="4" w:space="4" w:color="auto"/>
        </w:pBdr>
        <w:rPr>
          <w:noProof/>
        </w:rPr>
      </w:pPr>
      <w:r>
        <w:rPr>
          <w:noProof/>
        </w:rPr>
        <w:t>CEPOL prepares and delivers the training to operational services following a train-the-trainers approach.</w:t>
      </w:r>
    </w:p>
    <w:p>
      <w:pPr>
        <w:pBdr>
          <w:top w:val="single" w:sz="4" w:space="1" w:color="auto"/>
          <w:left w:val="single" w:sz="4" w:space="4" w:color="auto"/>
          <w:bottom w:val="single" w:sz="4" w:space="1" w:color="auto"/>
          <w:right w:val="single" w:sz="4" w:space="4" w:color="auto"/>
        </w:pBdr>
        <w:rPr>
          <w:noProof/>
        </w:rPr>
      </w:pPr>
    </w:p>
    <w:p>
      <w:pPr>
        <w:rPr>
          <w:noProof/>
        </w:rPr>
        <w:sectPr>
          <w:pgSz w:w="11907" w:h="16840" w:code="9"/>
          <w:pgMar w:top="1134" w:right="1418" w:bottom="1134" w:left="1418" w:header="709" w:footer="709" w:gutter="0"/>
          <w:cols w:space="708"/>
          <w:docGrid w:linePitch="360"/>
        </w:sectPr>
      </w:pPr>
    </w:p>
    <w:p>
      <w:pPr>
        <w:pStyle w:val="ManualHeading1"/>
        <w:rPr>
          <w:bCs/>
          <w:noProof/>
          <w:szCs w:val="24"/>
        </w:rPr>
      </w:pPr>
      <w:bookmarkStart w:id="281" w:name="_Toc498514165"/>
      <w:r>
        <w:t>2.</w:t>
      </w:r>
      <w:r>
        <w:tab/>
      </w:r>
      <w:r>
        <w:rPr>
          <w:noProof/>
        </w:rPr>
        <w:t>MANAGEMENT MEASURES</w:t>
      </w:r>
      <w:bookmarkEnd w:id="281"/>
      <w:r>
        <w:rPr>
          <w:noProof/>
        </w:rPr>
        <w:t xml:space="preserve"> </w:t>
      </w:r>
    </w:p>
    <w:p>
      <w:pPr>
        <w:pStyle w:val="ManualHeading2"/>
        <w:rPr>
          <w:noProof/>
        </w:rPr>
      </w:pPr>
      <w:bookmarkStart w:id="282" w:name="_Toc498514166"/>
      <w:r>
        <w:t>2.1.</w:t>
      </w:r>
      <w:r>
        <w:tab/>
      </w:r>
      <w:r>
        <w:rPr>
          <w:noProof/>
        </w:rPr>
        <w:t>Monitoring and reporting rules</w:t>
      </w:r>
      <w:bookmarkEnd w:id="282"/>
      <w:r>
        <w:rPr>
          <w:noProof/>
        </w:rPr>
        <w:t xml:space="preserve"> </w:t>
      </w:r>
    </w:p>
    <w:p>
      <w:pPr>
        <w:pStyle w:val="Text1"/>
        <w:rPr>
          <w:i/>
          <w:noProof/>
          <w:sz w:val="20"/>
          <w:u w:val="single"/>
        </w:rPr>
      </w:pPr>
      <w:r>
        <w:rPr>
          <w:i/>
          <w:noProof/>
          <w:sz w:val="20"/>
        </w:rPr>
        <w:t>Specify frequency and conditions.</w:t>
      </w:r>
    </w:p>
    <w:p>
      <w:pPr>
        <w:pStyle w:val="Text1"/>
        <w:pBdr>
          <w:top w:val="single" w:sz="4" w:space="1" w:color="auto"/>
          <w:left w:val="single" w:sz="4" w:space="4" w:color="auto"/>
          <w:bottom w:val="single" w:sz="4" w:space="1" w:color="auto"/>
          <w:right w:val="single" w:sz="4" w:space="4" w:color="auto"/>
        </w:pBdr>
        <w:rPr>
          <w:noProof/>
        </w:rPr>
      </w:pPr>
      <w:r>
        <w:rPr>
          <w:noProof/>
        </w:rPr>
        <w:t>The monitoring and reporting rules for the development and maintenance of other systems:</w:t>
      </w:r>
    </w:p>
    <w:p>
      <w:pPr>
        <w:pStyle w:val="Text1"/>
        <w:pBdr>
          <w:top w:val="single" w:sz="4" w:space="1" w:color="auto"/>
          <w:left w:val="single" w:sz="4" w:space="4" w:color="auto"/>
          <w:bottom w:val="single" w:sz="4" w:space="1" w:color="auto"/>
          <w:right w:val="single" w:sz="4" w:space="4" w:color="auto"/>
        </w:pBdr>
        <w:rPr>
          <w:noProof/>
        </w:rPr>
      </w:pPr>
      <w:r>
        <w:rPr>
          <w:noProof/>
        </w:rPr>
        <w:t>1. eu-LISA shall ensure that procedures are in place to monitor the development of the interoperability components in light of objectives relating to planning and costs and to monitor the functioning of the components in light of objectives relating to the technical output, cost-effectiveness, security and quality of service.</w:t>
      </w:r>
    </w:p>
    <w:p>
      <w:pPr>
        <w:pStyle w:val="Text1"/>
        <w:pBdr>
          <w:top w:val="single" w:sz="4" w:space="1" w:color="auto"/>
          <w:left w:val="single" w:sz="4" w:space="4" w:color="auto"/>
          <w:bottom w:val="single" w:sz="4" w:space="1" w:color="auto"/>
          <w:right w:val="single" w:sz="4" w:space="4" w:color="auto"/>
        </w:pBdr>
        <w:rPr>
          <w:noProof/>
        </w:rPr>
      </w:pPr>
      <w:r>
        <w:rPr>
          <w:noProof/>
        </w:rPr>
        <w:t>2. Within six months after the entry into force of this Regulation and every six months thereafter during the development phase of the components, eu-LISA shall submit a report to the European Parliament and the Council on the state of play of the development of each component. Once the development is finalised, a report shall be submitted to the European Parliament and the Council explaining in detail how the objectives, in particular relating to planning and costs, were achieved, as well as justifying any divergences.</w:t>
      </w:r>
    </w:p>
    <w:p>
      <w:pPr>
        <w:pStyle w:val="Text1"/>
        <w:pBdr>
          <w:top w:val="single" w:sz="4" w:space="1" w:color="auto"/>
          <w:left w:val="single" w:sz="4" w:space="4" w:color="auto"/>
          <w:bottom w:val="single" w:sz="4" w:space="1" w:color="auto"/>
          <w:right w:val="single" w:sz="4" w:space="4" w:color="auto"/>
        </w:pBdr>
        <w:rPr>
          <w:noProof/>
        </w:rPr>
      </w:pPr>
      <w:r>
        <w:rPr>
          <w:noProof/>
        </w:rPr>
        <w:t>3. For the purposes of technical maintenance, eu-LISA shall have access to the necessary information relating to the data processing operations performed in the components.</w:t>
      </w:r>
    </w:p>
    <w:p>
      <w:pPr>
        <w:pStyle w:val="Text1"/>
        <w:pBdr>
          <w:top w:val="single" w:sz="4" w:space="1" w:color="auto"/>
          <w:left w:val="single" w:sz="4" w:space="4" w:color="auto"/>
          <w:bottom w:val="single" w:sz="4" w:space="1" w:color="auto"/>
          <w:right w:val="single" w:sz="4" w:space="4" w:color="auto"/>
        </w:pBdr>
        <w:rPr>
          <w:noProof/>
        </w:rPr>
      </w:pPr>
      <w:r>
        <w:rPr>
          <w:noProof/>
        </w:rPr>
        <w:t>4. Four years after the start of operations of the last component implemented and every four years thereafter, eu-LISA shall submit to the European Parliament, the Council and the Commission a report on the technical functioning of the components.</w:t>
      </w:r>
    </w:p>
    <w:p>
      <w:pPr>
        <w:pStyle w:val="Text1"/>
        <w:pBdr>
          <w:top w:val="single" w:sz="4" w:space="1" w:color="auto"/>
          <w:left w:val="single" w:sz="4" w:space="4" w:color="auto"/>
          <w:bottom w:val="single" w:sz="4" w:space="1" w:color="auto"/>
          <w:right w:val="single" w:sz="4" w:space="4" w:color="auto"/>
        </w:pBdr>
        <w:rPr>
          <w:noProof/>
        </w:rPr>
      </w:pPr>
      <w:r>
        <w:rPr>
          <w:noProof/>
        </w:rPr>
        <w:t>5. Five years after the start of operations of the last component implemented and every four years thereafter, the Commission shall produce an overall evaluation and make any necessary recommendations. This overall evaluation shall include: the results achieved by the components having regard to its objectives of interoperability, maintainability, performance and financial implications, and the impact on fundamental rights.</w:t>
      </w:r>
    </w:p>
    <w:p>
      <w:pPr>
        <w:pStyle w:val="Text1"/>
        <w:pBdr>
          <w:top w:val="single" w:sz="4" w:space="1" w:color="auto"/>
          <w:left w:val="single" w:sz="4" w:space="4" w:color="auto"/>
          <w:bottom w:val="single" w:sz="4" w:space="1" w:color="auto"/>
          <w:right w:val="single" w:sz="4" w:space="4" w:color="auto"/>
        </w:pBdr>
        <w:rPr>
          <w:noProof/>
        </w:rPr>
      </w:pPr>
      <w:r>
        <w:rPr>
          <w:noProof/>
        </w:rPr>
        <w:t>The Commission shall transmit the evaluation report to the European Parliament and the Council.</w:t>
      </w:r>
    </w:p>
    <w:p>
      <w:pPr>
        <w:pStyle w:val="Text1"/>
        <w:pBdr>
          <w:top w:val="single" w:sz="4" w:space="1" w:color="auto"/>
          <w:left w:val="single" w:sz="4" w:space="4" w:color="auto"/>
          <w:bottom w:val="single" w:sz="4" w:space="1" w:color="auto"/>
          <w:right w:val="single" w:sz="4" w:space="4" w:color="auto"/>
        </w:pBdr>
        <w:rPr>
          <w:noProof/>
        </w:rPr>
      </w:pPr>
      <w:r>
        <w:rPr>
          <w:noProof/>
        </w:rPr>
        <w:t>6. The Member States and Europol shall provide eu-LISA and the Commission with the information necessary to draft the reports referred to in paragraphs 4 and 5 according to the quantitative indicators predefined by the Commission and/or eu-LISA. This information shall not jeopardise working methods or include information that reveals sources, identities of staff members or investigations of the designated authorities.</w:t>
      </w:r>
    </w:p>
    <w:p>
      <w:pPr>
        <w:pStyle w:val="Text1"/>
        <w:pBdr>
          <w:top w:val="single" w:sz="4" w:space="1" w:color="auto"/>
          <w:left w:val="single" w:sz="4" w:space="4" w:color="auto"/>
          <w:bottom w:val="single" w:sz="4" w:space="1" w:color="auto"/>
          <w:right w:val="single" w:sz="4" w:space="4" w:color="auto"/>
        </w:pBdr>
        <w:rPr>
          <w:noProof/>
        </w:rPr>
      </w:pPr>
      <w:r>
        <w:rPr>
          <w:noProof/>
        </w:rPr>
        <w:t>7. eu-LISA shall provide the Commission with the information necessary to produce the overall evaluations referred to in paragraph 5.</w:t>
      </w:r>
    </w:p>
    <w:p>
      <w:pPr>
        <w:pStyle w:val="Text1"/>
        <w:pBdr>
          <w:top w:val="single" w:sz="4" w:space="1" w:color="auto"/>
          <w:left w:val="single" w:sz="4" w:space="4" w:color="auto"/>
          <w:bottom w:val="single" w:sz="4" w:space="1" w:color="auto"/>
          <w:right w:val="single" w:sz="4" w:space="4" w:color="auto"/>
        </w:pBdr>
        <w:rPr>
          <w:noProof/>
        </w:rPr>
      </w:pPr>
      <w:r>
        <w:rPr>
          <w:noProof/>
        </w:rPr>
        <w:t>8. While respecting the provisions of national law on the publication of sensitive information, each Member State and Europol shall prepare annual reports on the effectiveness of access to EU systems for law enforcement purposes containing information and statistics on:</w:t>
      </w:r>
    </w:p>
    <w:p>
      <w:pPr>
        <w:pStyle w:val="Text1"/>
        <w:pBdr>
          <w:top w:val="single" w:sz="4" w:space="1" w:color="auto"/>
          <w:left w:val="single" w:sz="4" w:space="4" w:color="auto"/>
          <w:bottom w:val="single" w:sz="4" w:space="1" w:color="auto"/>
          <w:right w:val="single" w:sz="4" w:space="4" w:color="auto"/>
        </w:pBdr>
        <w:rPr>
          <w:noProof/>
        </w:rPr>
      </w:pPr>
      <w:r>
        <w:rPr>
          <w:noProof/>
        </w:rPr>
        <w:t>- the exact purpose of the consultation including the type of terrorist or serious criminal offence;</w:t>
      </w:r>
    </w:p>
    <w:p>
      <w:pPr>
        <w:pStyle w:val="Text1"/>
        <w:pBdr>
          <w:top w:val="single" w:sz="4" w:space="1" w:color="auto"/>
          <w:left w:val="single" w:sz="4" w:space="4" w:color="auto"/>
          <w:bottom w:val="single" w:sz="4" w:space="1" w:color="auto"/>
          <w:right w:val="single" w:sz="4" w:space="4" w:color="auto"/>
        </w:pBdr>
        <w:rPr>
          <w:noProof/>
        </w:rPr>
      </w:pPr>
      <w:r>
        <w:rPr>
          <w:noProof/>
        </w:rPr>
        <w:t>- reasonable grounds given for the substantiated suspicion that the suspect, perpetrator or victim is covered by this Regulation;</w:t>
      </w:r>
    </w:p>
    <w:p>
      <w:pPr>
        <w:pStyle w:val="Text1"/>
        <w:pBdr>
          <w:top w:val="single" w:sz="4" w:space="1" w:color="auto"/>
          <w:left w:val="single" w:sz="4" w:space="4" w:color="auto"/>
          <w:bottom w:val="single" w:sz="4" w:space="1" w:color="auto"/>
          <w:right w:val="single" w:sz="4" w:space="4" w:color="auto"/>
        </w:pBdr>
        <w:rPr>
          <w:noProof/>
        </w:rPr>
      </w:pPr>
      <w:r>
        <w:rPr>
          <w:noProof/>
        </w:rPr>
        <w:t>- the number of requests for access to the components for law enforcement purposes;</w:t>
      </w:r>
    </w:p>
    <w:p>
      <w:pPr>
        <w:pStyle w:val="Text1"/>
        <w:pBdr>
          <w:top w:val="single" w:sz="4" w:space="1" w:color="auto"/>
          <w:left w:val="single" w:sz="4" w:space="4" w:color="auto"/>
          <w:bottom w:val="single" w:sz="4" w:space="1" w:color="auto"/>
          <w:right w:val="single" w:sz="4" w:space="4" w:color="auto"/>
        </w:pBdr>
        <w:rPr>
          <w:noProof/>
        </w:rPr>
      </w:pPr>
      <w:r>
        <w:rPr>
          <w:noProof/>
        </w:rPr>
        <w:t>- the number and type of cases that have ended in successful identifications;</w:t>
      </w:r>
    </w:p>
    <w:p>
      <w:pPr>
        <w:pStyle w:val="Text1"/>
        <w:pBdr>
          <w:top w:val="single" w:sz="4" w:space="1" w:color="auto"/>
          <w:left w:val="single" w:sz="4" w:space="4" w:color="auto"/>
          <w:bottom w:val="single" w:sz="4" w:space="1" w:color="auto"/>
          <w:right w:val="single" w:sz="4" w:space="4" w:color="auto"/>
        </w:pBdr>
        <w:rPr>
          <w:noProof/>
        </w:rPr>
      </w:pPr>
      <w:r>
        <w:rPr>
          <w:noProof/>
        </w:rPr>
        <w:t>- the need and use made of the exceptional case of urgency including those cases where that urgency was not accepted by the ex post verification carried out by the central access point.</w:t>
      </w:r>
    </w:p>
    <w:p>
      <w:pPr>
        <w:pStyle w:val="Text1"/>
        <w:pBdr>
          <w:top w:val="single" w:sz="4" w:space="1" w:color="auto"/>
          <w:left w:val="single" w:sz="4" w:space="4" w:color="auto"/>
          <w:bottom w:val="single" w:sz="4" w:space="1" w:color="auto"/>
          <w:right w:val="single" w:sz="4" w:space="4" w:color="auto"/>
        </w:pBdr>
        <w:rPr>
          <w:noProof/>
        </w:rPr>
      </w:pPr>
      <w:r>
        <w:rPr>
          <w:noProof/>
        </w:rPr>
        <w:t>Member State and Europol’s annual reports shall be transmitted to the Commission by 30 June of the subsequent year.</w:t>
      </w:r>
    </w:p>
    <w:p>
      <w:pPr>
        <w:pStyle w:val="ManualHeading2"/>
        <w:rPr>
          <w:bCs/>
          <w:noProof/>
          <w:szCs w:val="24"/>
        </w:rPr>
      </w:pPr>
      <w:bookmarkStart w:id="283" w:name="_Toc498514167"/>
      <w:r>
        <w:t>2.2.</w:t>
      </w:r>
      <w:r>
        <w:tab/>
      </w:r>
      <w:r>
        <w:rPr>
          <w:noProof/>
        </w:rPr>
        <w:t>Management and control system</w:t>
      </w:r>
      <w:bookmarkEnd w:id="283"/>
      <w:r>
        <w:rPr>
          <w:noProof/>
        </w:rPr>
        <w:t xml:space="preserve"> </w:t>
      </w:r>
    </w:p>
    <w:p>
      <w:pPr>
        <w:pStyle w:val="ManualHeading3"/>
        <w:rPr>
          <w:noProof/>
        </w:rPr>
      </w:pPr>
      <w:bookmarkStart w:id="284" w:name="_Toc498514168"/>
      <w:r>
        <w:t>2.2.1.</w:t>
      </w:r>
      <w:r>
        <w:tab/>
      </w:r>
      <w:r>
        <w:rPr>
          <w:noProof/>
        </w:rPr>
        <w:t>Risk(s) identified</w:t>
      </w:r>
      <w:bookmarkEnd w:id="284"/>
      <w:r>
        <w:rPr>
          <w:noProof/>
        </w:rPr>
        <w:t xml:space="preserve"> </w:t>
      </w:r>
    </w:p>
    <w:p>
      <w:pPr>
        <w:pStyle w:val="Text1"/>
        <w:pBdr>
          <w:top w:val="single" w:sz="4" w:space="1" w:color="auto"/>
          <w:left w:val="single" w:sz="4" w:space="4" w:color="auto"/>
          <w:bottom w:val="single" w:sz="4" w:space="1" w:color="auto"/>
          <w:right w:val="single" w:sz="4" w:space="4" w:color="auto"/>
        </w:pBdr>
        <w:rPr>
          <w:noProof/>
        </w:rPr>
      </w:pPr>
      <w:r>
        <w:rPr>
          <w:noProof/>
        </w:rPr>
        <w:t>The risks are the ones related to an IT development of five components by an external contractor managed by eu-LISA. These are typical project risks:</w:t>
      </w:r>
    </w:p>
    <w:p>
      <w:pPr>
        <w:pStyle w:val="Text1"/>
        <w:pBdr>
          <w:top w:val="single" w:sz="4" w:space="1" w:color="auto"/>
          <w:left w:val="single" w:sz="4" w:space="4" w:color="auto"/>
          <w:bottom w:val="single" w:sz="4" w:space="1" w:color="auto"/>
          <w:right w:val="single" w:sz="4" w:space="4" w:color="auto"/>
        </w:pBdr>
        <w:rPr>
          <w:noProof/>
        </w:rPr>
      </w:pPr>
      <w:r>
        <w:rPr>
          <w:noProof/>
        </w:rPr>
        <w:t>1. The risk of not completing the project on time;</w:t>
      </w:r>
    </w:p>
    <w:p>
      <w:pPr>
        <w:pStyle w:val="Text1"/>
        <w:pBdr>
          <w:top w:val="single" w:sz="4" w:space="1" w:color="auto"/>
          <w:left w:val="single" w:sz="4" w:space="4" w:color="auto"/>
          <w:bottom w:val="single" w:sz="4" w:space="1" w:color="auto"/>
          <w:right w:val="single" w:sz="4" w:space="4" w:color="auto"/>
        </w:pBdr>
        <w:rPr>
          <w:noProof/>
        </w:rPr>
      </w:pPr>
      <w:r>
        <w:rPr>
          <w:noProof/>
        </w:rPr>
        <w:t>2. The risk of not completing the project within budget;</w:t>
      </w:r>
    </w:p>
    <w:p>
      <w:pPr>
        <w:pStyle w:val="Text1"/>
        <w:pBdr>
          <w:top w:val="single" w:sz="4" w:space="1" w:color="auto"/>
          <w:left w:val="single" w:sz="4" w:space="4" w:color="auto"/>
          <w:bottom w:val="single" w:sz="4" w:space="1" w:color="auto"/>
          <w:right w:val="single" w:sz="4" w:space="4" w:color="auto"/>
        </w:pBdr>
        <w:rPr>
          <w:noProof/>
        </w:rPr>
      </w:pPr>
      <w:r>
        <w:rPr>
          <w:noProof/>
        </w:rPr>
        <w:t>3. The risk of not delivering the full scope of the project.</w:t>
      </w:r>
    </w:p>
    <w:p>
      <w:pPr>
        <w:pStyle w:val="Text1"/>
        <w:pBdr>
          <w:top w:val="single" w:sz="4" w:space="1" w:color="auto"/>
          <w:left w:val="single" w:sz="4" w:space="4" w:color="auto"/>
          <w:bottom w:val="single" w:sz="4" w:space="1" w:color="auto"/>
          <w:right w:val="single" w:sz="4" w:space="4" w:color="auto"/>
        </w:pBdr>
        <w:rPr>
          <w:noProof/>
        </w:rPr>
      </w:pPr>
      <w:r>
        <w:rPr>
          <w:noProof/>
        </w:rPr>
        <w:t>The first risk is the most important one as an overrun in time leads to higher costs as most costs have a relationship to duration: staff costs, licence costs paid per year, etc.</w:t>
      </w:r>
    </w:p>
    <w:p>
      <w:pPr>
        <w:pStyle w:val="Text1"/>
        <w:pBdr>
          <w:top w:val="single" w:sz="4" w:space="1" w:color="auto"/>
          <w:left w:val="single" w:sz="4" w:space="4" w:color="auto"/>
          <w:bottom w:val="single" w:sz="4" w:space="1" w:color="auto"/>
          <w:right w:val="single" w:sz="4" w:space="4" w:color="auto"/>
        </w:pBdr>
        <w:rPr>
          <w:noProof/>
        </w:rPr>
      </w:pPr>
      <w:r>
        <w:rPr>
          <w:noProof/>
        </w:rPr>
        <w:t>These risks can be mitigated by applying project management techniques, including contingency in development projects and staffing sufficiently in order to be able to absorb peaks of work. Estimation of effort is indeed usually done by assuming an even workload spread over time while the reality of projects is of uneven workloads that are absorbed by higher resource allocations.</w:t>
      </w:r>
    </w:p>
    <w:p>
      <w:pPr>
        <w:pStyle w:val="Text1"/>
        <w:pBdr>
          <w:top w:val="single" w:sz="4" w:space="1" w:color="auto"/>
          <w:left w:val="single" w:sz="4" w:space="4" w:color="auto"/>
          <w:bottom w:val="single" w:sz="4" w:space="1" w:color="auto"/>
          <w:right w:val="single" w:sz="4" w:space="4" w:color="auto"/>
        </w:pBdr>
        <w:rPr>
          <w:noProof/>
        </w:rPr>
      </w:pPr>
      <w:r>
        <w:rPr>
          <w:noProof/>
        </w:rPr>
        <w:t>There are several risks related to the use of an external contractor for this development work:</w:t>
      </w:r>
    </w:p>
    <w:p>
      <w:pPr>
        <w:pStyle w:val="Text1"/>
        <w:pBdr>
          <w:top w:val="single" w:sz="4" w:space="1" w:color="auto"/>
          <w:left w:val="single" w:sz="4" w:space="4" w:color="auto"/>
          <w:bottom w:val="single" w:sz="4" w:space="1" w:color="auto"/>
          <w:right w:val="single" w:sz="4" w:space="4" w:color="auto"/>
        </w:pBdr>
        <w:rPr>
          <w:noProof/>
        </w:rPr>
      </w:pPr>
      <w:r>
        <w:rPr>
          <w:noProof/>
        </w:rPr>
        <w:t>1. in particular, the risk that the contractor fails to allocate sufficient resources to the project or that it designs and develops a system that is not state of the art;</w:t>
      </w:r>
    </w:p>
    <w:p>
      <w:pPr>
        <w:pStyle w:val="Text1"/>
        <w:pBdr>
          <w:top w:val="single" w:sz="4" w:space="1" w:color="auto"/>
          <w:left w:val="single" w:sz="4" w:space="4" w:color="auto"/>
          <w:bottom w:val="single" w:sz="4" w:space="1" w:color="auto"/>
          <w:right w:val="single" w:sz="4" w:space="4" w:color="auto"/>
        </w:pBdr>
        <w:rPr>
          <w:noProof/>
        </w:rPr>
      </w:pPr>
      <w:r>
        <w:rPr>
          <w:noProof/>
        </w:rPr>
        <w:t>2. the risk that administrative techniques and methods to handle large-scale IT projects are not fully respected as a way of reducing costs by the contractor;</w:t>
      </w:r>
    </w:p>
    <w:p>
      <w:pPr>
        <w:pStyle w:val="Text1"/>
        <w:pBdr>
          <w:top w:val="single" w:sz="4" w:space="1" w:color="auto"/>
          <w:left w:val="single" w:sz="4" w:space="4" w:color="auto"/>
          <w:bottom w:val="single" w:sz="4" w:space="1" w:color="auto"/>
          <w:right w:val="single" w:sz="4" w:space="4" w:color="auto"/>
        </w:pBdr>
        <w:rPr>
          <w:noProof/>
        </w:rPr>
      </w:pPr>
      <w:r>
        <w:rPr>
          <w:noProof/>
        </w:rPr>
        <w:t>3. finally, the risk of the contractor facing financial difficulties for reasons external to this project cannot be entirely excluded.</w:t>
      </w:r>
    </w:p>
    <w:p>
      <w:pPr>
        <w:pStyle w:val="Text1"/>
        <w:pBdr>
          <w:top w:val="single" w:sz="4" w:space="1" w:color="auto"/>
          <w:left w:val="single" w:sz="4" w:space="4" w:color="auto"/>
          <w:bottom w:val="single" w:sz="4" w:space="1" w:color="auto"/>
          <w:right w:val="single" w:sz="4" w:space="4" w:color="auto"/>
        </w:pBdr>
        <w:rPr>
          <w:noProof/>
        </w:rPr>
      </w:pPr>
      <w:r>
        <w:rPr>
          <w:noProof/>
        </w:rPr>
        <w:t xml:space="preserve">These risks are mitigated by awarding contracts on the basis of strong quality criteria, checking references of contractors and maintaining a strong relationship with them. Finally, as a last resort, strong penalty and termination clauses can be included and applied when required. </w:t>
      </w:r>
    </w:p>
    <w:p>
      <w:pPr>
        <w:pStyle w:val="ManualHeading3"/>
        <w:rPr>
          <w:bCs/>
          <w:noProof/>
          <w:szCs w:val="24"/>
        </w:rPr>
      </w:pPr>
      <w:bookmarkStart w:id="285" w:name="_Toc498514169"/>
      <w:r>
        <w:t>2.2.2.</w:t>
      </w:r>
      <w:r>
        <w:tab/>
      </w:r>
      <w:r>
        <w:rPr>
          <w:noProof/>
        </w:rPr>
        <w:t>Information concerning the internal control system set up</w:t>
      </w:r>
      <w:bookmarkEnd w:id="285"/>
    </w:p>
    <w:p>
      <w:pPr>
        <w:pStyle w:val="Text1"/>
        <w:pBdr>
          <w:top w:val="single" w:sz="4" w:space="1" w:color="auto"/>
          <w:left w:val="single" w:sz="4" w:space="4" w:color="auto"/>
          <w:bottom w:val="single" w:sz="4" w:space="1" w:color="auto"/>
          <w:right w:val="single" w:sz="4" w:space="4" w:color="auto"/>
        </w:pBdr>
        <w:rPr>
          <w:noProof/>
        </w:rPr>
      </w:pPr>
      <w:r>
        <w:rPr>
          <w:noProof/>
        </w:rPr>
        <w:t>eu-LISA is meant to be a centre of excellence in the field of development and management of large-scale IT systems. It shall execute the activities linked to the development and the operations of the different interoperability components including the maintenance of the national uniform interface in the Member States.</w:t>
      </w:r>
    </w:p>
    <w:p>
      <w:pPr>
        <w:pStyle w:val="Text1"/>
        <w:pBdr>
          <w:top w:val="single" w:sz="4" w:space="1" w:color="auto"/>
          <w:left w:val="single" w:sz="4" w:space="4" w:color="auto"/>
          <w:bottom w:val="single" w:sz="4" w:space="1" w:color="auto"/>
          <w:right w:val="single" w:sz="4" w:space="4" w:color="auto"/>
        </w:pBdr>
        <w:rPr>
          <w:noProof/>
        </w:rPr>
      </w:pPr>
      <w:r>
        <w:rPr>
          <w:noProof/>
        </w:rPr>
        <w:t>During the development phase, all development activities will be executed by eu-LISA. This will cover the development part of all strands of the project. The costs related to the integration of systems in Member States during development will be managed by the Commission via shared management or grants.</w:t>
      </w:r>
    </w:p>
    <w:p>
      <w:pPr>
        <w:pStyle w:val="Text1"/>
        <w:pBdr>
          <w:top w:val="single" w:sz="4" w:space="1" w:color="auto"/>
          <w:left w:val="single" w:sz="4" w:space="4" w:color="auto"/>
          <w:bottom w:val="single" w:sz="4" w:space="1" w:color="auto"/>
          <w:right w:val="single" w:sz="4" w:space="4" w:color="auto"/>
        </w:pBdr>
        <w:rPr>
          <w:noProof/>
        </w:rPr>
      </w:pPr>
      <w:r>
        <w:rPr>
          <w:noProof/>
        </w:rPr>
        <w:t>During the operational phase, eu-LISA will be responsible for the technical and financial management of the components used centrally, notably the award and management of contracts. The Commission will manage the funds to Member States for the expenses for national units via the ISF/Borders (national programmes).</w:t>
      </w:r>
    </w:p>
    <w:p>
      <w:pPr>
        <w:pStyle w:val="Text1"/>
        <w:pBdr>
          <w:top w:val="single" w:sz="4" w:space="1" w:color="auto"/>
          <w:left w:val="single" w:sz="4" w:space="4" w:color="auto"/>
          <w:bottom w:val="single" w:sz="4" w:space="1" w:color="auto"/>
          <w:right w:val="single" w:sz="4" w:space="4" w:color="auto"/>
        </w:pBdr>
        <w:rPr>
          <w:noProof/>
        </w:rPr>
      </w:pPr>
      <w:r>
        <w:rPr>
          <w:noProof/>
        </w:rPr>
        <w:t>In order to avoid delays at national level, an efficient governance between all stakeholders is to be planned prior to the start of the development. The Commission assumes an interoperable architecture to be defined at the beginning of the project in order to be applied in the EES and ETIAS projects, as these projects deliver and use the shared BMS, the common identity repository and the European search portal. A member of the project management team of the interoperability project should be part of the project governance structure of EES and ETIAS.</w:t>
      </w:r>
    </w:p>
    <w:p>
      <w:pPr>
        <w:pStyle w:val="ManualHeading3"/>
        <w:rPr>
          <w:noProof/>
        </w:rPr>
      </w:pPr>
      <w:bookmarkStart w:id="286" w:name="_Toc498514170"/>
      <w:r>
        <w:t>2.2.3.</w:t>
      </w:r>
      <w:r>
        <w:tab/>
      </w:r>
      <w:r>
        <w:rPr>
          <w:noProof/>
        </w:rPr>
        <w:t>Estimate of the costs and benefits of the controls and assessment of the expected level of risk of error</w:t>
      </w:r>
      <w:bookmarkEnd w:id="286"/>
      <w:r>
        <w:rPr>
          <w:noProof/>
        </w:rPr>
        <w:t xml:space="preserve"> </w:t>
      </w:r>
    </w:p>
    <w:p>
      <w:pPr>
        <w:pStyle w:val="Text1"/>
        <w:pBdr>
          <w:top w:val="single" w:sz="4" w:space="1" w:color="auto"/>
          <w:left w:val="single" w:sz="4" w:space="4" w:color="auto"/>
          <w:bottom w:val="single" w:sz="4" w:space="1" w:color="auto"/>
          <w:right w:val="single" w:sz="4" w:space="4" w:color="auto"/>
        </w:pBdr>
        <w:rPr>
          <w:noProof/>
        </w:rPr>
      </w:pPr>
      <w:r>
        <w:rPr>
          <w:noProof/>
        </w:rPr>
        <w:t>There is no estimate provided, as the control and mitigation of risks is an inherent task of the project governance structure.</w:t>
      </w:r>
    </w:p>
    <w:p>
      <w:pPr>
        <w:pStyle w:val="ManualHeading2"/>
        <w:rPr>
          <w:bCs/>
          <w:noProof/>
          <w:szCs w:val="24"/>
        </w:rPr>
      </w:pPr>
      <w:bookmarkStart w:id="287" w:name="_Toc498514171"/>
      <w:r>
        <w:t>2.3.</w:t>
      </w:r>
      <w:r>
        <w:tab/>
      </w:r>
      <w:r>
        <w:rPr>
          <w:noProof/>
        </w:rPr>
        <w:t>Measures to prevent fraud and irregularities</w:t>
      </w:r>
      <w:bookmarkEnd w:id="287"/>
      <w:r>
        <w:rPr>
          <w:noProof/>
        </w:rPr>
        <w:t xml:space="preserve"> </w:t>
      </w:r>
    </w:p>
    <w:p>
      <w:pPr>
        <w:pStyle w:val="Text1"/>
        <w:rPr>
          <w:i/>
          <w:noProof/>
          <w:sz w:val="20"/>
        </w:rPr>
      </w:pPr>
      <w:r>
        <w:rPr>
          <w:i/>
          <w:noProof/>
          <w:sz w:val="20"/>
        </w:rPr>
        <w:t>Specify existing or envisaged prevention and protection measures.</w:t>
      </w:r>
    </w:p>
    <w:p>
      <w:pPr>
        <w:pStyle w:val="Text1"/>
        <w:pBdr>
          <w:top w:val="single" w:sz="4" w:space="1" w:color="auto"/>
          <w:left w:val="single" w:sz="4" w:space="4" w:color="auto"/>
          <w:bottom w:val="single" w:sz="4" w:space="1" w:color="auto"/>
          <w:right w:val="single" w:sz="4" w:space="4" w:color="auto"/>
        </w:pBdr>
        <w:rPr>
          <w:noProof/>
        </w:rPr>
      </w:pPr>
      <w:r>
        <w:rPr>
          <w:noProof/>
        </w:rPr>
        <w:t>The measures envisaged to combat fraud are laid down in Article 35 of Regulation (EU) 1077/2011, which provides as follows:</w:t>
      </w:r>
    </w:p>
    <w:p>
      <w:pPr>
        <w:pStyle w:val="Text1"/>
        <w:pBdr>
          <w:top w:val="single" w:sz="4" w:space="1" w:color="auto"/>
          <w:left w:val="single" w:sz="4" w:space="4" w:color="auto"/>
          <w:bottom w:val="single" w:sz="4" w:space="1" w:color="auto"/>
          <w:right w:val="single" w:sz="4" w:space="4" w:color="auto"/>
        </w:pBdr>
        <w:rPr>
          <w:noProof/>
        </w:rPr>
      </w:pPr>
      <w:r>
        <w:rPr>
          <w:noProof/>
        </w:rPr>
        <w:t>1. In order to combat fraud, corruption and other unlawful activities, Regulation (EC) No 1073/1999 shall apply.</w:t>
      </w:r>
    </w:p>
    <w:p>
      <w:pPr>
        <w:pStyle w:val="Text1"/>
        <w:pBdr>
          <w:top w:val="single" w:sz="4" w:space="1" w:color="auto"/>
          <w:left w:val="single" w:sz="4" w:space="4" w:color="auto"/>
          <w:bottom w:val="single" w:sz="4" w:space="1" w:color="auto"/>
          <w:right w:val="single" w:sz="4" w:space="4" w:color="auto"/>
        </w:pBdr>
        <w:rPr>
          <w:noProof/>
        </w:rPr>
      </w:pPr>
      <w:r>
        <w:rPr>
          <w:noProof/>
        </w:rPr>
        <w:t>2. The Agencies shall accede to the Interinstitutional Agreement concerning internal investigations by the European Anti-Fraud Office (OLAF) and shall issue, without delay, the appropriate provisions applicable to all the employees of the Agencies.</w:t>
      </w:r>
    </w:p>
    <w:p>
      <w:pPr>
        <w:pStyle w:val="Text1"/>
        <w:pBdr>
          <w:top w:val="single" w:sz="4" w:space="1" w:color="auto"/>
          <w:left w:val="single" w:sz="4" w:space="4" w:color="auto"/>
          <w:bottom w:val="single" w:sz="4" w:space="1" w:color="auto"/>
          <w:right w:val="single" w:sz="4" w:space="4" w:color="auto"/>
        </w:pBdr>
        <w:rPr>
          <w:noProof/>
        </w:rPr>
      </w:pPr>
      <w:r>
        <w:rPr>
          <w:noProof/>
        </w:rPr>
        <w:t>3. The decisions concerning funding and the implementing agreements and instruments resulting from them shall explicitly stipulate that the Court of Auditors and OLAF may carry out, if necessary, on-the-spot checks among the recipients of the Agencies' funding and the agents responsible for allocating it.</w:t>
      </w:r>
    </w:p>
    <w:p>
      <w:pPr>
        <w:pStyle w:val="Text1"/>
        <w:pBdr>
          <w:top w:val="single" w:sz="4" w:space="1" w:color="auto"/>
          <w:left w:val="single" w:sz="4" w:space="4" w:color="auto"/>
          <w:bottom w:val="single" w:sz="4" w:space="1" w:color="auto"/>
          <w:right w:val="single" w:sz="4" w:space="4" w:color="auto"/>
        </w:pBdr>
        <w:rPr>
          <w:noProof/>
        </w:rPr>
      </w:pPr>
      <w:r>
        <w:rPr>
          <w:noProof/>
        </w:rPr>
        <w:t>In accordance with this provision, the decision of the Management Board of the European Agency for the operational management of large-scale IT systems in the area of freedom, security and justice concerning the terms and conditions for internal investigations in relation to the prevention of fraud, corruption and any illegal activity detrimental to the Union's interests was adopted on 28 June 2012.</w:t>
      </w:r>
    </w:p>
    <w:p>
      <w:pPr>
        <w:pStyle w:val="Text1"/>
        <w:pBdr>
          <w:top w:val="single" w:sz="4" w:space="1" w:color="auto"/>
          <w:left w:val="single" w:sz="4" w:space="4" w:color="auto"/>
          <w:bottom w:val="single" w:sz="4" w:space="1" w:color="auto"/>
          <w:right w:val="single" w:sz="4" w:space="4" w:color="auto"/>
        </w:pBdr>
        <w:rPr>
          <w:noProof/>
        </w:rPr>
      </w:pPr>
      <w:r>
        <w:rPr>
          <w:noProof/>
        </w:rPr>
        <w:t>DG HOME's fraud prevention and detection strategy will apply.</w:t>
      </w:r>
    </w:p>
    <w:p>
      <w:pPr>
        <w:rPr>
          <w:noProof/>
        </w:rPr>
        <w:sectPr>
          <w:pgSz w:w="11907" w:h="16840" w:code="9"/>
          <w:pgMar w:top="1134" w:right="1418" w:bottom="1134" w:left="1418" w:header="709" w:footer="709" w:gutter="0"/>
          <w:cols w:space="708"/>
          <w:docGrid w:linePitch="360"/>
        </w:sectPr>
      </w:pPr>
    </w:p>
    <w:p>
      <w:pPr>
        <w:pStyle w:val="ManualHeading1"/>
        <w:rPr>
          <w:bCs/>
          <w:noProof/>
          <w:szCs w:val="24"/>
        </w:rPr>
      </w:pPr>
      <w:bookmarkStart w:id="288" w:name="_Toc498514172"/>
      <w:r>
        <w:t>3.</w:t>
      </w:r>
      <w:r>
        <w:tab/>
      </w:r>
      <w:r>
        <w:rPr>
          <w:noProof/>
        </w:rPr>
        <w:t>ESTIMATED FINANCIAL IMPACT OF THE PROPOSAL/INITIATIVE</w:t>
      </w:r>
      <w:bookmarkEnd w:id="288"/>
      <w:r>
        <w:rPr>
          <w:noProof/>
        </w:rPr>
        <w:t xml:space="preserve"> </w:t>
      </w:r>
    </w:p>
    <w:tbl>
      <w:tblPr>
        <w:tblStyle w:val="TableGrid"/>
        <w:tblW w:w="0" w:type="auto"/>
        <w:tblInd w:w="720" w:type="dxa"/>
        <w:tblLook w:val="04A0" w:firstRow="1" w:lastRow="0" w:firstColumn="1" w:lastColumn="0" w:noHBand="0" w:noVBand="1"/>
      </w:tblPr>
      <w:tblGrid>
        <w:gridCol w:w="8567"/>
      </w:tblGrid>
      <w:tr>
        <w:tc>
          <w:tcPr>
            <w:tcW w:w="9287" w:type="dxa"/>
          </w:tcPr>
          <w:p>
            <w:pPr>
              <w:jc w:val="center"/>
              <w:rPr>
                <w:noProof/>
              </w:rPr>
            </w:pPr>
            <w:r>
              <w:rPr>
                <w:noProof/>
              </w:rPr>
              <w:t>THE ESTIMATED IMPACT ON EXPENDITURE AND STAFFING FOR THE YEARS 2021 AND BEYOND IN THIS LEGISLATIVE FINANCIAL STATEMENT IS ADDED FOR ILLUSTRATIVE PURPOSES AND DOES NOT PREJUDGE THE NEXT MULTIANNUAL FINANCIAL FRAMEWORK</w:t>
            </w:r>
          </w:p>
        </w:tc>
      </w:tr>
    </w:tbl>
    <w:p>
      <w:pPr>
        <w:ind w:left="720"/>
        <w:rPr>
          <w:noProof/>
        </w:rPr>
      </w:pPr>
    </w:p>
    <w:p>
      <w:pPr>
        <w:pStyle w:val="ManualHeading2"/>
        <w:rPr>
          <w:noProof/>
        </w:rPr>
      </w:pPr>
      <w:bookmarkStart w:id="289" w:name="_Toc498514173"/>
      <w:r>
        <w:t>3.1.</w:t>
      </w:r>
      <w:r>
        <w:tab/>
      </w:r>
      <w:r>
        <w:rPr>
          <w:noProof/>
        </w:rPr>
        <w:t>Heading(s) of the multiannual financial framework and expenditure budget line(s) affected</w:t>
      </w:r>
      <w:bookmarkEnd w:id="289"/>
      <w:r>
        <w:rPr>
          <w:noProof/>
        </w:rPr>
        <w:t xml:space="preserve"> </w:t>
      </w:r>
    </w:p>
    <w:p>
      <w:pPr>
        <w:pStyle w:val="ListBullet1"/>
        <w:rPr>
          <w:noProof/>
        </w:rPr>
      </w:pPr>
      <w:r>
        <w:rPr>
          <w:noProof/>
        </w:rPr>
        <w:t xml:space="preserve">Existing budget lines </w:t>
      </w:r>
    </w:p>
    <w:p>
      <w:pPr>
        <w:pStyle w:val="Text1"/>
        <w:rPr>
          <w:noProof/>
        </w:rPr>
      </w:pPr>
      <w:r>
        <w:rPr>
          <w:noProof/>
          <w:u w:val="single"/>
        </w:rPr>
        <w:t>In order</w:t>
      </w:r>
      <w:r>
        <w:rPr>
          <w:noProof/>
        </w:rPr>
        <w:t xml:space="preserve"> of multiannual financial framework headings and budget lines.</w:t>
      </w:r>
    </w:p>
    <w:p>
      <w:pPr>
        <w:pStyle w:val="Text1"/>
        <w:rPr>
          <w:noProof/>
        </w:rPr>
      </w:pPr>
    </w:p>
    <w:tbl>
      <w:tblPr>
        <w:tblW w:w="1056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80"/>
        <w:gridCol w:w="3960"/>
        <w:gridCol w:w="1080"/>
        <w:gridCol w:w="956"/>
        <w:gridCol w:w="1080"/>
        <w:gridCol w:w="956"/>
        <w:gridCol w:w="1448"/>
      </w:tblGrid>
      <w:tr>
        <w:tc>
          <w:tcPr>
            <w:tcW w:w="1080" w:type="dxa"/>
            <w:vMerge w:val="restart"/>
            <w:vAlign w:val="center"/>
          </w:tcPr>
          <w:p>
            <w:pPr>
              <w:spacing w:before="60" w:after="60"/>
              <w:jc w:val="center"/>
              <w:rPr>
                <w:noProof/>
              </w:rPr>
            </w:pPr>
            <w:r>
              <w:rPr>
                <w:noProof/>
                <w:sz w:val="18"/>
              </w:rPr>
              <w:t>Heading of multiannual financial framework</w:t>
            </w:r>
          </w:p>
        </w:tc>
        <w:tc>
          <w:tcPr>
            <w:tcW w:w="3960" w:type="dxa"/>
            <w:vAlign w:val="center"/>
          </w:tcPr>
          <w:p>
            <w:pPr>
              <w:spacing w:before="60" w:after="60"/>
              <w:jc w:val="center"/>
              <w:rPr>
                <w:noProof/>
              </w:rPr>
            </w:pPr>
            <w:r>
              <w:rPr>
                <w:noProof/>
                <w:sz w:val="20"/>
              </w:rPr>
              <w:t>Budget line</w:t>
            </w:r>
          </w:p>
        </w:tc>
        <w:tc>
          <w:tcPr>
            <w:tcW w:w="1080" w:type="dxa"/>
            <w:vAlign w:val="center"/>
          </w:tcPr>
          <w:p>
            <w:pPr>
              <w:spacing w:before="60" w:after="60"/>
              <w:jc w:val="center"/>
              <w:rPr>
                <w:noProof/>
              </w:rPr>
            </w:pPr>
            <w:r>
              <w:rPr>
                <w:noProof/>
                <w:sz w:val="18"/>
              </w:rPr>
              <w:t xml:space="preserve">Type of </w:t>
            </w:r>
            <w:r>
              <w:rPr>
                <w:noProof/>
                <w:sz w:val="22"/>
              </w:rPr>
              <w:br/>
            </w:r>
            <w:r>
              <w:rPr>
                <w:noProof/>
                <w:sz w:val="18"/>
              </w:rPr>
              <w:t>expenditure</w:t>
            </w:r>
          </w:p>
        </w:tc>
        <w:tc>
          <w:tcPr>
            <w:tcW w:w="4440" w:type="dxa"/>
            <w:gridSpan w:val="4"/>
            <w:vAlign w:val="center"/>
          </w:tcPr>
          <w:p>
            <w:pPr>
              <w:spacing w:before="60" w:after="60"/>
              <w:jc w:val="center"/>
              <w:rPr>
                <w:noProof/>
              </w:rPr>
            </w:pPr>
            <w:r>
              <w:rPr>
                <w:noProof/>
                <w:sz w:val="20"/>
              </w:rPr>
              <w:t xml:space="preserve">Contribution </w:t>
            </w:r>
          </w:p>
        </w:tc>
      </w:tr>
      <w:tr>
        <w:tc>
          <w:tcPr>
            <w:tcW w:w="1080" w:type="dxa"/>
            <w:vMerge/>
            <w:vAlign w:val="center"/>
          </w:tcPr>
          <w:p>
            <w:pPr>
              <w:jc w:val="center"/>
              <w:rPr>
                <w:noProof/>
              </w:rPr>
            </w:pPr>
          </w:p>
        </w:tc>
        <w:tc>
          <w:tcPr>
            <w:tcW w:w="3960" w:type="dxa"/>
            <w:vAlign w:val="center"/>
          </w:tcPr>
          <w:p>
            <w:pPr>
              <w:rPr>
                <w:noProof/>
              </w:rPr>
            </w:pPr>
            <w:r>
              <w:rPr>
                <w:noProof/>
                <w:sz w:val="20"/>
              </w:rPr>
              <w:t xml:space="preserve">Number </w:t>
            </w:r>
            <w:r>
              <w:rPr>
                <w:noProof/>
                <w:sz w:val="22"/>
              </w:rPr>
              <w:br/>
            </w:r>
            <w:r>
              <w:rPr>
                <w:noProof/>
                <w:sz w:val="20"/>
              </w:rPr>
              <w:t>[Heading………………………...……………]</w:t>
            </w:r>
          </w:p>
        </w:tc>
        <w:tc>
          <w:tcPr>
            <w:tcW w:w="1080" w:type="dxa"/>
            <w:vAlign w:val="center"/>
          </w:tcPr>
          <w:p>
            <w:pPr>
              <w:jc w:val="center"/>
              <w:rPr>
                <w:noProof/>
              </w:rPr>
            </w:pPr>
            <w:r>
              <w:rPr>
                <w:noProof/>
                <w:sz w:val="18"/>
              </w:rPr>
              <w:t>Diff./Non-diff.</w:t>
            </w:r>
            <w:r>
              <w:rPr>
                <w:rStyle w:val="FootnoteReference"/>
                <w:noProof/>
                <w:sz w:val="18"/>
              </w:rPr>
              <w:footnoteReference w:id="84"/>
            </w:r>
          </w:p>
        </w:tc>
        <w:tc>
          <w:tcPr>
            <w:tcW w:w="956" w:type="dxa"/>
            <w:vAlign w:val="center"/>
          </w:tcPr>
          <w:p>
            <w:pPr>
              <w:jc w:val="center"/>
              <w:rPr>
                <w:noProof/>
              </w:rPr>
            </w:pPr>
            <w:r>
              <w:rPr>
                <w:noProof/>
                <w:sz w:val="18"/>
              </w:rPr>
              <w:t>from EFTA countries</w:t>
            </w:r>
            <w:r>
              <w:rPr>
                <w:rStyle w:val="FootnoteReference"/>
                <w:noProof/>
                <w:sz w:val="18"/>
              </w:rPr>
              <w:footnoteReference w:id="85"/>
            </w:r>
          </w:p>
          <w:p>
            <w:pPr>
              <w:spacing w:before="0" w:after="0"/>
              <w:jc w:val="center"/>
              <w:rPr>
                <w:b/>
                <w:noProof/>
                <w:sz w:val="18"/>
              </w:rPr>
            </w:pPr>
          </w:p>
        </w:tc>
        <w:tc>
          <w:tcPr>
            <w:tcW w:w="1080" w:type="dxa"/>
            <w:vAlign w:val="center"/>
          </w:tcPr>
          <w:p>
            <w:pPr>
              <w:jc w:val="center"/>
              <w:rPr>
                <w:noProof/>
              </w:rPr>
            </w:pPr>
            <w:r>
              <w:rPr>
                <w:noProof/>
                <w:sz w:val="18"/>
              </w:rPr>
              <w:t>from candidate countries</w:t>
            </w:r>
            <w:r>
              <w:rPr>
                <w:rStyle w:val="FootnoteReference"/>
                <w:noProof/>
                <w:sz w:val="18"/>
              </w:rPr>
              <w:footnoteReference w:id="86"/>
            </w:r>
          </w:p>
          <w:p>
            <w:pPr>
              <w:spacing w:before="0" w:after="0"/>
              <w:jc w:val="center"/>
              <w:rPr>
                <w:noProof/>
                <w:sz w:val="18"/>
              </w:rPr>
            </w:pPr>
          </w:p>
        </w:tc>
        <w:tc>
          <w:tcPr>
            <w:tcW w:w="956" w:type="dxa"/>
            <w:vAlign w:val="center"/>
          </w:tcPr>
          <w:p>
            <w:pPr>
              <w:jc w:val="center"/>
              <w:rPr>
                <w:noProof/>
                <w:sz w:val="18"/>
              </w:rPr>
            </w:pPr>
            <w:r>
              <w:rPr>
                <w:noProof/>
                <w:sz w:val="18"/>
              </w:rPr>
              <w:t>from third countries</w:t>
            </w:r>
          </w:p>
        </w:tc>
        <w:tc>
          <w:tcPr>
            <w:tcW w:w="1448" w:type="dxa"/>
            <w:vAlign w:val="center"/>
          </w:tcPr>
          <w:p>
            <w:pPr>
              <w:jc w:val="center"/>
              <w:rPr>
                <w:noProof/>
              </w:rPr>
            </w:pPr>
            <w:r>
              <w:rPr>
                <w:noProof/>
                <w:sz w:val="16"/>
              </w:rPr>
              <w:t xml:space="preserve">within the meaning of Article 21(2)(b) of the Financial Regulation </w:t>
            </w:r>
          </w:p>
        </w:tc>
      </w:tr>
      <w:tr>
        <w:tc>
          <w:tcPr>
            <w:tcW w:w="1080" w:type="dxa"/>
            <w:vAlign w:val="center"/>
          </w:tcPr>
          <w:p>
            <w:pPr>
              <w:jc w:val="center"/>
              <w:rPr>
                <w:noProof/>
                <w:sz w:val="20"/>
                <w:szCs w:val="20"/>
              </w:rPr>
            </w:pPr>
            <w:r>
              <w:rPr>
                <w:noProof/>
                <w:sz w:val="20"/>
                <w:szCs w:val="20"/>
              </w:rPr>
              <w:t>3</w:t>
            </w:r>
          </w:p>
        </w:tc>
        <w:tc>
          <w:tcPr>
            <w:tcW w:w="3960" w:type="dxa"/>
            <w:vAlign w:val="center"/>
          </w:tcPr>
          <w:p>
            <w:pPr>
              <w:rPr>
                <w:noProof/>
                <w:sz w:val="20"/>
              </w:rPr>
            </w:pPr>
            <w:r>
              <w:rPr>
                <w:noProof/>
                <w:sz w:val="20"/>
              </w:rPr>
              <w:t>18.02.01.03 – Smart Borders</w:t>
            </w:r>
          </w:p>
        </w:tc>
        <w:tc>
          <w:tcPr>
            <w:tcW w:w="1080" w:type="dxa"/>
            <w:vAlign w:val="center"/>
          </w:tcPr>
          <w:p>
            <w:pPr>
              <w:jc w:val="center"/>
              <w:rPr>
                <w:noProof/>
                <w:sz w:val="18"/>
              </w:rPr>
            </w:pPr>
            <w:r>
              <w:rPr>
                <w:noProof/>
                <w:sz w:val="18"/>
              </w:rPr>
              <w:t>Diff</w:t>
            </w:r>
          </w:p>
        </w:tc>
        <w:tc>
          <w:tcPr>
            <w:tcW w:w="956" w:type="dxa"/>
            <w:vAlign w:val="center"/>
          </w:tcPr>
          <w:p>
            <w:pPr>
              <w:jc w:val="center"/>
              <w:rPr>
                <w:noProof/>
                <w:sz w:val="18"/>
              </w:rPr>
            </w:pPr>
            <w:r>
              <w:rPr>
                <w:noProof/>
                <w:sz w:val="18"/>
              </w:rPr>
              <w:t xml:space="preserve">No </w:t>
            </w:r>
          </w:p>
        </w:tc>
        <w:tc>
          <w:tcPr>
            <w:tcW w:w="1080" w:type="dxa"/>
            <w:vAlign w:val="center"/>
          </w:tcPr>
          <w:p>
            <w:pPr>
              <w:jc w:val="center"/>
              <w:rPr>
                <w:noProof/>
                <w:sz w:val="18"/>
              </w:rPr>
            </w:pPr>
            <w:r>
              <w:rPr>
                <w:noProof/>
                <w:sz w:val="18"/>
              </w:rPr>
              <w:t xml:space="preserve">No </w:t>
            </w:r>
          </w:p>
        </w:tc>
        <w:tc>
          <w:tcPr>
            <w:tcW w:w="956" w:type="dxa"/>
            <w:vAlign w:val="center"/>
          </w:tcPr>
          <w:p>
            <w:pPr>
              <w:jc w:val="center"/>
              <w:rPr>
                <w:noProof/>
                <w:sz w:val="18"/>
              </w:rPr>
            </w:pPr>
            <w:r>
              <w:rPr>
                <w:noProof/>
                <w:sz w:val="18"/>
              </w:rPr>
              <w:t xml:space="preserve">Yes </w:t>
            </w:r>
          </w:p>
        </w:tc>
        <w:tc>
          <w:tcPr>
            <w:tcW w:w="1448" w:type="dxa"/>
            <w:vAlign w:val="center"/>
          </w:tcPr>
          <w:p>
            <w:pPr>
              <w:jc w:val="center"/>
              <w:rPr>
                <w:noProof/>
                <w:sz w:val="16"/>
              </w:rPr>
            </w:pPr>
            <w:r>
              <w:rPr>
                <w:noProof/>
                <w:sz w:val="16"/>
              </w:rPr>
              <w:t>No</w:t>
            </w:r>
          </w:p>
        </w:tc>
      </w:tr>
      <w:tr>
        <w:tc>
          <w:tcPr>
            <w:tcW w:w="1080" w:type="dxa"/>
            <w:vAlign w:val="center"/>
          </w:tcPr>
          <w:p>
            <w:pPr>
              <w:jc w:val="center"/>
              <w:rPr>
                <w:noProof/>
                <w:sz w:val="20"/>
                <w:szCs w:val="20"/>
              </w:rPr>
            </w:pPr>
            <w:r>
              <w:rPr>
                <w:noProof/>
                <w:sz w:val="20"/>
                <w:szCs w:val="20"/>
              </w:rPr>
              <w:t>3</w:t>
            </w:r>
          </w:p>
        </w:tc>
        <w:tc>
          <w:tcPr>
            <w:tcW w:w="3960" w:type="dxa"/>
            <w:vAlign w:val="center"/>
          </w:tcPr>
          <w:p>
            <w:pPr>
              <w:spacing w:before="60"/>
              <w:rPr>
                <w:noProof/>
              </w:rPr>
            </w:pPr>
            <w:r>
              <w:rPr>
                <w:noProof/>
              </w:rPr>
              <w:t xml:space="preserve">18.02.03 – European </w:t>
            </w:r>
            <w:r>
              <w:rPr>
                <w:noProof/>
                <w:sz w:val="20"/>
              </w:rPr>
              <w:t xml:space="preserve">Border and Coast Guard </w:t>
            </w:r>
            <w:r>
              <w:rPr>
                <w:noProof/>
              </w:rPr>
              <w:t>Agency (Frontex)</w:t>
            </w:r>
          </w:p>
        </w:tc>
        <w:tc>
          <w:tcPr>
            <w:tcW w:w="1080" w:type="dxa"/>
          </w:tcPr>
          <w:p>
            <w:pPr>
              <w:jc w:val="center"/>
              <w:rPr>
                <w:noProof/>
                <w:sz w:val="20"/>
              </w:rPr>
            </w:pPr>
            <w:r>
              <w:rPr>
                <w:noProof/>
                <w:sz w:val="20"/>
              </w:rPr>
              <w:t>Diff</w:t>
            </w:r>
          </w:p>
        </w:tc>
        <w:tc>
          <w:tcPr>
            <w:tcW w:w="956" w:type="dxa"/>
          </w:tcPr>
          <w:p>
            <w:pPr>
              <w:jc w:val="center"/>
              <w:rPr>
                <w:noProof/>
                <w:sz w:val="20"/>
              </w:rPr>
            </w:pPr>
            <w:r>
              <w:rPr>
                <w:noProof/>
                <w:sz w:val="20"/>
              </w:rPr>
              <w:t>No</w:t>
            </w:r>
          </w:p>
        </w:tc>
        <w:tc>
          <w:tcPr>
            <w:tcW w:w="1080" w:type="dxa"/>
          </w:tcPr>
          <w:p>
            <w:pPr>
              <w:jc w:val="center"/>
              <w:rPr>
                <w:noProof/>
                <w:sz w:val="20"/>
              </w:rPr>
            </w:pPr>
            <w:r>
              <w:rPr>
                <w:noProof/>
                <w:sz w:val="20"/>
              </w:rPr>
              <w:t>No</w:t>
            </w:r>
          </w:p>
        </w:tc>
        <w:tc>
          <w:tcPr>
            <w:tcW w:w="956" w:type="dxa"/>
          </w:tcPr>
          <w:p>
            <w:pPr>
              <w:jc w:val="center"/>
              <w:rPr>
                <w:noProof/>
                <w:sz w:val="20"/>
              </w:rPr>
            </w:pPr>
            <w:r>
              <w:rPr>
                <w:noProof/>
                <w:sz w:val="20"/>
              </w:rPr>
              <w:t>Yes</w:t>
            </w:r>
          </w:p>
        </w:tc>
        <w:tc>
          <w:tcPr>
            <w:tcW w:w="1448" w:type="dxa"/>
          </w:tcPr>
          <w:p>
            <w:pPr>
              <w:jc w:val="center"/>
              <w:rPr>
                <w:noProof/>
                <w:sz w:val="20"/>
              </w:rPr>
            </w:pPr>
            <w:r>
              <w:rPr>
                <w:noProof/>
                <w:sz w:val="20"/>
              </w:rPr>
              <w:t>No</w:t>
            </w:r>
          </w:p>
        </w:tc>
      </w:tr>
      <w:tr>
        <w:tc>
          <w:tcPr>
            <w:tcW w:w="1080" w:type="dxa"/>
            <w:vAlign w:val="center"/>
          </w:tcPr>
          <w:p>
            <w:pPr>
              <w:jc w:val="center"/>
              <w:rPr>
                <w:noProof/>
                <w:sz w:val="20"/>
                <w:szCs w:val="20"/>
              </w:rPr>
            </w:pPr>
            <w:r>
              <w:rPr>
                <w:noProof/>
                <w:sz w:val="20"/>
                <w:szCs w:val="20"/>
              </w:rPr>
              <w:t>3</w:t>
            </w:r>
          </w:p>
        </w:tc>
        <w:tc>
          <w:tcPr>
            <w:tcW w:w="3960" w:type="dxa"/>
            <w:vAlign w:val="center"/>
          </w:tcPr>
          <w:p>
            <w:pPr>
              <w:spacing w:before="60"/>
              <w:rPr>
                <w:noProof/>
              </w:rPr>
            </w:pPr>
            <w:r>
              <w:rPr>
                <w:noProof/>
              </w:rPr>
              <w:t>18.02.04 – EUROPOL</w:t>
            </w:r>
          </w:p>
        </w:tc>
        <w:tc>
          <w:tcPr>
            <w:tcW w:w="1080" w:type="dxa"/>
          </w:tcPr>
          <w:p>
            <w:pPr>
              <w:jc w:val="center"/>
              <w:rPr>
                <w:noProof/>
                <w:sz w:val="20"/>
              </w:rPr>
            </w:pPr>
            <w:r>
              <w:rPr>
                <w:noProof/>
                <w:sz w:val="20"/>
              </w:rPr>
              <w:t>Diff</w:t>
            </w:r>
          </w:p>
        </w:tc>
        <w:tc>
          <w:tcPr>
            <w:tcW w:w="956" w:type="dxa"/>
          </w:tcPr>
          <w:p>
            <w:pPr>
              <w:jc w:val="center"/>
              <w:rPr>
                <w:noProof/>
                <w:sz w:val="20"/>
              </w:rPr>
            </w:pPr>
            <w:r>
              <w:rPr>
                <w:noProof/>
                <w:sz w:val="20"/>
              </w:rPr>
              <w:t>No</w:t>
            </w:r>
          </w:p>
        </w:tc>
        <w:tc>
          <w:tcPr>
            <w:tcW w:w="1080" w:type="dxa"/>
          </w:tcPr>
          <w:p>
            <w:pPr>
              <w:jc w:val="center"/>
              <w:rPr>
                <w:noProof/>
                <w:sz w:val="20"/>
              </w:rPr>
            </w:pPr>
            <w:r>
              <w:rPr>
                <w:noProof/>
                <w:sz w:val="20"/>
              </w:rPr>
              <w:t>No</w:t>
            </w:r>
          </w:p>
        </w:tc>
        <w:tc>
          <w:tcPr>
            <w:tcW w:w="956" w:type="dxa"/>
          </w:tcPr>
          <w:p>
            <w:pPr>
              <w:jc w:val="center"/>
              <w:rPr>
                <w:noProof/>
                <w:sz w:val="20"/>
              </w:rPr>
            </w:pPr>
            <w:r>
              <w:rPr>
                <w:noProof/>
                <w:sz w:val="20"/>
              </w:rPr>
              <w:t>No</w:t>
            </w:r>
          </w:p>
        </w:tc>
        <w:tc>
          <w:tcPr>
            <w:tcW w:w="1448" w:type="dxa"/>
          </w:tcPr>
          <w:p>
            <w:pPr>
              <w:jc w:val="center"/>
              <w:rPr>
                <w:noProof/>
                <w:sz w:val="20"/>
              </w:rPr>
            </w:pPr>
            <w:r>
              <w:rPr>
                <w:noProof/>
                <w:sz w:val="20"/>
              </w:rPr>
              <w:t>No</w:t>
            </w:r>
          </w:p>
        </w:tc>
      </w:tr>
      <w:tr>
        <w:tc>
          <w:tcPr>
            <w:tcW w:w="1080" w:type="dxa"/>
            <w:vAlign w:val="center"/>
          </w:tcPr>
          <w:p>
            <w:pPr>
              <w:jc w:val="center"/>
              <w:rPr>
                <w:noProof/>
                <w:sz w:val="20"/>
                <w:szCs w:val="20"/>
              </w:rPr>
            </w:pPr>
            <w:r>
              <w:rPr>
                <w:noProof/>
                <w:sz w:val="20"/>
                <w:szCs w:val="20"/>
              </w:rPr>
              <w:t>3</w:t>
            </w:r>
          </w:p>
        </w:tc>
        <w:tc>
          <w:tcPr>
            <w:tcW w:w="3960" w:type="dxa"/>
            <w:vAlign w:val="center"/>
          </w:tcPr>
          <w:p>
            <w:pPr>
              <w:spacing w:before="60"/>
              <w:rPr>
                <w:noProof/>
              </w:rPr>
            </w:pPr>
            <w:r>
              <w:rPr>
                <w:noProof/>
              </w:rPr>
              <w:t>18.02.05 - CEPOL</w:t>
            </w:r>
          </w:p>
        </w:tc>
        <w:tc>
          <w:tcPr>
            <w:tcW w:w="1080" w:type="dxa"/>
          </w:tcPr>
          <w:p>
            <w:pPr>
              <w:jc w:val="center"/>
              <w:rPr>
                <w:noProof/>
                <w:sz w:val="20"/>
              </w:rPr>
            </w:pPr>
            <w:r>
              <w:rPr>
                <w:noProof/>
                <w:sz w:val="20"/>
              </w:rPr>
              <w:t>Non-diff</w:t>
            </w:r>
          </w:p>
        </w:tc>
        <w:tc>
          <w:tcPr>
            <w:tcW w:w="956" w:type="dxa"/>
          </w:tcPr>
          <w:p>
            <w:pPr>
              <w:jc w:val="center"/>
              <w:rPr>
                <w:noProof/>
                <w:sz w:val="20"/>
              </w:rPr>
            </w:pPr>
            <w:r>
              <w:rPr>
                <w:noProof/>
                <w:sz w:val="20"/>
              </w:rPr>
              <w:t>No</w:t>
            </w:r>
          </w:p>
        </w:tc>
        <w:tc>
          <w:tcPr>
            <w:tcW w:w="1080" w:type="dxa"/>
          </w:tcPr>
          <w:p>
            <w:pPr>
              <w:jc w:val="center"/>
              <w:rPr>
                <w:noProof/>
                <w:sz w:val="20"/>
              </w:rPr>
            </w:pPr>
            <w:r>
              <w:rPr>
                <w:noProof/>
                <w:sz w:val="20"/>
              </w:rPr>
              <w:t>No</w:t>
            </w:r>
          </w:p>
        </w:tc>
        <w:tc>
          <w:tcPr>
            <w:tcW w:w="956" w:type="dxa"/>
          </w:tcPr>
          <w:p>
            <w:pPr>
              <w:jc w:val="center"/>
              <w:rPr>
                <w:noProof/>
                <w:sz w:val="20"/>
              </w:rPr>
            </w:pPr>
            <w:r>
              <w:rPr>
                <w:noProof/>
                <w:sz w:val="20"/>
              </w:rPr>
              <w:t>No</w:t>
            </w:r>
          </w:p>
        </w:tc>
        <w:tc>
          <w:tcPr>
            <w:tcW w:w="1448" w:type="dxa"/>
          </w:tcPr>
          <w:p>
            <w:pPr>
              <w:jc w:val="center"/>
              <w:rPr>
                <w:noProof/>
                <w:sz w:val="20"/>
              </w:rPr>
            </w:pPr>
            <w:r>
              <w:rPr>
                <w:noProof/>
                <w:sz w:val="20"/>
              </w:rPr>
              <w:t>No</w:t>
            </w:r>
          </w:p>
        </w:tc>
      </w:tr>
      <w:tr>
        <w:tc>
          <w:tcPr>
            <w:tcW w:w="1080" w:type="dxa"/>
            <w:vAlign w:val="center"/>
          </w:tcPr>
          <w:p>
            <w:pPr>
              <w:jc w:val="center"/>
              <w:rPr>
                <w:noProof/>
                <w:sz w:val="20"/>
                <w:szCs w:val="20"/>
              </w:rPr>
            </w:pPr>
            <w:r>
              <w:rPr>
                <w:noProof/>
                <w:sz w:val="20"/>
                <w:szCs w:val="20"/>
              </w:rPr>
              <w:t>3</w:t>
            </w:r>
          </w:p>
        </w:tc>
        <w:tc>
          <w:tcPr>
            <w:tcW w:w="3960" w:type="dxa"/>
            <w:vAlign w:val="center"/>
          </w:tcPr>
          <w:p>
            <w:pPr>
              <w:spacing w:before="60"/>
              <w:rPr>
                <w:noProof/>
              </w:rPr>
            </w:pPr>
            <w:r>
              <w:rPr>
                <w:noProof/>
              </w:rPr>
              <w:t>18.02.07 – European Agency for the operational management of large-scale IT systems in the area of freedom, security and justice (eu-LISA)</w:t>
            </w:r>
          </w:p>
        </w:tc>
        <w:tc>
          <w:tcPr>
            <w:tcW w:w="1080" w:type="dxa"/>
          </w:tcPr>
          <w:p>
            <w:pPr>
              <w:jc w:val="center"/>
              <w:rPr>
                <w:noProof/>
                <w:sz w:val="20"/>
              </w:rPr>
            </w:pPr>
            <w:r>
              <w:rPr>
                <w:noProof/>
                <w:sz w:val="20"/>
              </w:rPr>
              <w:t>Diff</w:t>
            </w:r>
          </w:p>
        </w:tc>
        <w:tc>
          <w:tcPr>
            <w:tcW w:w="956" w:type="dxa"/>
          </w:tcPr>
          <w:p>
            <w:pPr>
              <w:jc w:val="center"/>
              <w:rPr>
                <w:noProof/>
                <w:sz w:val="20"/>
              </w:rPr>
            </w:pPr>
            <w:r>
              <w:rPr>
                <w:noProof/>
                <w:sz w:val="20"/>
              </w:rPr>
              <w:t>No</w:t>
            </w:r>
          </w:p>
        </w:tc>
        <w:tc>
          <w:tcPr>
            <w:tcW w:w="1080" w:type="dxa"/>
          </w:tcPr>
          <w:p>
            <w:pPr>
              <w:jc w:val="center"/>
              <w:rPr>
                <w:noProof/>
                <w:sz w:val="20"/>
              </w:rPr>
            </w:pPr>
            <w:r>
              <w:rPr>
                <w:noProof/>
                <w:sz w:val="20"/>
              </w:rPr>
              <w:t>No</w:t>
            </w:r>
          </w:p>
        </w:tc>
        <w:tc>
          <w:tcPr>
            <w:tcW w:w="956" w:type="dxa"/>
          </w:tcPr>
          <w:p>
            <w:pPr>
              <w:jc w:val="center"/>
              <w:rPr>
                <w:noProof/>
                <w:sz w:val="20"/>
              </w:rPr>
            </w:pPr>
            <w:r>
              <w:rPr>
                <w:noProof/>
                <w:sz w:val="20"/>
              </w:rPr>
              <w:t xml:space="preserve">Yes </w:t>
            </w:r>
          </w:p>
        </w:tc>
        <w:tc>
          <w:tcPr>
            <w:tcW w:w="1448" w:type="dxa"/>
          </w:tcPr>
          <w:p>
            <w:pPr>
              <w:jc w:val="center"/>
              <w:rPr>
                <w:noProof/>
                <w:sz w:val="20"/>
              </w:rPr>
            </w:pPr>
            <w:r>
              <w:rPr>
                <w:noProof/>
                <w:sz w:val="20"/>
              </w:rPr>
              <w:t>No</w:t>
            </w:r>
          </w:p>
        </w:tc>
      </w:tr>
    </w:tbl>
    <w:p>
      <w:pPr>
        <w:rPr>
          <w:noProof/>
        </w:rPr>
        <w:sectPr>
          <w:pgSz w:w="11907" w:h="16840" w:code="1"/>
          <w:pgMar w:top="1134" w:right="1418" w:bottom="1134" w:left="1418" w:header="709" w:footer="709" w:gutter="0"/>
          <w:cols w:space="708"/>
          <w:docGrid w:linePitch="360"/>
        </w:sectPr>
      </w:pPr>
    </w:p>
    <w:p>
      <w:pPr>
        <w:pStyle w:val="ManualHeading2"/>
        <w:rPr>
          <w:bCs/>
          <w:noProof/>
          <w:szCs w:val="24"/>
        </w:rPr>
      </w:pPr>
      <w:bookmarkStart w:id="290" w:name="_Toc498514174"/>
      <w:r>
        <w:t>3.2.</w:t>
      </w:r>
      <w:r>
        <w:tab/>
      </w:r>
      <w:r>
        <w:rPr>
          <w:noProof/>
        </w:rPr>
        <w:t>Estimated impact on expenditure</w:t>
      </w:r>
      <w:bookmarkEnd w:id="290"/>
      <w:r>
        <w:rPr>
          <w:noProof/>
        </w:rPr>
        <w:t xml:space="preserve"> </w:t>
      </w:r>
    </w:p>
    <w:p>
      <w:pPr>
        <w:pStyle w:val="Text1"/>
        <w:rPr>
          <w:noProof/>
        </w:rPr>
      </w:pPr>
      <w:r>
        <w:rPr>
          <w:noProof/>
          <w:highlight w:val="lightGray"/>
        </w:rPr>
        <w:t xml:space="preserve">[This section should be filled in using the </w:t>
      </w:r>
      <w:hyperlink r:id="rId20" w:history="1">
        <w:r>
          <w:rPr>
            <w:rStyle w:val="Hyperlink"/>
            <w:b/>
            <w:noProof/>
            <w:highlight w:val="lightGray"/>
          </w:rPr>
          <w:t>spreadsheet on budget data of an administrative nature</w:t>
        </w:r>
      </w:hyperlink>
      <w:r>
        <w:rPr>
          <w:noProof/>
          <w:highlight w:val="lightGray"/>
        </w:rPr>
        <w:t xml:space="preserve"> (second document in annex to this financial statement) and uploaded to DECIDE for interservice consultation purposes.]</w:t>
      </w:r>
    </w:p>
    <w:p>
      <w:pPr>
        <w:pStyle w:val="ManualHeading3"/>
        <w:rPr>
          <w:noProof/>
          <w:u w:val="single"/>
        </w:rPr>
      </w:pPr>
      <w:bookmarkStart w:id="291" w:name="_Toc498514175"/>
      <w:r>
        <w:t>3.2.1.</w:t>
      </w:r>
      <w:r>
        <w:tab/>
      </w:r>
      <w:r>
        <w:rPr>
          <w:noProof/>
        </w:rPr>
        <w:t>Summary of estimated impact on expenditure</w:t>
      </w:r>
      <w:bookmarkEnd w:id="291"/>
      <w:r>
        <w:rPr>
          <w:noProof/>
        </w:rPr>
        <w:t xml:space="preserve"> </w:t>
      </w:r>
    </w:p>
    <w:p>
      <w:pPr>
        <w:jc w:val="right"/>
        <w:rPr>
          <w:noProof/>
          <w:sz w:val="20"/>
        </w:rPr>
      </w:pPr>
      <w:r>
        <w:rPr>
          <w:noProof/>
          <w:sz w:val="20"/>
        </w:rPr>
        <w:t>EUR million (to three decimal places)</w:t>
      </w:r>
    </w:p>
    <w:tbl>
      <w:tblPr>
        <w:tblW w:w="0" w:type="auto"/>
        <w:jc w:val="center"/>
        <w:tblInd w:w="-23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019"/>
        <w:gridCol w:w="840"/>
        <w:gridCol w:w="8782"/>
      </w:tblGrid>
      <w:tr>
        <w:trPr>
          <w:jc w:val="center"/>
        </w:trPr>
        <w:tc>
          <w:tcPr>
            <w:tcW w:w="4019" w:type="dxa"/>
            <w:shd w:val="thinDiagStripe" w:color="C0C0C0" w:fill="auto"/>
            <w:vAlign w:val="center"/>
          </w:tcPr>
          <w:p>
            <w:pPr>
              <w:spacing w:before="60" w:after="60"/>
              <w:jc w:val="center"/>
              <w:rPr>
                <w:b/>
                <w:noProof/>
              </w:rPr>
            </w:pPr>
            <w:r>
              <w:rPr>
                <w:b/>
                <w:noProof/>
                <w:sz w:val="22"/>
              </w:rPr>
              <w:t xml:space="preserve">Heading of multiannual financial </w:t>
            </w:r>
            <w:r>
              <w:rPr>
                <w:noProof/>
                <w:sz w:val="22"/>
              </w:rPr>
              <w:br/>
            </w:r>
            <w:r>
              <w:rPr>
                <w:b/>
                <w:noProof/>
                <w:sz w:val="22"/>
              </w:rPr>
              <w:t xml:space="preserve">framework </w:t>
            </w:r>
          </w:p>
        </w:tc>
        <w:tc>
          <w:tcPr>
            <w:tcW w:w="840" w:type="dxa"/>
            <w:vAlign w:val="center"/>
          </w:tcPr>
          <w:p>
            <w:pPr>
              <w:spacing w:before="60" w:after="60"/>
              <w:jc w:val="center"/>
              <w:rPr>
                <w:noProof/>
              </w:rPr>
            </w:pPr>
            <w:r>
              <w:rPr>
                <w:noProof/>
                <w:sz w:val="22"/>
              </w:rPr>
              <w:t>3</w:t>
            </w:r>
          </w:p>
        </w:tc>
        <w:tc>
          <w:tcPr>
            <w:tcW w:w="8782" w:type="dxa"/>
            <w:vAlign w:val="center"/>
          </w:tcPr>
          <w:p>
            <w:pPr>
              <w:spacing w:before="60" w:after="60"/>
              <w:rPr>
                <w:noProof/>
              </w:rPr>
            </w:pPr>
            <w:r>
              <w:rPr>
                <w:noProof/>
              </w:rPr>
              <w:t>Security and Citizenship</w:t>
            </w:r>
          </w:p>
        </w:tc>
      </w:tr>
    </w:tbl>
    <w:p>
      <w:pPr>
        <w:rPr>
          <w:noProof/>
          <w:sz w:val="16"/>
        </w:rPr>
      </w:pPr>
    </w:p>
    <w:tbl>
      <w:tblPr>
        <w:tblW w:w="1493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5"/>
        <w:gridCol w:w="1277"/>
        <w:gridCol w:w="47"/>
        <w:gridCol w:w="661"/>
        <w:gridCol w:w="816"/>
        <w:gridCol w:w="816"/>
        <w:gridCol w:w="816"/>
        <w:gridCol w:w="816"/>
        <w:gridCol w:w="816"/>
        <w:gridCol w:w="816"/>
        <w:gridCol w:w="816"/>
        <w:gridCol w:w="816"/>
        <w:gridCol w:w="816"/>
        <w:gridCol w:w="816"/>
        <w:gridCol w:w="821"/>
      </w:tblGrid>
      <w:tr>
        <w:tc>
          <w:tcPr>
            <w:tcW w:w="3967" w:type="dxa"/>
            <w:vAlign w:val="center"/>
          </w:tcPr>
          <w:p>
            <w:pPr>
              <w:jc w:val="center"/>
              <w:rPr>
                <w:noProof/>
              </w:rPr>
            </w:pPr>
            <w:r>
              <w:rPr>
                <w:noProof/>
                <w:sz w:val="22"/>
              </w:rPr>
              <w:t>DG Home</w:t>
            </w:r>
          </w:p>
        </w:tc>
        <w:tc>
          <w:tcPr>
            <w:tcW w:w="1325" w:type="dxa"/>
            <w:gridSpan w:val="2"/>
          </w:tcPr>
          <w:p>
            <w:pPr>
              <w:rPr>
                <w:noProof/>
                <w:sz w:val="20"/>
              </w:rPr>
            </w:pPr>
          </w:p>
        </w:tc>
        <w:tc>
          <w:tcPr>
            <w:tcW w:w="658" w:type="dxa"/>
          </w:tcPr>
          <w:p>
            <w:pPr>
              <w:jc w:val="center"/>
              <w:rPr>
                <w:noProof/>
                <w:sz w:val="20"/>
              </w:rPr>
            </w:pPr>
          </w:p>
        </w:tc>
        <w:tc>
          <w:tcPr>
            <w:tcW w:w="816" w:type="dxa"/>
            <w:vAlign w:val="center"/>
          </w:tcPr>
          <w:p>
            <w:pPr>
              <w:jc w:val="center"/>
              <w:rPr>
                <w:noProof/>
                <w:sz w:val="18"/>
              </w:rPr>
            </w:pPr>
            <w:r>
              <w:rPr>
                <w:noProof/>
                <w:sz w:val="18"/>
              </w:rPr>
              <w:t>Year</w:t>
            </w:r>
            <w:r>
              <w:rPr>
                <w:noProof/>
                <w:sz w:val="18"/>
              </w:rPr>
              <w:br/>
            </w:r>
            <w:r>
              <w:rPr>
                <w:b/>
                <w:noProof/>
                <w:sz w:val="18"/>
              </w:rPr>
              <w:t>2019</w:t>
            </w:r>
          </w:p>
        </w:tc>
        <w:tc>
          <w:tcPr>
            <w:tcW w:w="816" w:type="dxa"/>
            <w:vAlign w:val="center"/>
          </w:tcPr>
          <w:p>
            <w:pPr>
              <w:jc w:val="center"/>
              <w:rPr>
                <w:noProof/>
                <w:sz w:val="18"/>
              </w:rPr>
            </w:pPr>
            <w:r>
              <w:rPr>
                <w:noProof/>
                <w:sz w:val="18"/>
              </w:rPr>
              <w:t>Year</w:t>
            </w:r>
            <w:r>
              <w:rPr>
                <w:noProof/>
                <w:sz w:val="18"/>
              </w:rPr>
              <w:br/>
            </w:r>
            <w:r>
              <w:rPr>
                <w:b/>
                <w:noProof/>
                <w:sz w:val="18"/>
              </w:rPr>
              <w:t>2020</w:t>
            </w:r>
          </w:p>
        </w:tc>
        <w:tc>
          <w:tcPr>
            <w:tcW w:w="816" w:type="dxa"/>
            <w:vAlign w:val="center"/>
          </w:tcPr>
          <w:p>
            <w:pPr>
              <w:jc w:val="center"/>
              <w:rPr>
                <w:noProof/>
                <w:sz w:val="18"/>
              </w:rPr>
            </w:pPr>
            <w:r>
              <w:rPr>
                <w:noProof/>
                <w:sz w:val="18"/>
              </w:rPr>
              <w:t>Year</w:t>
            </w:r>
            <w:r>
              <w:rPr>
                <w:noProof/>
                <w:sz w:val="18"/>
              </w:rPr>
              <w:br/>
            </w:r>
            <w:r>
              <w:rPr>
                <w:b/>
                <w:noProof/>
                <w:sz w:val="18"/>
              </w:rPr>
              <w:t>2021</w:t>
            </w:r>
          </w:p>
        </w:tc>
        <w:tc>
          <w:tcPr>
            <w:tcW w:w="816" w:type="dxa"/>
            <w:vAlign w:val="center"/>
          </w:tcPr>
          <w:p>
            <w:pPr>
              <w:jc w:val="center"/>
              <w:rPr>
                <w:noProof/>
                <w:sz w:val="18"/>
              </w:rPr>
            </w:pPr>
            <w:r>
              <w:rPr>
                <w:noProof/>
                <w:sz w:val="18"/>
              </w:rPr>
              <w:t>Year</w:t>
            </w:r>
            <w:r>
              <w:rPr>
                <w:noProof/>
                <w:sz w:val="18"/>
              </w:rPr>
              <w:br/>
            </w:r>
            <w:r>
              <w:rPr>
                <w:b/>
                <w:noProof/>
                <w:sz w:val="18"/>
              </w:rPr>
              <w:t>2022</w:t>
            </w:r>
          </w:p>
        </w:tc>
        <w:tc>
          <w:tcPr>
            <w:tcW w:w="816" w:type="dxa"/>
            <w:vAlign w:val="center"/>
          </w:tcPr>
          <w:p>
            <w:pPr>
              <w:jc w:val="center"/>
              <w:rPr>
                <w:noProof/>
                <w:sz w:val="18"/>
              </w:rPr>
            </w:pPr>
            <w:r>
              <w:rPr>
                <w:noProof/>
                <w:sz w:val="18"/>
              </w:rPr>
              <w:t>Year</w:t>
            </w:r>
            <w:r>
              <w:rPr>
                <w:noProof/>
                <w:sz w:val="18"/>
              </w:rPr>
              <w:br/>
            </w:r>
            <w:r>
              <w:rPr>
                <w:b/>
                <w:noProof/>
                <w:sz w:val="18"/>
              </w:rPr>
              <w:t>2023</w:t>
            </w:r>
          </w:p>
        </w:tc>
        <w:tc>
          <w:tcPr>
            <w:tcW w:w="816" w:type="dxa"/>
            <w:vAlign w:val="center"/>
          </w:tcPr>
          <w:p>
            <w:pPr>
              <w:jc w:val="center"/>
              <w:rPr>
                <w:noProof/>
                <w:sz w:val="18"/>
              </w:rPr>
            </w:pPr>
            <w:r>
              <w:rPr>
                <w:noProof/>
                <w:sz w:val="18"/>
              </w:rPr>
              <w:t>Year</w:t>
            </w:r>
            <w:r>
              <w:rPr>
                <w:noProof/>
                <w:sz w:val="18"/>
              </w:rPr>
              <w:br/>
            </w:r>
            <w:r>
              <w:rPr>
                <w:b/>
                <w:noProof/>
                <w:sz w:val="18"/>
              </w:rPr>
              <w:t>2024</w:t>
            </w:r>
          </w:p>
        </w:tc>
        <w:tc>
          <w:tcPr>
            <w:tcW w:w="816" w:type="dxa"/>
            <w:vAlign w:val="center"/>
          </w:tcPr>
          <w:p>
            <w:pPr>
              <w:jc w:val="center"/>
              <w:rPr>
                <w:noProof/>
                <w:sz w:val="18"/>
              </w:rPr>
            </w:pPr>
            <w:r>
              <w:rPr>
                <w:noProof/>
                <w:sz w:val="18"/>
              </w:rPr>
              <w:t>Year</w:t>
            </w:r>
            <w:r>
              <w:rPr>
                <w:noProof/>
                <w:sz w:val="18"/>
              </w:rPr>
              <w:br/>
            </w:r>
            <w:r>
              <w:rPr>
                <w:b/>
                <w:noProof/>
                <w:sz w:val="18"/>
              </w:rPr>
              <w:t>2025</w:t>
            </w:r>
          </w:p>
        </w:tc>
        <w:tc>
          <w:tcPr>
            <w:tcW w:w="816" w:type="dxa"/>
          </w:tcPr>
          <w:p>
            <w:pPr>
              <w:jc w:val="center"/>
              <w:rPr>
                <w:noProof/>
                <w:sz w:val="18"/>
              </w:rPr>
            </w:pPr>
            <w:r>
              <w:rPr>
                <w:noProof/>
                <w:sz w:val="18"/>
              </w:rPr>
              <w:t>Year</w:t>
            </w:r>
            <w:r>
              <w:rPr>
                <w:noProof/>
                <w:sz w:val="18"/>
              </w:rPr>
              <w:br/>
            </w:r>
            <w:r>
              <w:rPr>
                <w:b/>
                <w:noProof/>
                <w:sz w:val="18"/>
              </w:rPr>
              <w:t>2026</w:t>
            </w:r>
          </w:p>
        </w:tc>
        <w:tc>
          <w:tcPr>
            <w:tcW w:w="816" w:type="dxa"/>
          </w:tcPr>
          <w:p>
            <w:pPr>
              <w:jc w:val="center"/>
              <w:rPr>
                <w:noProof/>
                <w:sz w:val="18"/>
              </w:rPr>
            </w:pPr>
            <w:r>
              <w:rPr>
                <w:noProof/>
                <w:sz w:val="18"/>
              </w:rPr>
              <w:t>Year</w:t>
            </w:r>
            <w:r>
              <w:rPr>
                <w:noProof/>
                <w:sz w:val="18"/>
              </w:rPr>
              <w:br/>
            </w:r>
            <w:r>
              <w:rPr>
                <w:b/>
                <w:noProof/>
                <w:sz w:val="18"/>
              </w:rPr>
              <w:t>2027</w:t>
            </w:r>
          </w:p>
        </w:tc>
        <w:tc>
          <w:tcPr>
            <w:tcW w:w="816" w:type="dxa"/>
          </w:tcPr>
          <w:p>
            <w:pPr>
              <w:jc w:val="center"/>
              <w:rPr>
                <w:b/>
                <w:noProof/>
                <w:sz w:val="18"/>
              </w:rPr>
            </w:pPr>
            <w:r>
              <w:rPr>
                <w:b/>
                <w:noProof/>
                <w:sz w:val="18"/>
              </w:rPr>
              <w:t>Year 2028</w:t>
            </w:r>
          </w:p>
        </w:tc>
        <w:tc>
          <w:tcPr>
            <w:tcW w:w="821" w:type="dxa"/>
            <w:vAlign w:val="center"/>
          </w:tcPr>
          <w:p>
            <w:pPr>
              <w:jc w:val="center"/>
              <w:rPr>
                <w:b/>
                <w:noProof/>
                <w:sz w:val="18"/>
              </w:rPr>
            </w:pPr>
            <w:r>
              <w:rPr>
                <w:b/>
                <w:noProof/>
                <w:sz w:val="18"/>
              </w:rPr>
              <w:t>TO</w:t>
            </w:r>
            <w:r>
              <w:rPr>
                <w:b/>
                <w:noProof/>
                <w:sz w:val="18"/>
              </w:rPr>
              <w:br/>
              <w:t>TAL</w:t>
            </w:r>
          </w:p>
        </w:tc>
      </w:tr>
      <w:tr>
        <w:trPr>
          <w:trHeight w:val="213"/>
        </w:trPr>
        <w:tc>
          <w:tcPr>
            <w:tcW w:w="5950" w:type="dxa"/>
            <w:gridSpan w:val="4"/>
            <w:vAlign w:val="center"/>
          </w:tcPr>
          <w:p>
            <w:pPr>
              <w:spacing w:before="20" w:after="20"/>
              <w:rPr>
                <w:noProof/>
                <w:sz w:val="21"/>
              </w:rPr>
            </w:pPr>
            <w:r>
              <w:rPr>
                <w:noProof/>
                <w:sz w:val="21"/>
              </w:rPr>
              <w:sym w:font="Wingdings" w:char="F09F"/>
            </w:r>
            <w:r>
              <w:rPr>
                <w:noProof/>
                <w:sz w:val="21"/>
              </w:rPr>
              <w:t xml:space="preserve"> Operational appropriations </w:t>
            </w:r>
          </w:p>
        </w:tc>
        <w:tc>
          <w:tcPr>
            <w:tcW w:w="816" w:type="dxa"/>
            <w:vAlign w:val="center"/>
          </w:tcPr>
          <w:p>
            <w:pPr>
              <w:rPr>
                <w:noProof/>
                <w:sz w:val="20"/>
              </w:rPr>
            </w:pPr>
          </w:p>
        </w:tc>
        <w:tc>
          <w:tcPr>
            <w:tcW w:w="816" w:type="dxa"/>
            <w:vAlign w:val="center"/>
          </w:tcPr>
          <w:p>
            <w:pPr>
              <w:rPr>
                <w:noProof/>
                <w:sz w:val="20"/>
              </w:rPr>
            </w:pPr>
          </w:p>
        </w:tc>
        <w:tc>
          <w:tcPr>
            <w:tcW w:w="816" w:type="dxa"/>
            <w:vAlign w:val="center"/>
          </w:tcPr>
          <w:p>
            <w:pPr>
              <w:rPr>
                <w:noProof/>
                <w:sz w:val="20"/>
              </w:rPr>
            </w:pPr>
          </w:p>
        </w:tc>
        <w:tc>
          <w:tcPr>
            <w:tcW w:w="816" w:type="dxa"/>
            <w:vAlign w:val="center"/>
          </w:tcPr>
          <w:p>
            <w:pPr>
              <w:rPr>
                <w:noProof/>
                <w:sz w:val="20"/>
              </w:rPr>
            </w:pPr>
          </w:p>
        </w:tc>
        <w:tc>
          <w:tcPr>
            <w:tcW w:w="816" w:type="dxa"/>
            <w:vAlign w:val="center"/>
          </w:tcPr>
          <w:p>
            <w:pPr>
              <w:rPr>
                <w:noProof/>
                <w:sz w:val="20"/>
              </w:rPr>
            </w:pPr>
          </w:p>
        </w:tc>
        <w:tc>
          <w:tcPr>
            <w:tcW w:w="816" w:type="dxa"/>
            <w:vAlign w:val="center"/>
          </w:tcPr>
          <w:p>
            <w:pPr>
              <w:rPr>
                <w:noProof/>
                <w:sz w:val="20"/>
              </w:rPr>
            </w:pPr>
          </w:p>
        </w:tc>
        <w:tc>
          <w:tcPr>
            <w:tcW w:w="816" w:type="dxa"/>
            <w:vAlign w:val="center"/>
          </w:tcPr>
          <w:p>
            <w:pPr>
              <w:rPr>
                <w:b/>
                <w:noProof/>
                <w:sz w:val="20"/>
              </w:rPr>
            </w:pPr>
          </w:p>
        </w:tc>
        <w:tc>
          <w:tcPr>
            <w:tcW w:w="816" w:type="dxa"/>
          </w:tcPr>
          <w:p>
            <w:pPr>
              <w:jc w:val="center"/>
              <w:rPr>
                <w:b/>
                <w:noProof/>
                <w:sz w:val="20"/>
              </w:rPr>
            </w:pPr>
          </w:p>
        </w:tc>
        <w:tc>
          <w:tcPr>
            <w:tcW w:w="816" w:type="dxa"/>
          </w:tcPr>
          <w:p>
            <w:pPr>
              <w:jc w:val="center"/>
              <w:rPr>
                <w:b/>
                <w:noProof/>
                <w:sz w:val="20"/>
              </w:rPr>
            </w:pPr>
          </w:p>
        </w:tc>
        <w:tc>
          <w:tcPr>
            <w:tcW w:w="816" w:type="dxa"/>
          </w:tcPr>
          <w:p>
            <w:pPr>
              <w:rPr>
                <w:b/>
                <w:noProof/>
                <w:sz w:val="20"/>
              </w:rPr>
            </w:pPr>
          </w:p>
        </w:tc>
        <w:tc>
          <w:tcPr>
            <w:tcW w:w="821" w:type="dxa"/>
            <w:vAlign w:val="center"/>
          </w:tcPr>
          <w:p>
            <w:pPr>
              <w:rPr>
                <w:b/>
                <w:noProof/>
                <w:sz w:val="20"/>
              </w:rPr>
            </w:pPr>
          </w:p>
        </w:tc>
      </w:tr>
      <w:tr>
        <w:trPr>
          <w:trHeight w:val="213"/>
        </w:trPr>
        <w:tc>
          <w:tcPr>
            <w:tcW w:w="3967" w:type="dxa"/>
            <w:vMerge w:val="restart"/>
            <w:vAlign w:val="center"/>
          </w:tcPr>
          <w:p>
            <w:pPr>
              <w:spacing w:before="20" w:after="20"/>
              <w:rPr>
                <w:noProof/>
                <w:sz w:val="21"/>
              </w:rPr>
            </w:pPr>
            <w:r>
              <w:rPr>
                <w:noProof/>
                <w:sz w:val="20"/>
              </w:rPr>
              <w:t>18.02.01.03 – Smart Borders</w:t>
            </w:r>
          </w:p>
        </w:tc>
        <w:tc>
          <w:tcPr>
            <w:tcW w:w="1275" w:type="dxa"/>
            <w:vAlign w:val="center"/>
          </w:tcPr>
          <w:p>
            <w:pPr>
              <w:spacing w:before="20" w:after="20"/>
              <w:rPr>
                <w:noProof/>
                <w:sz w:val="21"/>
              </w:rPr>
            </w:pPr>
            <w:r>
              <w:rPr>
                <w:noProof/>
                <w:sz w:val="18"/>
              </w:rPr>
              <w:t>Commitments</w:t>
            </w:r>
          </w:p>
        </w:tc>
        <w:tc>
          <w:tcPr>
            <w:tcW w:w="708" w:type="dxa"/>
            <w:gridSpan w:val="2"/>
            <w:vAlign w:val="center"/>
          </w:tcPr>
          <w:p>
            <w:pPr>
              <w:spacing w:before="20" w:after="20"/>
              <w:rPr>
                <w:noProof/>
                <w:sz w:val="21"/>
              </w:rPr>
            </w:pPr>
            <w:r>
              <w:rPr>
                <w:noProof/>
                <w:sz w:val="14"/>
              </w:rPr>
              <w:t>(1)</w:t>
            </w:r>
          </w:p>
        </w:tc>
        <w:tc>
          <w:tcPr>
            <w:tcW w:w="816" w:type="dxa"/>
            <w:vAlign w:val="center"/>
          </w:tcPr>
          <w:p>
            <w:pPr>
              <w:jc w:val="right"/>
              <w:rPr>
                <w:noProof/>
                <w:sz w:val="20"/>
              </w:rPr>
            </w:pPr>
            <w:r>
              <w:rPr>
                <w:noProof/>
                <w:sz w:val="18"/>
              </w:rPr>
              <w:t>0</w:t>
            </w:r>
          </w:p>
        </w:tc>
        <w:tc>
          <w:tcPr>
            <w:tcW w:w="816" w:type="dxa"/>
            <w:vAlign w:val="center"/>
          </w:tcPr>
          <w:p>
            <w:pPr>
              <w:jc w:val="right"/>
              <w:rPr>
                <w:noProof/>
                <w:sz w:val="20"/>
              </w:rPr>
            </w:pPr>
            <w:r>
              <w:rPr>
                <w:noProof/>
                <w:sz w:val="18"/>
              </w:rPr>
              <w:t>0</w:t>
            </w:r>
          </w:p>
        </w:tc>
        <w:tc>
          <w:tcPr>
            <w:tcW w:w="816" w:type="dxa"/>
            <w:vAlign w:val="center"/>
          </w:tcPr>
          <w:p>
            <w:pPr>
              <w:jc w:val="right"/>
              <w:rPr>
                <w:noProof/>
                <w:sz w:val="20"/>
              </w:rPr>
            </w:pPr>
            <w:r>
              <w:rPr>
                <w:noProof/>
                <w:sz w:val="18"/>
              </w:rPr>
              <w:t>43,150</w:t>
            </w:r>
          </w:p>
        </w:tc>
        <w:tc>
          <w:tcPr>
            <w:tcW w:w="816" w:type="dxa"/>
            <w:vAlign w:val="center"/>
          </w:tcPr>
          <w:p>
            <w:pPr>
              <w:jc w:val="right"/>
              <w:rPr>
                <w:noProof/>
                <w:sz w:val="20"/>
              </w:rPr>
            </w:pPr>
            <w:r>
              <w:rPr>
                <w:noProof/>
                <w:sz w:val="18"/>
              </w:rPr>
              <w:t>48,150</w:t>
            </w:r>
          </w:p>
        </w:tc>
        <w:tc>
          <w:tcPr>
            <w:tcW w:w="816" w:type="dxa"/>
            <w:vAlign w:val="center"/>
          </w:tcPr>
          <w:p>
            <w:pPr>
              <w:jc w:val="right"/>
              <w:rPr>
                <w:noProof/>
                <w:sz w:val="20"/>
              </w:rPr>
            </w:pPr>
            <w:r>
              <w:rPr>
                <w:noProof/>
                <w:sz w:val="18"/>
              </w:rPr>
              <w:t>45,000</w:t>
            </w:r>
          </w:p>
        </w:tc>
        <w:tc>
          <w:tcPr>
            <w:tcW w:w="816" w:type="dxa"/>
            <w:vAlign w:val="center"/>
          </w:tcPr>
          <w:p>
            <w:pPr>
              <w:jc w:val="right"/>
              <w:rPr>
                <w:noProof/>
                <w:sz w:val="20"/>
              </w:rPr>
            </w:pPr>
            <w:r>
              <w:rPr>
                <w:noProof/>
                <w:sz w:val="20"/>
              </w:rPr>
              <w:t>0</w:t>
            </w:r>
          </w:p>
        </w:tc>
        <w:tc>
          <w:tcPr>
            <w:tcW w:w="816" w:type="dxa"/>
            <w:vAlign w:val="center"/>
          </w:tcPr>
          <w:p>
            <w:pPr>
              <w:jc w:val="right"/>
              <w:rPr>
                <w:b/>
                <w:noProof/>
                <w:sz w:val="20"/>
              </w:rPr>
            </w:pPr>
            <w:r>
              <w:rPr>
                <w:b/>
                <w:noProof/>
                <w:sz w:val="20"/>
              </w:rPr>
              <w:t>0</w:t>
            </w:r>
          </w:p>
        </w:tc>
        <w:tc>
          <w:tcPr>
            <w:tcW w:w="816" w:type="dxa"/>
          </w:tcPr>
          <w:p>
            <w:pPr>
              <w:jc w:val="right"/>
              <w:rPr>
                <w:b/>
                <w:noProof/>
                <w:sz w:val="20"/>
              </w:rPr>
            </w:pPr>
            <w:r>
              <w:rPr>
                <w:b/>
                <w:noProof/>
                <w:sz w:val="20"/>
              </w:rPr>
              <w:t>0</w:t>
            </w:r>
          </w:p>
        </w:tc>
        <w:tc>
          <w:tcPr>
            <w:tcW w:w="816" w:type="dxa"/>
          </w:tcPr>
          <w:p>
            <w:pPr>
              <w:jc w:val="right"/>
              <w:rPr>
                <w:b/>
                <w:noProof/>
                <w:sz w:val="20"/>
              </w:rPr>
            </w:pPr>
            <w:r>
              <w:rPr>
                <w:b/>
                <w:noProof/>
                <w:sz w:val="20"/>
              </w:rPr>
              <w:t>0</w:t>
            </w:r>
          </w:p>
        </w:tc>
        <w:tc>
          <w:tcPr>
            <w:tcW w:w="816" w:type="dxa"/>
          </w:tcPr>
          <w:p>
            <w:pPr>
              <w:jc w:val="right"/>
              <w:rPr>
                <w:b/>
                <w:noProof/>
                <w:sz w:val="20"/>
              </w:rPr>
            </w:pPr>
            <w:r>
              <w:rPr>
                <w:b/>
                <w:noProof/>
                <w:sz w:val="20"/>
              </w:rPr>
              <w:t>0</w:t>
            </w:r>
          </w:p>
        </w:tc>
        <w:tc>
          <w:tcPr>
            <w:tcW w:w="821" w:type="dxa"/>
            <w:vAlign w:val="center"/>
          </w:tcPr>
          <w:p>
            <w:pPr>
              <w:jc w:val="right"/>
              <w:rPr>
                <w:b/>
                <w:noProof/>
                <w:sz w:val="20"/>
              </w:rPr>
            </w:pPr>
            <w:r>
              <w:rPr>
                <w:b/>
                <w:noProof/>
                <w:sz w:val="18"/>
              </w:rPr>
              <w:t>136,300</w:t>
            </w:r>
          </w:p>
        </w:tc>
      </w:tr>
      <w:tr>
        <w:trPr>
          <w:trHeight w:val="213"/>
        </w:trPr>
        <w:tc>
          <w:tcPr>
            <w:tcW w:w="3967" w:type="dxa"/>
            <w:vMerge/>
            <w:vAlign w:val="center"/>
          </w:tcPr>
          <w:p>
            <w:pPr>
              <w:spacing w:before="20" w:after="20"/>
              <w:rPr>
                <w:noProof/>
                <w:sz w:val="20"/>
              </w:rPr>
            </w:pPr>
          </w:p>
        </w:tc>
        <w:tc>
          <w:tcPr>
            <w:tcW w:w="1275" w:type="dxa"/>
            <w:vAlign w:val="center"/>
          </w:tcPr>
          <w:p>
            <w:pPr>
              <w:spacing w:before="20" w:after="20"/>
              <w:rPr>
                <w:noProof/>
                <w:sz w:val="18"/>
              </w:rPr>
            </w:pPr>
            <w:r>
              <w:rPr>
                <w:noProof/>
                <w:sz w:val="18"/>
              </w:rPr>
              <w:t>Payments</w:t>
            </w:r>
          </w:p>
        </w:tc>
        <w:tc>
          <w:tcPr>
            <w:tcW w:w="708" w:type="dxa"/>
            <w:gridSpan w:val="2"/>
            <w:vAlign w:val="center"/>
          </w:tcPr>
          <w:p>
            <w:pPr>
              <w:spacing w:before="20" w:after="20"/>
              <w:rPr>
                <w:noProof/>
                <w:sz w:val="14"/>
              </w:rPr>
            </w:pPr>
            <w:r>
              <w:rPr>
                <w:noProof/>
                <w:sz w:val="14"/>
              </w:rPr>
              <w:t>(2.</w:t>
            </w:r>
          </w:p>
        </w:tc>
        <w:tc>
          <w:tcPr>
            <w:tcW w:w="816" w:type="dxa"/>
            <w:vAlign w:val="center"/>
          </w:tcPr>
          <w:p>
            <w:pPr>
              <w:jc w:val="right"/>
              <w:rPr>
                <w:noProof/>
                <w:sz w:val="18"/>
              </w:rPr>
            </w:pPr>
            <w:r>
              <w:rPr>
                <w:noProof/>
                <w:sz w:val="18"/>
              </w:rPr>
              <w:t>0</w:t>
            </w:r>
          </w:p>
        </w:tc>
        <w:tc>
          <w:tcPr>
            <w:tcW w:w="816" w:type="dxa"/>
            <w:vAlign w:val="center"/>
          </w:tcPr>
          <w:p>
            <w:pPr>
              <w:jc w:val="right"/>
              <w:rPr>
                <w:noProof/>
                <w:sz w:val="18"/>
              </w:rPr>
            </w:pPr>
            <w:r>
              <w:rPr>
                <w:noProof/>
                <w:sz w:val="18"/>
              </w:rPr>
              <w:t>0</w:t>
            </w:r>
          </w:p>
        </w:tc>
        <w:tc>
          <w:tcPr>
            <w:tcW w:w="816" w:type="dxa"/>
            <w:vAlign w:val="center"/>
          </w:tcPr>
          <w:p>
            <w:pPr>
              <w:jc w:val="right"/>
              <w:rPr>
                <w:noProof/>
                <w:sz w:val="18"/>
              </w:rPr>
            </w:pPr>
            <w:r>
              <w:rPr>
                <w:noProof/>
                <w:sz w:val="18"/>
              </w:rPr>
              <w:t>34,520</w:t>
            </w:r>
          </w:p>
        </w:tc>
        <w:tc>
          <w:tcPr>
            <w:tcW w:w="816" w:type="dxa"/>
            <w:vAlign w:val="center"/>
          </w:tcPr>
          <w:p>
            <w:pPr>
              <w:jc w:val="right"/>
              <w:rPr>
                <w:noProof/>
                <w:sz w:val="18"/>
              </w:rPr>
            </w:pPr>
            <w:r>
              <w:rPr>
                <w:noProof/>
                <w:sz w:val="18"/>
              </w:rPr>
              <w:t>47,150</w:t>
            </w:r>
          </w:p>
        </w:tc>
        <w:tc>
          <w:tcPr>
            <w:tcW w:w="816" w:type="dxa"/>
            <w:vAlign w:val="center"/>
          </w:tcPr>
          <w:p>
            <w:pPr>
              <w:jc w:val="right"/>
              <w:rPr>
                <w:noProof/>
                <w:sz w:val="18"/>
              </w:rPr>
            </w:pPr>
            <w:r>
              <w:rPr>
                <w:noProof/>
                <w:sz w:val="18"/>
              </w:rPr>
              <w:t>45,630</w:t>
            </w:r>
          </w:p>
        </w:tc>
        <w:tc>
          <w:tcPr>
            <w:tcW w:w="816" w:type="dxa"/>
            <w:vAlign w:val="center"/>
          </w:tcPr>
          <w:p>
            <w:pPr>
              <w:jc w:val="right"/>
              <w:rPr>
                <w:noProof/>
                <w:sz w:val="20"/>
              </w:rPr>
            </w:pPr>
            <w:r>
              <w:rPr>
                <w:noProof/>
                <w:sz w:val="20"/>
              </w:rPr>
              <w:t>9,000</w:t>
            </w:r>
          </w:p>
        </w:tc>
        <w:tc>
          <w:tcPr>
            <w:tcW w:w="816" w:type="dxa"/>
            <w:vAlign w:val="center"/>
          </w:tcPr>
          <w:p>
            <w:pPr>
              <w:jc w:val="right"/>
              <w:rPr>
                <w:b/>
                <w:noProof/>
                <w:sz w:val="20"/>
              </w:rPr>
            </w:pPr>
            <w:r>
              <w:rPr>
                <w:b/>
                <w:noProof/>
                <w:sz w:val="20"/>
              </w:rPr>
              <w:t>0</w:t>
            </w:r>
          </w:p>
        </w:tc>
        <w:tc>
          <w:tcPr>
            <w:tcW w:w="816" w:type="dxa"/>
          </w:tcPr>
          <w:p>
            <w:pPr>
              <w:jc w:val="right"/>
              <w:rPr>
                <w:b/>
                <w:noProof/>
                <w:sz w:val="20"/>
              </w:rPr>
            </w:pPr>
            <w:r>
              <w:rPr>
                <w:b/>
                <w:noProof/>
                <w:sz w:val="20"/>
              </w:rPr>
              <w:t>0</w:t>
            </w:r>
          </w:p>
        </w:tc>
        <w:tc>
          <w:tcPr>
            <w:tcW w:w="816" w:type="dxa"/>
          </w:tcPr>
          <w:p>
            <w:pPr>
              <w:jc w:val="right"/>
              <w:rPr>
                <w:b/>
                <w:noProof/>
                <w:sz w:val="20"/>
              </w:rPr>
            </w:pPr>
            <w:r>
              <w:rPr>
                <w:b/>
                <w:noProof/>
                <w:sz w:val="20"/>
              </w:rPr>
              <w:t>0</w:t>
            </w:r>
          </w:p>
        </w:tc>
        <w:tc>
          <w:tcPr>
            <w:tcW w:w="816" w:type="dxa"/>
          </w:tcPr>
          <w:p>
            <w:pPr>
              <w:jc w:val="right"/>
              <w:rPr>
                <w:b/>
                <w:noProof/>
                <w:sz w:val="20"/>
              </w:rPr>
            </w:pPr>
            <w:r>
              <w:rPr>
                <w:b/>
                <w:noProof/>
                <w:sz w:val="20"/>
              </w:rPr>
              <w:t>0</w:t>
            </w:r>
          </w:p>
        </w:tc>
        <w:tc>
          <w:tcPr>
            <w:tcW w:w="821" w:type="dxa"/>
            <w:vAlign w:val="center"/>
          </w:tcPr>
          <w:p>
            <w:pPr>
              <w:jc w:val="right"/>
              <w:rPr>
                <w:b/>
                <w:noProof/>
                <w:sz w:val="18"/>
              </w:rPr>
            </w:pPr>
            <w:r>
              <w:rPr>
                <w:noProof/>
                <w:sz w:val="18"/>
              </w:rPr>
              <w:t>136,300</w:t>
            </w:r>
          </w:p>
        </w:tc>
      </w:tr>
      <w:tr>
        <w:trPr>
          <w:trHeight w:val="231"/>
        </w:trPr>
        <w:tc>
          <w:tcPr>
            <w:tcW w:w="5950" w:type="dxa"/>
            <w:gridSpan w:val="4"/>
            <w:vAlign w:val="center"/>
          </w:tcPr>
          <w:p>
            <w:pPr>
              <w:spacing w:before="20" w:after="20"/>
              <w:jc w:val="left"/>
              <w:rPr>
                <w:noProof/>
              </w:rPr>
            </w:pPr>
            <w:r>
              <w:rPr>
                <w:noProof/>
                <w:sz w:val="21"/>
              </w:rPr>
              <w:t>Appropriations of an administrative nature financed from the envelope of specific programmes</w:t>
            </w:r>
            <w:r>
              <w:rPr>
                <w:rStyle w:val="FootnoteReference"/>
                <w:noProof/>
                <w:sz w:val="21"/>
              </w:rPr>
              <w:footnoteReference w:id="87"/>
            </w:r>
            <w:r>
              <w:rPr>
                <w:noProof/>
                <w:sz w:val="21"/>
              </w:rPr>
              <w:t xml:space="preserve"> </w:t>
            </w:r>
          </w:p>
          <w:p>
            <w:pPr>
              <w:spacing w:before="0" w:after="0"/>
              <w:rPr>
                <w:noProof/>
              </w:rPr>
            </w:pPr>
          </w:p>
        </w:tc>
        <w:tc>
          <w:tcPr>
            <w:tcW w:w="816" w:type="dxa"/>
            <w:vAlign w:val="center"/>
          </w:tcPr>
          <w:p>
            <w:pPr>
              <w:rPr>
                <w:b/>
                <w:noProof/>
                <w:sz w:val="18"/>
              </w:rPr>
            </w:pPr>
          </w:p>
        </w:tc>
        <w:tc>
          <w:tcPr>
            <w:tcW w:w="816" w:type="dxa"/>
            <w:vAlign w:val="center"/>
          </w:tcPr>
          <w:p>
            <w:pPr>
              <w:rPr>
                <w:b/>
                <w:noProof/>
                <w:sz w:val="18"/>
              </w:rPr>
            </w:pPr>
          </w:p>
        </w:tc>
        <w:tc>
          <w:tcPr>
            <w:tcW w:w="816" w:type="dxa"/>
            <w:vAlign w:val="center"/>
          </w:tcPr>
          <w:p>
            <w:pPr>
              <w:rPr>
                <w:b/>
                <w:noProof/>
                <w:sz w:val="18"/>
              </w:rPr>
            </w:pPr>
          </w:p>
        </w:tc>
        <w:tc>
          <w:tcPr>
            <w:tcW w:w="816" w:type="dxa"/>
            <w:vAlign w:val="center"/>
          </w:tcPr>
          <w:p>
            <w:pPr>
              <w:rPr>
                <w:b/>
                <w:noProof/>
                <w:sz w:val="18"/>
              </w:rPr>
            </w:pPr>
          </w:p>
        </w:tc>
        <w:tc>
          <w:tcPr>
            <w:tcW w:w="816" w:type="dxa"/>
            <w:vAlign w:val="center"/>
          </w:tcPr>
          <w:p>
            <w:pPr>
              <w:rPr>
                <w:b/>
                <w:noProof/>
                <w:sz w:val="18"/>
              </w:rPr>
            </w:pPr>
          </w:p>
        </w:tc>
        <w:tc>
          <w:tcPr>
            <w:tcW w:w="816" w:type="dxa"/>
            <w:vAlign w:val="center"/>
          </w:tcPr>
          <w:p>
            <w:pPr>
              <w:rPr>
                <w:b/>
                <w:noProof/>
                <w:sz w:val="18"/>
              </w:rPr>
            </w:pPr>
          </w:p>
        </w:tc>
        <w:tc>
          <w:tcPr>
            <w:tcW w:w="816" w:type="dxa"/>
            <w:vAlign w:val="center"/>
          </w:tcPr>
          <w:p>
            <w:pPr>
              <w:rPr>
                <w:b/>
                <w:noProof/>
                <w:sz w:val="18"/>
              </w:rPr>
            </w:pPr>
          </w:p>
        </w:tc>
        <w:tc>
          <w:tcPr>
            <w:tcW w:w="816" w:type="dxa"/>
          </w:tcPr>
          <w:p>
            <w:pPr>
              <w:rPr>
                <w:b/>
                <w:noProof/>
                <w:sz w:val="18"/>
              </w:rPr>
            </w:pPr>
          </w:p>
        </w:tc>
        <w:tc>
          <w:tcPr>
            <w:tcW w:w="816" w:type="dxa"/>
          </w:tcPr>
          <w:p>
            <w:pPr>
              <w:rPr>
                <w:b/>
                <w:noProof/>
                <w:sz w:val="18"/>
              </w:rPr>
            </w:pPr>
          </w:p>
        </w:tc>
        <w:tc>
          <w:tcPr>
            <w:tcW w:w="816" w:type="dxa"/>
          </w:tcPr>
          <w:p>
            <w:pPr>
              <w:rPr>
                <w:b/>
                <w:noProof/>
                <w:sz w:val="18"/>
              </w:rPr>
            </w:pPr>
          </w:p>
        </w:tc>
        <w:tc>
          <w:tcPr>
            <w:tcW w:w="821" w:type="dxa"/>
            <w:vAlign w:val="center"/>
          </w:tcPr>
          <w:p>
            <w:pPr>
              <w:rPr>
                <w:b/>
                <w:noProof/>
                <w:sz w:val="18"/>
              </w:rPr>
            </w:pPr>
          </w:p>
        </w:tc>
      </w:tr>
      <w:tr>
        <w:trPr>
          <w:trHeight w:val="319"/>
        </w:trPr>
        <w:tc>
          <w:tcPr>
            <w:tcW w:w="3967" w:type="dxa"/>
            <w:vAlign w:val="center"/>
          </w:tcPr>
          <w:p>
            <w:pPr>
              <w:spacing w:before="60" w:after="60"/>
              <w:rPr>
                <w:noProof/>
              </w:rPr>
            </w:pPr>
            <w:r>
              <w:rPr>
                <w:noProof/>
                <w:sz w:val="20"/>
              </w:rPr>
              <w:t>Number of budget line</w:t>
            </w:r>
          </w:p>
        </w:tc>
        <w:tc>
          <w:tcPr>
            <w:tcW w:w="1278" w:type="dxa"/>
            <w:vAlign w:val="center"/>
          </w:tcPr>
          <w:p>
            <w:pPr>
              <w:spacing w:before="40" w:after="40"/>
              <w:jc w:val="right"/>
              <w:rPr>
                <w:noProof/>
                <w:sz w:val="18"/>
              </w:rPr>
            </w:pPr>
          </w:p>
        </w:tc>
        <w:tc>
          <w:tcPr>
            <w:tcW w:w="705" w:type="dxa"/>
            <w:gridSpan w:val="2"/>
            <w:vAlign w:val="center"/>
          </w:tcPr>
          <w:p>
            <w:pPr>
              <w:spacing w:before="40" w:after="40"/>
              <w:jc w:val="center"/>
              <w:rPr>
                <w:noProof/>
                <w:sz w:val="14"/>
              </w:rPr>
            </w:pPr>
            <w:r>
              <w:rPr>
                <w:noProof/>
                <w:sz w:val="14"/>
              </w:rPr>
              <w:t>(3)</w:t>
            </w:r>
          </w:p>
        </w:tc>
        <w:tc>
          <w:tcPr>
            <w:tcW w:w="816" w:type="dxa"/>
            <w:vAlign w:val="center"/>
          </w:tcPr>
          <w:p>
            <w:pPr>
              <w:spacing w:before="40" w:after="40"/>
              <w:jc w:val="right"/>
              <w:rPr>
                <w:b/>
                <w:noProof/>
                <w:sz w:val="18"/>
              </w:rPr>
            </w:pPr>
          </w:p>
        </w:tc>
        <w:tc>
          <w:tcPr>
            <w:tcW w:w="816" w:type="dxa"/>
            <w:vAlign w:val="center"/>
          </w:tcPr>
          <w:p>
            <w:pPr>
              <w:spacing w:before="40" w:after="40"/>
              <w:jc w:val="right"/>
              <w:rPr>
                <w:b/>
                <w:noProof/>
                <w:sz w:val="18"/>
              </w:rPr>
            </w:pPr>
          </w:p>
        </w:tc>
        <w:tc>
          <w:tcPr>
            <w:tcW w:w="816" w:type="dxa"/>
            <w:vAlign w:val="center"/>
          </w:tcPr>
          <w:p>
            <w:pPr>
              <w:spacing w:before="40" w:after="40"/>
              <w:jc w:val="right"/>
              <w:rPr>
                <w:b/>
                <w:noProof/>
                <w:sz w:val="18"/>
              </w:rPr>
            </w:pPr>
          </w:p>
        </w:tc>
        <w:tc>
          <w:tcPr>
            <w:tcW w:w="816" w:type="dxa"/>
            <w:vAlign w:val="center"/>
          </w:tcPr>
          <w:p>
            <w:pPr>
              <w:spacing w:before="40" w:after="40"/>
              <w:jc w:val="right"/>
              <w:rPr>
                <w:b/>
                <w:noProof/>
                <w:sz w:val="18"/>
              </w:rPr>
            </w:pPr>
          </w:p>
        </w:tc>
        <w:tc>
          <w:tcPr>
            <w:tcW w:w="816" w:type="dxa"/>
            <w:vAlign w:val="center"/>
          </w:tcPr>
          <w:p>
            <w:pPr>
              <w:spacing w:before="40" w:after="40"/>
              <w:jc w:val="right"/>
              <w:rPr>
                <w:b/>
                <w:noProof/>
                <w:sz w:val="18"/>
              </w:rPr>
            </w:pPr>
          </w:p>
        </w:tc>
        <w:tc>
          <w:tcPr>
            <w:tcW w:w="816" w:type="dxa"/>
            <w:vAlign w:val="center"/>
          </w:tcPr>
          <w:p>
            <w:pPr>
              <w:spacing w:before="40" w:after="40"/>
              <w:jc w:val="right"/>
              <w:rPr>
                <w:b/>
                <w:noProof/>
                <w:sz w:val="18"/>
              </w:rPr>
            </w:pPr>
          </w:p>
        </w:tc>
        <w:tc>
          <w:tcPr>
            <w:tcW w:w="816" w:type="dxa"/>
            <w:vAlign w:val="center"/>
          </w:tcPr>
          <w:p>
            <w:pPr>
              <w:spacing w:before="40" w:after="40"/>
              <w:jc w:val="right"/>
              <w:rPr>
                <w:b/>
                <w:noProof/>
                <w:sz w:val="18"/>
              </w:rPr>
            </w:pPr>
          </w:p>
        </w:tc>
        <w:tc>
          <w:tcPr>
            <w:tcW w:w="816" w:type="dxa"/>
          </w:tcPr>
          <w:p>
            <w:pPr>
              <w:spacing w:before="40" w:after="40"/>
              <w:jc w:val="right"/>
              <w:rPr>
                <w:b/>
                <w:noProof/>
                <w:sz w:val="18"/>
              </w:rPr>
            </w:pPr>
          </w:p>
        </w:tc>
        <w:tc>
          <w:tcPr>
            <w:tcW w:w="816" w:type="dxa"/>
          </w:tcPr>
          <w:p>
            <w:pPr>
              <w:spacing w:before="40" w:after="40"/>
              <w:jc w:val="right"/>
              <w:rPr>
                <w:b/>
                <w:noProof/>
                <w:sz w:val="18"/>
              </w:rPr>
            </w:pPr>
          </w:p>
        </w:tc>
        <w:tc>
          <w:tcPr>
            <w:tcW w:w="816" w:type="dxa"/>
          </w:tcPr>
          <w:p>
            <w:pPr>
              <w:spacing w:before="40" w:after="40"/>
              <w:jc w:val="right"/>
              <w:rPr>
                <w:b/>
                <w:noProof/>
                <w:sz w:val="18"/>
              </w:rPr>
            </w:pPr>
          </w:p>
        </w:tc>
        <w:tc>
          <w:tcPr>
            <w:tcW w:w="821" w:type="dxa"/>
            <w:vAlign w:val="center"/>
          </w:tcPr>
          <w:p>
            <w:pPr>
              <w:spacing w:before="40" w:after="40"/>
              <w:jc w:val="right"/>
              <w:rPr>
                <w:b/>
                <w:noProof/>
                <w:sz w:val="18"/>
              </w:rPr>
            </w:pPr>
          </w:p>
        </w:tc>
      </w:tr>
      <w:tr>
        <w:trPr>
          <w:trHeight w:val="213"/>
        </w:trPr>
        <w:tc>
          <w:tcPr>
            <w:tcW w:w="3967" w:type="dxa"/>
            <w:vMerge w:val="restart"/>
            <w:vAlign w:val="center"/>
          </w:tcPr>
          <w:p>
            <w:pPr>
              <w:spacing w:before="20" w:after="20"/>
              <w:rPr>
                <w:noProof/>
                <w:sz w:val="21"/>
              </w:rPr>
            </w:pPr>
            <w:r>
              <w:rPr>
                <w:b/>
                <w:noProof/>
                <w:sz w:val="22"/>
              </w:rPr>
              <w:t xml:space="preserve">TOTAL appropriations for DG </w:t>
            </w:r>
            <w:r>
              <w:rPr>
                <w:noProof/>
                <w:sz w:val="22"/>
              </w:rPr>
              <w:t>Home</w:t>
            </w:r>
          </w:p>
        </w:tc>
        <w:tc>
          <w:tcPr>
            <w:tcW w:w="1275" w:type="dxa"/>
            <w:vAlign w:val="center"/>
          </w:tcPr>
          <w:p>
            <w:pPr>
              <w:spacing w:before="20" w:after="20"/>
              <w:rPr>
                <w:noProof/>
                <w:sz w:val="21"/>
              </w:rPr>
            </w:pPr>
            <w:r>
              <w:rPr>
                <w:noProof/>
                <w:sz w:val="18"/>
              </w:rPr>
              <w:t>Commitments</w:t>
            </w:r>
          </w:p>
        </w:tc>
        <w:tc>
          <w:tcPr>
            <w:tcW w:w="708" w:type="dxa"/>
            <w:gridSpan w:val="2"/>
            <w:vAlign w:val="center"/>
          </w:tcPr>
          <w:p>
            <w:pPr>
              <w:spacing w:before="20" w:after="20"/>
              <w:rPr>
                <w:noProof/>
                <w:sz w:val="21"/>
              </w:rPr>
            </w:pPr>
            <w:r>
              <w:rPr>
                <w:noProof/>
                <w:sz w:val="14"/>
              </w:rPr>
              <w:t>=1+1a +3)</w:t>
            </w:r>
          </w:p>
        </w:tc>
        <w:tc>
          <w:tcPr>
            <w:tcW w:w="816" w:type="dxa"/>
            <w:vAlign w:val="center"/>
          </w:tcPr>
          <w:p>
            <w:pPr>
              <w:jc w:val="right"/>
              <w:rPr>
                <w:noProof/>
                <w:sz w:val="20"/>
              </w:rPr>
            </w:pPr>
            <w:r>
              <w:rPr>
                <w:noProof/>
                <w:sz w:val="18"/>
              </w:rPr>
              <w:t>0</w:t>
            </w:r>
          </w:p>
        </w:tc>
        <w:tc>
          <w:tcPr>
            <w:tcW w:w="816" w:type="dxa"/>
            <w:vAlign w:val="center"/>
          </w:tcPr>
          <w:p>
            <w:pPr>
              <w:jc w:val="right"/>
              <w:rPr>
                <w:noProof/>
                <w:sz w:val="20"/>
              </w:rPr>
            </w:pPr>
            <w:r>
              <w:rPr>
                <w:noProof/>
                <w:sz w:val="18"/>
              </w:rPr>
              <w:t>0</w:t>
            </w:r>
          </w:p>
        </w:tc>
        <w:tc>
          <w:tcPr>
            <w:tcW w:w="816" w:type="dxa"/>
            <w:vAlign w:val="center"/>
          </w:tcPr>
          <w:p>
            <w:pPr>
              <w:jc w:val="right"/>
              <w:rPr>
                <w:noProof/>
                <w:sz w:val="20"/>
              </w:rPr>
            </w:pPr>
            <w:r>
              <w:rPr>
                <w:noProof/>
                <w:sz w:val="18"/>
              </w:rPr>
              <w:t>43,150</w:t>
            </w:r>
          </w:p>
        </w:tc>
        <w:tc>
          <w:tcPr>
            <w:tcW w:w="816" w:type="dxa"/>
            <w:vAlign w:val="center"/>
          </w:tcPr>
          <w:p>
            <w:pPr>
              <w:jc w:val="right"/>
              <w:rPr>
                <w:noProof/>
                <w:sz w:val="20"/>
              </w:rPr>
            </w:pPr>
            <w:r>
              <w:rPr>
                <w:noProof/>
                <w:sz w:val="18"/>
              </w:rPr>
              <w:t>48,150</w:t>
            </w:r>
          </w:p>
        </w:tc>
        <w:tc>
          <w:tcPr>
            <w:tcW w:w="816" w:type="dxa"/>
            <w:vAlign w:val="center"/>
          </w:tcPr>
          <w:p>
            <w:pPr>
              <w:jc w:val="right"/>
              <w:rPr>
                <w:noProof/>
                <w:sz w:val="20"/>
              </w:rPr>
            </w:pPr>
            <w:r>
              <w:rPr>
                <w:noProof/>
                <w:sz w:val="18"/>
              </w:rPr>
              <w:t>45,000</w:t>
            </w:r>
          </w:p>
        </w:tc>
        <w:tc>
          <w:tcPr>
            <w:tcW w:w="816" w:type="dxa"/>
            <w:vAlign w:val="center"/>
          </w:tcPr>
          <w:p>
            <w:pPr>
              <w:jc w:val="right"/>
              <w:rPr>
                <w:noProof/>
                <w:sz w:val="20"/>
              </w:rPr>
            </w:pPr>
            <w:r>
              <w:rPr>
                <w:noProof/>
                <w:sz w:val="20"/>
              </w:rPr>
              <w:t>0</w:t>
            </w:r>
          </w:p>
        </w:tc>
        <w:tc>
          <w:tcPr>
            <w:tcW w:w="816" w:type="dxa"/>
            <w:vAlign w:val="center"/>
          </w:tcPr>
          <w:p>
            <w:pPr>
              <w:jc w:val="right"/>
              <w:rPr>
                <w:b/>
                <w:noProof/>
                <w:sz w:val="20"/>
              </w:rPr>
            </w:pPr>
            <w:r>
              <w:rPr>
                <w:b/>
                <w:noProof/>
                <w:sz w:val="20"/>
              </w:rPr>
              <w:t>0</w:t>
            </w:r>
          </w:p>
        </w:tc>
        <w:tc>
          <w:tcPr>
            <w:tcW w:w="816" w:type="dxa"/>
          </w:tcPr>
          <w:p>
            <w:pPr>
              <w:jc w:val="right"/>
              <w:rPr>
                <w:b/>
                <w:noProof/>
                <w:sz w:val="20"/>
              </w:rPr>
            </w:pPr>
            <w:r>
              <w:rPr>
                <w:b/>
                <w:noProof/>
                <w:sz w:val="20"/>
              </w:rPr>
              <w:t>0</w:t>
            </w:r>
          </w:p>
        </w:tc>
        <w:tc>
          <w:tcPr>
            <w:tcW w:w="816" w:type="dxa"/>
          </w:tcPr>
          <w:p>
            <w:pPr>
              <w:jc w:val="right"/>
              <w:rPr>
                <w:b/>
                <w:noProof/>
                <w:sz w:val="20"/>
              </w:rPr>
            </w:pPr>
            <w:r>
              <w:rPr>
                <w:b/>
                <w:noProof/>
                <w:sz w:val="20"/>
              </w:rPr>
              <w:t>0</w:t>
            </w:r>
          </w:p>
        </w:tc>
        <w:tc>
          <w:tcPr>
            <w:tcW w:w="816" w:type="dxa"/>
          </w:tcPr>
          <w:p>
            <w:pPr>
              <w:jc w:val="right"/>
              <w:rPr>
                <w:b/>
                <w:noProof/>
                <w:sz w:val="20"/>
              </w:rPr>
            </w:pPr>
            <w:r>
              <w:rPr>
                <w:b/>
                <w:noProof/>
                <w:sz w:val="20"/>
              </w:rPr>
              <w:t>0</w:t>
            </w:r>
          </w:p>
        </w:tc>
        <w:tc>
          <w:tcPr>
            <w:tcW w:w="821" w:type="dxa"/>
            <w:vAlign w:val="center"/>
          </w:tcPr>
          <w:p>
            <w:pPr>
              <w:jc w:val="right"/>
              <w:rPr>
                <w:b/>
                <w:noProof/>
                <w:sz w:val="20"/>
              </w:rPr>
            </w:pPr>
            <w:r>
              <w:rPr>
                <w:b/>
                <w:noProof/>
                <w:sz w:val="18"/>
              </w:rPr>
              <w:t>136,300</w:t>
            </w:r>
          </w:p>
        </w:tc>
      </w:tr>
      <w:tr>
        <w:trPr>
          <w:trHeight w:val="213"/>
        </w:trPr>
        <w:tc>
          <w:tcPr>
            <w:tcW w:w="3967" w:type="dxa"/>
            <w:vMerge/>
            <w:vAlign w:val="center"/>
          </w:tcPr>
          <w:p>
            <w:pPr>
              <w:spacing w:before="20" w:after="20"/>
              <w:rPr>
                <w:noProof/>
                <w:sz w:val="20"/>
              </w:rPr>
            </w:pPr>
          </w:p>
        </w:tc>
        <w:tc>
          <w:tcPr>
            <w:tcW w:w="1275" w:type="dxa"/>
            <w:vAlign w:val="center"/>
          </w:tcPr>
          <w:p>
            <w:pPr>
              <w:spacing w:before="20" w:after="20"/>
              <w:rPr>
                <w:noProof/>
                <w:sz w:val="18"/>
              </w:rPr>
            </w:pPr>
            <w:r>
              <w:rPr>
                <w:noProof/>
                <w:sz w:val="18"/>
              </w:rPr>
              <w:t xml:space="preserve">Payments </w:t>
            </w:r>
          </w:p>
        </w:tc>
        <w:tc>
          <w:tcPr>
            <w:tcW w:w="708" w:type="dxa"/>
            <w:gridSpan w:val="2"/>
            <w:vAlign w:val="center"/>
          </w:tcPr>
          <w:p>
            <w:pPr>
              <w:spacing w:before="20" w:after="20"/>
              <w:rPr>
                <w:noProof/>
                <w:sz w:val="14"/>
              </w:rPr>
            </w:pPr>
            <w:r>
              <w:rPr>
                <w:noProof/>
                <w:sz w:val="14"/>
              </w:rPr>
              <w:t>=2+2a</w:t>
            </w:r>
          </w:p>
          <w:p>
            <w:pPr>
              <w:spacing w:before="20" w:after="20"/>
              <w:rPr>
                <w:noProof/>
                <w:sz w:val="14"/>
              </w:rPr>
            </w:pPr>
            <w:r>
              <w:rPr>
                <w:noProof/>
                <w:sz w:val="14"/>
              </w:rPr>
              <w:t>+3</w:t>
            </w:r>
          </w:p>
        </w:tc>
        <w:tc>
          <w:tcPr>
            <w:tcW w:w="816" w:type="dxa"/>
            <w:vAlign w:val="center"/>
          </w:tcPr>
          <w:p>
            <w:pPr>
              <w:jc w:val="right"/>
              <w:rPr>
                <w:noProof/>
                <w:sz w:val="18"/>
              </w:rPr>
            </w:pPr>
            <w:r>
              <w:rPr>
                <w:noProof/>
                <w:sz w:val="18"/>
              </w:rPr>
              <w:t>0</w:t>
            </w:r>
          </w:p>
        </w:tc>
        <w:tc>
          <w:tcPr>
            <w:tcW w:w="816" w:type="dxa"/>
            <w:vAlign w:val="center"/>
          </w:tcPr>
          <w:p>
            <w:pPr>
              <w:jc w:val="right"/>
              <w:rPr>
                <w:noProof/>
                <w:sz w:val="18"/>
              </w:rPr>
            </w:pPr>
            <w:r>
              <w:rPr>
                <w:noProof/>
                <w:sz w:val="18"/>
              </w:rPr>
              <w:t>0</w:t>
            </w:r>
          </w:p>
        </w:tc>
        <w:tc>
          <w:tcPr>
            <w:tcW w:w="816" w:type="dxa"/>
            <w:vAlign w:val="center"/>
          </w:tcPr>
          <w:p>
            <w:pPr>
              <w:jc w:val="right"/>
              <w:rPr>
                <w:noProof/>
                <w:sz w:val="18"/>
              </w:rPr>
            </w:pPr>
            <w:r>
              <w:rPr>
                <w:noProof/>
                <w:sz w:val="18"/>
              </w:rPr>
              <w:t>34,520</w:t>
            </w:r>
          </w:p>
        </w:tc>
        <w:tc>
          <w:tcPr>
            <w:tcW w:w="816" w:type="dxa"/>
            <w:vAlign w:val="center"/>
          </w:tcPr>
          <w:p>
            <w:pPr>
              <w:jc w:val="right"/>
              <w:rPr>
                <w:noProof/>
                <w:sz w:val="18"/>
              </w:rPr>
            </w:pPr>
            <w:r>
              <w:rPr>
                <w:noProof/>
                <w:sz w:val="18"/>
              </w:rPr>
              <w:t>47,150</w:t>
            </w:r>
          </w:p>
        </w:tc>
        <w:tc>
          <w:tcPr>
            <w:tcW w:w="816" w:type="dxa"/>
            <w:vAlign w:val="center"/>
          </w:tcPr>
          <w:p>
            <w:pPr>
              <w:jc w:val="right"/>
              <w:rPr>
                <w:noProof/>
                <w:sz w:val="18"/>
              </w:rPr>
            </w:pPr>
            <w:r>
              <w:rPr>
                <w:noProof/>
                <w:sz w:val="18"/>
              </w:rPr>
              <w:t>45,630</w:t>
            </w:r>
          </w:p>
        </w:tc>
        <w:tc>
          <w:tcPr>
            <w:tcW w:w="816" w:type="dxa"/>
            <w:vAlign w:val="center"/>
          </w:tcPr>
          <w:p>
            <w:pPr>
              <w:jc w:val="right"/>
              <w:rPr>
                <w:noProof/>
                <w:sz w:val="20"/>
              </w:rPr>
            </w:pPr>
            <w:r>
              <w:rPr>
                <w:noProof/>
                <w:sz w:val="18"/>
              </w:rPr>
              <w:t>9,000</w:t>
            </w:r>
          </w:p>
        </w:tc>
        <w:tc>
          <w:tcPr>
            <w:tcW w:w="816" w:type="dxa"/>
            <w:vAlign w:val="center"/>
          </w:tcPr>
          <w:p>
            <w:pPr>
              <w:jc w:val="right"/>
              <w:rPr>
                <w:b/>
                <w:noProof/>
                <w:sz w:val="20"/>
              </w:rPr>
            </w:pPr>
            <w:r>
              <w:rPr>
                <w:b/>
                <w:noProof/>
                <w:sz w:val="20"/>
              </w:rPr>
              <w:t>0</w:t>
            </w:r>
          </w:p>
        </w:tc>
        <w:tc>
          <w:tcPr>
            <w:tcW w:w="816" w:type="dxa"/>
          </w:tcPr>
          <w:p>
            <w:pPr>
              <w:jc w:val="right"/>
              <w:rPr>
                <w:b/>
                <w:noProof/>
                <w:sz w:val="20"/>
              </w:rPr>
            </w:pPr>
            <w:r>
              <w:rPr>
                <w:b/>
                <w:noProof/>
                <w:sz w:val="20"/>
              </w:rPr>
              <w:t>0</w:t>
            </w:r>
          </w:p>
        </w:tc>
        <w:tc>
          <w:tcPr>
            <w:tcW w:w="816" w:type="dxa"/>
          </w:tcPr>
          <w:p>
            <w:pPr>
              <w:jc w:val="right"/>
              <w:rPr>
                <w:b/>
                <w:noProof/>
                <w:sz w:val="20"/>
              </w:rPr>
            </w:pPr>
            <w:r>
              <w:rPr>
                <w:b/>
                <w:noProof/>
                <w:sz w:val="20"/>
              </w:rPr>
              <w:t>0</w:t>
            </w:r>
          </w:p>
        </w:tc>
        <w:tc>
          <w:tcPr>
            <w:tcW w:w="816" w:type="dxa"/>
          </w:tcPr>
          <w:p>
            <w:pPr>
              <w:jc w:val="right"/>
              <w:rPr>
                <w:b/>
                <w:noProof/>
                <w:sz w:val="20"/>
              </w:rPr>
            </w:pPr>
            <w:r>
              <w:rPr>
                <w:b/>
                <w:noProof/>
                <w:sz w:val="20"/>
              </w:rPr>
              <w:t>0</w:t>
            </w:r>
          </w:p>
        </w:tc>
        <w:tc>
          <w:tcPr>
            <w:tcW w:w="821" w:type="dxa"/>
            <w:vAlign w:val="center"/>
          </w:tcPr>
          <w:p>
            <w:pPr>
              <w:jc w:val="right"/>
              <w:rPr>
                <w:b/>
                <w:noProof/>
                <w:sz w:val="18"/>
              </w:rPr>
            </w:pPr>
            <w:r>
              <w:rPr>
                <w:noProof/>
                <w:sz w:val="18"/>
              </w:rPr>
              <w:t>136,300</w:t>
            </w:r>
          </w:p>
        </w:tc>
      </w:tr>
    </w:tbl>
    <w:p>
      <w:pPr>
        <w:rPr>
          <w:noProof/>
        </w:rPr>
      </w:pPr>
      <w:r>
        <w:rPr>
          <w:noProof/>
        </w:rPr>
        <w:t>The expenditures will cover costs related to:</w:t>
      </w:r>
    </w:p>
    <w:p>
      <w:pPr>
        <w:pStyle w:val="ListDash"/>
        <w:rPr>
          <w:noProof/>
        </w:rPr>
      </w:pPr>
      <w:r>
        <w:rPr>
          <w:noProof/>
        </w:rPr>
        <w:t>The cost for adapting the NUI (national uniform interface) whose development is financed under the EES proposal, a budgeted amount for the changes to the systems in the Member States in order to take into account the modifications of the central systems and a budgeted amount for end-user training.</w:t>
      </w:r>
    </w:p>
    <w:p>
      <w:pPr>
        <w:rPr>
          <w:noProof/>
        </w:rPr>
      </w:pPr>
    </w:p>
    <w:tbl>
      <w:tblPr>
        <w:tblW w:w="13827"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70"/>
        <w:gridCol w:w="1357"/>
        <w:gridCol w:w="801"/>
        <w:gridCol w:w="801"/>
        <w:gridCol w:w="788"/>
        <w:gridCol w:w="840"/>
        <w:gridCol w:w="840"/>
        <w:gridCol w:w="840"/>
        <w:gridCol w:w="840"/>
        <w:gridCol w:w="840"/>
        <w:gridCol w:w="839"/>
        <w:gridCol w:w="801"/>
        <w:gridCol w:w="1470"/>
      </w:tblGrid>
      <w:tr>
        <w:trPr>
          <w:trHeight w:val="687"/>
        </w:trPr>
        <w:tc>
          <w:tcPr>
            <w:tcW w:w="2770" w:type="dxa"/>
            <w:vAlign w:val="center"/>
          </w:tcPr>
          <w:p>
            <w:pPr>
              <w:jc w:val="center"/>
              <w:rPr>
                <w:b/>
                <w:noProof/>
              </w:rPr>
            </w:pPr>
            <w:r>
              <w:rPr>
                <w:b/>
                <w:noProof/>
                <w:sz w:val="22"/>
              </w:rPr>
              <w:t>18.0203 – EBCG</w:t>
            </w:r>
          </w:p>
        </w:tc>
        <w:tc>
          <w:tcPr>
            <w:tcW w:w="1357" w:type="dxa"/>
          </w:tcPr>
          <w:p>
            <w:pPr>
              <w:rPr>
                <w:noProof/>
                <w:sz w:val="20"/>
              </w:rPr>
            </w:pPr>
          </w:p>
        </w:tc>
        <w:tc>
          <w:tcPr>
            <w:tcW w:w="801" w:type="dxa"/>
          </w:tcPr>
          <w:p>
            <w:pPr>
              <w:jc w:val="center"/>
              <w:rPr>
                <w:noProof/>
                <w:sz w:val="20"/>
              </w:rPr>
            </w:pPr>
          </w:p>
        </w:tc>
        <w:tc>
          <w:tcPr>
            <w:tcW w:w="801" w:type="dxa"/>
            <w:vAlign w:val="center"/>
          </w:tcPr>
          <w:p>
            <w:pPr>
              <w:jc w:val="center"/>
              <w:rPr>
                <w:noProof/>
                <w:sz w:val="20"/>
              </w:rPr>
            </w:pPr>
            <w:r>
              <w:rPr>
                <w:noProof/>
                <w:sz w:val="20"/>
              </w:rPr>
              <w:t>Year</w:t>
            </w:r>
            <w:r>
              <w:rPr>
                <w:noProof/>
                <w:sz w:val="22"/>
              </w:rPr>
              <w:br/>
            </w:r>
            <w:r>
              <w:rPr>
                <w:b/>
                <w:noProof/>
                <w:sz w:val="20"/>
              </w:rPr>
              <w:t>2019</w:t>
            </w:r>
          </w:p>
        </w:tc>
        <w:tc>
          <w:tcPr>
            <w:tcW w:w="788" w:type="dxa"/>
            <w:vAlign w:val="center"/>
          </w:tcPr>
          <w:p>
            <w:pPr>
              <w:jc w:val="center"/>
              <w:rPr>
                <w:noProof/>
                <w:sz w:val="20"/>
              </w:rPr>
            </w:pPr>
            <w:r>
              <w:rPr>
                <w:noProof/>
                <w:sz w:val="20"/>
              </w:rPr>
              <w:t>Year</w:t>
            </w:r>
            <w:r>
              <w:rPr>
                <w:noProof/>
                <w:sz w:val="22"/>
              </w:rPr>
              <w:br/>
            </w:r>
            <w:r>
              <w:rPr>
                <w:b/>
                <w:noProof/>
                <w:sz w:val="20"/>
              </w:rPr>
              <w:t>2020</w:t>
            </w:r>
          </w:p>
        </w:tc>
        <w:tc>
          <w:tcPr>
            <w:tcW w:w="840" w:type="dxa"/>
            <w:vAlign w:val="center"/>
          </w:tcPr>
          <w:p>
            <w:pPr>
              <w:jc w:val="center"/>
              <w:rPr>
                <w:noProof/>
                <w:sz w:val="20"/>
              </w:rPr>
            </w:pPr>
            <w:r>
              <w:rPr>
                <w:noProof/>
                <w:sz w:val="20"/>
              </w:rPr>
              <w:t>Year</w:t>
            </w:r>
            <w:r>
              <w:rPr>
                <w:noProof/>
                <w:sz w:val="22"/>
              </w:rPr>
              <w:br/>
            </w:r>
            <w:r>
              <w:rPr>
                <w:b/>
                <w:noProof/>
                <w:sz w:val="20"/>
              </w:rPr>
              <w:t>2021</w:t>
            </w:r>
          </w:p>
        </w:tc>
        <w:tc>
          <w:tcPr>
            <w:tcW w:w="840" w:type="dxa"/>
            <w:vAlign w:val="center"/>
          </w:tcPr>
          <w:p>
            <w:pPr>
              <w:jc w:val="center"/>
              <w:rPr>
                <w:noProof/>
                <w:sz w:val="20"/>
              </w:rPr>
            </w:pPr>
            <w:r>
              <w:rPr>
                <w:noProof/>
                <w:sz w:val="20"/>
              </w:rPr>
              <w:t>Year</w:t>
            </w:r>
            <w:r>
              <w:rPr>
                <w:noProof/>
                <w:sz w:val="22"/>
              </w:rPr>
              <w:br/>
            </w:r>
            <w:r>
              <w:rPr>
                <w:b/>
                <w:noProof/>
                <w:sz w:val="20"/>
              </w:rPr>
              <w:t>2022</w:t>
            </w:r>
          </w:p>
        </w:tc>
        <w:tc>
          <w:tcPr>
            <w:tcW w:w="840" w:type="dxa"/>
            <w:vAlign w:val="center"/>
          </w:tcPr>
          <w:p>
            <w:pPr>
              <w:jc w:val="center"/>
              <w:rPr>
                <w:noProof/>
                <w:sz w:val="20"/>
              </w:rPr>
            </w:pPr>
            <w:r>
              <w:rPr>
                <w:noProof/>
                <w:sz w:val="20"/>
              </w:rPr>
              <w:t>Year</w:t>
            </w:r>
            <w:r>
              <w:rPr>
                <w:noProof/>
                <w:sz w:val="20"/>
              </w:rPr>
              <w:br/>
            </w:r>
            <w:r>
              <w:rPr>
                <w:b/>
                <w:noProof/>
                <w:sz w:val="20"/>
              </w:rPr>
              <w:t>2023</w:t>
            </w:r>
          </w:p>
        </w:tc>
        <w:tc>
          <w:tcPr>
            <w:tcW w:w="840" w:type="dxa"/>
            <w:shd w:val="clear" w:color="auto" w:fill="auto"/>
            <w:vAlign w:val="center"/>
          </w:tcPr>
          <w:p>
            <w:pPr>
              <w:jc w:val="center"/>
              <w:rPr>
                <w:noProof/>
                <w:sz w:val="20"/>
              </w:rPr>
            </w:pPr>
            <w:r>
              <w:rPr>
                <w:noProof/>
                <w:sz w:val="20"/>
              </w:rPr>
              <w:t>Year</w:t>
            </w:r>
            <w:r>
              <w:rPr>
                <w:noProof/>
                <w:sz w:val="20"/>
              </w:rPr>
              <w:br/>
            </w:r>
            <w:r>
              <w:rPr>
                <w:b/>
                <w:noProof/>
                <w:sz w:val="20"/>
              </w:rPr>
              <w:t>2024</w:t>
            </w:r>
          </w:p>
        </w:tc>
        <w:tc>
          <w:tcPr>
            <w:tcW w:w="840" w:type="dxa"/>
            <w:shd w:val="clear" w:color="auto" w:fill="auto"/>
            <w:vAlign w:val="center"/>
          </w:tcPr>
          <w:p>
            <w:pPr>
              <w:jc w:val="center"/>
              <w:rPr>
                <w:noProof/>
                <w:sz w:val="20"/>
              </w:rPr>
            </w:pPr>
            <w:r>
              <w:rPr>
                <w:noProof/>
                <w:sz w:val="20"/>
              </w:rPr>
              <w:t>Year</w:t>
            </w:r>
            <w:r>
              <w:rPr>
                <w:noProof/>
                <w:sz w:val="20"/>
              </w:rPr>
              <w:br/>
            </w:r>
            <w:r>
              <w:rPr>
                <w:b/>
                <w:noProof/>
                <w:sz w:val="20"/>
              </w:rPr>
              <w:t>2025</w:t>
            </w:r>
          </w:p>
        </w:tc>
        <w:tc>
          <w:tcPr>
            <w:tcW w:w="839" w:type="dxa"/>
            <w:shd w:val="clear" w:color="auto" w:fill="auto"/>
          </w:tcPr>
          <w:p>
            <w:pPr>
              <w:jc w:val="center"/>
              <w:rPr>
                <w:noProof/>
                <w:sz w:val="20"/>
              </w:rPr>
            </w:pPr>
            <w:r>
              <w:rPr>
                <w:noProof/>
                <w:sz w:val="20"/>
              </w:rPr>
              <w:t>Year</w:t>
            </w:r>
            <w:r>
              <w:rPr>
                <w:noProof/>
                <w:sz w:val="20"/>
              </w:rPr>
              <w:br/>
            </w:r>
            <w:r>
              <w:rPr>
                <w:b/>
                <w:noProof/>
                <w:sz w:val="20"/>
              </w:rPr>
              <w:t>2026</w:t>
            </w:r>
          </w:p>
        </w:tc>
        <w:tc>
          <w:tcPr>
            <w:tcW w:w="801" w:type="dxa"/>
          </w:tcPr>
          <w:p>
            <w:pPr>
              <w:jc w:val="center"/>
              <w:rPr>
                <w:noProof/>
                <w:sz w:val="20"/>
              </w:rPr>
            </w:pPr>
            <w:r>
              <w:rPr>
                <w:noProof/>
                <w:sz w:val="20"/>
              </w:rPr>
              <w:t>Year</w:t>
            </w:r>
            <w:r>
              <w:rPr>
                <w:noProof/>
                <w:sz w:val="20"/>
              </w:rPr>
              <w:br/>
            </w:r>
            <w:r>
              <w:rPr>
                <w:b/>
                <w:noProof/>
                <w:sz w:val="20"/>
              </w:rPr>
              <w:t>2027</w:t>
            </w:r>
          </w:p>
        </w:tc>
        <w:tc>
          <w:tcPr>
            <w:tcW w:w="1470" w:type="dxa"/>
            <w:vAlign w:val="center"/>
          </w:tcPr>
          <w:p>
            <w:pPr>
              <w:jc w:val="center"/>
              <w:rPr>
                <w:b/>
                <w:noProof/>
                <w:sz w:val="20"/>
              </w:rPr>
            </w:pPr>
            <w:r>
              <w:rPr>
                <w:b/>
                <w:noProof/>
                <w:sz w:val="20"/>
              </w:rPr>
              <w:t>TOTAL</w:t>
            </w:r>
          </w:p>
        </w:tc>
      </w:tr>
      <w:tr>
        <w:trPr>
          <w:trHeight w:val="276"/>
        </w:trPr>
        <w:tc>
          <w:tcPr>
            <w:tcW w:w="2770" w:type="dxa"/>
            <w:vMerge w:val="restart"/>
            <w:vAlign w:val="center"/>
          </w:tcPr>
          <w:p>
            <w:pPr>
              <w:jc w:val="left"/>
              <w:rPr>
                <w:noProof/>
                <w:color w:val="0000FF"/>
              </w:rPr>
            </w:pPr>
            <w:r>
              <w:rPr>
                <w:noProof/>
                <w:sz w:val="20"/>
              </w:rPr>
              <w:t>Title 1: Staff expenditures</w:t>
            </w:r>
          </w:p>
        </w:tc>
        <w:tc>
          <w:tcPr>
            <w:tcW w:w="1357" w:type="dxa"/>
            <w:vAlign w:val="center"/>
          </w:tcPr>
          <w:p>
            <w:pPr>
              <w:spacing w:before="20" w:after="20"/>
              <w:rPr>
                <w:noProof/>
              </w:rPr>
            </w:pPr>
            <w:r>
              <w:rPr>
                <w:noProof/>
                <w:sz w:val="18"/>
              </w:rPr>
              <w:t>Commitments</w:t>
            </w:r>
          </w:p>
        </w:tc>
        <w:tc>
          <w:tcPr>
            <w:tcW w:w="801" w:type="dxa"/>
            <w:vAlign w:val="center"/>
          </w:tcPr>
          <w:p>
            <w:pPr>
              <w:spacing w:before="20" w:after="20"/>
              <w:jc w:val="center"/>
              <w:rPr>
                <w:noProof/>
                <w:sz w:val="14"/>
              </w:rPr>
            </w:pPr>
            <w:r>
              <w:rPr>
                <w:noProof/>
                <w:sz w:val="14"/>
              </w:rPr>
              <w:t>(1)</w:t>
            </w:r>
          </w:p>
        </w:tc>
        <w:tc>
          <w:tcPr>
            <w:tcW w:w="801" w:type="dxa"/>
          </w:tcPr>
          <w:p>
            <w:pPr>
              <w:spacing w:before="20" w:after="20"/>
              <w:jc w:val="center"/>
              <w:rPr>
                <w:noProof/>
                <w:sz w:val="20"/>
                <w:szCs w:val="20"/>
              </w:rPr>
            </w:pPr>
            <w:r>
              <w:rPr>
                <w:noProof/>
                <w:sz w:val="20"/>
                <w:szCs w:val="20"/>
              </w:rPr>
              <w:t>0</w:t>
            </w:r>
          </w:p>
        </w:tc>
        <w:tc>
          <w:tcPr>
            <w:tcW w:w="788" w:type="dxa"/>
          </w:tcPr>
          <w:p>
            <w:pPr>
              <w:spacing w:before="20" w:after="20"/>
              <w:jc w:val="center"/>
              <w:rPr>
                <w:noProof/>
                <w:sz w:val="20"/>
                <w:szCs w:val="20"/>
              </w:rPr>
            </w:pPr>
            <w:r>
              <w:rPr>
                <w:noProof/>
                <w:sz w:val="20"/>
                <w:szCs w:val="20"/>
              </w:rPr>
              <w:t>0</w:t>
            </w:r>
          </w:p>
        </w:tc>
        <w:tc>
          <w:tcPr>
            <w:tcW w:w="840" w:type="dxa"/>
          </w:tcPr>
          <w:p>
            <w:pPr>
              <w:spacing w:before="20" w:after="20"/>
              <w:jc w:val="center"/>
              <w:rPr>
                <w:noProof/>
                <w:sz w:val="20"/>
                <w:szCs w:val="20"/>
              </w:rPr>
            </w:pPr>
            <w:r>
              <w:rPr>
                <w:noProof/>
                <w:sz w:val="20"/>
                <w:szCs w:val="20"/>
              </w:rPr>
              <w:t>0</w:t>
            </w:r>
          </w:p>
        </w:tc>
        <w:tc>
          <w:tcPr>
            <w:tcW w:w="840" w:type="dxa"/>
          </w:tcPr>
          <w:p>
            <w:pPr>
              <w:spacing w:before="20" w:after="20"/>
              <w:jc w:val="right"/>
              <w:rPr>
                <w:noProof/>
                <w:sz w:val="20"/>
                <w:szCs w:val="20"/>
              </w:rPr>
            </w:pPr>
            <w:r>
              <w:rPr>
                <w:noProof/>
                <w:sz w:val="20"/>
                <w:szCs w:val="20"/>
              </w:rPr>
              <w:t>0,488</w:t>
            </w:r>
          </w:p>
        </w:tc>
        <w:tc>
          <w:tcPr>
            <w:tcW w:w="840" w:type="dxa"/>
          </w:tcPr>
          <w:p>
            <w:pPr>
              <w:spacing w:before="20" w:after="20"/>
              <w:jc w:val="right"/>
              <w:rPr>
                <w:noProof/>
                <w:sz w:val="20"/>
                <w:szCs w:val="20"/>
              </w:rPr>
            </w:pPr>
            <w:r>
              <w:rPr>
                <w:noProof/>
                <w:sz w:val="20"/>
                <w:szCs w:val="20"/>
              </w:rPr>
              <w:t>2,154</w:t>
            </w:r>
          </w:p>
        </w:tc>
        <w:tc>
          <w:tcPr>
            <w:tcW w:w="840" w:type="dxa"/>
          </w:tcPr>
          <w:p>
            <w:pPr>
              <w:spacing w:before="20" w:after="20"/>
              <w:jc w:val="right"/>
              <w:rPr>
                <w:noProof/>
                <w:sz w:val="20"/>
                <w:szCs w:val="20"/>
              </w:rPr>
            </w:pPr>
            <w:r>
              <w:rPr>
                <w:noProof/>
                <w:sz w:val="20"/>
                <w:szCs w:val="20"/>
              </w:rPr>
              <w:t>0,337</w:t>
            </w:r>
          </w:p>
        </w:tc>
        <w:tc>
          <w:tcPr>
            <w:tcW w:w="840" w:type="dxa"/>
          </w:tcPr>
          <w:p>
            <w:pPr>
              <w:spacing w:before="20" w:after="20"/>
              <w:jc w:val="center"/>
              <w:rPr>
                <w:noProof/>
                <w:sz w:val="20"/>
                <w:szCs w:val="20"/>
              </w:rPr>
            </w:pPr>
            <w:r>
              <w:rPr>
                <w:noProof/>
                <w:sz w:val="20"/>
                <w:szCs w:val="20"/>
              </w:rPr>
              <w:t>0</w:t>
            </w:r>
          </w:p>
        </w:tc>
        <w:tc>
          <w:tcPr>
            <w:tcW w:w="839" w:type="dxa"/>
          </w:tcPr>
          <w:p>
            <w:pPr>
              <w:spacing w:before="20" w:after="20"/>
              <w:jc w:val="center"/>
              <w:rPr>
                <w:noProof/>
                <w:sz w:val="20"/>
                <w:szCs w:val="20"/>
              </w:rPr>
            </w:pPr>
            <w:r>
              <w:rPr>
                <w:noProof/>
                <w:sz w:val="20"/>
                <w:szCs w:val="20"/>
              </w:rPr>
              <w:t>0</w:t>
            </w:r>
          </w:p>
        </w:tc>
        <w:tc>
          <w:tcPr>
            <w:tcW w:w="801" w:type="dxa"/>
          </w:tcPr>
          <w:p>
            <w:pPr>
              <w:spacing w:before="20" w:after="20"/>
              <w:jc w:val="center"/>
              <w:rPr>
                <w:noProof/>
                <w:sz w:val="20"/>
                <w:szCs w:val="20"/>
              </w:rPr>
            </w:pPr>
            <w:r>
              <w:rPr>
                <w:noProof/>
                <w:sz w:val="20"/>
                <w:szCs w:val="20"/>
              </w:rPr>
              <w:t>0</w:t>
            </w:r>
          </w:p>
        </w:tc>
        <w:tc>
          <w:tcPr>
            <w:tcW w:w="1470" w:type="dxa"/>
          </w:tcPr>
          <w:p>
            <w:pPr>
              <w:spacing w:before="20" w:after="20"/>
              <w:jc w:val="right"/>
              <w:rPr>
                <w:b/>
                <w:noProof/>
                <w:sz w:val="20"/>
                <w:szCs w:val="20"/>
              </w:rPr>
            </w:pPr>
            <w:r>
              <w:rPr>
                <w:noProof/>
                <w:sz w:val="20"/>
                <w:szCs w:val="20"/>
              </w:rPr>
              <w:t>2,979</w:t>
            </w:r>
          </w:p>
        </w:tc>
      </w:tr>
      <w:tr>
        <w:trPr>
          <w:trHeight w:val="144"/>
        </w:trPr>
        <w:tc>
          <w:tcPr>
            <w:tcW w:w="2770" w:type="dxa"/>
            <w:vMerge/>
            <w:vAlign w:val="center"/>
          </w:tcPr>
          <w:p>
            <w:pPr>
              <w:jc w:val="left"/>
              <w:rPr>
                <w:noProof/>
                <w:color w:val="0000FF"/>
              </w:rPr>
            </w:pPr>
          </w:p>
        </w:tc>
        <w:tc>
          <w:tcPr>
            <w:tcW w:w="1357" w:type="dxa"/>
            <w:vAlign w:val="center"/>
          </w:tcPr>
          <w:p>
            <w:pPr>
              <w:spacing w:before="20" w:after="20"/>
              <w:rPr>
                <w:noProof/>
                <w:sz w:val="18"/>
              </w:rPr>
            </w:pPr>
            <w:r>
              <w:rPr>
                <w:noProof/>
                <w:sz w:val="18"/>
              </w:rPr>
              <w:t>Payments</w:t>
            </w:r>
          </w:p>
        </w:tc>
        <w:tc>
          <w:tcPr>
            <w:tcW w:w="801" w:type="dxa"/>
            <w:vAlign w:val="center"/>
          </w:tcPr>
          <w:p>
            <w:pPr>
              <w:spacing w:before="20" w:after="20"/>
              <w:jc w:val="center"/>
              <w:rPr>
                <w:noProof/>
                <w:sz w:val="14"/>
              </w:rPr>
            </w:pPr>
            <w:r>
              <w:rPr>
                <w:noProof/>
                <w:sz w:val="14"/>
              </w:rPr>
              <w:t>(2)</w:t>
            </w:r>
          </w:p>
        </w:tc>
        <w:tc>
          <w:tcPr>
            <w:tcW w:w="801" w:type="dxa"/>
          </w:tcPr>
          <w:p>
            <w:pPr>
              <w:spacing w:before="20" w:after="20"/>
              <w:jc w:val="center"/>
              <w:rPr>
                <w:noProof/>
                <w:sz w:val="20"/>
                <w:szCs w:val="20"/>
              </w:rPr>
            </w:pPr>
            <w:r>
              <w:rPr>
                <w:noProof/>
                <w:sz w:val="20"/>
                <w:szCs w:val="20"/>
              </w:rPr>
              <w:t>0</w:t>
            </w:r>
          </w:p>
        </w:tc>
        <w:tc>
          <w:tcPr>
            <w:tcW w:w="788" w:type="dxa"/>
          </w:tcPr>
          <w:p>
            <w:pPr>
              <w:spacing w:before="20" w:after="20"/>
              <w:jc w:val="center"/>
              <w:rPr>
                <w:noProof/>
                <w:sz w:val="20"/>
                <w:szCs w:val="20"/>
              </w:rPr>
            </w:pPr>
            <w:r>
              <w:rPr>
                <w:noProof/>
                <w:sz w:val="20"/>
                <w:szCs w:val="20"/>
              </w:rPr>
              <w:t>0</w:t>
            </w:r>
          </w:p>
        </w:tc>
        <w:tc>
          <w:tcPr>
            <w:tcW w:w="840" w:type="dxa"/>
          </w:tcPr>
          <w:p>
            <w:pPr>
              <w:spacing w:before="20" w:after="20"/>
              <w:jc w:val="center"/>
              <w:rPr>
                <w:noProof/>
                <w:sz w:val="20"/>
                <w:szCs w:val="20"/>
              </w:rPr>
            </w:pPr>
            <w:r>
              <w:rPr>
                <w:noProof/>
                <w:sz w:val="20"/>
                <w:szCs w:val="20"/>
              </w:rPr>
              <w:t>0</w:t>
            </w:r>
          </w:p>
        </w:tc>
        <w:tc>
          <w:tcPr>
            <w:tcW w:w="840" w:type="dxa"/>
          </w:tcPr>
          <w:p>
            <w:pPr>
              <w:spacing w:before="20" w:after="20"/>
              <w:jc w:val="right"/>
              <w:rPr>
                <w:noProof/>
                <w:sz w:val="20"/>
                <w:szCs w:val="20"/>
              </w:rPr>
            </w:pPr>
            <w:r>
              <w:rPr>
                <w:noProof/>
                <w:sz w:val="20"/>
                <w:szCs w:val="20"/>
              </w:rPr>
              <w:t>0,488</w:t>
            </w:r>
          </w:p>
        </w:tc>
        <w:tc>
          <w:tcPr>
            <w:tcW w:w="840" w:type="dxa"/>
          </w:tcPr>
          <w:p>
            <w:pPr>
              <w:spacing w:before="20" w:after="20"/>
              <w:jc w:val="right"/>
              <w:rPr>
                <w:noProof/>
                <w:sz w:val="20"/>
                <w:szCs w:val="20"/>
              </w:rPr>
            </w:pPr>
            <w:r>
              <w:rPr>
                <w:noProof/>
                <w:sz w:val="20"/>
                <w:szCs w:val="20"/>
              </w:rPr>
              <w:t>2,154</w:t>
            </w:r>
          </w:p>
        </w:tc>
        <w:tc>
          <w:tcPr>
            <w:tcW w:w="840" w:type="dxa"/>
          </w:tcPr>
          <w:p>
            <w:pPr>
              <w:spacing w:before="20" w:after="20"/>
              <w:jc w:val="right"/>
              <w:rPr>
                <w:noProof/>
                <w:sz w:val="20"/>
                <w:szCs w:val="20"/>
              </w:rPr>
            </w:pPr>
            <w:r>
              <w:rPr>
                <w:noProof/>
                <w:sz w:val="20"/>
                <w:szCs w:val="20"/>
              </w:rPr>
              <w:t>0,337</w:t>
            </w:r>
          </w:p>
        </w:tc>
        <w:tc>
          <w:tcPr>
            <w:tcW w:w="840" w:type="dxa"/>
          </w:tcPr>
          <w:p>
            <w:pPr>
              <w:spacing w:before="20" w:after="20"/>
              <w:jc w:val="center"/>
              <w:rPr>
                <w:noProof/>
                <w:sz w:val="20"/>
                <w:szCs w:val="20"/>
              </w:rPr>
            </w:pPr>
            <w:r>
              <w:rPr>
                <w:noProof/>
                <w:sz w:val="20"/>
                <w:szCs w:val="20"/>
              </w:rPr>
              <w:t>0</w:t>
            </w:r>
          </w:p>
        </w:tc>
        <w:tc>
          <w:tcPr>
            <w:tcW w:w="839" w:type="dxa"/>
          </w:tcPr>
          <w:p>
            <w:pPr>
              <w:spacing w:before="20" w:after="20"/>
              <w:jc w:val="center"/>
              <w:rPr>
                <w:b/>
                <w:noProof/>
                <w:sz w:val="20"/>
                <w:szCs w:val="20"/>
              </w:rPr>
            </w:pPr>
            <w:r>
              <w:rPr>
                <w:noProof/>
                <w:sz w:val="20"/>
                <w:szCs w:val="20"/>
              </w:rPr>
              <w:t>0</w:t>
            </w:r>
          </w:p>
        </w:tc>
        <w:tc>
          <w:tcPr>
            <w:tcW w:w="801" w:type="dxa"/>
          </w:tcPr>
          <w:p>
            <w:pPr>
              <w:spacing w:before="20" w:after="20"/>
              <w:jc w:val="center"/>
              <w:rPr>
                <w:b/>
                <w:noProof/>
                <w:sz w:val="20"/>
                <w:szCs w:val="20"/>
              </w:rPr>
            </w:pPr>
            <w:r>
              <w:rPr>
                <w:noProof/>
                <w:sz w:val="20"/>
                <w:szCs w:val="20"/>
              </w:rPr>
              <w:t>0</w:t>
            </w:r>
          </w:p>
        </w:tc>
        <w:tc>
          <w:tcPr>
            <w:tcW w:w="1470" w:type="dxa"/>
          </w:tcPr>
          <w:p>
            <w:pPr>
              <w:spacing w:before="20" w:after="20"/>
              <w:jc w:val="right"/>
              <w:rPr>
                <w:b/>
                <w:noProof/>
                <w:sz w:val="20"/>
                <w:szCs w:val="20"/>
              </w:rPr>
            </w:pPr>
            <w:r>
              <w:rPr>
                <w:noProof/>
                <w:sz w:val="20"/>
                <w:szCs w:val="20"/>
              </w:rPr>
              <w:t>2,979</w:t>
            </w:r>
          </w:p>
        </w:tc>
      </w:tr>
      <w:tr>
        <w:trPr>
          <w:trHeight w:val="262"/>
        </w:trPr>
        <w:tc>
          <w:tcPr>
            <w:tcW w:w="2770" w:type="dxa"/>
            <w:vMerge w:val="restart"/>
            <w:vAlign w:val="center"/>
          </w:tcPr>
          <w:p>
            <w:pPr>
              <w:jc w:val="left"/>
              <w:rPr>
                <w:noProof/>
                <w:color w:val="0000FF"/>
              </w:rPr>
            </w:pPr>
            <w:r>
              <w:rPr>
                <w:noProof/>
                <w:sz w:val="20"/>
              </w:rPr>
              <w:t>Title 2: Infrastructure and Operating expenditure</w:t>
            </w:r>
          </w:p>
        </w:tc>
        <w:tc>
          <w:tcPr>
            <w:tcW w:w="1357" w:type="dxa"/>
            <w:vAlign w:val="center"/>
          </w:tcPr>
          <w:p>
            <w:pPr>
              <w:spacing w:before="20" w:after="20"/>
              <w:rPr>
                <w:noProof/>
                <w:sz w:val="18"/>
              </w:rPr>
            </w:pPr>
            <w:r>
              <w:rPr>
                <w:noProof/>
                <w:sz w:val="18"/>
              </w:rPr>
              <w:t>Commitments</w:t>
            </w:r>
          </w:p>
        </w:tc>
        <w:tc>
          <w:tcPr>
            <w:tcW w:w="801" w:type="dxa"/>
            <w:vAlign w:val="center"/>
          </w:tcPr>
          <w:p>
            <w:pPr>
              <w:spacing w:before="20" w:after="20"/>
              <w:jc w:val="center"/>
              <w:rPr>
                <w:noProof/>
                <w:sz w:val="14"/>
              </w:rPr>
            </w:pPr>
            <w:r>
              <w:rPr>
                <w:noProof/>
                <w:sz w:val="14"/>
              </w:rPr>
              <w:t>(1a)</w:t>
            </w:r>
          </w:p>
        </w:tc>
        <w:tc>
          <w:tcPr>
            <w:tcW w:w="801" w:type="dxa"/>
          </w:tcPr>
          <w:p>
            <w:pPr>
              <w:spacing w:before="20" w:after="20"/>
              <w:jc w:val="center"/>
              <w:rPr>
                <w:noProof/>
                <w:sz w:val="20"/>
                <w:szCs w:val="20"/>
              </w:rPr>
            </w:pPr>
            <w:r>
              <w:rPr>
                <w:noProof/>
                <w:sz w:val="20"/>
                <w:szCs w:val="20"/>
              </w:rPr>
              <w:t>0</w:t>
            </w:r>
          </w:p>
        </w:tc>
        <w:tc>
          <w:tcPr>
            <w:tcW w:w="788" w:type="dxa"/>
          </w:tcPr>
          <w:p>
            <w:pPr>
              <w:spacing w:before="20" w:after="20"/>
              <w:jc w:val="center"/>
              <w:rPr>
                <w:noProof/>
                <w:sz w:val="20"/>
                <w:szCs w:val="20"/>
              </w:rPr>
            </w:pPr>
            <w:r>
              <w:rPr>
                <w:noProof/>
                <w:sz w:val="20"/>
                <w:szCs w:val="20"/>
              </w:rPr>
              <w:t xml:space="preserve">0 </w:t>
            </w:r>
          </w:p>
        </w:tc>
        <w:tc>
          <w:tcPr>
            <w:tcW w:w="840" w:type="dxa"/>
          </w:tcPr>
          <w:p>
            <w:pPr>
              <w:spacing w:before="20" w:after="20"/>
              <w:jc w:val="center"/>
              <w:rPr>
                <w:noProof/>
                <w:sz w:val="20"/>
                <w:szCs w:val="20"/>
              </w:rPr>
            </w:pPr>
            <w:r>
              <w:rPr>
                <w:noProof/>
                <w:sz w:val="20"/>
                <w:szCs w:val="20"/>
              </w:rPr>
              <w:t xml:space="preserve">0 </w:t>
            </w:r>
          </w:p>
        </w:tc>
        <w:tc>
          <w:tcPr>
            <w:tcW w:w="840" w:type="dxa"/>
          </w:tcPr>
          <w:p>
            <w:pPr>
              <w:spacing w:before="20" w:after="20"/>
              <w:jc w:val="right"/>
              <w:rPr>
                <w:noProof/>
                <w:sz w:val="20"/>
                <w:szCs w:val="20"/>
              </w:rPr>
            </w:pPr>
            <w:r>
              <w:rPr>
                <w:noProof/>
                <w:sz w:val="20"/>
                <w:szCs w:val="20"/>
              </w:rPr>
              <w:t xml:space="preserve">0,105 </w:t>
            </w:r>
          </w:p>
        </w:tc>
        <w:tc>
          <w:tcPr>
            <w:tcW w:w="840" w:type="dxa"/>
          </w:tcPr>
          <w:p>
            <w:pPr>
              <w:spacing w:before="20" w:after="20"/>
              <w:jc w:val="right"/>
              <w:rPr>
                <w:noProof/>
                <w:sz w:val="20"/>
                <w:szCs w:val="20"/>
              </w:rPr>
            </w:pPr>
            <w:r>
              <w:rPr>
                <w:noProof/>
                <w:sz w:val="20"/>
                <w:szCs w:val="20"/>
              </w:rPr>
              <w:t xml:space="preserve">0,390 </w:t>
            </w:r>
          </w:p>
        </w:tc>
        <w:tc>
          <w:tcPr>
            <w:tcW w:w="840" w:type="dxa"/>
          </w:tcPr>
          <w:p>
            <w:pPr>
              <w:spacing w:before="20" w:after="20"/>
              <w:jc w:val="right"/>
              <w:rPr>
                <w:noProof/>
                <w:sz w:val="20"/>
                <w:szCs w:val="20"/>
              </w:rPr>
            </w:pPr>
            <w:r>
              <w:rPr>
                <w:noProof/>
                <w:sz w:val="20"/>
                <w:szCs w:val="20"/>
              </w:rPr>
              <w:t xml:space="preserve">0,065 </w:t>
            </w:r>
          </w:p>
        </w:tc>
        <w:tc>
          <w:tcPr>
            <w:tcW w:w="840" w:type="dxa"/>
          </w:tcPr>
          <w:p>
            <w:pPr>
              <w:spacing w:before="20" w:after="20"/>
              <w:jc w:val="center"/>
              <w:rPr>
                <w:noProof/>
                <w:sz w:val="20"/>
                <w:szCs w:val="20"/>
              </w:rPr>
            </w:pPr>
            <w:r>
              <w:rPr>
                <w:noProof/>
                <w:sz w:val="20"/>
              </w:rPr>
              <w:t>0</w:t>
            </w:r>
          </w:p>
        </w:tc>
        <w:tc>
          <w:tcPr>
            <w:tcW w:w="839" w:type="dxa"/>
          </w:tcPr>
          <w:p>
            <w:pPr>
              <w:spacing w:before="20" w:after="20"/>
              <w:jc w:val="center"/>
              <w:rPr>
                <w:noProof/>
                <w:sz w:val="20"/>
                <w:szCs w:val="20"/>
              </w:rPr>
            </w:pPr>
            <w:r>
              <w:rPr>
                <w:noProof/>
                <w:sz w:val="20"/>
              </w:rPr>
              <w:t xml:space="preserve">0 </w:t>
            </w:r>
          </w:p>
        </w:tc>
        <w:tc>
          <w:tcPr>
            <w:tcW w:w="801" w:type="dxa"/>
          </w:tcPr>
          <w:p>
            <w:pPr>
              <w:spacing w:before="20" w:after="20"/>
              <w:jc w:val="center"/>
              <w:rPr>
                <w:noProof/>
                <w:sz w:val="20"/>
                <w:szCs w:val="20"/>
              </w:rPr>
            </w:pPr>
            <w:r>
              <w:rPr>
                <w:noProof/>
                <w:sz w:val="20"/>
              </w:rPr>
              <w:t xml:space="preserve">0 </w:t>
            </w:r>
          </w:p>
        </w:tc>
        <w:tc>
          <w:tcPr>
            <w:tcW w:w="1470" w:type="dxa"/>
          </w:tcPr>
          <w:p>
            <w:pPr>
              <w:spacing w:before="20" w:after="20"/>
              <w:jc w:val="right"/>
              <w:rPr>
                <w:b/>
                <w:noProof/>
                <w:sz w:val="20"/>
                <w:szCs w:val="20"/>
              </w:rPr>
            </w:pPr>
            <w:r>
              <w:rPr>
                <w:noProof/>
                <w:sz w:val="20"/>
                <w:szCs w:val="20"/>
              </w:rPr>
              <w:t xml:space="preserve">0,560 </w:t>
            </w:r>
          </w:p>
        </w:tc>
      </w:tr>
      <w:tr>
        <w:trPr>
          <w:trHeight w:val="144"/>
        </w:trPr>
        <w:tc>
          <w:tcPr>
            <w:tcW w:w="2770" w:type="dxa"/>
            <w:vMerge/>
            <w:vAlign w:val="center"/>
          </w:tcPr>
          <w:p>
            <w:pPr>
              <w:jc w:val="left"/>
              <w:rPr>
                <w:noProof/>
                <w:color w:val="0000FF"/>
              </w:rPr>
            </w:pPr>
          </w:p>
        </w:tc>
        <w:tc>
          <w:tcPr>
            <w:tcW w:w="1357" w:type="dxa"/>
            <w:vAlign w:val="center"/>
          </w:tcPr>
          <w:p>
            <w:pPr>
              <w:spacing w:before="20" w:after="20"/>
              <w:rPr>
                <w:noProof/>
                <w:sz w:val="18"/>
              </w:rPr>
            </w:pPr>
            <w:r>
              <w:rPr>
                <w:noProof/>
                <w:sz w:val="18"/>
              </w:rPr>
              <w:t>Payments</w:t>
            </w:r>
          </w:p>
        </w:tc>
        <w:tc>
          <w:tcPr>
            <w:tcW w:w="801" w:type="dxa"/>
            <w:vAlign w:val="center"/>
          </w:tcPr>
          <w:p>
            <w:pPr>
              <w:spacing w:before="20" w:after="20"/>
              <w:jc w:val="center"/>
              <w:rPr>
                <w:noProof/>
                <w:sz w:val="14"/>
              </w:rPr>
            </w:pPr>
            <w:r>
              <w:rPr>
                <w:noProof/>
                <w:sz w:val="14"/>
              </w:rPr>
              <w:t>(2a)</w:t>
            </w:r>
          </w:p>
        </w:tc>
        <w:tc>
          <w:tcPr>
            <w:tcW w:w="801" w:type="dxa"/>
          </w:tcPr>
          <w:p>
            <w:pPr>
              <w:spacing w:before="20" w:after="20"/>
              <w:jc w:val="center"/>
              <w:rPr>
                <w:noProof/>
                <w:sz w:val="20"/>
                <w:szCs w:val="20"/>
              </w:rPr>
            </w:pPr>
            <w:r>
              <w:rPr>
                <w:noProof/>
                <w:sz w:val="20"/>
                <w:szCs w:val="20"/>
              </w:rPr>
              <w:t xml:space="preserve">0 </w:t>
            </w:r>
          </w:p>
        </w:tc>
        <w:tc>
          <w:tcPr>
            <w:tcW w:w="788" w:type="dxa"/>
          </w:tcPr>
          <w:p>
            <w:pPr>
              <w:spacing w:before="20" w:after="20"/>
              <w:jc w:val="center"/>
              <w:rPr>
                <w:noProof/>
                <w:sz w:val="20"/>
                <w:szCs w:val="20"/>
              </w:rPr>
            </w:pPr>
            <w:r>
              <w:rPr>
                <w:noProof/>
                <w:sz w:val="20"/>
                <w:szCs w:val="20"/>
              </w:rPr>
              <w:t xml:space="preserve">0 </w:t>
            </w:r>
          </w:p>
        </w:tc>
        <w:tc>
          <w:tcPr>
            <w:tcW w:w="840" w:type="dxa"/>
          </w:tcPr>
          <w:p>
            <w:pPr>
              <w:spacing w:before="20" w:after="20"/>
              <w:jc w:val="center"/>
              <w:rPr>
                <w:noProof/>
                <w:sz w:val="20"/>
                <w:szCs w:val="20"/>
              </w:rPr>
            </w:pPr>
            <w:r>
              <w:rPr>
                <w:noProof/>
                <w:sz w:val="20"/>
                <w:szCs w:val="20"/>
              </w:rPr>
              <w:t xml:space="preserve">0 </w:t>
            </w:r>
          </w:p>
        </w:tc>
        <w:tc>
          <w:tcPr>
            <w:tcW w:w="840" w:type="dxa"/>
          </w:tcPr>
          <w:p>
            <w:pPr>
              <w:spacing w:before="20" w:after="20"/>
              <w:jc w:val="right"/>
              <w:rPr>
                <w:noProof/>
                <w:sz w:val="20"/>
                <w:szCs w:val="20"/>
              </w:rPr>
            </w:pPr>
            <w:r>
              <w:rPr>
                <w:noProof/>
                <w:sz w:val="20"/>
                <w:szCs w:val="20"/>
              </w:rPr>
              <w:t xml:space="preserve">0,105 </w:t>
            </w:r>
          </w:p>
        </w:tc>
        <w:tc>
          <w:tcPr>
            <w:tcW w:w="840" w:type="dxa"/>
          </w:tcPr>
          <w:p>
            <w:pPr>
              <w:spacing w:before="20" w:after="20"/>
              <w:jc w:val="right"/>
              <w:rPr>
                <w:noProof/>
                <w:sz w:val="20"/>
                <w:szCs w:val="20"/>
              </w:rPr>
            </w:pPr>
            <w:r>
              <w:rPr>
                <w:noProof/>
                <w:sz w:val="20"/>
                <w:szCs w:val="20"/>
              </w:rPr>
              <w:t xml:space="preserve">0,390 </w:t>
            </w:r>
          </w:p>
        </w:tc>
        <w:tc>
          <w:tcPr>
            <w:tcW w:w="840" w:type="dxa"/>
          </w:tcPr>
          <w:p>
            <w:pPr>
              <w:spacing w:before="20" w:after="20"/>
              <w:jc w:val="right"/>
              <w:rPr>
                <w:noProof/>
                <w:sz w:val="20"/>
                <w:szCs w:val="20"/>
              </w:rPr>
            </w:pPr>
            <w:r>
              <w:rPr>
                <w:noProof/>
                <w:sz w:val="20"/>
                <w:szCs w:val="20"/>
              </w:rPr>
              <w:t xml:space="preserve">0,065 </w:t>
            </w:r>
          </w:p>
        </w:tc>
        <w:tc>
          <w:tcPr>
            <w:tcW w:w="840" w:type="dxa"/>
          </w:tcPr>
          <w:p>
            <w:pPr>
              <w:spacing w:before="20" w:after="20"/>
              <w:jc w:val="center"/>
              <w:rPr>
                <w:noProof/>
                <w:sz w:val="20"/>
                <w:szCs w:val="20"/>
              </w:rPr>
            </w:pPr>
            <w:r>
              <w:rPr>
                <w:noProof/>
                <w:sz w:val="20"/>
              </w:rPr>
              <w:t>0</w:t>
            </w:r>
          </w:p>
        </w:tc>
        <w:tc>
          <w:tcPr>
            <w:tcW w:w="839" w:type="dxa"/>
          </w:tcPr>
          <w:p>
            <w:pPr>
              <w:spacing w:before="20" w:after="20"/>
              <w:jc w:val="center"/>
              <w:rPr>
                <w:b/>
                <w:noProof/>
                <w:sz w:val="20"/>
                <w:szCs w:val="20"/>
              </w:rPr>
            </w:pPr>
            <w:r>
              <w:rPr>
                <w:noProof/>
                <w:sz w:val="20"/>
              </w:rPr>
              <w:t xml:space="preserve">0 </w:t>
            </w:r>
          </w:p>
        </w:tc>
        <w:tc>
          <w:tcPr>
            <w:tcW w:w="801" w:type="dxa"/>
          </w:tcPr>
          <w:p>
            <w:pPr>
              <w:spacing w:before="20" w:after="20"/>
              <w:jc w:val="center"/>
              <w:rPr>
                <w:b/>
                <w:noProof/>
                <w:sz w:val="20"/>
                <w:szCs w:val="20"/>
              </w:rPr>
            </w:pPr>
            <w:r>
              <w:rPr>
                <w:noProof/>
                <w:sz w:val="20"/>
              </w:rPr>
              <w:t xml:space="preserve">0 </w:t>
            </w:r>
          </w:p>
        </w:tc>
        <w:tc>
          <w:tcPr>
            <w:tcW w:w="1470" w:type="dxa"/>
          </w:tcPr>
          <w:p>
            <w:pPr>
              <w:spacing w:before="20" w:after="20"/>
              <w:jc w:val="right"/>
              <w:rPr>
                <w:b/>
                <w:noProof/>
                <w:sz w:val="20"/>
                <w:szCs w:val="20"/>
              </w:rPr>
            </w:pPr>
            <w:r>
              <w:rPr>
                <w:noProof/>
                <w:sz w:val="20"/>
                <w:szCs w:val="20"/>
              </w:rPr>
              <w:t xml:space="preserve">0,560 </w:t>
            </w:r>
          </w:p>
        </w:tc>
      </w:tr>
      <w:tr>
        <w:trPr>
          <w:trHeight w:val="318"/>
        </w:trPr>
        <w:tc>
          <w:tcPr>
            <w:tcW w:w="2770" w:type="dxa"/>
            <w:vMerge w:val="restart"/>
            <w:vAlign w:val="center"/>
          </w:tcPr>
          <w:p>
            <w:pPr>
              <w:spacing w:before="60" w:after="60"/>
              <w:jc w:val="left"/>
              <w:rPr>
                <w:noProof/>
                <w:color w:val="0000FF"/>
              </w:rPr>
            </w:pPr>
            <w:r>
              <w:rPr>
                <w:noProof/>
                <w:sz w:val="20"/>
              </w:rPr>
              <w:t>Title 3: Operational expenditure</w:t>
            </w:r>
          </w:p>
        </w:tc>
        <w:tc>
          <w:tcPr>
            <w:tcW w:w="1357" w:type="dxa"/>
            <w:vAlign w:val="center"/>
          </w:tcPr>
          <w:p>
            <w:pPr>
              <w:spacing w:before="40" w:after="40"/>
              <w:rPr>
                <w:noProof/>
                <w:sz w:val="18"/>
              </w:rPr>
            </w:pPr>
            <w:r>
              <w:rPr>
                <w:noProof/>
                <w:sz w:val="18"/>
              </w:rPr>
              <w:t>Commitments</w:t>
            </w:r>
          </w:p>
        </w:tc>
        <w:tc>
          <w:tcPr>
            <w:tcW w:w="801" w:type="dxa"/>
            <w:vAlign w:val="center"/>
          </w:tcPr>
          <w:p>
            <w:pPr>
              <w:spacing w:before="40" w:after="40"/>
              <w:jc w:val="center"/>
              <w:rPr>
                <w:noProof/>
                <w:sz w:val="14"/>
              </w:rPr>
            </w:pPr>
            <w:r>
              <w:rPr>
                <w:noProof/>
                <w:sz w:val="14"/>
              </w:rPr>
              <w:t>(3a)</w:t>
            </w:r>
          </w:p>
        </w:tc>
        <w:tc>
          <w:tcPr>
            <w:tcW w:w="801" w:type="dxa"/>
          </w:tcPr>
          <w:p>
            <w:pPr>
              <w:spacing w:before="40" w:after="40"/>
              <w:jc w:val="center"/>
              <w:rPr>
                <w:noProof/>
                <w:sz w:val="20"/>
                <w:szCs w:val="20"/>
              </w:rPr>
            </w:pPr>
            <w:r>
              <w:rPr>
                <w:noProof/>
                <w:sz w:val="20"/>
                <w:szCs w:val="20"/>
              </w:rPr>
              <w:t xml:space="preserve">0 </w:t>
            </w:r>
          </w:p>
        </w:tc>
        <w:tc>
          <w:tcPr>
            <w:tcW w:w="788" w:type="dxa"/>
          </w:tcPr>
          <w:p>
            <w:pPr>
              <w:spacing w:before="40" w:after="40"/>
              <w:jc w:val="center"/>
              <w:rPr>
                <w:noProof/>
                <w:sz w:val="20"/>
                <w:szCs w:val="20"/>
              </w:rPr>
            </w:pPr>
            <w:r>
              <w:rPr>
                <w:noProof/>
                <w:sz w:val="20"/>
                <w:szCs w:val="20"/>
              </w:rPr>
              <w:t xml:space="preserve">0 </w:t>
            </w:r>
          </w:p>
        </w:tc>
        <w:tc>
          <w:tcPr>
            <w:tcW w:w="840" w:type="dxa"/>
          </w:tcPr>
          <w:p>
            <w:pPr>
              <w:spacing w:before="40" w:after="40"/>
              <w:jc w:val="center"/>
              <w:rPr>
                <w:noProof/>
                <w:sz w:val="20"/>
                <w:szCs w:val="20"/>
              </w:rPr>
            </w:pPr>
            <w:r>
              <w:rPr>
                <w:noProof/>
                <w:sz w:val="20"/>
                <w:szCs w:val="20"/>
              </w:rPr>
              <w:t xml:space="preserve">0 </w:t>
            </w:r>
          </w:p>
        </w:tc>
        <w:tc>
          <w:tcPr>
            <w:tcW w:w="840" w:type="dxa"/>
          </w:tcPr>
          <w:p>
            <w:pPr>
              <w:spacing w:before="40" w:after="40"/>
              <w:jc w:val="right"/>
              <w:rPr>
                <w:noProof/>
                <w:sz w:val="20"/>
                <w:szCs w:val="20"/>
              </w:rPr>
            </w:pPr>
            <w:r>
              <w:rPr>
                <w:noProof/>
                <w:sz w:val="20"/>
                <w:szCs w:val="20"/>
              </w:rPr>
              <w:t xml:space="preserve">0,183 </w:t>
            </w:r>
          </w:p>
        </w:tc>
        <w:tc>
          <w:tcPr>
            <w:tcW w:w="840" w:type="dxa"/>
          </w:tcPr>
          <w:p>
            <w:pPr>
              <w:spacing w:before="40" w:after="40"/>
              <w:jc w:val="right"/>
              <w:rPr>
                <w:noProof/>
                <w:sz w:val="20"/>
                <w:szCs w:val="20"/>
              </w:rPr>
            </w:pPr>
            <w:r>
              <w:rPr>
                <w:noProof/>
                <w:sz w:val="20"/>
                <w:szCs w:val="20"/>
              </w:rPr>
              <w:t xml:space="preserve">2,200 </w:t>
            </w:r>
          </w:p>
        </w:tc>
        <w:tc>
          <w:tcPr>
            <w:tcW w:w="840" w:type="dxa"/>
          </w:tcPr>
          <w:p>
            <w:pPr>
              <w:spacing w:before="40" w:after="40"/>
              <w:jc w:val="center"/>
              <w:rPr>
                <w:noProof/>
                <w:sz w:val="20"/>
                <w:szCs w:val="20"/>
              </w:rPr>
            </w:pPr>
            <w:r>
              <w:rPr>
                <w:noProof/>
                <w:sz w:val="20"/>
                <w:szCs w:val="20"/>
              </w:rPr>
              <w:t xml:space="preserve">0 </w:t>
            </w:r>
          </w:p>
        </w:tc>
        <w:tc>
          <w:tcPr>
            <w:tcW w:w="840" w:type="dxa"/>
          </w:tcPr>
          <w:p>
            <w:pPr>
              <w:spacing w:before="40" w:after="40"/>
              <w:jc w:val="center"/>
              <w:rPr>
                <w:noProof/>
                <w:sz w:val="20"/>
                <w:szCs w:val="20"/>
              </w:rPr>
            </w:pPr>
            <w:r>
              <w:rPr>
                <w:noProof/>
                <w:sz w:val="20"/>
                <w:szCs w:val="20"/>
              </w:rPr>
              <w:t xml:space="preserve">0 </w:t>
            </w:r>
          </w:p>
        </w:tc>
        <w:tc>
          <w:tcPr>
            <w:tcW w:w="839" w:type="dxa"/>
          </w:tcPr>
          <w:p>
            <w:pPr>
              <w:spacing w:before="40" w:after="40"/>
              <w:jc w:val="center"/>
              <w:rPr>
                <w:noProof/>
                <w:sz w:val="20"/>
                <w:szCs w:val="20"/>
              </w:rPr>
            </w:pPr>
            <w:r>
              <w:rPr>
                <w:noProof/>
                <w:sz w:val="20"/>
                <w:szCs w:val="20"/>
              </w:rPr>
              <w:t xml:space="preserve">0 </w:t>
            </w:r>
          </w:p>
        </w:tc>
        <w:tc>
          <w:tcPr>
            <w:tcW w:w="801" w:type="dxa"/>
          </w:tcPr>
          <w:p>
            <w:pPr>
              <w:spacing w:before="40" w:after="40"/>
              <w:jc w:val="center"/>
              <w:rPr>
                <w:noProof/>
                <w:sz w:val="20"/>
                <w:szCs w:val="20"/>
              </w:rPr>
            </w:pPr>
            <w:r>
              <w:rPr>
                <w:noProof/>
                <w:sz w:val="20"/>
                <w:szCs w:val="20"/>
              </w:rPr>
              <w:t xml:space="preserve">0 </w:t>
            </w:r>
          </w:p>
        </w:tc>
        <w:tc>
          <w:tcPr>
            <w:tcW w:w="1470" w:type="dxa"/>
          </w:tcPr>
          <w:p>
            <w:pPr>
              <w:spacing w:before="40" w:after="40"/>
              <w:jc w:val="right"/>
              <w:rPr>
                <w:b/>
                <w:noProof/>
                <w:sz w:val="20"/>
                <w:szCs w:val="20"/>
              </w:rPr>
            </w:pPr>
            <w:r>
              <w:rPr>
                <w:noProof/>
                <w:sz w:val="20"/>
                <w:szCs w:val="20"/>
              </w:rPr>
              <w:t xml:space="preserve">2,383 </w:t>
            </w:r>
          </w:p>
        </w:tc>
      </w:tr>
      <w:tr>
        <w:trPr>
          <w:trHeight w:val="318"/>
        </w:trPr>
        <w:tc>
          <w:tcPr>
            <w:tcW w:w="2770" w:type="dxa"/>
            <w:vMerge/>
            <w:vAlign w:val="center"/>
          </w:tcPr>
          <w:p>
            <w:pPr>
              <w:spacing w:before="60" w:after="60"/>
              <w:rPr>
                <w:b/>
                <w:noProof/>
                <w:sz w:val="20"/>
              </w:rPr>
            </w:pPr>
          </w:p>
        </w:tc>
        <w:tc>
          <w:tcPr>
            <w:tcW w:w="1357" w:type="dxa"/>
            <w:vAlign w:val="center"/>
          </w:tcPr>
          <w:p>
            <w:pPr>
              <w:spacing w:before="40" w:after="40"/>
              <w:rPr>
                <w:noProof/>
                <w:sz w:val="18"/>
              </w:rPr>
            </w:pPr>
            <w:r>
              <w:rPr>
                <w:noProof/>
                <w:sz w:val="18"/>
              </w:rPr>
              <w:t>Payments</w:t>
            </w:r>
          </w:p>
        </w:tc>
        <w:tc>
          <w:tcPr>
            <w:tcW w:w="801" w:type="dxa"/>
            <w:vAlign w:val="center"/>
          </w:tcPr>
          <w:p>
            <w:pPr>
              <w:spacing w:before="40" w:after="40"/>
              <w:jc w:val="center"/>
              <w:rPr>
                <w:noProof/>
                <w:sz w:val="14"/>
              </w:rPr>
            </w:pPr>
            <w:r>
              <w:rPr>
                <w:noProof/>
                <w:sz w:val="14"/>
              </w:rPr>
              <w:t>(3b)</w:t>
            </w:r>
          </w:p>
        </w:tc>
        <w:tc>
          <w:tcPr>
            <w:tcW w:w="801" w:type="dxa"/>
          </w:tcPr>
          <w:p>
            <w:pPr>
              <w:spacing w:before="40" w:after="40"/>
              <w:jc w:val="center"/>
              <w:rPr>
                <w:noProof/>
                <w:sz w:val="20"/>
                <w:szCs w:val="20"/>
              </w:rPr>
            </w:pPr>
            <w:r>
              <w:rPr>
                <w:noProof/>
                <w:sz w:val="20"/>
                <w:szCs w:val="20"/>
              </w:rPr>
              <w:t>0</w:t>
            </w:r>
          </w:p>
        </w:tc>
        <w:tc>
          <w:tcPr>
            <w:tcW w:w="788" w:type="dxa"/>
          </w:tcPr>
          <w:p>
            <w:pPr>
              <w:spacing w:before="40" w:after="40"/>
              <w:jc w:val="center"/>
              <w:rPr>
                <w:noProof/>
                <w:sz w:val="20"/>
                <w:szCs w:val="20"/>
              </w:rPr>
            </w:pPr>
            <w:r>
              <w:rPr>
                <w:noProof/>
                <w:sz w:val="20"/>
                <w:szCs w:val="20"/>
              </w:rPr>
              <w:t>0</w:t>
            </w:r>
          </w:p>
        </w:tc>
        <w:tc>
          <w:tcPr>
            <w:tcW w:w="840" w:type="dxa"/>
          </w:tcPr>
          <w:p>
            <w:pPr>
              <w:spacing w:before="40" w:after="40"/>
              <w:jc w:val="center"/>
              <w:rPr>
                <w:noProof/>
                <w:sz w:val="20"/>
                <w:szCs w:val="20"/>
              </w:rPr>
            </w:pPr>
            <w:r>
              <w:rPr>
                <w:noProof/>
                <w:sz w:val="20"/>
                <w:szCs w:val="20"/>
              </w:rPr>
              <w:t>0</w:t>
            </w:r>
          </w:p>
        </w:tc>
        <w:tc>
          <w:tcPr>
            <w:tcW w:w="840" w:type="dxa"/>
          </w:tcPr>
          <w:p>
            <w:pPr>
              <w:spacing w:before="40" w:after="40"/>
              <w:jc w:val="right"/>
              <w:rPr>
                <w:noProof/>
                <w:sz w:val="20"/>
                <w:szCs w:val="20"/>
              </w:rPr>
            </w:pPr>
            <w:r>
              <w:rPr>
                <w:noProof/>
                <w:sz w:val="20"/>
                <w:szCs w:val="20"/>
              </w:rPr>
              <w:t>0,183</w:t>
            </w:r>
          </w:p>
        </w:tc>
        <w:tc>
          <w:tcPr>
            <w:tcW w:w="840" w:type="dxa"/>
          </w:tcPr>
          <w:p>
            <w:pPr>
              <w:spacing w:before="40" w:after="40"/>
              <w:jc w:val="right"/>
              <w:rPr>
                <w:noProof/>
                <w:sz w:val="20"/>
                <w:szCs w:val="20"/>
              </w:rPr>
            </w:pPr>
            <w:r>
              <w:rPr>
                <w:noProof/>
                <w:sz w:val="20"/>
                <w:szCs w:val="20"/>
              </w:rPr>
              <w:t>2,200</w:t>
            </w:r>
          </w:p>
        </w:tc>
        <w:tc>
          <w:tcPr>
            <w:tcW w:w="840" w:type="dxa"/>
          </w:tcPr>
          <w:p>
            <w:pPr>
              <w:spacing w:before="40" w:after="40"/>
              <w:jc w:val="center"/>
              <w:rPr>
                <w:noProof/>
                <w:sz w:val="20"/>
                <w:szCs w:val="20"/>
              </w:rPr>
            </w:pPr>
            <w:r>
              <w:rPr>
                <w:noProof/>
                <w:sz w:val="20"/>
                <w:szCs w:val="20"/>
              </w:rPr>
              <w:t>0</w:t>
            </w:r>
          </w:p>
        </w:tc>
        <w:tc>
          <w:tcPr>
            <w:tcW w:w="840" w:type="dxa"/>
          </w:tcPr>
          <w:p>
            <w:pPr>
              <w:spacing w:before="40" w:after="40"/>
              <w:jc w:val="center"/>
              <w:rPr>
                <w:b/>
                <w:noProof/>
                <w:sz w:val="20"/>
                <w:szCs w:val="20"/>
              </w:rPr>
            </w:pPr>
            <w:r>
              <w:rPr>
                <w:noProof/>
                <w:sz w:val="20"/>
                <w:szCs w:val="20"/>
              </w:rPr>
              <w:t>0</w:t>
            </w:r>
          </w:p>
        </w:tc>
        <w:tc>
          <w:tcPr>
            <w:tcW w:w="839" w:type="dxa"/>
          </w:tcPr>
          <w:p>
            <w:pPr>
              <w:spacing w:before="40" w:after="40"/>
              <w:jc w:val="center"/>
              <w:rPr>
                <w:b/>
                <w:noProof/>
                <w:sz w:val="20"/>
                <w:szCs w:val="20"/>
              </w:rPr>
            </w:pPr>
            <w:r>
              <w:rPr>
                <w:noProof/>
                <w:sz w:val="20"/>
                <w:szCs w:val="20"/>
              </w:rPr>
              <w:t>0</w:t>
            </w:r>
          </w:p>
        </w:tc>
        <w:tc>
          <w:tcPr>
            <w:tcW w:w="801" w:type="dxa"/>
          </w:tcPr>
          <w:p>
            <w:pPr>
              <w:spacing w:before="40" w:after="40"/>
              <w:jc w:val="center"/>
              <w:rPr>
                <w:b/>
                <w:noProof/>
                <w:sz w:val="20"/>
                <w:szCs w:val="20"/>
              </w:rPr>
            </w:pPr>
            <w:r>
              <w:rPr>
                <w:noProof/>
                <w:sz w:val="20"/>
                <w:szCs w:val="20"/>
              </w:rPr>
              <w:t>0</w:t>
            </w:r>
          </w:p>
        </w:tc>
        <w:tc>
          <w:tcPr>
            <w:tcW w:w="1470" w:type="dxa"/>
          </w:tcPr>
          <w:p>
            <w:pPr>
              <w:spacing w:before="40" w:after="40"/>
              <w:jc w:val="right"/>
              <w:rPr>
                <w:b/>
                <w:noProof/>
                <w:sz w:val="20"/>
                <w:szCs w:val="20"/>
              </w:rPr>
            </w:pPr>
            <w:r>
              <w:rPr>
                <w:noProof/>
                <w:sz w:val="20"/>
                <w:szCs w:val="20"/>
              </w:rPr>
              <w:t>2,383</w:t>
            </w:r>
          </w:p>
        </w:tc>
      </w:tr>
      <w:tr>
        <w:trPr>
          <w:trHeight w:val="749"/>
        </w:trPr>
        <w:tc>
          <w:tcPr>
            <w:tcW w:w="2770" w:type="dxa"/>
            <w:vAlign w:val="center"/>
          </w:tcPr>
          <w:p>
            <w:pPr>
              <w:jc w:val="center"/>
              <w:rPr>
                <w:noProof/>
              </w:rPr>
            </w:pPr>
            <w:r>
              <w:rPr>
                <w:b/>
                <w:noProof/>
                <w:sz w:val="22"/>
              </w:rPr>
              <w:t>TOTAL appropriations</w:t>
            </w:r>
            <w:r>
              <w:rPr>
                <w:noProof/>
                <w:sz w:val="22"/>
              </w:rPr>
              <w:br/>
            </w:r>
            <w:r>
              <w:rPr>
                <w:b/>
                <w:noProof/>
                <w:sz w:val="22"/>
              </w:rPr>
              <w:t>for Europol</w:t>
            </w:r>
          </w:p>
        </w:tc>
        <w:tc>
          <w:tcPr>
            <w:tcW w:w="1357" w:type="dxa"/>
            <w:vAlign w:val="center"/>
          </w:tcPr>
          <w:p>
            <w:pPr>
              <w:rPr>
                <w:noProof/>
                <w:sz w:val="18"/>
              </w:rPr>
            </w:pPr>
            <w:r>
              <w:rPr>
                <w:noProof/>
                <w:sz w:val="18"/>
              </w:rPr>
              <w:t>(Total commitments = Total payments)</w:t>
            </w:r>
          </w:p>
        </w:tc>
        <w:tc>
          <w:tcPr>
            <w:tcW w:w="801" w:type="dxa"/>
            <w:vAlign w:val="center"/>
          </w:tcPr>
          <w:p>
            <w:pPr>
              <w:jc w:val="center"/>
              <w:rPr>
                <w:noProof/>
                <w:sz w:val="14"/>
              </w:rPr>
            </w:pPr>
            <w:r>
              <w:rPr>
                <w:noProof/>
                <w:sz w:val="14"/>
              </w:rPr>
              <w:t>=1+1a +3a</w:t>
            </w:r>
          </w:p>
        </w:tc>
        <w:tc>
          <w:tcPr>
            <w:tcW w:w="801" w:type="dxa"/>
          </w:tcPr>
          <w:p>
            <w:pPr>
              <w:spacing w:before="20" w:after="20"/>
              <w:jc w:val="center"/>
              <w:rPr>
                <w:b/>
                <w:noProof/>
                <w:sz w:val="20"/>
                <w:szCs w:val="20"/>
              </w:rPr>
            </w:pPr>
            <w:r>
              <w:rPr>
                <w:b/>
                <w:noProof/>
                <w:sz w:val="20"/>
                <w:szCs w:val="20"/>
              </w:rPr>
              <w:t xml:space="preserve">0 </w:t>
            </w:r>
          </w:p>
        </w:tc>
        <w:tc>
          <w:tcPr>
            <w:tcW w:w="788" w:type="dxa"/>
          </w:tcPr>
          <w:p>
            <w:pPr>
              <w:spacing w:before="20" w:after="20"/>
              <w:jc w:val="center"/>
              <w:rPr>
                <w:b/>
                <w:noProof/>
                <w:sz w:val="20"/>
                <w:szCs w:val="20"/>
              </w:rPr>
            </w:pPr>
            <w:r>
              <w:rPr>
                <w:b/>
                <w:noProof/>
                <w:sz w:val="20"/>
                <w:szCs w:val="20"/>
              </w:rPr>
              <w:t xml:space="preserve">0 </w:t>
            </w:r>
          </w:p>
        </w:tc>
        <w:tc>
          <w:tcPr>
            <w:tcW w:w="840" w:type="dxa"/>
          </w:tcPr>
          <w:p>
            <w:pPr>
              <w:spacing w:before="20" w:after="20"/>
              <w:jc w:val="center"/>
              <w:rPr>
                <w:b/>
                <w:noProof/>
                <w:sz w:val="20"/>
                <w:szCs w:val="20"/>
              </w:rPr>
            </w:pPr>
            <w:r>
              <w:rPr>
                <w:b/>
                <w:noProof/>
                <w:sz w:val="20"/>
                <w:szCs w:val="20"/>
              </w:rPr>
              <w:t xml:space="preserve">0 </w:t>
            </w:r>
          </w:p>
        </w:tc>
        <w:tc>
          <w:tcPr>
            <w:tcW w:w="840" w:type="dxa"/>
          </w:tcPr>
          <w:p>
            <w:pPr>
              <w:spacing w:before="20" w:after="20"/>
              <w:jc w:val="right"/>
              <w:rPr>
                <w:b/>
                <w:noProof/>
                <w:sz w:val="20"/>
                <w:szCs w:val="20"/>
              </w:rPr>
            </w:pPr>
            <w:r>
              <w:rPr>
                <w:b/>
                <w:noProof/>
                <w:sz w:val="20"/>
                <w:szCs w:val="20"/>
              </w:rPr>
              <w:t xml:space="preserve">0,776 </w:t>
            </w:r>
          </w:p>
        </w:tc>
        <w:tc>
          <w:tcPr>
            <w:tcW w:w="840" w:type="dxa"/>
          </w:tcPr>
          <w:p>
            <w:pPr>
              <w:spacing w:before="20" w:after="20"/>
              <w:jc w:val="right"/>
              <w:rPr>
                <w:b/>
                <w:noProof/>
                <w:sz w:val="20"/>
                <w:szCs w:val="20"/>
              </w:rPr>
            </w:pPr>
            <w:r>
              <w:rPr>
                <w:b/>
                <w:noProof/>
                <w:sz w:val="20"/>
                <w:szCs w:val="20"/>
              </w:rPr>
              <w:t xml:space="preserve">4,744 </w:t>
            </w:r>
          </w:p>
        </w:tc>
        <w:tc>
          <w:tcPr>
            <w:tcW w:w="840" w:type="dxa"/>
          </w:tcPr>
          <w:p>
            <w:pPr>
              <w:spacing w:before="20" w:after="20"/>
              <w:jc w:val="right"/>
              <w:rPr>
                <w:b/>
                <w:noProof/>
                <w:sz w:val="20"/>
                <w:szCs w:val="20"/>
              </w:rPr>
            </w:pPr>
            <w:r>
              <w:rPr>
                <w:b/>
                <w:noProof/>
                <w:sz w:val="20"/>
                <w:szCs w:val="20"/>
              </w:rPr>
              <w:t xml:space="preserve">0,402 </w:t>
            </w:r>
          </w:p>
        </w:tc>
        <w:tc>
          <w:tcPr>
            <w:tcW w:w="840" w:type="dxa"/>
          </w:tcPr>
          <w:p>
            <w:pPr>
              <w:spacing w:before="20" w:after="20"/>
              <w:jc w:val="center"/>
              <w:rPr>
                <w:b/>
                <w:noProof/>
                <w:sz w:val="20"/>
                <w:szCs w:val="20"/>
              </w:rPr>
            </w:pPr>
            <w:r>
              <w:rPr>
                <w:b/>
                <w:noProof/>
                <w:sz w:val="20"/>
                <w:szCs w:val="20"/>
              </w:rPr>
              <w:t xml:space="preserve">0 </w:t>
            </w:r>
          </w:p>
        </w:tc>
        <w:tc>
          <w:tcPr>
            <w:tcW w:w="839" w:type="dxa"/>
          </w:tcPr>
          <w:p>
            <w:pPr>
              <w:spacing w:before="20" w:after="20"/>
              <w:jc w:val="center"/>
              <w:rPr>
                <w:b/>
                <w:noProof/>
                <w:sz w:val="20"/>
                <w:szCs w:val="20"/>
              </w:rPr>
            </w:pPr>
            <w:r>
              <w:rPr>
                <w:b/>
                <w:noProof/>
                <w:sz w:val="20"/>
                <w:szCs w:val="20"/>
              </w:rPr>
              <w:t xml:space="preserve">0 </w:t>
            </w:r>
          </w:p>
        </w:tc>
        <w:tc>
          <w:tcPr>
            <w:tcW w:w="801" w:type="dxa"/>
          </w:tcPr>
          <w:p>
            <w:pPr>
              <w:spacing w:before="20" w:after="20"/>
              <w:jc w:val="center"/>
              <w:rPr>
                <w:b/>
                <w:noProof/>
                <w:sz w:val="20"/>
                <w:szCs w:val="20"/>
              </w:rPr>
            </w:pPr>
            <w:r>
              <w:rPr>
                <w:b/>
                <w:noProof/>
                <w:sz w:val="20"/>
                <w:szCs w:val="20"/>
              </w:rPr>
              <w:t xml:space="preserve">0 </w:t>
            </w:r>
          </w:p>
        </w:tc>
        <w:tc>
          <w:tcPr>
            <w:tcW w:w="1470" w:type="dxa"/>
          </w:tcPr>
          <w:p>
            <w:pPr>
              <w:spacing w:before="20" w:after="20"/>
              <w:jc w:val="right"/>
              <w:rPr>
                <w:b/>
                <w:noProof/>
                <w:sz w:val="20"/>
                <w:szCs w:val="20"/>
              </w:rPr>
            </w:pPr>
            <w:r>
              <w:rPr>
                <w:b/>
                <w:noProof/>
                <w:sz w:val="20"/>
                <w:szCs w:val="20"/>
              </w:rPr>
              <w:t xml:space="preserve">5,923 </w:t>
            </w:r>
          </w:p>
        </w:tc>
      </w:tr>
    </w:tbl>
    <w:p>
      <w:pPr>
        <w:pStyle w:val="ListDash"/>
        <w:rPr>
          <w:noProof/>
        </w:rPr>
      </w:pPr>
      <w:r>
        <w:rPr>
          <w:noProof/>
        </w:rPr>
        <w:t>The budget for the EBCG covers the expenditures of a team dedicated for the validation of links generated by the MID (multiple identity detector) on the legacy data (something like 14 million records).  The volume of links to be validated manually is estimated around 550.000.</w:t>
      </w:r>
      <w:r>
        <w:rPr>
          <w:noProof/>
        </w:rPr>
        <w:br/>
        <w:t>The dedicated team set up for this purpose is added to the EBCG team set up for ETIAS because this is functionally close and avoids the set-up costs of a new team. The work is expected to take place in 2023. The contract agents are therefore recruited up to 3 months in advance and their contract stopped up to 2 months after the end of the migration activity. Another part of the required resources are not assumed to be recruited as contract agents and will be hired in as consultants. This explains the costs under Title 3 for 2023. They are assumed to be hired one month in advance. Further details on staff levels are provided later.</w:t>
      </w:r>
    </w:p>
    <w:p>
      <w:pPr>
        <w:pStyle w:val="ListDash"/>
        <w:rPr>
          <w:noProof/>
        </w:rPr>
      </w:pPr>
      <w:r>
        <w:rPr>
          <w:noProof/>
        </w:rPr>
        <w:t xml:space="preserve">Title 1 includes therefore the cost of 20 internal staff, and the provisions for a strengthening of the management and support staff. </w:t>
      </w:r>
    </w:p>
    <w:p>
      <w:pPr>
        <w:pStyle w:val="ListDash"/>
        <w:rPr>
          <w:noProof/>
        </w:rPr>
      </w:pPr>
      <w:r>
        <w:rPr>
          <w:noProof/>
        </w:rPr>
        <w:t xml:space="preserve">Title 2 includes the additional cost for hosting the 10 additional contractor's staff.  </w:t>
      </w:r>
    </w:p>
    <w:p>
      <w:pPr>
        <w:pStyle w:val="ListDash"/>
        <w:rPr>
          <w:noProof/>
        </w:rPr>
      </w:pPr>
      <w:r>
        <w:rPr>
          <w:noProof/>
        </w:rPr>
        <w:t>Title 3 includes the fee for the additional 10 contractor's staff. There are no other types of cost included.</w:t>
      </w:r>
    </w:p>
    <w:p>
      <w:pPr>
        <w:rPr>
          <w:noProof/>
        </w:rPr>
      </w:pPr>
    </w:p>
    <w:tbl>
      <w:tblPr>
        <w:tblW w:w="13827"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70"/>
        <w:gridCol w:w="1357"/>
        <w:gridCol w:w="801"/>
        <w:gridCol w:w="801"/>
        <w:gridCol w:w="788"/>
        <w:gridCol w:w="840"/>
        <w:gridCol w:w="840"/>
        <w:gridCol w:w="840"/>
        <w:gridCol w:w="840"/>
        <w:gridCol w:w="840"/>
        <w:gridCol w:w="839"/>
        <w:gridCol w:w="801"/>
        <w:gridCol w:w="1470"/>
      </w:tblGrid>
      <w:tr>
        <w:trPr>
          <w:trHeight w:val="687"/>
        </w:trPr>
        <w:tc>
          <w:tcPr>
            <w:tcW w:w="2770" w:type="dxa"/>
            <w:vAlign w:val="center"/>
          </w:tcPr>
          <w:p>
            <w:pPr>
              <w:jc w:val="center"/>
              <w:rPr>
                <w:b/>
                <w:noProof/>
              </w:rPr>
            </w:pPr>
            <w:r>
              <w:rPr>
                <w:b/>
                <w:noProof/>
                <w:sz w:val="22"/>
              </w:rPr>
              <w:t>18.0204 - Europol</w:t>
            </w:r>
          </w:p>
        </w:tc>
        <w:tc>
          <w:tcPr>
            <w:tcW w:w="1357" w:type="dxa"/>
          </w:tcPr>
          <w:p>
            <w:pPr>
              <w:rPr>
                <w:noProof/>
                <w:sz w:val="20"/>
              </w:rPr>
            </w:pPr>
          </w:p>
        </w:tc>
        <w:tc>
          <w:tcPr>
            <w:tcW w:w="801" w:type="dxa"/>
          </w:tcPr>
          <w:p>
            <w:pPr>
              <w:jc w:val="center"/>
              <w:rPr>
                <w:noProof/>
                <w:sz w:val="20"/>
              </w:rPr>
            </w:pPr>
          </w:p>
        </w:tc>
        <w:tc>
          <w:tcPr>
            <w:tcW w:w="801" w:type="dxa"/>
            <w:vAlign w:val="center"/>
          </w:tcPr>
          <w:p>
            <w:pPr>
              <w:jc w:val="center"/>
              <w:rPr>
                <w:noProof/>
                <w:sz w:val="20"/>
              </w:rPr>
            </w:pPr>
            <w:r>
              <w:rPr>
                <w:noProof/>
                <w:sz w:val="20"/>
              </w:rPr>
              <w:t>Year</w:t>
            </w:r>
            <w:r>
              <w:rPr>
                <w:noProof/>
                <w:sz w:val="22"/>
              </w:rPr>
              <w:br/>
            </w:r>
            <w:r>
              <w:rPr>
                <w:b/>
                <w:noProof/>
                <w:sz w:val="20"/>
              </w:rPr>
              <w:t>2019</w:t>
            </w:r>
          </w:p>
        </w:tc>
        <w:tc>
          <w:tcPr>
            <w:tcW w:w="788" w:type="dxa"/>
            <w:vAlign w:val="center"/>
          </w:tcPr>
          <w:p>
            <w:pPr>
              <w:jc w:val="center"/>
              <w:rPr>
                <w:noProof/>
                <w:sz w:val="20"/>
              </w:rPr>
            </w:pPr>
            <w:r>
              <w:rPr>
                <w:noProof/>
                <w:sz w:val="20"/>
              </w:rPr>
              <w:t>Year</w:t>
            </w:r>
            <w:r>
              <w:rPr>
                <w:noProof/>
                <w:sz w:val="22"/>
              </w:rPr>
              <w:br/>
            </w:r>
            <w:r>
              <w:rPr>
                <w:b/>
                <w:noProof/>
                <w:sz w:val="20"/>
              </w:rPr>
              <w:t>2020</w:t>
            </w:r>
          </w:p>
        </w:tc>
        <w:tc>
          <w:tcPr>
            <w:tcW w:w="840" w:type="dxa"/>
            <w:vAlign w:val="center"/>
          </w:tcPr>
          <w:p>
            <w:pPr>
              <w:jc w:val="center"/>
              <w:rPr>
                <w:noProof/>
                <w:sz w:val="20"/>
              </w:rPr>
            </w:pPr>
            <w:r>
              <w:rPr>
                <w:noProof/>
                <w:sz w:val="20"/>
              </w:rPr>
              <w:t>Year</w:t>
            </w:r>
            <w:r>
              <w:rPr>
                <w:noProof/>
                <w:sz w:val="22"/>
              </w:rPr>
              <w:br/>
            </w:r>
            <w:r>
              <w:rPr>
                <w:b/>
                <w:noProof/>
                <w:sz w:val="20"/>
              </w:rPr>
              <w:t>2021</w:t>
            </w:r>
          </w:p>
        </w:tc>
        <w:tc>
          <w:tcPr>
            <w:tcW w:w="840" w:type="dxa"/>
            <w:vAlign w:val="center"/>
          </w:tcPr>
          <w:p>
            <w:pPr>
              <w:jc w:val="center"/>
              <w:rPr>
                <w:noProof/>
                <w:sz w:val="20"/>
              </w:rPr>
            </w:pPr>
            <w:r>
              <w:rPr>
                <w:noProof/>
                <w:sz w:val="20"/>
              </w:rPr>
              <w:t>Year</w:t>
            </w:r>
            <w:r>
              <w:rPr>
                <w:noProof/>
                <w:sz w:val="22"/>
              </w:rPr>
              <w:br/>
            </w:r>
            <w:r>
              <w:rPr>
                <w:b/>
                <w:noProof/>
                <w:sz w:val="20"/>
              </w:rPr>
              <w:t>2022</w:t>
            </w:r>
          </w:p>
        </w:tc>
        <w:tc>
          <w:tcPr>
            <w:tcW w:w="840" w:type="dxa"/>
            <w:vAlign w:val="center"/>
          </w:tcPr>
          <w:p>
            <w:pPr>
              <w:jc w:val="center"/>
              <w:rPr>
                <w:noProof/>
                <w:sz w:val="20"/>
              </w:rPr>
            </w:pPr>
            <w:r>
              <w:rPr>
                <w:noProof/>
                <w:sz w:val="20"/>
              </w:rPr>
              <w:t>Year</w:t>
            </w:r>
            <w:r>
              <w:rPr>
                <w:noProof/>
                <w:sz w:val="20"/>
              </w:rPr>
              <w:br/>
            </w:r>
            <w:r>
              <w:rPr>
                <w:b/>
                <w:noProof/>
                <w:sz w:val="20"/>
              </w:rPr>
              <w:t>2023</w:t>
            </w:r>
          </w:p>
        </w:tc>
        <w:tc>
          <w:tcPr>
            <w:tcW w:w="840" w:type="dxa"/>
            <w:shd w:val="clear" w:color="auto" w:fill="auto"/>
            <w:vAlign w:val="center"/>
          </w:tcPr>
          <w:p>
            <w:pPr>
              <w:jc w:val="center"/>
              <w:rPr>
                <w:noProof/>
                <w:sz w:val="20"/>
              </w:rPr>
            </w:pPr>
            <w:r>
              <w:rPr>
                <w:noProof/>
                <w:sz w:val="20"/>
              </w:rPr>
              <w:t>Year</w:t>
            </w:r>
            <w:r>
              <w:rPr>
                <w:noProof/>
                <w:sz w:val="20"/>
              </w:rPr>
              <w:br/>
            </w:r>
            <w:r>
              <w:rPr>
                <w:b/>
                <w:noProof/>
                <w:sz w:val="20"/>
              </w:rPr>
              <w:t>2024</w:t>
            </w:r>
          </w:p>
        </w:tc>
        <w:tc>
          <w:tcPr>
            <w:tcW w:w="840" w:type="dxa"/>
            <w:shd w:val="clear" w:color="auto" w:fill="auto"/>
            <w:vAlign w:val="center"/>
          </w:tcPr>
          <w:p>
            <w:pPr>
              <w:jc w:val="center"/>
              <w:rPr>
                <w:noProof/>
                <w:sz w:val="20"/>
              </w:rPr>
            </w:pPr>
            <w:r>
              <w:rPr>
                <w:noProof/>
                <w:sz w:val="20"/>
              </w:rPr>
              <w:t>Year</w:t>
            </w:r>
            <w:r>
              <w:rPr>
                <w:noProof/>
                <w:sz w:val="20"/>
              </w:rPr>
              <w:br/>
            </w:r>
            <w:r>
              <w:rPr>
                <w:b/>
                <w:noProof/>
                <w:sz w:val="20"/>
              </w:rPr>
              <w:t>2025</w:t>
            </w:r>
          </w:p>
        </w:tc>
        <w:tc>
          <w:tcPr>
            <w:tcW w:w="839" w:type="dxa"/>
            <w:shd w:val="clear" w:color="auto" w:fill="auto"/>
          </w:tcPr>
          <w:p>
            <w:pPr>
              <w:jc w:val="center"/>
              <w:rPr>
                <w:noProof/>
                <w:sz w:val="20"/>
              </w:rPr>
            </w:pPr>
            <w:r>
              <w:rPr>
                <w:noProof/>
                <w:sz w:val="20"/>
              </w:rPr>
              <w:t>Year</w:t>
            </w:r>
            <w:r>
              <w:rPr>
                <w:noProof/>
                <w:sz w:val="20"/>
              </w:rPr>
              <w:br/>
            </w:r>
            <w:r>
              <w:rPr>
                <w:b/>
                <w:noProof/>
                <w:sz w:val="20"/>
              </w:rPr>
              <w:t>2026</w:t>
            </w:r>
          </w:p>
        </w:tc>
        <w:tc>
          <w:tcPr>
            <w:tcW w:w="801" w:type="dxa"/>
          </w:tcPr>
          <w:p>
            <w:pPr>
              <w:jc w:val="center"/>
              <w:rPr>
                <w:noProof/>
                <w:sz w:val="20"/>
              </w:rPr>
            </w:pPr>
            <w:r>
              <w:rPr>
                <w:noProof/>
                <w:sz w:val="20"/>
              </w:rPr>
              <w:t>Year</w:t>
            </w:r>
            <w:r>
              <w:rPr>
                <w:noProof/>
                <w:sz w:val="20"/>
              </w:rPr>
              <w:br/>
            </w:r>
            <w:r>
              <w:rPr>
                <w:b/>
                <w:noProof/>
                <w:sz w:val="20"/>
              </w:rPr>
              <w:t>2027</w:t>
            </w:r>
          </w:p>
        </w:tc>
        <w:tc>
          <w:tcPr>
            <w:tcW w:w="1470" w:type="dxa"/>
            <w:vAlign w:val="center"/>
          </w:tcPr>
          <w:p>
            <w:pPr>
              <w:jc w:val="center"/>
              <w:rPr>
                <w:b/>
                <w:noProof/>
                <w:sz w:val="20"/>
              </w:rPr>
            </w:pPr>
            <w:r>
              <w:rPr>
                <w:b/>
                <w:noProof/>
                <w:sz w:val="20"/>
              </w:rPr>
              <w:t>TOTAL</w:t>
            </w:r>
          </w:p>
        </w:tc>
      </w:tr>
      <w:tr>
        <w:trPr>
          <w:trHeight w:val="276"/>
        </w:trPr>
        <w:tc>
          <w:tcPr>
            <w:tcW w:w="2770" w:type="dxa"/>
            <w:vMerge w:val="restart"/>
            <w:vAlign w:val="center"/>
          </w:tcPr>
          <w:p>
            <w:pPr>
              <w:jc w:val="left"/>
              <w:rPr>
                <w:noProof/>
                <w:color w:val="0000FF"/>
              </w:rPr>
            </w:pPr>
            <w:r>
              <w:rPr>
                <w:noProof/>
                <w:sz w:val="20"/>
              </w:rPr>
              <w:t>Title 1: Staff expenditures</w:t>
            </w:r>
          </w:p>
        </w:tc>
        <w:tc>
          <w:tcPr>
            <w:tcW w:w="1357" w:type="dxa"/>
            <w:vAlign w:val="center"/>
          </w:tcPr>
          <w:p>
            <w:pPr>
              <w:spacing w:before="20" w:after="20"/>
              <w:rPr>
                <w:noProof/>
              </w:rPr>
            </w:pPr>
            <w:r>
              <w:rPr>
                <w:noProof/>
                <w:sz w:val="18"/>
              </w:rPr>
              <w:t>Commitments</w:t>
            </w:r>
          </w:p>
        </w:tc>
        <w:tc>
          <w:tcPr>
            <w:tcW w:w="801" w:type="dxa"/>
            <w:vAlign w:val="center"/>
          </w:tcPr>
          <w:p>
            <w:pPr>
              <w:spacing w:before="20" w:after="20"/>
              <w:jc w:val="center"/>
              <w:rPr>
                <w:noProof/>
                <w:sz w:val="14"/>
              </w:rPr>
            </w:pPr>
            <w:r>
              <w:rPr>
                <w:noProof/>
                <w:sz w:val="14"/>
              </w:rPr>
              <w:t>(1)</w:t>
            </w:r>
          </w:p>
        </w:tc>
        <w:tc>
          <w:tcPr>
            <w:tcW w:w="801" w:type="dxa"/>
          </w:tcPr>
          <w:p>
            <w:pPr>
              <w:spacing w:before="20" w:after="20"/>
              <w:jc w:val="right"/>
              <w:rPr>
                <w:noProof/>
                <w:sz w:val="20"/>
              </w:rPr>
            </w:pPr>
            <w:r>
              <w:rPr>
                <w:noProof/>
                <w:sz w:val="20"/>
              </w:rPr>
              <w:t xml:space="preserve">0,690 </w:t>
            </w:r>
          </w:p>
        </w:tc>
        <w:tc>
          <w:tcPr>
            <w:tcW w:w="788" w:type="dxa"/>
          </w:tcPr>
          <w:p>
            <w:pPr>
              <w:spacing w:before="20" w:after="20"/>
              <w:jc w:val="right"/>
              <w:rPr>
                <w:noProof/>
                <w:sz w:val="20"/>
              </w:rPr>
            </w:pPr>
            <w:r>
              <w:rPr>
                <w:noProof/>
                <w:sz w:val="20"/>
              </w:rPr>
              <w:t>2,002</w:t>
            </w:r>
          </w:p>
        </w:tc>
        <w:tc>
          <w:tcPr>
            <w:tcW w:w="840" w:type="dxa"/>
          </w:tcPr>
          <w:p>
            <w:pPr>
              <w:spacing w:before="20" w:after="20"/>
              <w:jc w:val="right"/>
              <w:rPr>
                <w:noProof/>
                <w:sz w:val="20"/>
              </w:rPr>
            </w:pPr>
            <w:r>
              <w:rPr>
                <w:noProof/>
                <w:sz w:val="20"/>
              </w:rPr>
              <w:t>2,002</w:t>
            </w:r>
          </w:p>
        </w:tc>
        <w:tc>
          <w:tcPr>
            <w:tcW w:w="840" w:type="dxa"/>
          </w:tcPr>
          <w:p>
            <w:pPr>
              <w:spacing w:before="20" w:after="20"/>
              <w:jc w:val="right"/>
              <w:rPr>
                <w:noProof/>
                <w:sz w:val="20"/>
              </w:rPr>
            </w:pPr>
            <w:r>
              <w:rPr>
                <w:noProof/>
                <w:sz w:val="20"/>
              </w:rPr>
              <w:t xml:space="preserve">1,181 </w:t>
            </w:r>
          </w:p>
        </w:tc>
        <w:tc>
          <w:tcPr>
            <w:tcW w:w="840" w:type="dxa"/>
          </w:tcPr>
          <w:p>
            <w:pPr>
              <w:spacing w:before="20" w:after="20"/>
              <w:jc w:val="right"/>
              <w:rPr>
                <w:noProof/>
                <w:sz w:val="20"/>
              </w:rPr>
            </w:pPr>
            <w:r>
              <w:rPr>
                <w:noProof/>
                <w:sz w:val="20"/>
              </w:rPr>
              <w:t xml:space="preserve">1,181 </w:t>
            </w:r>
          </w:p>
        </w:tc>
        <w:tc>
          <w:tcPr>
            <w:tcW w:w="840" w:type="dxa"/>
          </w:tcPr>
          <w:p>
            <w:pPr>
              <w:spacing w:before="20" w:after="20"/>
              <w:jc w:val="right"/>
              <w:rPr>
                <w:noProof/>
                <w:sz w:val="20"/>
              </w:rPr>
            </w:pPr>
            <w:r>
              <w:rPr>
                <w:noProof/>
                <w:sz w:val="20"/>
              </w:rPr>
              <w:t xml:space="preserve">0,974 </w:t>
            </w:r>
          </w:p>
        </w:tc>
        <w:tc>
          <w:tcPr>
            <w:tcW w:w="840" w:type="dxa"/>
          </w:tcPr>
          <w:p>
            <w:pPr>
              <w:spacing w:before="20" w:after="20"/>
              <w:jc w:val="right"/>
              <w:rPr>
                <w:noProof/>
                <w:sz w:val="20"/>
              </w:rPr>
            </w:pPr>
            <w:r>
              <w:rPr>
                <w:noProof/>
                <w:sz w:val="20"/>
              </w:rPr>
              <w:t>0,974</w:t>
            </w:r>
          </w:p>
        </w:tc>
        <w:tc>
          <w:tcPr>
            <w:tcW w:w="839" w:type="dxa"/>
          </w:tcPr>
          <w:p>
            <w:pPr>
              <w:spacing w:before="20" w:after="20"/>
              <w:jc w:val="right"/>
              <w:rPr>
                <w:noProof/>
                <w:sz w:val="20"/>
              </w:rPr>
            </w:pPr>
            <w:r>
              <w:rPr>
                <w:noProof/>
                <w:sz w:val="20"/>
              </w:rPr>
              <w:t>0,974</w:t>
            </w:r>
          </w:p>
        </w:tc>
        <w:tc>
          <w:tcPr>
            <w:tcW w:w="801" w:type="dxa"/>
          </w:tcPr>
          <w:p>
            <w:pPr>
              <w:spacing w:before="20" w:after="20"/>
              <w:jc w:val="right"/>
              <w:rPr>
                <w:noProof/>
                <w:sz w:val="20"/>
              </w:rPr>
            </w:pPr>
            <w:r>
              <w:rPr>
                <w:noProof/>
                <w:sz w:val="20"/>
              </w:rPr>
              <w:t>0,974</w:t>
            </w:r>
          </w:p>
        </w:tc>
        <w:tc>
          <w:tcPr>
            <w:tcW w:w="1470" w:type="dxa"/>
          </w:tcPr>
          <w:p>
            <w:pPr>
              <w:spacing w:before="20" w:after="20"/>
              <w:jc w:val="right"/>
              <w:rPr>
                <w:b/>
                <w:noProof/>
                <w:sz w:val="20"/>
              </w:rPr>
            </w:pPr>
            <w:r>
              <w:rPr>
                <w:noProof/>
                <w:sz w:val="20"/>
              </w:rPr>
              <w:t>10,952</w:t>
            </w:r>
          </w:p>
        </w:tc>
      </w:tr>
      <w:tr>
        <w:trPr>
          <w:trHeight w:val="144"/>
        </w:trPr>
        <w:tc>
          <w:tcPr>
            <w:tcW w:w="2770" w:type="dxa"/>
            <w:vMerge/>
            <w:vAlign w:val="center"/>
          </w:tcPr>
          <w:p>
            <w:pPr>
              <w:jc w:val="left"/>
              <w:rPr>
                <w:noProof/>
                <w:color w:val="0000FF"/>
              </w:rPr>
            </w:pPr>
          </w:p>
        </w:tc>
        <w:tc>
          <w:tcPr>
            <w:tcW w:w="1357" w:type="dxa"/>
            <w:vAlign w:val="center"/>
          </w:tcPr>
          <w:p>
            <w:pPr>
              <w:spacing w:before="20" w:after="20"/>
              <w:rPr>
                <w:noProof/>
                <w:sz w:val="18"/>
              </w:rPr>
            </w:pPr>
            <w:r>
              <w:rPr>
                <w:noProof/>
                <w:sz w:val="18"/>
              </w:rPr>
              <w:t>Payments</w:t>
            </w:r>
          </w:p>
        </w:tc>
        <w:tc>
          <w:tcPr>
            <w:tcW w:w="801" w:type="dxa"/>
            <w:vAlign w:val="center"/>
          </w:tcPr>
          <w:p>
            <w:pPr>
              <w:spacing w:before="20" w:after="20"/>
              <w:jc w:val="center"/>
              <w:rPr>
                <w:noProof/>
                <w:sz w:val="14"/>
              </w:rPr>
            </w:pPr>
            <w:r>
              <w:rPr>
                <w:noProof/>
                <w:sz w:val="14"/>
              </w:rPr>
              <w:t>(2)</w:t>
            </w:r>
          </w:p>
        </w:tc>
        <w:tc>
          <w:tcPr>
            <w:tcW w:w="801" w:type="dxa"/>
          </w:tcPr>
          <w:p>
            <w:pPr>
              <w:spacing w:before="20" w:after="20"/>
              <w:jc w:val="right"/>
              <w:rPr>
                <w:noProof/>
                <w:sz w:val="20"/>
              </w:rPr>
            </w:pPr>
            <w:r>
              <w:rPr>
                <w:noProof/>
                <w:sz w:val="20"/>
              </w:rPr>
              <w:t xml:space="preserve">0,690 </w:t>
            </w:r>
          </w:p>
        </w:tc>
        <w:tc>
          <w:tcPr>
            <w:tcW w:w="788" w:type="dxa"/>
          </w:tcPr>
          <w:p>
            <w:pPr>
              <w:spacing w:before="20" w:after="20"/>
              <w:jc w:val="right"/>
              <w:rPr>
                <w:noProof/>
                <w:sz w:val="20"/>
              </w:rPr>
            </w:pPr>
            <w:r>
              <w:rPr>
                <w:noProof/>
                <w:sz w:val="20"/>
              </w:rPr>
              <w:t>2,002</w:t>
            </w:r>
          </w:p>
        </w:tc>
        <w:tc>
          <w:tcPr>
            <w:tcW w:w="840" w:type="dxa"/>
          </w:tcPr>
          <w:p>
            <w:pPr>
              <w:spacing w:before="20" w:after="20"/>
              <w:jc w:val="right"/>
              <w:rPr>
                <w:noProof/>
                <w:sz w:val="20"/>
              </w:rPr>
            </w:pPr>
            <w:r>
              <w:rPr>
                <w:noProof/>
                <w:sz w:val="20"/>
              </w:rPr>
              <w:t>2,002</w:t>
            </w:r>
          </w:p>
        </w:tc>
        <w:tc>
          <w:tcPr>
            <w:tcW w:w="840" w:type="dxa"/>
          </w:tcPr>
          <w:p>
            <w:pPr>
              <w:spacing w:before="20" w:after="20"/>
              <w:jc w:val="right"/>
              <w:rPr>
                <w:noProof/>
                <w:sz w:val="20"/>
              </w:rPr>
            </w:pPr>
            <w:r>
              <w:rPr>
                <w:noProof/>
                <w:sz w:val="20"/>
              </w:rPr>
              <w:t xml:space="preserve">1,181 </w:t>
            </w:r>
          </w:p>
        </w:tc>
        <w:tc>
          <w:tcPr>
            <w:tcW w:w="840" w:type="dxa"/>
          </w:tcPr>
          <w:p>
            <w:pPr>
              <w:spacing w:before="20" w:after="20"/>
              <w:jc w:val="right"/>
              <w:rPr>
                <w:noProof/>
                <w:sz w:val="20"/>
              </w:rPr>
            </w:pPr>
            <w:r>
              <w:rPr>
                <w:noProof/>
                <w:sz w:val="20"/>
              </w:rPr>
              <w:t xml:space="preserve">1,181 </w:t>
            </w:r>
          </w:p>
        </w:tc>
        <w:tc>
          <w:tcPr>
            <w:tcW w:w="840" w:type="dxa"/>
          </w:tcPr>
          <w:p>
            <w:pPr>
              <w:spacing w:before="20" w:after="20"/>
              <w:jc w:val="right"/>
              <w:rPr>
                <w:noProof/>
                <w:sz w:val="20"/>
              </w:rPr>
            </w:pPr>
            <w:r>
              <w:rPr>
                <w:noProof/>
                <w:sz w:val="20"/>
              </w:rPr>
              <w:t xml:space="preserve">0,974 </w:t>
            </w:r>
          </w:p>
        </w:tc>
        <w:tc>
          <w:tcPr>
            <w:tcW w:w="840" w:type="dxa"/>
          </w:tcPr>
          <w:p>
            <w:pPr>
              <w:spacing w:before="20" w:after="20"/>
              <w:jc w:val="right"/>
              <w:rPr>
                <w:noProof/>
                <w:sz w:val="20"/>
              </w:rPr>
            </w:pPr>
            <w:r>
              <w:rPr>
                <w:noProof/>
                <w:sz w:val="20"/>
              </w:rPr>
              <w:t>0,974</w:t>
            </w:r>
          </w:p>
        </w:tc>
        <w:tc>
          <w:tcPr>
            <w:tcW w:w="839" w:type="dxa"/>
          </w:tcPr>
          <w:p>
            <w:pPr>
              <w:spacing w:before="20" w:after="20"/>
              <w:jc w:val="right"/>
              <w:rPr>
                <w:b/>
                <w:noProof/>
                <w:sz w:val="20"/>
              </w:rPr>
            </w:pPr>
            <w:r>
              <w:rPr>
                <w:noProof/>
                <w:sz w:val="20"/>
              </w:rPr>
              <w:t>0,974</w:t>
            </w:r>
          </w:p>
        </w:tc>
        <w:tc>
          <w:tcPr>
            <w:tcW w:w="801" w:type="dxa"/>
          </w:tcPr>
          <w:p>
            <w:pPr>
              <w:spacing w:before="20" w:after="20"/>
              <w:jc w:val="right"/>
              <w:rPr>
                <w:b/>
                <w:noProof/>
                <w:sz w:val="20"/>
              </w:rPr>
            </w:pPr>
            <w:r>
              <w:rPr>
                <w:noProof/>
                <w:sz w:val="20"/>
              </w:rPr>
              <w:t>0,974</w:t>
            </w:r>
          </w:p>
        </w:tc>
        <w:tc>
          <w:tcPr>
            <w:tcW w:w="1470" w:type="dxa"/>
          </w:tcPr>
          <w:p>
            <w:pPr>
              <w:spacing w:before="20" w:after="20"/>
              <w:jc w:val="right"/>
              <w:rPr>
                <w:b/>
                <w:noProof/>
                <w:sz w:val="20"/>
              </w:rPr>
            </w:pPr>
            <w:r>
              <w:rPr>
                <w:noProof/>
                <w:sz w:val="20"/>
              </w:rPr>
              <w:t>10,952</w:t>
            </w:r>
          </w:p>
        </w:tc>
      </w:tr>
      <w:tr>
        <w:trPr>
          <w:trHeight w:val="262"/>
        </w:trPr>
        <w:tc>
          <w:tcPr>
            <w:tcW w:w="2770" w:type="dxa"/>
            <w:vMerge w:val="restart"/>
            <w:vAlign w:val="center"/>
          </w:tcPr>
          <w:p>
            <w:pPr>
              <w:jc w:val="left"/>
              <w:rPr>
                <w:noProof/>
                <w:color w:val="0000FF"/>
              </w:rPr>
            </w:pPr>
            <w:r>
              <w:rPr>
                <w:noProof/>
                <w:sz w:val="20"/>
              </w:rPr>
              <w:t>Title 2: Infrastructure and Operating expenditure</w:t>
            </w:r>
          </w:p>
        </w:tc>
        <w:tc>
          <w:tcPr>
            <w:tcW w:w="1357" w:type="dxa"/>
            <w:vAlign w:val="center"/>
          </w:tcPr>
          <w:p>
            <w:pPr>
              <w:spacing w:before="20" w:after="20"/>
              <w:rPr>
                <w:noProof/>
                <w:sz w:val="18"/>
              </w:rPr>
            </w:pPr>
            <w:r>
              <w:rPr>
                <w:noProof/>
                <w:sz w:val="18"/>
              </w:rPr>
              <w:t>Commitments</w:t>
            </w:r>
          </w:p>
        </w:tc>
        <w:tc>
          <w:tcPr>
            <w:tcW w:w="801" w:type="dxa"/>
            <w:vAlign w:val="center"/>
          </w:tcPr>
          <w:p>
            <w:pPr>
              <w:spacing w:before="20" w:after="20"/>
              <w:jc w:val="center"/>
              <w:rPr>
                <w:noProof/>
                <w:sz w:val="14"/>
              </w:rPr>
            </w:pPr>
            <w:r>
              <w:rPr>
                <w:noProof/>
                <w:sz w:val="14"/>
              </w:rPr>
              <w:t>(1a)</w:t>
            </w:r>
          </w:p>
        </w:tc>
        <w:tc>
          <w:tcPr>
            <w:tcW w:w="801" w:type="dxa"/>
          </w:tcPr>
          <w:p>
            <w:pPr>
              <w:spacing w:before="20" w:after="20"/>
              <w:jc w:val="center"/>
              <w:rPr>
                <w:noProof/>
                <w:sz w:val="20"/>
              </w:rPr>
            </w:pPr>
            <w:r>
              <w:rPr>
                <w:noProof/>
                <w:sz w:val="20"/>
              </w:rPr>
              <w:t>0</w:t>
            </w:r>
          </w:p>
        </w:tc>
        <w:tc>
          <w:tcPr>
            <w:tcW w:w="788" w:type="dxa"/>
          </w:tcPr>
          <w:p>
            <w:pPr>
              <w:spacing w:before="20" w:after="20"/>
              <w:jc w:val="center"/>
              <w:rPr>
                <w:noProof/>
                <w:sz w:val="20"/>
              </w:rPr>
            </w:pPr>
            <w:r>
              <w:rPr>
                <w:noProof/>
                <w:sz w:val="20"/>
              </w:rPr>
              <w:t>0</w:t>
            </w:r>
          </w:p>
        </w:tc>
        <w:tc>
          <w:tcPr>
            <w:tcW w:w="840" w:type="dxa"/>
          </w:tcPr>
          <w:p>
            <w:pPr>
              <w:spacing w:before="20" w:after="20"/>
              <w:jc w:val="center"/>
              <w:rPr>
                <w:noProof/>
                <w:sz w:val="20"/>
              </w:rPr>
            </w:pPr>
            <w:r>
              <w:rPr>
                <w:noProof/>
                <w:sz w:val="20"/>
              </w:rPr>
              <w:t>0</w:t>
            </w:r>
          </w:p>
        </w:tc>
        <w:tc>
          <w:tcPr>
            <w:tcW w:w="840" w:type="dxa"/>
          </w:tcPr>
          <w:p>
            <w:pPr>
              <w:spacing w:before="20" w:after="20"/>
              <w:jc w:val="center"/>
              <w:rPr>
                <w:noProof/>
                <w:sz w:val="20"/>
              </w:rPr>
            </w:pPr>
            <w:r>
              <w:rPr>
                <w:noProof/>
                <w:sz w:val="20"/>
              </w:rPr>
              <w:t>0</w:t>
            </w:r>
          </w:p>
        </w:tc>
        <w:tc>
          <w:tcPr>
            <w:tcW w:w="840" w:type="dxa"/>
          </w:tcPr>
          <w:p>
            <w:pPr>
              <w:spacing w:before="20" w:after="20"/>
              <w:jc w:val="center"/>
              <w:rPr>
                <w:noProof/>
                <w:sz w:val="20"/>
              </w:rPr>
            </w:pPr>
            <w:r>
              <w:rPr>
                <w:noProof/>
                <w:sz w:val="20"/>
              </w:rPr>
              <w:t>0</w:t>
            </w:r>
          </w:p>
        </w:tc>
        <w:tc>
          <w:tcPr>
            <w:tcW w:w="840" w:type="dxa"/>
          </w:tcPr>
          <w:p>
            <w:pPr>
              <w:spacing w:before="20" w:after="20"/>
              <w:jc w:val="center"/>
              <w:rPr>
                <w:noProof/>
                <w:sz w:val="20"/>
              </w:rPr>
            </w:pPr>
            <w:r>
              <w:rPr>
                <w:noProof/>
                <w:sz w:val="20"/>
              </w:rPr>
              <w:t>0</w:t>
            </w:r>
          </w:p>
        </w:tc>
        <w:tc>
          <w:tcPr>
            <w:tcW w:w="840" w:type="dxa"/>
          </w:tcPr>
          <w:p>
            <w:pPr>
              <w:spacing w:before="20" w:after="20"/>
              <w:jc w:val="center"/>
              <w:rPr>
                <w:noProof/>
                <w:sz w:val="20"/>
              </w:rPr>
            </w:pPr>
            <w:r>
              <w:rPr>
                <w:noProof/>
                <w:sz w:val="20"/>
              </w:rPr>
              <w:t>0</w:t>
            </w:r>
          </w:p>
        </w:tc>
        <w:tc>
          <w:tcPr>
            <w:tcW w:w="839" w:type="dxa"/>
          </w:tcPr>
          <w:p>
            <w:pPr>
              <w:spacing w:before="20" w:after="20"/>
              <w:jc w:val="center"/>
              <w:rPr>
                <w:noProof/>
                <w:sz w:val="20"/>
              </w:rPr>
            </w:pPr>
            <w:r>
              <w:rPr>
                <w:noProof/>
                <w:sz w:val="20"/>
              </w:rPr>
              <w:t>0</w:t>
            </w:r>
          </w:p>
        </w:tc>
        <w:tc>
          <w:tcPr>
            <w:tcW w:w="801" w:type="dxa"/>
          </w:tcPr>
          <w:p>
            <w:pPr>
              <w:spacing w:before="20" w:after="20"/>
              <w:jc w:val="center"/>
              <w:rPr>
                <w:noProof/>
                <w:sz w:val="20"/>
              </w:rPr>
            </w:pPr>
            <w:r>
              <w:rPr>
                <w:noProof/>
                <w:sz w:val="20"/>
              </w:rPr>
              <w:t>0</w:t>
            </w:r>
          </w:p>
        </w:tc>
        <w:tc>
          <w:tcPr>
            <w:tcW w:w="1470" w:type="dxa"/>
          </w:tcPr>
          <w:p>
            <w:pPr>
              <w:spacing w:before="20" w:after="20"/>
              <w:jc w:val="right"/>
              <w:rPr>
                <w:b/>
                <w:noProof/>
                <w:sz w:val="20"/>
              </w:rPr>
            </w:pPr>
            <w:r>
              <w:rPr>
                <w:noProof/>
                <w:sz w:val="20"/>
              </w:rPr>
              <w:t>0</w:t>
            </w:r>
          </w:p>
        </w:tc>
      </w:tr>
      <w:tr>
        <w:trPr>
          <w:trHeight w:val="144"/>
        </w:trPr>
        <w:tc>
          <w:tcPr>
            <w:tcW w:w="2770" w:type="dxa"/>
            <w:vMerge/>
            <w:vAlign w:val="center"/>
          </w:tcPr>
          <w:p>
            <w:pPr>
              <w:jc w:val="left"/>
              <w:rPr>
                <w:noProof/>
                <w:color w:val="0000FF"/>
              </w:rPr>
            </w:pPr>
          </w:p>
        </w:tc>
        <w:tc>
          <w:tcPr>
            <w:tcW w:w="1357" w:type="dxa"/>
            <w:vAlign w:val="center"/>
          </w:tcPr>
          <w:p>
            <w:pPr>
              <w:spacing w:before="20" w:after="20"/>
              <w:rPr>
                <w:noProof/>
                <w:sz w:val="18"/>
              </w:rPr>
            </w:pPr>
            <w:r>
              <w:rPr>
                <w:noProof/>
                <w:sz w:val="18"/>
              </w:rPr>
              <w:t>Payments</w:t>
            </w:r>
          </w:p>
        </w:tc>
        <w:tc>
          <w:tcPr>
            <w:tcW w:w="801" w:type="dxa"/>
            <w:vAlign w:val="center"/>
          </w:tcPr>
          <w:p>
            <w:pPr>
              <w:spacing w:before="20" w:after="20"/>
              <w:jc w:val="center"/>
              <w:rPr>
                <w:noProof/>
                <w:sz w:val="14"/>
              </w:rPr>
            </w:pPr>
            <w:r>
              <w:rPr>
                <w:noProof/>
                <w:sz w:val="14"/>
              </w:rPr>
              <w:t>(2a)</w:t>
            </w:r>
          </w:p>
        </w:tc>
        <w:tc>
          <w:tcPr>
            <w:tcW w:w="801" w:type="dxa"/>
          </w:tcPr>
          <w:p>
            <w:pPr>
              <w:spacing w:before="20" w:after="20"/>
              <w:jc w:val="center"/>
              <w:rPr>
                <w:noProof/>
                <w:sz w:val="20"/>
              </w:rPr>
            </w:pPr>
            <w:r>
              <w:rPr>
                <w:noProof/>
                <w:sz w:val="20"/>
              </w:rPr>
              <w:t>0</w:t>
            </w:r>
          </w:p>
        </w:tc>
        <w:tc>
          <w:tcPr>
            <w:tcW w:w="788" w:type="dxa"/>
          </w:tcPr>
          <w:p>
            <w:pPr>
              <w:spacing w:before="20" w:after="20"/>
              <w:jc w:val="center"/>
              <w:rPr>
                <w:noProof/>
                <w:sz w:val="20"/>
              </w:rPr>
            </w:pPr>
            <w:r>
              <w:rPr>
                <w:noProof/>
                <w:sz w:val="20"/>
              </w:rPr>
              <w:t>0</w:t>
            </w:r>
          </w:p>
        </w:tc>
        <w:tc>
          <w:tcPr>
            <w:tcW w:w="840" w:type="dxa"/>
          </w:tcPr>
          <w:p>
            <w:pPr>
              <w:spacing w:before="20" w:after="20"/>
              <w:jc w:val="center"/>
              <w:rPr>
                <w:noProof/>
                <w:sz w:val="20"/>
              </w:rPr>
            </w:pPr>
            <w:r>
              <w:rPr>
                <w:noProof/>
                <w:sz w:val="20"/>
              </w:rPr>
              <w:t>0</w:t>
            </w:r>
          </w:p>
        </w:tc>
        <w:tc>
          <w:tcPr>
            <w:tcW w:w="840" w:type="dxa"/>
          </w:tcPr>
          <w:p>
            <w:pPr>
              <w:spacing w:before="20" w:after="20"/>
              <w:jc w:val="center"/>
              <w:rPr>
                <w:noProof/>
                <w:sz w:val="20"/>
              </w:rPr>
            </w:pPr>
            <w:r>
              <w:rPr>
                <w:noProof/>
                <w:sz w:val="20"/>
              </w:rPr>
              <w:t>0</w:t>
            </w:r>
          </w:p>
        </w:tc>
        <w:tc>
          <w:tcPr>
            <w:tcW w:w="840" w:type="dxa"/>
          </w:tcPr>
          <w:p>
            <w:pPr>
              <w:spacing w:before="20" w:after="20"/>
              <w:jc w:val="center"/>
              <w:rPr>
                <w:noProof/>
                <w:sz w:val="20"/>
              </w:rPr>
            </w:pPr>
            <w:r>
              <w:rPr>
                <w:noProof/>
                <w:sz w:val="20"/>
              </w:rPr>
              <w:t>0</w:t>
            </w:r>
          </w:p>
        </w:tc>
        <w:tc>
          <w:tcPr>
            <w:tcW w:w="840" w:type="dxa"/>
          </w:tcPr>
          <w:p>
            <w:pPr>
              <w:spacing w:before="20" w:after="20"/>
              <w:jc w:val="center"/>
              <w:rPr>
                <w:noProof/>
                <w:sz w:val="20"/>
              </w:rPr>
            </w:pPr>
            <w:r>
              <w:rPr>
                <w:noProof/>
                <w:sz w:val="20"/>
              </w:rPr>
              <w:t>0</w:t>
            </w:r>
          </w:p>
        </w:tc>
        <w:tc>
          <w:tcPr>
            <w:tcW w:w="840" w:type="dxa"/>
          </w:tcPr>
          <w:p>
            <w:pPr>
              <w:spacing w:before="20" w:after="20"/>
              <w:jc w:val="center"/>
              <w:rPr>
                <w:noProof/>
                <w:sz w:val="20"/>
              </w:rPr>
            </w:pPr>
            <w:r>
              <w:rPr>
                <w:noProof/>
                <w:sz w:val="20"/>
              </w:rPr>
              <w:t>0</w:t>
            </w:r>
          </w:p>
        </w:tc>
        <w:tc>
          <w:tcPr>
            <w:tcW w:w="839" w:type="dxa"/>
          </w:tcPr>
          <w:p>
            <w:pPr>
              <w:spacing w:before="20" w:after="20"/>
              <w:jc w:val="center"/>
              <w:rPr>
                <w:b/>
                <w:noProof/>
                <w:sz w:val="20"/>
              </w:rPr>
            </w:pPr>
            <w:r>
              <w:rPr>
                <w:noProof/>
                <w:sz w:val="20"/>
              </w:rPr>
              <w:t>0</w:t>
            </w:r>
          </w:p>
        </w:tc>
        <w:tc>
          <w:tcPr>
            <w:tcW w:w="801" w:type="dxa"/>
          </w:tcPr>
          <w:p>
            <w:pPr>
              <w:spacing w:before="20" w:after="20"/>
              <w:jc w:val="center"/>
              <w:rPr>
                <w:b/>
                <w:noProof/>
                <w:sz w:val="20"/>
              </w:rPr>
            </w:pPr>
            <w:r>
              <w:rPr>
                <w:noProof/>
                <w:sz w:val="20"/>
              </w:rPr>
              <w:t>0</w:t>
            </w:r>
          </w:p>
        </w:tc>
        <w:tc>
          <w:tcPr>
            <w:tcW w:w="1470" w:type="dxa"/>
          </w:tcPr>
          <w:p>
            <w:pPr>
              <w:spacing w:before="20" w:after="20"/>
              <w:jc w:val="right"/>
              <w:rPr>
                <w:b/>
                <w:noProof/>
                <w:sz w:val="20"/>
              </w:rPr>
            </w:pPr>
            <w:r>
              <w:rPr>
                <w:noProof/>
                <w:sz w:val="20"/>
              </w:rPr>
              <w:t xml:space="preserve">0 </w:t>
            </w:r>
          </w:p>
        </w:tc>
      </w:tr>
      <w:tr>
        <w:trPr>
          <w:trHeight w:val="318"/>
        </w:trPr>
        <w:tc>
          <w:tcPr>
            <w:tcW w:w="2770" w:type="dxa"/>
            <w:vMerge w:val="restart"/>
            <w:vAlign w:val="center"/>
          </w:tcPr>
          <w:p>
            <w:pPr>
              <w:spacing w:before="60" w:after="60"/>
              <w:jc w:val="left"/>
              <w:rPr>
                <w:noProof/>
                <w:color w:val="0000FF"/>
              </w:rPr>
            </w:pPr>
            <w:r>
              <w:rPr>
                <w:noProof/>
                <w:sz w:val="20"/>
              </w:rPr>
              <w:t>Title 3: Operational expenditure</w:t>
            </w:r>
          </w:p>
        </w:tc>
        <w:tc>
          <w:tcPr>
            <w:tcW w:w="1357" w:type="dxa"/>
            <w:vAlign w:val="center"/>
          </w:tcPr>
          <w:p>
            <w:pPr>
              <w:spacing w:before="40" w:after="40"/>
              <w:rPr>
                <w:noProof/>
                <w:sz w:val="18"/>
              </w:rPr>
            </w:pPr>
            <w:r>
              <w:rPr>
                <w:noProof/>
                <w:sz w:val="18"/>
              </w:rPr>
              <w:t>Commitments</w:t>
            </w:r>
          </w:p>
        </w:tc>
        <w:tc>
          <w:tcPr>
            <w:tcW w:w="801" w:type="dxa"/>
            <w:vAlign w:val="center"/>
          </w:tcPr>
          <w:p>
            <w:pPr>
              <w:spacing w:before="40" w:after="40"/>
              <w:jc w:val="center"/>
              <w:rPr>
                <w:noProof/>
                <w:sz w:val="14"/>
              </w:rPr>
            </w:pPr>
            <w:r>
              <w:rPr>
                <w:noProof/>
                <w:sz w:val="14"/>
              </w:rPr>
              <w:t>(3a)</w:t>
            </w:r>
          </w:p>
        </w:tc>
        <w:tc>
          <w:tcPr>
            <w:tcW w:w="801" w:type="dxa"/>
          </w:tcPr>
          <w:p>
            <w:pPr>
              <w:spacing w:before="40" w:after="40"/>
              <w:jc w:val="center"/>
              <w:rPr>
                <w:noProof/>
                <w:sz w:val="20"/>
              </w:rPr>
            </w:pPr>
            <w:r>
              <w:rPr>
                <w:noProof/>
                <w:sz w:val="20"/>
              </w:rPr>
              <w:t>0</w:t>
            </w:r>
          </w:p>
        </w:tc>
        <w:tc>
          <w:tcPr>
            <w:tcW w:w="788" w:type="dxa"/>
          </w:tcPr>
          <w:p>
            <w:pPr>
              <w:spacing w:before="40" w:after="40"/>
              <w:jc w:val="right"/>
              <w:rPr>
                <w:noProof/>
                <w:sz w:val="20"/>
              </w:rPr>
            </w:pPr>
            <w:r>
              <w:rPr>
                <w:noProof/>
                <w:sz w:val="20"/>
              </w:rPr>
              <w:t xml:space="preserve">6,380 </w:t>
            </w:r>
          </w:p>
        </w:tc>
        <w:tc>
          <w:tcPr>
            <w:tcW w:w="840" w:type="dxa"/>
          </w:tcPr>
          <w:p>
            <w:pPr>
              <w:spacing w:before="40" w:after="40"/>
              <w:jc w:val="right"/>
              <w:rPr>
                <w:noProof/>
                <w:sz w:val="20"/>
              </w:rPr>
            </w:pPr>
            <w:r>
              <w:rPr>
                <w:noProof/>
                <w:sz w:val="20"/>
              </w:rPr>
              <w:t xml:space="preserve">6,380 </w:t>
            </w:r>
          </w:p>
        </w:tc>
        <w:tc>
          <w:tcPr>
            <w:tcW w:w="840" w:type="dxa"/>
          </w:tcPr>
          <w:p>
            <w:pPr>
              <w:spacing w:before="40" w:after="40"/>
              <w:jc w:val="right"/>
              <w:rPr>
                <w:noProof/>
                <w:sz w:val="20"/>
              </w:rPr>
            </w:pPr>
            <w:r>
              <w:rPr>
                <w:noProof/>
                <w:sz w:val="20"/>
              </w:rPr>
              <w:t xml:space="preserve">2,408 </w:t>
            </w:r>
          </w:p>
        </w:tc>
        <w:tc>
          <w:tcPr>
            <w:tcW w:w="840" w:type="dxa"/>
          </w:tcPr>
          <w:p>
            <w:pPr>
              <w:spacing w:before="40" w:after="40"/>
              <w:jc w:val="right"/>
              <w:rPr>
                <w:noProof/>
                <w:sz w:val="20"/>
              </w:rPr>
            </w:pPr>
            <w:r>
              <w:rPr>
                <w:noProof/>
                <w:sz w:val="20"/>
              </w:rPr>
              <w:t xml:space="preserve">2,408 </w:t>
            </w:r>
          </w:p>
        </w:tc>
        <w:tc>
          <w:tcPr>
            <w:tcW w:w="840" w:type="dxa"/>
          </w:tcPr>
          <w:p>
            <w:pPr>
              <w:spacing w:before="40" w:after="40"/>
              <w:jc w:val="right"/>
              <w:rPr>
                <w:noProof/>
                <w:sz w:val="20"/>
              </w:rPr>
            </w:pPr>
            <w:r>
              <w:rPr>
                <w:noProof/>
                <w:sz w:val="20"/>
              </w:rPr>
              <w:t xml:space="preserve">7,758 </w:t>
            </w:r>
          </w:p>
        </w:tc>
        <w:tc>
          <w:tcPr>
            <w:tcW w:w="840" w:type="dxa"/>
          </w:tcPr>
          <w:p>
            <w:pPr>
              <w:spacing w:before="40" w:after="40"/>
              <w:jc w:val="right"/>
              <w:rPr>
                <w:noProof/>
                <w:sz w:val="20"/>
              </w:rPr>
            </w:pPr>
            <w:r>
              <w:rPr>
                <w:noProof/>
                <w:sz w:val="20"/>
              </w:rPr>
              <w:t xml:space="preserve">7,758 </w:t>
            </w:r>
          </w:p>
        </w:tc>
        <w:tc>
          <w:tcPr>
            <w:tcW w:w="839" w:type="dxa"/>
          </w:tcPr>
          <w:p>
            <w:pPr>
              <w:spacing w:before="40" w:after="40"/>
              <w:jc w:val="right"/>
              <w:rPr>
                <w:noProof/>
                <w:sz w:val="20"/>
              </w:rPr>
            </w:pPr>
            <w:r>
              <w:rPr>
                <w:noProof/>
                <w:sz w:val="20"/>
              </w:rPr>
              <w:t>7,758</w:t>
            </w:r>
          </w:p>
        </w:tc>
        <w:tc>
          <w:tcPr>
            <w:tcW w:w="801" w:type="dxa"/>
          </w:tcPr>
          <w:p>
            <w:pPr>
              <w:spacing w:before="40" w:after="40"/>
              <w:jc w:val="right"/>
              <w:rPr>
                <w:noProof/>
                <w:sz w:val="20"/>
              </w:rPr>
            </w:pPr>
            <w:r>
              <w:rPr>
                <w:noProof/>
                <w:sz w:val="20"/>
              </w:rPr>
              <w:t xml:space="preserve">2,408 </w:t>
            </w:r>
          </w:p>
        </w:tc>
        <w:tc>
          <w:tcPr>
            <w:tcW w:w="1470" w:type="dxa"/>
          </w:tcPr>
          <w:p>
            <w:pPr>
              <w:spacing w:before="40" w:after="40"/>
              <w:jc w:val="right"/>
              <w:rPr>
                <w:b/>
                <w:noProof/>
                <w:sz w:val="20"/>
              </w:rPr>
            </w:pPr>
            <w:r>
              <w:rPr>
                <w:noProof/>
                <w:sz w:val="20"/>
              </w:rPr>
              <w:t>37,908</w:t>
            </w:r>
          </w:p>
        </w:tc>
      </w:tr>
      <w:tr>
        <w:trPr>
          <w:trHeight w:val="318"/>
        </w:trPr>
        <w:tc>
          <w:tcPr>
            <w:tcW w:w="2770" w:type="dxa"/>
            <w:vMerge/>
            <w:vAlign w:val="center"/>
          </w:tcPr>
          <w:p>
            <w:pPr>
              <w:spacing w:before="60" w:after="60"/>
              <w:rPr>
                <w:b/>
                <w:noProof/>
                <w:sz w:val="20"/>
              </w:rPr>
            </w:pPr>
          </w:p>
        </w:tc>
        <w:tc>
          <w:tcPr>
            <w:tcW w:w="1357" w:type="dxa"/>
            <w:vAlign w:val="center"/>
          </w:tcPr>
          <w:p>
            <w:pPr>
              <w:spacing w:before="40" w:after="40"/>
              <w:rPr>
                <w:noProof/>
                <w:sz w:val="18"/>
              </w:rPr>
            </w:pPr>
            <w:r>
              <w:rPr>
                <w:noProof/>
                <w:sz w:val="18"/>
              </w:rPr>
              <w:t>Payments</w:t>
            </w:r>
          </w:p>
        </w:tc>
        <w:tc>
          <w:tcPr>
            <w:tcW w:w="801" w:type="dxa"/>
            <w:vAlign w:val="center"/>
          </w:tcPr>
          <w:p>
            <w:pPr>
              <w:spacing w:before="40" w:after="40"/>
              <w:jc w:val="center"/>
              <w:rPr>
                <w:noProof/>
                <w:sz w:val="14"/>
              </w:rPr>
            </w:pPr>
            <w:r>
              <w:rPr>
                <w:noProof/>
                <w:sz w:val="14"/>
              </w:rPr>
              <w:t>(3b)</w:t>
            </w:r>
          </w:p>
        </w:tc>
        <w:tc>
          <w:tcPr>
            <w:tcW w:w="801" w:type="dxa"/>
          </w:tcPr>
          <w:p>
            <w:pPr>
              <w:spacing w:before="40" w:after="40"/>
              <w:jc w:val="center"/>
              <w:rPr>
                <w:noProof/>
                <w:sz w:val="20"/>
              </w:rPr>
            </w:pPr>
            <w:r>
              <w:rPr>
                <w:noProof/>
                <w:sz w:val="20"/>
              </w:rPr>
              <w:t>0</w:t>
            </w:r>
          </w:p>
        </w:tc>
        <w:tc>
          <w:tcPr>
            <w:tcW w:w="788" w:type="dxa"/>
          </w:tcPr>
          <w:p>
            <w:pPr>
              <w:spacing w:before="40" w:after="40"/>
              <w:jc w:val="right"/>
              <w:rPr>
                <w:noProof/>
                <w:sz w:val="20"/>
              </w:rPr>
            </w:pPr>
            <w:r>
              <w:rPr>
                <w:noProof/>
                <w:sz w:val="20"/>
              </w:rPr>
              <w:t xml:space="preserve">6,380 </w:t>
            </w:r>
          </w:p>
        </w:tc>
        <w:tc>
          <w:tcPr>
            <w:tcW w:w="840" w:type="dxa"/>
          </w:tcPr>
          <w:p>
            <w:pPr>
              <w:spacing w:before="40" w:after="40"/>
              <w:jc w:val="right"/>
              <w:rPr>
                <w:noProof/>
                <w:sz w:val="20"/>
              </w:rPr>
            </w:pPr>
            <w:r>
              <w:rPr>
                <w:noProof/>
                <w:sz w:val="20"/>
              </w:rPr>
              <w:t xml:space="preserve">6,380 </w:t>
            </w:r>
          </w:p>
        </w:tc>
        <w:tc>
          <w:tcPr>
            <w:tcW w:w="840" w:type="dxa"/>
          </w:tcPr>
          <w:p>
            <w:pPr>
              <w:spacing w:before="40" w:after="40"/>
              <w:jc w:val="right"/>
              <w:rPr>
                <w:noProof/>
                <w:sz w:val="20"/>
              </w:rPr>
            </w:pPr>
            <w:r>
              <w:rPr>
                <w:noProof/>
                <w:sz w:val="20"/>
              </w:rPr>
              <w:t xml:space="preserve">2,408 </w:t>
            </w:r>
          </w:p>
        </w:tc>
        <w:tc>
          <w:tcPr>
            <w:tcW w:w="840" w:type="dxa"/>
          </w:tcPr>
          <w:p>
            <w:pPr>
              <w:spacing w:before="40" w:after="40"/>
              <w:jc w:val="right"/>
              <w:rPr>
                <w:noProof/>
                <w:sz w:val="20"/>
              </w:rPr>
            </w:pPr>
            <w:r>
              <w:rPr>
                <w:noProof/>
                <w:sz w:val="20"/>
              </w:rPr>
              <w:t xml:space="preserve">2,408 </w:t>
            </w:r>
          </w:p>
        </w:tc>
        <w:tc>
          <w:tcPr>
            <w:tcW w:w="840" w:type="dxa"/>
          </w:tcPr>
          <w:p>
            <w:pPr>
              <w:spacing w:before="40" w:after="40"/>
              <w:jc w:val="right"/>
              <w:rPr>
                <w:noProof/>
                <w:sz w:val="20"/>
              </w:rPr>
            </w:pPr>
            <w:r>
              <w:rPr>
                <w:noProof/>
                <w:sz w:val="20"/>
              </w:rPr>
              <w:t xml:space="preserve">7,758 </w:t>
            </w:r>
          </w:p>
        </w:tc>
        <w:tc>
          <w:tcPr>
            <w:tcW w:w="840" w:type="dxa"/>
          </w:tcPr>
          <w:p>
            <w:pPr>
              <w:spacing w:before="40" w:after="40"/>
              <w:jc w:val="right"/>
              <w:rPr>
                <w:b/>
                <w:noProof/>
                <w:sz w:val="20"/>
              </w:rPr>
            </w:pPr>
            <w:r>
              <w:rPr>
                <w:noProof/>
                <w:sz w:val="20"/>
              </w:rPr>
              <w:t xml:space="preserve">7,758 </w:t>
            </w:r>
          </w:p>
        </w:tc>
        <w:tc>
          <w:tcPr>
            <w:tcW w:w="839" w:type="dxa"/>
          </w:tcPr>
          <w:p>
            <w:pPr>
              <w:spacing w:before="40" w:after="40"/>
              <w:jc w:val="right"/>
              <w:rPr>
                <w:b/>
                <w:noProof/>
                <w:sz w:val="20"/>
              </w:rPr>
            </w:pPr>
            <w:r>
              <w:rPr>
                <w:noProof/>
                <w:sz w:val="20"/>
              </w:rPr>
              <w:t>7,758</w:t>
            </w:r>
          </w:p>
        </w:tc>
        <w:tc>
          <w:tcPr>
            <w:tcW w:w="801" w:type="dxa"/>
          </w:tcPr>
          <w:p>
            <w:pPr>
              <w:spacing w:before="40" w:after="40"/>
              <w:jc w:val="right"/>
              <w:rPr>
                <w:b/>
                <w:noProof/>
                <w:sz w:val="20"/>
              </w:rPr>
            </w:pPr>
            <w:r>
              <w:rPr>
                <w:noProof/>
                <w:sz w:val="20"/>
              </w:rPr>
              <w:t xml:space="preserve">2,408 </w:t>
            </w:r>
          </w:p>
        </w:tc>
        <w:tc>
          <w:tcPr>
            <w:tcW w:w="1470" w:type="dxa"/>
          </w:tcPr>
          <w:p>
            <w:pPr>
              <w:spacing w:before="40" w:after="40"/>
              <w:jc w:val="right"/>
              <w:rPr>
                <w:b/>
                <w:noProof/>
                <w:sz w:val="20"/>
              </w:rPr>
            </w:pPr>
            <w:r>
              <w:rPr>
                <w:noProof/>
                <w:sz w:val="20"/>
              </w:rPr>
              <w:t>37,908</w:t>
            </w:r>
          </w:p>
        </w:tc>
      </w:tr>
      <w:tr>
        <w:trPr>
          <w:trHeight w:val="749"/>
        </w:trPr>
        <w:tc>
          <w:tcPr>
            <w:tcW w:w="2770" w:type="dxa"/>
            <w:vAlign w:val="center"/>
          </w:tcPr>
          <w:p>
            <w:pPr>
              <w:jc w:val="center"/>
              <w:rPr>
                <w:noProof/>
              </w:rPr>
            </w:pPr>
            <w:r>
              <w:rPr>
                <w:b/>
                <w:noProof/>
                <w:sz w:val="22"/>
              </w:rPr>
              <w:t>TOTAL appropriations</w:t>
            </w:r>
            <w:r>
              <w:rPr>
                <w:noProof/>
                <w:sz w:val="22"/>
              </w:rPr>
              <w:br/>
            </w:r>
            <w:r>
              <w:rPr>
                <w:b/>
                <w:noProof/>
                <w:sz w:val="22"/>
              </w:rPr>
              <w:t>for Europol</w:t>
            </w:r>
          </w:p>
        </w:tc>
        <w:tc>
          <w:tcPr>
            <w:tcW w:w="1357" w:type="dxa"/>
            <w:vAlign w:val="center"/>
          </w:tcPr>
          <w:p>
            <w:pPr>
              <w:rPr>
                <w:noProof/>
                <w:sz w:val="18"/>
              </w:rPr>
            </w:pPr>
            <w:r>
              <w:rPr>
                <w:noProof/>
                <w:sz w:val="18"/>
              </w:rPr>
              <w:t>(Total commitments = Total payments)</w:t>
            </w:r>
          </w:p>
        </w:tc>
        <w:tc>
          <w:tcPr>
            <w:tcW w:w="801" w:type="dxa"/>
            <w:vAlign w:val="center"/>
          </w:tcPr>
          <w:p>
            <w:pPr>
              <w:jc w:val="center"/>
              <w:rPr>
                <w:noProof/>
                <w:sz w:val="14"/>
              </w:rPr>
            </w:pPr>
            <w:r>
              <w:rPr>
                <w:noProof/>
                <w:sz w:val="14"/>
              </w:rPr>
              <w:t>=1+1a +3a</w:t>
            </w:r>
          </w:p>
        </w:tc>
        <w:tc>
          <w:tcPr>
            <w:tcW w:w="801" w:type="dxa"/>
          </w:tcPr>
          <w:p>
            <w:pPr>
              <w:spacing w:before="20" w:after="20"/>
              <w:jc w:val="center"/>
              <w:rPr>
                <w:noProof/>
                <w:sz w:val="20"/>
              </w:rPr>
            </w:pPr>
            <w:r>
              <w:rPr>
                <w:noProof/>
                <w:sz w:val="20"/>
              </w:rPr>
              <w:t>0,690</w:t>
            </w:r>
          </w:p>
        </w:tc>
        <w:tc>
          <w:tcPr>
            <w:tcW w:w="788" w:type="dxa"/>
          </w:tcPr>
          <w:p>
            <w:pPr>
              <w:spacing w:before="20" w:after="20"/>
              <w:jc w:val="right"/>
              <w:rPr>
                <w:noProof/>
                <w:sz w:val="20"/>
              </w:rPr>
            </w:pPr>
            <w:r>
              <w:rPr>
                <w:noProof/>
                <w:sz w:val="20"/>
              </w:rPr>
              <w:t xml:space="preserve">8,382 </w:t>
            </w:r>
          </w:p>
        </w:tc>
        <w:tc>
          <w:tcPr>
            <w:tcW w:w="840" w:type="dxa"/>
          </w:tcPr>
          <w:p>
            <w:pPr>
              <w:spacing w:before="20" w:after="20"/>
              <w:jc w:val="right"/>
              <w:rPr>
                <w:noProof/>
                <w:sz w:val="20"/>
              </w:rPr>
            </w:pPr>
            <w:r>
              <w:rPr>
                <w:noProof/>
                <w:sz w:val="20"/>
              </w:rPr>
              <w:t>8,382</w:t>
            </w:r>
          </w:p>
        </w:tc>
        <w:tc>
          <w:tcPr>
            <w:tcW w:w="840" w:type="dxa"/>
          </w:tcPr>
          <w:p>
            <w:pPr>
              <w:spacing w:before="20" w:after="20"/>
              <w:jc w:val="right"/>
              <w:rPr>
                <w:noProof/>
                <w:sz w:val="20"/>
              </w:rPr>
            </w:pPr>
            <w:r>
              <w:rPr>
                <w:noProof/>
                <w:sz w:val="20"/>
              </w:rPr>
              <w:t xml:space="preserve">3,589 </w:t>
            </w:r>
          </w:p>
        </w:tc>
        <w:tc>
          <w:tcPr>
            <w:tcW w:w="840" w:type="dxa"/>
          </w:tcPr>
          <w:p>
            <w:pPr>
              <w:spacing w:before="20" w:after="20"/>
              <w:jc w:val="right"/>
              <w:rPr>
                <w:noProof/>
                <w:sz w:val="20"/>
              </w:rPr>
            </w:pPr>
            <w:r>
              <w:rPr>
                <w:noProof/>
                <w:sz w:val="20"/>
              </w:rPr>
              <w:t xml:space="preserve">3,589 </w:t>
            </w:r>
          </w:p>
        </w:tc>
        <w:tc>
          <w:tcPr>
            <w:tcW w:w="840" w:type="dxa"/>
          </w:tcPr>
          <w:p>
            <w:pPr>
              <w:spacing w:before="20" w:after="20"/>
              <w:jc w:val="right"/>
              <w:rPr>
                <w:noProof/>
                <w:sz w:val="20"/>
              </w:rPr>
            </w:pPr>
            <w:r>
              <w:rPr>
                <w:noProof/>
                <w:sz w:val="20"/>
              </w:rPr>
              <w:t xml:space="preserve">3,382 </w:t>
            </w:r>
          </w:p>
        </w:tc>
        <w:tc>
          <w:tcPr>
            <w:tcW w:w="840" w:type="dxa"/>
          </w:tcPr>
          <w:p>
            <w:pPr>
              <w:spacing w:before="20" w:after="20"/>
              <w:jc w:val="right"/>
              <w:rPr>
                <w:noProof/>
                <w:sz w:val="20"/>
              </w:rPr>
            </w:pPr>
            <w:r>
              <w:rPr>
                <w:noProof/>
                <w:sz w:val="20"/>
              </w:rPr>
              <w:t xml:space="preserve">8,732 </w:t>
            </w:r>
          </w:p>
        </w:tc>
        <w:tc>
          <w:tcPr>
            <w:tcW w:w="839" w:type="dxa"/>
          </w:tcPr>
          <w:p>
            <w:pPr>
              <w:spacing w:before="20" w:after="20"/>
              <w:jc w:val="right"/>
              <w:rPr>
                <w:noProof/>
                <w:sz w:val="20"/>
              </w:rPr>
            </w:pPr>
            <w:r>
              <w:rPr>
                <w:noProof/>
                <w:sz w:val="20"/>
              </w:rPr>
              <w:t xml:space="preserve">8,732 </w:t>
            </w:r>
          </w:p>
        </w:tc>
        <w:tc>
          <w:tcPr>
            <w:tcW w:w="801" w:type="dxa"/>
          </w:tcPr>
          <w:p>
            <w:pPr>
              <w:spacing w:before="20" w:after="20"/>
              <w:jc w:val="right"/>
              <w:rPr>
                <w:noProof/>
                <w:sz w:val="20"/>
              </w:rPr>
            </w:pPr>
            <w:r>
              <w:rPr>
                <w:noProof/>
                <w:sz w:val="20"/>
              </w:rPr>
              <w:t>3,382</w:t>
            </w:r>
          </w:p>
        </w:tc>
        <w:tc>
          <w:tcPr>
            <w:tcW w:w="1470" w:type="dxa"/>
          </w:tcPr>
          <w:p>
            <w:pPr>
              <w:spacing w:before="20" w:after="20"/>
              <w:jc w:val="right"/>
              <w:rPr>
                <w:b/>
                <w:noProof/>
                <w:sz w:val="20"/>
              </w:rPr>
            </w:pPr>
            <w:r>
              <w:rPr>
                <w:noProof/>
                <w:sz w:val="20"/>
              </w:rPr>
              <w:t>48,860</w:t>
            </w:r>
          </w:p>
        </w:tc>
      </w:tr>
    </w:tbl>
    <w:p>
      <w:pPr>
        <w:rPr>
          <w:noProof/>
        </w:rPr>
      </w:pPr>
    </w:p>
    <w:p>
      <w:pPr>
        <w:rPr>
          <w:noProof/>
        </w:rPr>
      </w:pPr>
      <w:r>
        <w:rPr>
          <w:noProof/>
        </w:rPr>
        <w:t xml:space="preserve">Europol's expenditures will cover the upgrade of Europol's ICT systems capabilities to deal with the volume of messages to be handled, and the required increased performance levels (response time). </w:t>
      </w:r>
    </w:p>
    <w:p>
      <w:pPr>
        <w:rPr>
          <w:noProof/>
        </w:rPr>
      </w:pPr>
      <w:r>
        <w:rPr>
          <w:noProof/>
        </w:rPr>
        <w:t>Title 1 Staff expenditure covers the costs related to additional ICT staff to be recruited to reinforce Europol information systems for the reasons described above. Further details regarding the division of posts between temporary agents and contract agents, and their expertise are provided below.</w:t>
      </w:r>
    </w:p>
    <w:p>
      <w:pPr>
        <w:rPr>
          <w:noProof/>
        </w:rPr>
      </w:pPr>
      <w:r>
        <w:rPr>
          <w:noProof/>
        </w:rPr>
        <w:t xml:space="preserve">Title 3 includes costs for the hardware and software needed to reinforce Europol information systems. At present, Europol's IT systems serve a limited designated community of Europol, Europol Liaison Officers and investigators in the Member States who use these systems for analytical and investigative purposes. With the implementation of QUEST (the system interface that will allow the ESP to query Europol data) at basic protection level (currently Europol information systems are accredited up to EU restricted and EU confidential level), Europol information systems will be made available to a much larger authorised law enforcement community. In addition to these increases, ESP will be used by ETIAS to automatically query Europol data to process travel authorisations. This will increase the volume of queries against Europol data from approximately 107 000 queries per month at present, to more than 100 000 queries per day, and will also require 24/7 availability of Europol information systems and very short response times to meet the requirements imposed by the ETIAS Regulation. The majority of the costs are limited to the period before the interoperability components become operable, but some ongoing commitments are needed to ensure high and continuous availability of Europol information systems. Also, some development works are needed to implement interoperability components by Europol as a user. </w:t>
      </w:r>
    </w:p>
    <w:p>
      <w:pPr>
        <w:rPr>
          <w:noProof/>
        </w:rPr>
      </w:pPr>
    </w:p>
    <w:tbl>
      <w:tblPr>
        <w:tblW w:w="13827"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70"/>
        <w:gridCol w:w="1357"/>
        <w:gridCol w:w="801"/>
        <w:gridCol w:w="801"/>
        <w:gridCol w:w="788"/>
        <w:gridCol w:w="840"/>
        <w:gridCol w:w="840"/>
        <w:gridCol w:w="840"/>
        <w:gridCol w:w="840"/>
        <w:gridCol w:w="840"/>
        <w:gridCol w:w="839"/>
        <w:gridCol w:w="801"/>
        <w:gridCol w:w="1470"/>
      </w:tblGrid>
      <w:tr>
        <w:trPr>
          <w:trHeight w:val="687"/>
        </w:trPr>
        <w:tc>
          <w:tcPr>
            <w:tcW w:w="2770" w:type="dxa"/>
            <w:vAlign w:val="center"/>
          </w:tcPr>
          <w:p>
            <w:pPr>
              <w:jc w:val="center"/>
              <w:rPr>
                <w:b/>
                <w:noProof/>
              </w:rPr>
            </w:pPr>
            <w:r>
              <w:rPr>
                <w:b/>
                <w:noProof/>
                <w:sz w:val="22"/>
              </w:rPr>
              <w:t>18.0205 - CEPOL</w:t>
            </w:r>
          </w:p>
        </w:tc>
        <w:tc>
          <w:tcPr>
            <w:tcW w:w="1357" w:type="dxa"/>
          </w:tcPr>
          <w:p>
            <w:pPr>
              <w:rPr>
                <w:noProof/>
                <w:sz w:val="20"/>
              </w:rPr>
            </w:pPr>
          </w:p>
        </w:tc>
        <w:tc>
          <w:tcPr>
            <w:tcW w:w="801" w:type="dxa"/>
          </w:tcPr>
          <w:p>
            <w:pPr>
              <w:jc w:val="center"/>
              <w:rPr>
                <w:noProof/>
                <w:sz w:val="20"/>
              </w:rPr>
            </w:pPr>
          </w:p>
        </w:tc>
        <w:tc>
          <w:tcPr>
            <w:tcW w:w="801" w:type="dxa"/>
            <w:vAlign w:val="center"/>
          </w:tcPr>
          <w:p>
            <w:pPr>
              <w:jc w:val="center"/>
              <w:rPr>
                <w:noProof/>
                <w:sz w:val="20"/>
              </w:rPr>
            </w:pPr>
            <w:r>
              <w:rPr>
                <w:noProof/>
                <w:sz w:val="20"/>
              </w:rPr>
              <w:t>Year</w:t>
            </w:r>
            <w:r>
              <w:rPr>
                <w:noProof/>
                <w:sz w:val="22"/>
              </w:rPr>
              <w:br/>
            </w:r>
            <w:r>
              <w:rPr>
                <w:b/>
                <w:noProof/>
                <w:sz w:val="20"/>
              </w:rPr>
              <w:t>2019</w:t>
            </w:r>
          </w:p>
        </w:tc>
        <w:tc>
          <w:tcPr>
            <w:tcW w:w="788" w:type="dxa"/>
            <w:vAlign w:val="center"/>
          </w:tcPr>
          <w:p>
            <w:pPr>
              <w:jc w:val="center"/>
              <w:rPr>
                <w:noProof/>
                <w:sz w:val="20"/>
              </w:rPr>
            </w:pPr>
            <w:r>
              <w:rPr>
                <w:noProof/>
                <w:sz w:val="20"/>
              </w:rPr>
              <w:t>Year</w:t>
            </w:r>
            <w:r>
              <w:rPr>
                <w:noProof/>
                <w:sz w:val="22"/>
              </w:rPr>
              <w:br/>
            </w:r>
            <w:r>
              <w:rPr>
                <w:b/>
                <w:noProof/>
                <w:sz w:val="20"/>
              </w:rPr>
              <w:t>2020</w:t>
            </w:r>
          </w:p>
        </w:tc>
        <w:tc>
          <w:tcPr>
            <w:tcW w:w="840" w:type="dxa"/>
            <w:vAlign w:val="center"/>
          </w:tcPr>
          <w:p>
            <w:pPr>
              <w:jc w:val="center"/>
              <w:rPr>
                <w:noProof/>
                <w:sz w:val="20"/>
              </w:rPr>
            </w:pPr>
            <w:r>
              <w:rPr>
                <w:noProof/>
                <w:sz w:val="20"/>
              </w:rPr>
              <w:t>Year</w:t>
            </w:r>
            <w:r>
              <w:rPr>
                <w:noProof/>
                <w:sz w:val="22"/>
              </w:rPr>
              <w:br/>
            </w:r>
            <w:r>
              <w:rPr>
                <w:b/>
                <w:noProof/>
                <w:sz w:val="20"/>
              </w:rPr>
              <w:t>2021</w:t>
            </w:r>
          </w:p>
        </w:tc>
        <w:tc>
          <w:tcPr>
            <w:tcW w:w="840" w:type="dxa"/>
            <w:vAlign w:val="center"/>
          </w:tcPr>
          <w:p>
            <w:pPr>
              <w:jc w:val="center"/>
              <w:rPr>
                <w:noProof/>
                <w:sz w:val="20"/>
              </w:rPr>
            </w:pPr>
            <w:r>
              <w:rPr>
                <w:noProof/>
                <w:sz w:val="20"/>
              </w:rPr>
              <w:t>Year</w:t>
            </w:r>
            <w:r>
              <w:rPr>
                <w:noProof/>
                <w:sz w:val="22"/>
              </w:rPr>
              <w:br/>
            </w:r>
            <w:r>
              <w:rPr>
                <w:b/>
                <w:noProof/>
                <w:sz w:val="20"/>
              </w:rPr>
              <w:t>2022</w:t>
            </w:r>
          </w:p>
        </w:tc>
        <w:tc>
          <w:tcPr>
            <w:tcW w:w="840" w:type="dxa"/>
            <w:vAlign w:val="center"/>
          </w:tcPr>
          <w:p>
            <w:pPr>
              <w:jc w:val="center"/>
              <w:rPr>
                <w:noProof/>
                <w:sz w:val="20"/>
              </w:rPr>
            </w:pPr>
            <w:r>
              <w:rPr>
                <w:noProof/>
                <w:sz w:val="20"/>
              </w:rPr>
              <w:t>Year</w:t>
            </w:r>
            <w:r>
              <w:rPr>
                <w:noProof/>
                <w:sz w:val="20"/>
              </w:rPr>
              <w:br/>
            </w:r>
            <w:r>
              <w:rPr>
                <w:b/>
                <w:noProof/>
                <w:sz w:val="20"/>
              </w:rPr>
              <w:t>2023</w:t>
            </w:r>
          </w:p>
        </w:tc>
        <w:tc>
          <w:tcPr>
            <w:tcW w:w="840" w:type="dxa"/>
            <w:shd w:val="clear" w:color="auto" w:fill="auto"/>
            <w:vAlign w:val="center"/>
          </w:tcPr>
          <w:p>
            <w:pPr>
              <w:jc w:val="center"/>
              <w:rPr>
                <w:noProof/>
                <w:sz w:val="20"/>
              </w:rPr>
            </w:pPr>
            <w:r>
              <w:rPr>
                <w:noProof/>
                <w:sz w:val="20"/>
              </w:rPr>
              <w:t>Year</w:t>
            </w:r>
            <w:r>
              <w:rPr>
                <w:noProof/>
                <w:sz w:val="20"/>
              </w:rPr>
              <w:br/>
            </w:r>
            <w:r>
              <w:rPr>
                <w:b/>
                <w:noProof/>
                <w:sz w:val="20"/>
              </w:rPr>
              <w:t>2024</w:t>
            </w:r>
          </w:p>
        </w:tc>
        <w:tc>
          <w:tcPr>
            <w:tcW w:w="840" w:type="dxa"/>
            <w:shd w:val="clear" w:color="auto" w:fill="auto"/>
            <w:vAlign w:val="center"/>
          </w:tcPr>
          <w:p>
            <w:pPr>
              <w:jc w:val="center"/>
              <w:rPr>
                <w:noProof/>
                <w:sz w:val="20"/>
              </w:rPr>
            </w:pPr>
            <w:r>
              <w:rPr>
                <w:noProof/>
                <w:sz w:val="20"/>
              </w:rPr>
              <w:t>Year</w:t>
            </w:r>
            <w:r>
              <w:rPr>
                <w:noProof/>
                <w:sz w:val="20"/>
              </w:rPr>
              <w:br/>
            </w:r>
            <w:r>
              <w:rPr>
                <w:b/>
                <w:noProof/>
                <w:sz w:val="20"/>
              </w:rPr>
              <w:t>2025</w:t>
            </w:r>
          </w:p>
        </w:tc>
        <w:tc>
          <w:tcPr>
            <w:tcW w:w="839" w:type="dxa"/>
            <w:shd w:val="clear" w:color="auto" w:fill="auto"/>
          </w:tcPr>
          <w:p>
            <w:pPr>
              <w:jc w:val="center"/>
              <w:rPr>
                <w:noProof/>
                <w:sz w:val="20"/>
              </w:rPr>
            </w:pPr>
            <w:r>
              <w:rPr>
                <w:noProof/>
                <w:sz w:val="20"/>
              </w:rPr>
              <w:t>Year</w:t>
            </w:r>
            <w:r>
              <w:rPr>
                <w:noProof/>
                <w:sz w:val="20"/>
              </w:rPr>
              <w:br/>
            </w:r>
            <w:r>
              <w:rPr>
                <w:b/>
                <w:noProof/>
                <w:sz w:val="20"/>
              </w:rPr>
              <w:t>2026</w:t>
            </w:r>
          </w:p>
        </w:tc>
        <w:tc>
          <w:tcPr>
            <w:tcW w:w="801" w:type="dxa"/>
          </w:tcPr>
          <w:p>
            <w:pPr>
              <w:jc w:val="center"/>
              <w:rPr>
                <w:noProof/>
                <w:sz w:val="20"/>
              </w:rPr>
            </w:pPr>
            <w:r>
              <w:rPr>
                <w:noProof/>
                <w:sz w:val="20"/>
              </w:rPr>
              <w:t>Year</w:t>
            </w:r>
            <w:r>
              <w:rPr>
                <w:noProof/>
                <w:sz w:val="20"/>
              </w:rPr>
              <w:br/>
            </w:r>
            <w:r>
              <w:rPr>
                <w:b/>
                <w:noProof/>
                <w:sz w:val="20"/>
              </w:rPr>
              <w:t>2027</w:t>
            </w:r>
          </w:p>
        </w:tc>
        <w:tc>
          <w:tcPr>
            <w:tcW w:w="1470" w:type="dxa"/>
            <w:vAlign w:val="center"/>
          </w:tcPr>
          <w:p>
            <w:pPr>
              <w:jc w:val="center"/>
              <w:rPr>
                <w:b/>
                <w:noProof/>
                <w:sz w:val="20"/>
              </w:rPr>
            </w:pPr>
            <w:r>
              <w:rPr>
                <w:b/>
                <w:noProof/>
                <w:sz w:val="20"/>
              </w:rPr>
              <w:t>TOTAL</w:t>
            </w:r>
          </w:p>
        </w:tc>
      </w:tr>
      <w:tr>
        <w:trPr>
          <w:trHeight w:val="276"/>
        </w:trPr>
        <w:tc>
          <w:tcPr>
            <w:tcW w:w="2770" w:type="dxa"/>
            <w:vMerge w:val="restart"/>
            <w:vAlign w:val="center"/>
          </w:tcPr>
          <w:p>
            <w:pPr>
              <w:jc w:val="left"/>
              <w:rPr>
                <w:noProof/>
                <w:color w:val="0000FF"/>
              </w:rPr>
            </w:pPr>
            <w:r>
              <w:rPr>
                <w:noProof/>
                <w:sz w:val="20"/>
              </w:rPr>
              <w:t>Title 1: Staff expenditures</w:t>
            </w:r>
          </w:p>
        </w:tc>
        <w:tc>
          <w:tcPr>
            <w:tcW w:w="1357" w:type="dxa"/>
            <w:vAlign w:val="center"/>
          </w:tcPr>
          <w:p>
            <w:pPr>
              <w:spacing w:before="20" w:after="20"/>
              <w:rPr>
                <w:noProof/>
              </w:rPr>
            </w:pPr>
            <w:r>
              <w:rPr>
                <w:noProof/>
                <w:sz w:val="18"/>
              </w:rPr>
              <w:t>Commitments</w:t>
            </w:r>
          </w:p>
        </w:tc>
        <w:tc>
          <w:tcPr>
            <w:tcW w:w="801" w:type="dxa"/>
            <w:vAlign w:val="center"/>
          </w:tcPr>
          <w:p>
            <w:pPr>
              <w:spacing w:before="20" w:after="20"/>
              <w:jc w:val="center"/>
              <w:rPr>
                <w:noProof/>
                <w:sz w:val="14"/>
              </w:rPr>
            </w:pPr>
            <w:r>
              <w:rPr>
                <w:noProof/>
                <w:sz w:val="14"/>
              </w:rPr>
              <w:t>(1)</w:t>
            </w:r>
          </w:p>
        </w:tc>
        <w:tc>
          <w:tcPr>
            <w:tcW w:w="801" w:type="dxa"/>
          </w:tcPr>
          <w:p>
            <w:pPr>
              <w:spacing w:before="20" w:after="20"/>
              <w:jc w:val="center"/>
              <w:rPr>
                <w:noProof/>
                <w:sz w:val="22"/>
              </w:rPr>
            </w:pPr>
            <w:r>
              <w:rPr>
                <w:noProof/>
                <w:sz w:val="22"/>
              </w:rPr>
              <w:t>0</w:t>
            </w:r>
          </w:p>
        </w:tc>
        <w:tc>
          <w:tcPr>
            <w:tcW w:w="788" w:type="dxa"/>
          </w:tcPr>
          <w:p>
            <w:pPr>
              <w:spacing w:before="20" w:after="20"/>
              <w:jc w:val="right"/>
              <w:rPr>
                <w:noProof/>
                <w:sz w:val="22"/>
              </w:rPr>
            </w:pPr>
            <w:r>
              <w:rPr>
                <w:noProof/>
                <w:sz w:val="22"/>
              </w:rPr>
              <w:t>0,104</w:t>
            </w:r>
          </w:p>
        </w:tc>
        <w:tc>
          <w:tcPr>
            <w:tcW w:w="840" w:type="dxa"/>
          </w:tcPr>
          <w:p>
            <w:pPr>
              <w:spacing w:before="20" w:after="20"/>
              <w:jc w:val="right"/>
              <w:rPr>
                <w:noProof/>
                <w:sz w:val="22"/>
              </w:rPr>
            </w:pPr>
            <w:r>
              <w:rPr>
                <w:noProof/>
                <w:sz w:val="22"/>
              </w:rPr>
              <w:t xml:space="preserve">0,208 </w:t>
            </w:r>
          </w:p>
        </w:tc>
        <w:tc>
          <w:tcPr>
            <w:tcW w:w="840" w:type="dxa"/>
          </w:tcPr>
          <w:p>
            <w:pPr>
              <w:spacing w:before="20" w:after="20"/>
              <w:jc w:val="right"/>
              <w:rPr>
                <w:noProof/>
                <w:sz w:val="22"/>
              </w:rPr>
            </w:pPr>
            <w:r>
              <w:rPr>
                <w:noProof/>
                <w:sz w:val="22"/>
              </w:rPr>
              <w:t xml:space="preserve">0,208 </w:t>
            </w:r>
          </w:p>
        </w:tc>
        <w:tc>
          <w:tcPr>
            <w:tcW w:w="840" w:type="dxa"/>
          </w:tcPr>
          <w:p>
            <w:pPr>
              <w:spacing w:before="20" w:after="20"/>
              <w:jc w:val="right"/>
              <w:rPr>
                <w:noProof/>
                <w:sz w:val="22"/>
              </w:rPr>
            </w:pPr>
            <w:r>
              <w:rPr>
                <w:noProof/>
                <w:sz w:val="22"/>
              </w:rPr>
              <w:t xml:space="preserve">0,138 </w:t>
            </w:r>
          </w:p>
        </w:tc>
        <w:tc>
          <w:tcPr>
            <w:tcW w:w="840" w:type="dxa"/>
          </w:tcPr>
          <w:p>
            <w:pPr>
              <w:spacing w:before="20" w:after="20"/>
              <w:jc w:val="right"/>
              <w:rPr>
                <w:noProof/>
                <w:sz w:val="22"/>
              </w:rPr>
            </w:pPr>
            <w:r>
              <w:rPr>
                <w:noProof/>
                <w:sz w:val="22"/>
              </w:rPr>
              <w:t xml:space="preserve">0,138 </w:t>
            </w:r>
          </w:p>
        </w:tc>
        <w:tc>
          <w:tcPr>
            <w:tcW w:w="840" w:type="dxa"/>
          </w:tcPr>
          <w:p>
            <w:pPr>
              <w:spacing w:before="20" w:after="20"/>
              <w:jc w:val="right"/>
              <w:rPr>
                <w:noProof/>
                <w:sz w:val="22"/>
              </w:rPr>
            </w:pPr>
            <w:r>
              <w:rPr>
                <w:noProof/>
                <w:sz w:val="22"/>
              </w:rPr>
              <w:t xml:space="preserve">0,138 </w:t>
            </w:r>
          </w:p>
        </w:tc>
        <w:tc>
          <w:tcPr>
            <w:tcW w:w="839" w:type="dxa"/>
          </w:tcPr>
          <w:p>
            <w:pPr>
              <w:spacing w:before="20" w:after="20"/>
              <w:jc w:val="right"/>
              <w:rPr>
                <w:noProof/>
                <w:sz w:val="22"/>
              </w:rPr>
            </w:pPr>
            <w:r>
              <w:rPr>
                <w:noProof/>
                <w:sz w:val="22"/>
              </w:rPr>
              <w:t xml:space="preserve">0,138 </w:t>
            </w:r>
          </w:p>
        </w:tc>
        <w:tc>
          <w:tcPr>
            <w:tcW w:w="801" w:type="dxa"/>
          </w:tcPr>
          <w:p>
            <w:pPr>
              <w:spacing w:before="20" w:after="20"/>
              <w:jc w:val="right"/>
              <w:rPr>
                <w:noProof/>
                <w:sz w:val="22"/>
              </w:rPr>
            </w:pPr>
            <w:r>
              <w:rPr>
                <w:noProof/>
                <w:sz w:val="22"/>
              </w:rPr>
              <w:t xml:space="preserve">0,138 </w:t>
            </w:r>
          </w:p>
        </w:tc>
        <w:tc>
          <w:tcPr>
            <w:tcW w:w="1470" w:type="dxa"/>
          </w:tcPr>
          <w:p>
            <w:pPr>
              <w:spacing w:before="20" w:after="20"/>
              <w:jc w:val="right"/>
              <w:rPr>
                <w:b/>
                <w:noProof/>
                <w:sz w:val="22"/>
              </w:rPr>
            </w:pPr>
            <w:r>
              <w:rPr>
                <w:noProof/>
                <w:sz w:val="22"/>
              </w:rPr>
              <w:t>1,210</w:t>
            </w:r>
          </w:p>
        </w:tc>
      </w:tr>
      <w:tr>
        <w:trPr>
          <w:trHeight w:val="144"/>
        </w:trPr>
        <w:tc>
          <w:tcPr>
            <w:tcW w:w="2770" w:type="dxa"/>
            <w:vMerge/>
            <w:vAlign w:val="center"/>
          </w:tcPr>
          <w:p>
            <w:pPr>
              <w:jc w:val="left"/>
              <w:rPr>
                <w:noProof/>
                <w:color w:val="0000FF"/>
              </w:rPr>
            </w:pPr>
          </w:p>
        </w:tc>
        <w:tc>
          <w:tcPr>
            <w:tcW w:w="1357" w:type="dxa"/>
            <w:vAlign w:val="center"/>
          </w:tcPr>
          <w:p>
            <w:pPr>
              <w:spacing w:before="20" w:after="20"/>
              <w:rPr>
                <w:noProof/>
                <w:sz w:val="18"/>
              </w:rPr>
            </w:pPr>
            <w:r>
              <w:rPr>
                <w:noProof/>
                <w:sz w:val="18"/>
              </w:rPr>
              <w:t>Payments</w:t>
            </w:r>
          </w:p>
        </w:tc>
        <w:tc>
          <w:tcPr>
            <w:tcW w:w="801" w:type="dxa"/>
            <w:vAlign w:val="center"/>
          </w:tcPr>
          <w:p>
            <w:pPr>
              <w:spacing w:before="20" w:after="20"/>
              <w:jc w:val="center"/>
              <w:rPr>
                <w:noProof/>
                <w:sz w:val="14"/>
              </w:rPr>
            </w:pPr>
            <w:r>
              <w:rPr>
                <w:noProof/>
                <w:sz w:val="14"/>
              </w:rPr>
              <w:t>(2)</w:t>
            </w:r>
          </w:p>
        </w:tc>
        <w:tc>
          <w:tcPr>
            <w:tcW w:w="801" w:type="dxa"/>
          </w:tcPr>
          <w:p>
            <w:pPr>
              <w:spacing w:before="20" w:after="20"/>
              <w:jc w:val="center"/>
              <w:rPr>
                <w:noProof/>
                <w:sz w:val="22"/>
              </w:rPr>
            </w:pPr>
            <w:r>
              <w:rPr>
                <w:noProof/>
              </w:rPr>
              <w:t>0</w:t>
            </w:r>
          </w:p>
        </w:tc>
        <w:tc>
          <w:tcPr>
            <w:tcW w:w="788" w:type="dxa"/>
          </w:tcPr>
          <w:p>
            <w:pPr>
              <w:spacing w:before="20" w:after="20"/>
              <w:jc w:val="right"/>
              <w:rPr>
                <w:noProof/>
                <w:sz w:val="22"/>
              </w:rPr>
            </w:pPr>
            <w:r>
              <w:rPr>
                <w:noProof/>
                <w:sz w:val="22"/>
              </w:rPr>
              <w:t>0,104</w:t>
            </w:r>
          </w:p>
        </w:tc>
        <w:tc>
          <w:tcPr>
            <w:tcW w:w="840" w:type="dxa"/>
          </w:tcPr>
          <w:p>
            <w:pPr>
              <w:spacing w:before="20" w:after="20"/>
              <w:jc w:val="right"/>
              <w:rPr>
                <w:noProof/>
                <w:sz w:val="22"/>
              </w:rPr>
            </w:pPr>
            <w:r>
              <w:rPr>
                <w:noProof/>
                <w:sz w:val="22"/>
              </w:rPr>
              <w:t xml:space="preserve">0,208 </w:t>
            </w:r>
          </w:p>
        </w:tc>
        <w:tc>
          <w:tcPr>
            <w:tcW w:w="840" w:type="dxa"/>
          </w:tcPr>
          <w:p>
            <w:pPr>
              <w:spacing w:before="20" w:after="20"/>
              <w:jc w:val="right"/>
              <w:rPr>
                <w:noProof/>
                <w:sz w:val="22"/>
              </w:rPr>
            </w:pPr>
            <w:r>
              <w:rPr>
                <w:noProof/>
                <w:sz w:val="22"/>
              </w:rPr>
              <w:t xml:space="preserve">0,208 </w:t>
            </w:r>
          </w:p>
        </w:tc>
        <w:tc>
          <w:tcPr>
            <w:tcW w:w="840" w:type="dxa"/>
          </w:tcPr>
          <w:p>
            <w:pPr>
              <w:spacing w:before="20" w:after="20"/>
              <w:jc w:val="right"/>
              <w:rPr>
                <w:noProof/>
                <w:sz w:val="22"/>
              </w:rPr>
            </w:pPr>
            <w:r>
              <w:rPr>
                <w:noProof/>
                <w:sz w:val="22"/>
              </w:rPr>
              <w:t xml:space="preserve">0,138 </w:t>
            </w:r>
          </w:p>
        </w:tc>
        <w:tc>
          <w:tcPr>
            <w:tcW w:w="840" w:type="dxa"/>
          </w:tcPr>
          <w:p>
            <w:pPr>
              <w:spacing w:before="20" w:after="20"/>
              <w:jc w:val="right"/>
              <w:rPr>
                <w:noProof/>
                <w:sz w:val="22"/>
              </w:rPr>
            </w:pPr>
            <w:r>
              <w:rPr>
                <w:noProof/>
                <w:sz w:val="22"/>
              </w:rPr>
              <w:t xml:space="preserve">0,138 </w:t>
            </w:r>
          </w:p>
        </w:tc>
        <w:tc>
          <w:tcPr>
            <w:tcW w:w="840" w:type="dxa"/>
          </w:tcPr>
          <w:p>
            <w:pPr>
              <w:spacing w:before="20" w:after="20"/>
              <w:jc w:val="right"/>
              <w:rPr>
                <w:noProof/>
                <w:sz w:val="22"/>
              </w:rPr>
            </w:pPr>
            <w:r>
              <w:rPr>
                <w:noProof/>
                <w:sz w:val="22"/>
              </w:rPr>
              <w:t xml:space="preserve">0,138 </w:t>
            </w:r>
          </w:p>
        </w:tc>
        <w:tc>
          <w:tcPr>
            <w:tcW w:w="839" w:type="dxa"/>
          </w:tcPr>
          <w:p>
            <w:pPr>
              <w:spacing w:before="20" w:after="20"/>
              <w:jc w:val="right"/>
              <w:rPr>
                <w:b/>
                <w:noProof/>
                <w:sz w:val="22"/>
              </w:rPr>
            </w:pPr>
            <w:r>
              <w:rPr>
                <w:noProof/>
                <w:sz w:val="22"/>
              </w:rPr>
              <w:t xml:space="preserve">0,138 </w:t>
            </w:r>
          </w:p>
        </w:tc>
        <w:tc>
          <w:tcPr>
            <w:tcW w:w="801" w:type="dxa"/>
          </w:tcPr>
          <w:p>
            <w:pPr>
              <w:spacing w:before="20" w:after="20"/>
              <w:jc w:val="right"/>
              <w:rPr>
                <w:b/>
                <w:noProof/>
                <w:sz w:val="22"/>
              </w:rPr>
            </w:pPr>
            <w:r>
              <w:rPr>
                <w:noProof/>
                <w:sz w:val="22"/>
              </w:rPr>
              <w:t xml:space="preserve">0,138 </w:t>
            </w:r>
          </w:p>
        </w:tc>
        <w:tc>
          <w:tcPr>
            <w:tcW w:w="1470" w:type="dxa"/>
          </w:tcPr>
          <w:p>
            <w:pPr>
              <w:spacing w:before="20" w:after="20"/>
              <w:jc w:val="right"/>
              <w:rPr>
                <w:b/>
                <w:noProof/>
                <w:sz w:val="22"/>
              </w:rPr>
            </w:pPr>
            <w:r>
              <w:rPr>
                <w:noProof/>
                <w:sz w:val="22"/>
              </w:rPr>
              <w:t>1,210</w:t>
            </w:r>
          </w:p>
        </w:tc>
      </w:tr>
      <w:tr>
        <w:trPr>
          <w:trHeight w:val="262"/>
        </w:trPr>
        <w:tc>
          <w:tcPr>
            <w:tcW w:w="2770" w:type="dxa"/>
            <w:vMerge w:val="restart"/>
            <w:vAlign w:val="center"/>
          </w:tcPr>
          <w:p>
            <w:pPr>
              <w:jc w:val="left"/>
              <w:rPr>
                <w:noProof/>
                <w:color w:val="0000FF"/>
              </w:rPr>
            </w:pPr>
            <w:r>
              <w:rPr>
                <w:noProof/>
                <w:sz w:val="20"/>
              </w:rPr>
              <w:t>Title 2: Infrastructure and Operating expenditure</w:t>
            </w:r>
          </w:p>
        </w:tc>
        <w:tc>
          <w:tcPr>
            <w:tcW w:w="1357" w:type="dxa"/>
            <w:vAlign w:val="center"/>
          </w:tcPr>
          <w:p>
            <w:pPr>
              <w:spacing w:before="20" w:after="20"/>
              <w:rPr>
                <w:noProof/>
                <w:sz w:val="18"/>
              </w:rPr>
            </w:pPr>
            <w:r>
              <w:rPr>
                <w:noProof/>
                <w:sz w:val="18"/>
              </w:rPr>
              <w:t>Commitments</w:t>
            </w:r>
          </w:p>
        </w:tc>
        <w:tc>
          <w:tcPr>
            <w:tcW w:w="801" w:type="dxa"/>
            <w:vAlign w:val="center"/>
          </w:tcPr>
          <w:p>
            <w:pPr>
              <w:spacing w:before="20" w:after="20"/>
              <w:jc w:val="center"/>
              <w:rPr>
                <w:noProof/>
                <w:sz w:val="14"/>
              </w:rPr>
            </w:pPr>
            <w:r>
              <w:rPr>
                <w:noProof/>
                <w:sz w:val="14"/>
              </w:rPr>
              <w:t>(1a)</w:t>
            </w:r>
          </w:p>
        </w:tc>
        <w:tc>
          <w:tcPr>
            <w:tcW w:w="801" w:type="dxa"/>
          </w:tcPr>
          <w:p>
            <w:pPr>
              <w:spacing w:before="20" w:after="20"/>
              <w:jc w:val="center"/>
              <w:rPr>
                <w:noProof/>
                <w:sz w:val="22"/>
              </w:rPr>
            </w:pPr>
            <w:r>
              <w:rPr>
                <w:noProof/>
              </w:rPr>
              <w:t>0</w:t>
            </w:r>
          </w:p>
        </w:tc>
        <w:tc>
          <w:tcPr>
            <w:tcW w:w="788" w:type="dxa"/>
          </w:tcPr>
          <w:p>
            <w:pPr>
              <w:spacing w:before="20" w:after="20"/>
              <w:jc w:val="right"/>
              <w:rPr>
                <w:noProof/>
                <w:sz w:val="22"/>
              </w:rPr>
            </w:pPr>
            <w:r>
              <w:rPr>
                <w:noProof/>
              </w:rPr>
              <w:t>0</w:t>
            </w:r>
          </w:p>
        </w:tc>
        <w:tc>
          <w:tcPr>
            <w:tcW w:w="840" w:type="dxa"/>
          </w:tcPr>
          <w:p>
            <w:pPr>
              <w:spacing w:before="20" w:after="20"/>
              <w:jc w:val="right"/>
              <w:rPr>
                <w:noProof/>
                <w:sz w:val="22"/>
              </w:rPr>
            </w:pPr>
            <w:r>
              <w:rPr>
                <w:noProof/>
              </w:rPr>
              <w:t>0</w:t>
            </w:r>
          </w:p>
        </w:tc>
        <w:tc>
          <w:tcPr>
            <w:tcW w:w="840" w:type="dxa"/>
          </w:tcPr>
          <w:p>
            <w:pPr>
              <w:spacing w:before="20" w:after="20"/>
              <w:jc w:val="right"/>
              <w:rPr>
                <w:noProof/>
                <w:sz w:val="22"/>
              </w:rPr>
            </w:pPr>
            <w:r>
              <w:rPr>
                <w:noProof/>
              </w:rPr>
              <w:t>0</w:t>
            </w:r>
          </w:p>
        </w:tc>
        <w:tc>
          <w:tcPr>
            <w:tcW w:w="840" w:type="dxa"/>
          </w:tcPr>
          <w:p>
            <w:pPr>
              <w:spacing w:before="20" w:after="20"/>
              <w:jc w:val="right"/>
              <w:rPr>
                <w:noProof/>
                <w:sz w:val="22"/>
              </w:rPr>
            </w:pPr>
            <w:r>
              <w:rPr>
                <w:noProof/>
              </w:rPr>
              <w:t>0</w:t>
            </w:r>
          </w:p>
        </w:tc>
        <w:tc>
          <w:tcPr>
            <w:tcW w:w="840" w:type="dxa"/>
          </w:tcPr>
          <w:p>
            <w:pPr>
              <w:spacing w:before="20" w:after="20"/>
              <w:jc w:val="right"/>
              <w:rPr>
                <w:noProof/>
                <w:sz w:val="22"/>
              </w:rPr>
            </w:pPr>
            <w:r>
              <w:rPr>
                <w:noProof/>
              </w:rPr>
              <w:t>0</w:t>
            </w:r>
          </w:p>
        </w:tc>
        <w:tc>
          <w:tcPr>
            <w:tcW w:w="840" w:type="dxa"/>
          </w:tcPr>
          <w:p>
            <w:pPr>
              <w:spacing w:before="20" w:after="20"/>
              <w:jc w:val="right"/>
              <w:rPr>
                <w:noProof/>
                <w:sz w:val="22"/>
              </w:rPr>
            </w:pPr>
            <w:r>
              <w:rPr>
                <w:noProof/>
              </w:rPr>
              <w:t>0</w:t>
            </w:r>
          </w:p>
        </w:tc>
        <w:tc>
          <w:tcPr>
            <w:tcW w:w="839" w:type="dxa"/>
          </w:tcPr>
          <w:p>
            <w:pPr>
              <w:spacing w:before="20" w:after="20"/>
              <w:jc w:val="right"/>
              <w:rPr>
                <w:noProof/>
                <w:sz w:val="22"/>
              </w:rPr>
            </w:pPr>
            <w:r>
              <w:rPr>
                <w:noProof/>
              </w:rPr>
              <w:t>0</w:t>
            </w:r>
          </w:p>
        </w:tc>
        <w:tc>
          <w:tcPr>
            <w:tcW w:w="801" w:type="dxa"/>
          </w:tcPr>
          <w:p>
            <w:pPr>
              <w:spacing w:before="20" w:after="20"/>
              <w:jc w:val="right"/>
              <w:rPr>
                <w:noProof/>
                <w:sz w:val="22"/>
              </w:rPr>
            </w:pPr>
            <w:r>
              <w:rPr>
                <w:noProof/>
              </w:rPr>
              <w:t>0</w:t>
            </w:r>
          </w:p>
        </w:tc>
        <w:tc>
          <w:tcPr>
            <w:tcW w:w="1470" w:type="dxa"/>
          </w:tcPr>
          <w:p>
            <w:pPr>
              <w:spacing w:before="20" w:after="20"/>
              <w:jc w:val="right"/>
              <w:rPr>
                <w:b/>
                <w:noProof/>
                <w:sz w:val="22"/>
              </w:rPr>
            </w:pPr>
            <w:r>
              <w:rPr>
                <w:noProof/>
              </w:rPr>
              <w:t>0</w:t>
            </w:r>
          </w:p>
        </w:tc>
      </w:tr>
      <w:tr>
        <w:trPr>
          <w:trHeight w:val="144"/>
        </w:trPr>
        <w:tc>
          <w:tcPr>
            <w:tcW w:w="2770" w:type="dxa"/>
            <w:vMerge/>
            <w:vAlign w:val="center"/>
          </w:tcPr>
          <w:p>
            <w:pPr>
              <w:jc w:val="left"/>
              <w:rPr>
                <w:noProof/>
                <w:color w:val="0000FF"/>
              </w:rPr>
            </w:pPr>
          </w:p>
        </w:tc>
        <w:tc>
          <w:tcPr>
            <w:tcW w:w="1357" w:type="dxa"/>
            <w:vAlign w:val="center"/>
          </w:tcPr>
          <w:p>
            <w:pPr>
              <w:spacing w:before="20" w:after="20"/>
              <w:rPr>
                <w:noProof/>
                <w:sz w:val="18"/>
              </w:rPr>
            </w:pPr>
            <w:r>
              <w:rPr>
                <w:noProof/>
                <w:sz w:val="18"/>
              </w:rPr>
              <w:t>Payments</w:t>
            </w:r>
          </w:p>
        </w:tc>
        <w:tc>
          <w:tcPr>
            <w:tcW w:w="801" w:type="dxa"/>
            <w:vAlign w:val="center"/>
          </w:tcPr>
          <w:p>
            <w:pPr>
              <w:spacing w:before="20" w:after="20"/>
              <w:jc w:val="center"/>
              <w:rPr>
                <w:noProof/>
                <w:sz w:val="14"/>
              </w:rPr>
            </w:pPr>
            <w:r>
              <w:rPr>
                <w:noProof/>
                <w:sz w:val="14"/>
              </w:rPr>
              <w:t>(2a)</w:t>
            </w:r>
          </w:p>
        </w:tc>
        <w:tc>
          <w:tcPr>
            <w:tcW w:w="801" w:type="dxa"/>
          </w:tcPr>
          <w:p>
            <w:pPr>
              <w:spacing w:before="20" w:after="20"/>
              <w:jc w:val="center"/>
              <w:rPr>
                <w:noProof/>
                <w:sz w:val="22"/>
              </w:rPr>
            </w:pPr>
            <w:r>
              <w:rPr>
                <w:noProof/>
              </w:rPr>
              <w:t>0</w:t>
            </w:r>
          </w:p>
        </w:tc>
        <w:tc>
          <w:tcPr>
            <w:tcW w:w="788" w:type="dxa"/>
          </w:tcPr>
          <w:p>
            <w:pPr>
              <w:spacing w:before="20" w:after="20"/>
              <w:jc w:val="right"/>
              <w:rPr>
                <w:noProof/>
                <w:sz w:val="22"/>
              </w:rPr>
            </w:pPr>
            <w:r>
              <w:rPr>
                <w:noProof/>
              </w:rPr>
              <w:t>0</w:t>
            </w:r>
          </w:p>
        </w:tc>
        <w:tc>
          <w:tcPr>
            <w:tcW w:w="840" w:type="dxa"/>
          </w:tcPr>
          <w:p>
            <w:pPr>
              <w:spacing w:before="20" w:after="20"/>
              <w:jc w:val="right"/>
              <w:rPr>
                <w:noProof/>
                <w:sz w:val="22"/>
              </w:rPr>
            </w:pPr>
            <w:r>
              <w:rPr>
                <w:noProof/>
              </w:rPr>
              <w:t>0</w:t>
            </w:r>
          </w:p>
        </w:tc>
        <w:tc>
          <w:tcPr>
            <w:tcW w:w="840" w:type="dxa"/>
          </w:tcPr>
          <w:p>
            <w:pPr>
              <w:spacing w:before="20" w:after="20"/>
              <w:jc w:val="right"/>
              <w:rPr>
                <w:noProof/>
                <w:sz w:val="22"/>
              </w:rPr>
            </w:pPr>
            <w:r>
              <w:rPr>
                <w:noProof/>
              </w:rPr>
              <w:t>0</w:t>
            </w:r>
          </w:p>
        </w:tc>
        <w:tc>
          <w:tcPr>
            <w:tcW w:w="840" w:type="dxa"/>
          </w:tcPr>
          <w:p>
            <w:pPr>
              <w:spacing w:before="20" w:after="20"/>
              <w:jc w:val="right"/>
              <w:rPr>
                <w:noProof/>
                <w:sz w:val="22"/>
              </w:rPr>
            </w:pPr>
            <w:r>
              <w:rPr>
                <w:noProof/>
              </w:rPr>
              <w:t>0</w:t>
            </w:r>
          </w:p>
        </w:tc>
        <w:tc>
          <w:tcPr>
            <w:tcW w:w="840" w:type="dxa"/>
          </w:tcPr>
          <w:p>
            <w:pPr>
              <w:spacing w:before="20" w:after="20"/>
              <w:jc w:val="right"/>
              <w:rPr>
                <w:noProof/>
                <w:sz w:val="22"/>
              </w:rPr>
            </w:pPr>
            <w:r>
              <w:rPr>
                <w:noProof/>
              </w:rPr>
              <w:t>0</w:t>
            </w:r>
          </w:p>
        </w:tc>
        <w:tc>
          <w:tcPr>
            <w:tcW w:w="840" w:type="dxa"/>
          </w:tcPr>
          <w:p>
            <w:pPr>
              <w:spacing w:before="20" w:after="20"/>
              <w:jc w:val="right"/>
              <w:rPr>
                <w:noProof/>
                <w:sz w:val="22"/>
              </w:rPr>
            </w:pPr>
            <w:r>
              <w:rPr>
                <w:noProof/>
              </w:rPr>
              <w:t>0</w:t>
            </w:r>
          </w:p>
        </w:tc>
        <w:tc>
          <w:tcPr>
            <w:tcW w:w="839" w:type="dxa"/>
          </w:tcPr>
          <w:p>
            <w:pPr>
              <w:spacing w:before="20" w:after="20"/>
              <w:jc w:val="right"/>
              <w:rPr>
                <w:b/>
                <w:noProof/>
                <w:sz w:val="22"/>
              </w:rPr>
            </w:pPr>
            <w:r>
              <w:rPr>
                <w:noProof/>
              </w:rPr>
              <w:t>0</w:t>
            </w:r>
          </w:p>
        </w:tc>
        <w:tc>
          <w:tcPr>
            <w:tcW w:w="801" w:type="dxa"/>
          </w:tcPr>
          <w:p>
            <w:pPr>
              <w:spacing w:before="20" w:after="20"/>
              <w:jc w:val="right"/>
              <w:rPr>
                <w:b/>
                <w:noProof/>
                <w:sz w:val="22"/>
              </w:rPr>
            </w:pPr>
            <w:r>
              <w:rPr>
                <w:noProof/>
              </w:rPr>
              <w:t>0</w:t>
            </w:r>
          </w:p>
        </w:tc>
        <w:tc>
          <w:tcPr>
            <w:tcW w:w="1470" w:type="dxa"/>
          </w:tcPr>
          <w:p>
            <w:pPr>
              <w:spacing w:before="20" w:after="20"/>
              <w:jc w:val="right"/>
              <w:rPr>
                <w:b/>
                <w:noProof/>
                <w:sz w:val="22"/>
              </w:rPr>
            </w:pPr>
            <w:r>
              <w:rPr>
                <w:noProof/>
              </w:rPr>
              <w:t>0</w:t>
            </w:r>
          </w:p>
        </w:tc>
      </w:tr>
      <w:tr>
        <w:trPr>
          <w:trHeight w:val="318"/>
        </w:trPr>
        <w:tc>
          <w:tcPr>
            <w:tcW w:w="2770" w:type="dxa"/>
            <w:vMerge w:val="restart"/>
            <w:vAlign w:val="center"/>
          </w:tcPr>
          <w:p>
            <w:pPr>
              <w:spacing w:before="60" w:after="60"/>
              <w:jc w:val="left"/>
              <w:rPr>
                <w:noProof/>
                <w:color w:val="0000FF"/>
              </w:rPr>
            </w:pPr>
            <w:r>
              <w:rPr>
                <w:noProof/>
                <w:sz w:val="20"/>
              </w:rPr>
              <w:t>Title 3: Operational expenditure</w:t>
            </w:r>
          </w:p>
        </w:tc>
        <w:tc>
          <w:tcPr>
            <w:tcW w:w="1357" w:type="dxa"/>
            <w:vAlign w:val="center"/>
          </w:tcPr>
          <w:p>
            <w:pPr>
              <w:spacing w:before="40" w:after="40"/>
              <w:rPr>
                <w:noProof/>
                <w:sz w:val="18"/>
              </w:rPr>
            </w:pPr>
            <w:r>
              <w:rPr>
                <w:noProof/>
                <w:sz w:val="18"/>
              </w:rPr>
              <w:t>Commitments</w:t>
            </w:r>
          </w:p>
        </w:tc>
        <w:tc>
          <w:tcPr>
            <w:tcW w:w="801" w:type="dxa"/>
            <w:vAlign w:val="center"/>
          </w:tcPr>
          <w:p>
            <w:pPr>
              <w:spacing w:before="40" w:after="40"/>
              <w:jc w:val="center"/>
              <w:rPr>
                <w:noProof/>
                <w:sz w:val="14"/>
              </w:rPr>
            </w:pPr>
            <w:r>
              <w:rPr>
                <w:noProof/>
                <w:sz w:val="14"/>
              </w:rPr>
              <w:t>(3a)</w:t>
            </w:r>
          </w:p>
        </w:tc>
        <w:tc>
          <w:tcPr>
            <w:tcW w:w="801" w:type="dxa"/>
          </w:tcPr>
          <w:p>
            <w:pPr>
              <w:spacing w:before="40" w:after="40"/>
              <w:jc w:val="center"/>
              <w:rPr>
                <w:noProof/>
                <w:sz w:val="22"/>
              </w:rPr>
            </w:pPr>
            <w:r>
              <w:rPr>
                <w:noProof/>
              </w:rPr>
              <w:t>0</w:t>
            </w:r>
          </w:p>
        </w:tc>
        <w:tc>
          <w:tcPr>
            <w:tcW w:w="788" w:type="dxa"/>
          </w:tcPr>
          <w:p>
            <w:pPr>
              <w:spacing w:before="40" w:after="40"/>
              <w:jc w:val="right"/>
              <w:rPr>
                <w:noProof/>
                <w:sz w:val="22"/>
              </w:rPr>
            </w:pPr>
            <w:r>
              <w:rPr>
                <w:noProof/>
                <w:sz w:val="22"/>
              </w:rPr>
              <w:t xml:space="preserve">0,040 </w:t>
            </w:r>
          </w:p>
        </w:tc>
        <w:tc>
          <w:tcPr>
            <w:tcW w:w="840" w:type="dxa"/>
          </w:tcPr>
          <w:p>
            <w:pPr>
              <w:spacing w:before="40" w:after="40"/>
              <w:jc w:val="right"/>
              <w:rPr>
                <w:noProof/>
                <w:sz w:val="22"/>
              </w:rPr>
            </w:pPr>
            <w:r>
              <w:rPr>
                <w:noProof/>
                <w:sz w:val="22"/>
              </w:rPr>
              <w:t xml:space="preserve">0,176 </w:t>
            </w:r>
          </w:p>
        </w:tc>
        <w:tc>
          <w:tcPr>
            <w:tcW w:w="840" w:type="dxa"/>
          </w:tcPr>
          <w:p>
            <w:pPr>
              <w:spacing w:before="40" w:after="40"/>
              <w:jc w:val="right"/>
              <w:rPr>
                <w:noProof/>
                <w:sz w:val="22"/>
              </w:rPr>
            </w:pPr>
            <w:r>
              <w:rPr>
                <w:noProof/>
                <w:sz w:val="22"/>
              </w:rPr>
              <w:t xml:space="preserve">0,274 </w:t>
            </w:r>
          </w:p>
        </w:tc>
        <w:tc>
          <w:tcPr>
            <w:tcW w:w="840" w:type="dxa"/>
          </w:tcPr>
          <w:p>
            <w:pPr>
              <w:spacing w:before="40" w:after="40"/>
              <w:jc w:val="right"/>
              <w:rPr>
                <w:noProof/>
                <w:sz w:val="22"/>
              </w:rPr>
            </w:pPr>
            <w:r>
              <w:rPr>
                <w:noProof/>
                <w:sz w:val="22"/>
              </w:rPr>
              <w:t xml:space="preserve">0,070 </w:t>
            </w:r>
          </w:p>
        </w:tc>
        <w:tc>
          <w:tcPr>
            <w:tcW w:w="840" w:type="dxa"/>
          </w:tcPr>
          <w:p>
            <w:pPr>
              <w:spacing w:before="40" w:after="40"/>
              <w:jc w:val="right"/>
              <w:rPr>
                <w:noProof/>
                <w:sz w:val="22"/>
              </w:rPr>
            </w:pPr>
            <w:r>
              <w:rPr>
                <w:noProof/>
                <w:sz w:val="22"/>
              </w:rPr>
              <w:t xml:space="preserve">0,070 </w:t>
            </w:r>
          </w:p>
        </w:tc>
        <w:tc>
          <w:tcPr>
            <w:tcW w:w="840" w:type="dxa"/>
          </w:tcPr>
          <w:p>
            <w:pPr>
              <w:spacing w:before="40" w:after="40"/>
              <w:jc w:val="right"/>
              <w:rPr>
                <w:noProof/>
                <w:sz w:val="22"/>
              </w:rPr>
            </w:pPr>
            <w:r>
              <w:rPr>
                <w:noProof/>
                <w:sz w:val="22"/>
              </w:rPr>
              <w:t xml:space="preserve">0,070 </w:t>
            </w:r>
          </w:p>
        </w:tc>
        <w:tc>
          <w:tcPr>
            <w:tcW w:w="839" w:type="dxa"/>
          </w:tcPr>
          <w:p>
            <w:pPr>
              <w:spacing w:before="40" w:after="40"/>
              <w:jc w:val="right"/>
              <w:rPr>
                <w:noProof/>
                <w:sz w:val="22"/>
              </w:rPr>
            </w:pPr>
            <w:r>
              <w:rPr>
                <w:noProof/>
                <w:sz w:val="22"/>
              </w:rPr>
              <w:t xml:space="preserve">0,070 </w:t>
            </w:r>
          </w:p>
        </w:tc>
        <w:tc>
          <w:tcPr>
            <w:tcW w:w="801" w:type="dxa"/>
          </w:tcPr>
          <w:p>
            <w:pPr>
              <w:spacing w:before="40" w:after="40"/>
              <w:jc w:val="right"/>
              <w:rPr>
                <w:noProof/>
                <w:sz w:val="22"/>
              </w:rPr>
            </w:pPr>
            <w:r>
              <w:rPr>
                <w:noProof/>
                <w:sz w:val="22"/>
              </w:rPr>
              <w:t xml:space="preserve">0,070 </w:t>
            </w:r>
          </w:p>
        </w:tc>
        <w:tc>
          <w:tcPr>
            <w:tcW w:w="1470" w:type="dxa"/>
          </w:tcPr>
          <w:p>
            <w:pPr>
              <w:spacing w:before="40" w:after="40"/>
              <w:jc w:val="right"/>
              <w:rPr>
                <w:b/>
                <w:noProof/>
                <w:sz w:val="22"/>
              </w:rPr>
            </w:pPr>
            <w:r>
              <w:rPr>
                <w:noProof/>
                <w:sz w:val="22"/>
              </w:rPr>
              <w:t xml:space="preserve">0,840 </w:t>
            </w:r>
          </w:p>
        </w:tc>
      </w:tr>
      <w:tr>
        <w:trPr>
          <w:trHeight w:val="318"/>
        </w:trPr>
        <w:tc>
          <w:tcPr>
            <w:tcW w:w="2770" w:type="dxa"/>
            <w:vMerge/>
            <w:vAlign w:val="center"/>
          </w:tcPr>
          <w:p>
            <w:pPr>
              <w:spacing w:before="60" w:after="60"/>
              <w:rPr>
                <w:b/>
                <w:noProof/>
                <w:sz w:val="20"/>
              </w:rPr>
            </w:pPr>
          </w:p>
        </w:tc>
        <w:tc>
          <w:tcPr>
            <w:tcW w:w="1357" w:type="dxa"/>
            <w:vAlign w:val="center"/>
          </w:tcPr>
          <w:p>
            <w:pPr>
              <w:spacing w:before="40" w:after="40"/>
              <w:rPr>
                <w:noProof/>
                <w:sz w:val="18"/>
              </w:rPr>
            </w:pPr>
            <w:r>
              <w:rPr>
                <w:noProof/>
                <w:sz w:val="18"/>
              </w:rPr>
              <w:t>Payments</w:t>
            </w:r>
          </w:p>
        </w:tc>
        <w:tc>
          <w:tcPr>
            <w:tcW w:w="801" w:type="dxa"/>
            <w:vAlign w:val="center"/>
          </w:tcPr>
          <w:p>
            <w:pPr>
              <w:spacing w:before="40" w:after="40"/>
              <w:jc w:val="center"/>
              <w:rPr>
                <w:noProof/>
                <w:sz w:val="14"/>
              </w:rPr>
            </w:pPr>
            <w:r>
              <w:rPr>
                <w:noProof/>
                <w:sz w:val="14"/>
              </w:rPr>
              <w:t>(3b)</w:t>
            </w:r>
          </w:p>
        </w:tc>
        <w:tc>
          <w:tcPr>
            <w:tcW w:w="801" w:type="dxa"/>
          </w:tcPr>
          <w:p>
            <w:pPr>
              <w:spacing w:before="40" w:after="40"/>
              <w:jc w:val="center"/>
              <w:rPr>
                <w:noProof/>
                <w:sz w:val="22"/>
              </w:rPr>
            </w:pPr>
            <w:r>
              <w:rPr>
                <w:noProof/>
              </w:rPr>
              <w:t>0</w:t>
            </w:r>
          </w:p>
        </w:tc>
        <w:tc>
          <w:tcPr>
            <w:tcW w:w="788" w:type="dxa"/>
          </w:tcPr>
          <w:p>
            <w:pPr>
              <w:spacing w:before="40" w:after="40"/>
              <w:jc w:val="right"/>
              <w:rPr>
                <w:noProof/>
                <w:sz w:val="22"/>
              </w:rPr>
            </w:pPr>
            <w:r>
              <w:rPr>
                <w:noProof/>
                <w:sz w:val="22"/>
              </w:rPr>
              <w:t xml:space="preserve">0,040 </w:t>
            </w:r>
          </w:p>
        </w:tc>
        <w:tc>
          <w:tcPr>
            <w:tcW w:w="840" w:type="dxa"/>
          </w:tcPr>
          <w:p>
            <w:pPr>
              <w:spacing w:before="40" w:after="40"/>
              <w:jc w:val="right"/>
              <w:rPr>
                <w:noProof/>
                <w:sz w:val="22"/>
              </w:rPr>
            </w:pPr>
            <w:r>
              <w:rPr>
                <w:noProof/>
                <w:sz w:val="22"/>
              </w:rPr>
              <w:t xml:space="preserve">0,176 </w:t>
            </w:r>
          </w:p>
        </w:tc>
        <w:tc>
          <w:tcPr>
            <w:tcW w:w="840" w:type="dxa"/>
          </w:tcPr>
          <w:p>
            <w:pPr>
              <w:spacing w:before="40" w:after="40"/>
              <w:jc w:val="right"/>
              <w:rPr>
                <w:noProof/>
                <w:sz w:val="22"/>
              </w:rPr>
            </w:pPr>
            <w:r>
              <w:rPr>
                <w:noProof/>
                <w:sz w:val="22"/>
              </w:rPr>
              <w:t xml:space="preserve">0,274 </w:t>
            </w:r>
          </w:p>
        </w:tc>
        <w:tc>
          <w:tcPr>
            <w:tcW w:w="840" w:type="dxa"/>
          </w:tcPr>
          <w:p>
            <w:pPr>
              <w:spacing w:before="40" w:after="40"/>
              <w:jc w:val="right"/>
              <w:rPr>
                <w:noProof/>
                <w:sz w:val="22"/>
              </w:rPr>
            </w:pPr>
            <w:r>
              <w:rPr>
                <w:noProof/>
                <w:sz w:val="22"/>
              </w:rPr>
              <w:t xml:space="preserve">0,070 </w:t>
            </w:r>
          </w:p>
        </w:tc>
        <w:tc>
          <w:tcPr>
            <w:tcW w:w="840" w:type="dxa"/>
          </w:tcPr>
          <w:p>
            <w:pPr>
              <w:spacing w:before="40" w:after="40"/>
              <w:jc w:val="right"/>
              <w:rPr>
                <w:noProof/>
                <w:sz w:val="22"/>
              </w:rPr>
            </w:pPr>
            <w:r>
              <w:rPr>
                <w:noProof/>
                <w:sz w:val="22"/>
              </w:rPr>
              <w:t xml:space="preserve">0,070 </w:t>
            </w:r>
          </w:p>
        </w:tc>
        <w:tc>
          <w:tcPr>
            <w:tcW w:w="840" w:type="dxa"/>
          </w:tcPr>
          <w:p>
            <w:pPr>
              <w:spacing w:before="40" w:after="40"/>
              <w:jc w:val="right"/>
              <w:rPr>
                <w:b/>
                <w:noProof/>
                <w:sz w:val="22"/>
              </w:rPr>
            </w:pPr>
            <w:r>
              <w:rPr>
                <w:noProof/>
                <w:sz w:val="22"/>
              </w:rPr>
              <w:t xml:space="preserve">0,070 </w:t>
            </w:r>
          </w:p>
        </w:tc>
        <w:tc>
          <w:tcPr>
            <w:tcW w:w="839" w:type="dxa"/>
          </w:tcPr>
          <w:p>
            <w:pPr>
              <w:spacing w:before="40" w:after="40"/>
              <w:jc w:val="right"/>
              <w:rPr>
                <w:b/>
                <w:noProof/>
                <w:sz w:val="22"/>
              </w:rPr>
            </w:pPr>
            <w:r>
              <w:rPr>
                <w:noProof/>
                <w:sz w:val="22"/>
              </w:rPr>
              <w:t xml:space="preserve">0,070 </w:t>
            </w:r>
          </w:p>
        </w:tc>
        <w:tc>
          <w:tcPr>
            <w:tcW w:w="801" w:type="dxa"/>
          </w:tcPr>
          <w:p>
            <w:pPr>
              <w:spacing w:before="40" w:after="40"/>
              <w:jc w:val="right"/>
              <w:rPr>
                <w:b/>
                <w:noProof/>
                <w:sz w:val="22"/>
              </w:rPr>
            </w:pPr>
            <w:r>
              <w:rPr>
                <w:noProof/>
                <w:sz w:val="22"/>
              </w:rPr>
              <w:t xml:space="preserve">0,070 </w:t>
            </w:r>
          </w:p>
        </w:tc>
        <w:tc>
          <w:tcPr>
            <w:tcW w:w="1470" w:type="dxa"/>
          </w:tcPr>
          <w:p>
            <w:pPr>
              <w:spacing w:before="40" w:after="40"/>
              <w:jc w:val="right"/>
              <w:rPr>
                <w:b/>
                <w:noProof/>
                <w:sz w:val="22"/>
              </w:rPr>
            </w:pPr>
            <w:r>
              <w:rPr>
                <w:noProof/>
                <w:sz w:val="22"/>
              </w:rPr>
              <w:t xml:space="preserve">0,840 </w:t>
            </w:r>
          </w:p>
        </w:tc>
      </w:tr>
      <w:tr>
        <w:trPr>
          <w:trHeight w:val="749"/>
        </w:trPr>
        <w:tc>
          <w:tcPr>
            <w:tcW w:w="2770" w:type="dxa"/>
            <w:vAlign w:val="center"/>
          </w:tcPr>
          <w:p>
            <w:pPr>
              <w:jc w:val="center"/>
              <w:rPr>
                <w:noProof/>
              </w:rPr>
            </w:pPr>
            <w:r>
              <w:rPr>
                <w:b/>
                <w:noProof/>
                <w:sz w:val="22"/>
              </w:rPr>
              <w:t>TOTAL appropriations</w:t>
            </w:r>
            <w:r>
              <w:rPr>
                <w:noProof/>
                <w:sz w:val="22"/>
              </w:rPr>
              <w:br/>
            </w:r>
            <w:r>
              <w:rPr>
                <w:b/>
                <w:noProof/>
                <w:sz w:val="22"/>
              </w:rPr>
              <w:t>for CEPOL</w:t>
            </w:r>
          </w:p>
        </w:tc>
        <w:tc>
          <w:tcPr>
            <w:tcW w:w="1357" w:type="dxa"/>
            <w:vAlign w:val="center"/>
          </w:tcPr>
          <w:p>
            <w:pPr>
              <w:rPr>
                <w:noProof/>
                <w:sz w:val="18"/>
              </w:rPr>
            </w:pPr>
            <w:r>
              <w:rPr>
                <w:noProof/>
                <w:sz w:val="18"/>
              </w:rPr>
              <w:t>(Total commitments = Total payments)</w:t>
            </w:r>
          </w:p>
        </w:tc>
        <w:tc>
          <w:tcPr>
            <w:tcW w:w="801" w:type="dxa"/>
            <w:vAlign w:val="center"/>
          </w:tcPr>
          <w:p>
            <w:pPr>
              <w:jc w:val="center"/>
              <w:rPr>
                <w:noProof/>
                <w:sz w:val="14"/>
              </w:rPr>
            </w:pPr>
            <w:r>
              <w:rPr>
                <w:noProof/>
                <w:sz w:val="14"/>
              </w:rPr>
              <w:t>=1+1a +3a</w:t>
            </w:r>
          </w:p>
        </w:tc>
        <w:tc>
          <w:tcPr>
            <w:tcW w:w="801" w:type="dxa"/>
          </w:tcPr>
          <w:p>
            <w:pPr>
              <w:spacing w:before="20" w:after="20"/>
              <w:jc w:val="center"/>
              <w:rPr>
                <w:noProof/>
                <w:sz w:val="22"/>
              </w:rPr>
            </w:pPr>
            <w:r>
              <w:rPr>
                <w:noProof/>
              </w:rPr>
              <w:t>0</w:t>
            </w:r>
          </w:p>
        </w:tc>
        <w:tc>
          <w:tcPr>
            <w:tcW w:w="788" w:type="dxa"/>
          </w:tcPr>
          <w:p>
            <w:pPr>
              <w:spacing w:before="20" w:after="20"/>
              <w:jc w:val="right"/>
              <w:rPr>
                <w:noProof/>
                <w:sz w:val="22"/>
              </w:rPr>
            </w:pPr>
            <w:r>
              <w:rPr>
                <w:noProof/>
                <w:sz w:val="22"/>
              </w:rPr>
              <w:t>0,144</w:t>
            </w:r>
          </w:p>
        </w:tc>
        <w:tc>
          <w:tcPr>
            <w:tcW w:w="840" w:type="dxa"/>
          </w:tcPr>
          <w:p>
            <w:pPr>
              <w:spacing w:before="20" w:after="20"/>
              <w:jc w:val="right"/>
              <w:rPr>
                <w:noProof/>
                <w:sz w:val="22"/>
              </w:rPr>
            </w:pPr>
            <w:r>
              <w:rPr>
                <w:noProof/>
                <w:sz w:val="22"/>
              </w:rPr>
              <w:t>0.384,</w:t>
            </w:r>
          </w:p>
        </w:tc>
        <w:tc>
          <w:tcPr>
            <w:tcW w:w="840" w:type="dxa"/>
          </w:tcPr>
          <w:p>
            <w:pPr>
              <w:spacing w:before="20" w:after="20"/>
              <w:jc w:val="right"/>
              <w:rPr>
                <w:noProof/>
                <w:sz w:val="22"/>
              </w:rPr>
            </w:pPr>
            <w:r>
              <w:rPr>
                <w:noProof/>
                <w:sz w:val="22"/>
              </w:rPr>
              <w:t xml:space="preserve">0,482 </w:t>
            </w:r>
          </w:p>
        </w:tc>
        <w:tc>
          <w:tcPr>
            <w:tcW w:w="840" w:type="dxa"/>
          </w:tcPr>
          <w:p>
            <w:pPr>
              <w:spacing w:before="20" w:after="20"/>
              <w:jc w:val="right"/>
              <w:rPr>
                <w:noProof/>
                <w:sz w:val="22"/>
              </w:rPr>
            </w:pPr>
            <w:r>
              <w:rPr>
                <w:noProof/>
                <w:sz w:val="22"/>
              </w:rPr>
              <w:t xml:space="preserve">0,208 </w:t>
            </w:r>
          </w:p>
        </w:tc>
        <w:tc>
          <w:tcPr>
            <w:tcW w:w="840" w:type="dxa"/>
          </w:tcPr>
          <w:p>
            <w:pPr>
              <w:spacing w:before="20" w:after="20"/>
              <w:jc w:val="right"/>
              <w:rPr>
                <w:noProof/>
                <w:sz w:val="22"/>
              </w:rPr>
            </w:pPr>
            <w:r>
              <w:rPr>
                <w:noProof/>
                <w:sz w:val="22"/>
              </w:rPr>
              <w:t xml:space="preserve">0,208 </w:t>
            </w:r>
          </w:p>
        </w:tc>
        <w:tc>
          <w:tcPr>
            <w:tcW w:w="840" w:type="dxa"/>
          </w:tcPr>
          <w:p>
            <w:pPr>
              <w:spacing w:before="20" w:after="20"/>
              <w:jc w:val="right"/>
              <w:rPr>
                <w:noProof/>
                <w:sz w:val="22"/>
              </w:rPr>
            </w:pPr>
            <w:r>
              <w:rPr>
                <w:noProof/>
                <w:sz w:val="22"/>
              </w:rPr>
              <w:t xml:space="preserve">0,208 </w:t>
            </w:r>
          </w:p>
        </w:tc>
        <w:tc>
          <w:tcPr>
            <w:tcW w:w="839" w:type="dxa"/>
          </w:tcPr>
          <w:p>
            <w:pPr>
              <w:spacing w:before="20" w:after="20"/>
              <w:jc w:val="right"/>
              <w:rPr>
                <w:noProof/>
                <w:sz w:val="22"/>
              </w:rPr>
            </w:pPr>
            <w:r>
              <w:rPr>
                <w:noProof/>
                <w:sz w:val="22"/>
              </w:rPr>
              <w:t xml:space="preserve">0,208 </w:t>
            </w:r>
          </w:p>
        </w:tc>
        <w:tc>
          <w:tcPr>
            <w:tcW w:w="801" w:type="dxa"/>
          </w:tcPr>
          <w:p>
            <w:pPr>
              <w:spacing w:before="20" w:after="20"/>
              <w:jc w:val="center"/>
              <w:rPr>
                <w:noProof/>
                <w:sz w:val="22"/>
              </w:rPr>
            </w:pPr>
            <w:r>
              <w:rPr>
                <w:noProof/>
                <w:sz w:val="22"/>
              </w:rPr>
              <w:t xml:space="preserve">0,208 </w:t>
            </w:r>
          </w:p>
        </w:tc>
        <w:tc>
          <w:tcPr>
            <w:tcW w:w="1470" w:type="dxa"/>
          </w:tcPr>
          <w:p>
            <w:pPr>
              <w:spacing w:before="20" w:after="20"/>
              <w:jc w:val="right"/>
              <w:rPr>
                <w:noProof/>
                <w:sz w:val="22"/>
              </w:rPr>
            </w:pPr>
            <w:r>
              <w:rPr>
                <w:noProof/>
                <w:sz w:val="22"/>
              </w:rPr>
              <w:t>2,050</w:t>
            </w:r>
          </w:p>
          <w:p>
            <w:pPr>
              <w:spacing w:before="20" w:after="20"/>
              <w:jc w:val="center"/>
              <w:rPr>
                <w:b/>
                <w:noProof/>
                <w:sz w:val="22"/>
                <w:highlight w:val="cyan"/>
              </w:rPr>
            </w:pPr>
          </w:p>
        </w:tc>
      </w:tr>
    </w:tbl>
    <w:p>
      <w:pPr>
        <w:rPr>
          <w:noProof/>
        </w:rPr>
      </w:pPr>
      <w:r>
        <w:rPr>
          <w:noProof/>
        </w:rPr>
        <w:t xml:space="preserve">Centrally coordinated EU level training improves coherent implementation of training courses at national level and as a consequence ensures correct and successful implementation and use of interoperability components. CEPOL — as the EU Agency for Law Enforcement Training — is well-positioned to deliver central EU level training. These expenditures cover the preparation of the 'training for Member State trainers' required to use the central systems once they are made interoperable. The costs include those related to a small personnel increase for CEPOL to coordinate, manage, organise and update the courses and the cost for delivering a number of training sessions per year and preparing the online course. Details of these costs are explained below. The training effort is concentrated on the periods immediately preceding go-live. A continuous effort remains necessary beyond the go-live as the interoperable components are maintained and the trainers do not permanently remain the same persons, based on the experience of delivering existing training on Schengen information system. </w:t>
      </w:r>
    </w:p>
    <w:p>
      <w:pPr>
        <w:rPr>
          <w:noProof/>
        </w:rPr>
      </w:pPr>
    </w:p>
    <w:tbl>
      <w:tblPr>
        <w:tblW w:w="13968"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70"/>
        <w:gridCol w:w="1357"/>
        <w:gridCol w:w="881"/>
        <w:gridCol w:w="882"/>
        <w:gridCol w:w="882"/>
        <w:gridCol w:w="882"/>
        <w:gridCol w:w="882"/>
        <w:gridCol w:w="881"/>
        <w:gridCol w:w="882"/>
        <w:gridCol w:w="882"/>
        <w:gridCol w:w="882"/>
        <w:gridCol w:w="882"/>
        <w:gridCol w:w="1023"/>
      </w:tblGrid>
      <w:tr>
        <w:trPr>
          <w:trHeight w:val="687"/>
        </w:trPr>
        <w:tc>
          <w:tcPr>
            <w:tcW w:w="2770" w:type="dxa"/>
            <w:vAlign w:val="center"/>
          </w:tcPr>
          <w:p>
            <w:pPr>
              <w:jc w:val="center"/>
              <w:rPr>
                <w:b/>
                <w:noProof/>
              </w:rPr>
            </w:pPr>
            <w:r>
              <w:rPr>
                <w:b/>
                <w:noProof/>
                <w:sz w:val="22"/>
              </w:rPr>
              <w:t>18.0207 - eu-LISA</w:t>
            </w:r>
          </w:p>
        </w:tc>
        <w:tc>
          <w:tcPr>
            <w:tcW w:w="1357" w:type="dxa"/>
          </w:tcPr>
          <w:p>
            <w:pPr>
              <w:rPr>
                <w:noProof/>
                <w:sz w:val="20"/>
              </w:rPr>
            </w:pPr>
          </w:p>
        </w:tc>
        <w:tc>
          <w:tcPr>
            <w:tcW w:w="881" w:type="dxa"/>
          </w:tcPr>
          <w:p>
            <w:pPr>
              <w:jc w:val="center"/>
              <w:rPr>
                <w:noProof/>
                <w:sz w:val="20"/>
              </w:rPr>
            </w:pPr>
          </w:p>
        </w:tc>
        <w:tc>
          <w:tcPr>
            <w:tcW w:w="882" w:type="dxa"/>
            <w:vAlign w:val="center"/>
          </w:tcPr>
          <w:p>
            <w:pPr>
              <w:jc w:val="center"/>
              <w:rPr>
                <w:noProof/>
                <w:sz w:val="20"/>
              </w:rPr>
            </w:pPr>
            <w:r>
              <w:rPr>
                <w:noProof/>
                <w:sz w:val="20"/>
              </w:rPr>
              <w:t>Year</w:t>
            </w:r>
            <w:r>
              <w:rPr>
                <w:noProof/>
                <w:sz w:val="22"/>
              </w:rPr>
              <w:br/>
            </w:r>
            <w:r>
              <w:rPr>
                <w:b/>
                <w:noProof/>
                <w:sz w:val="20"/>
              </w:rPr>
              <w:t>2019</w:t>
            </w:r>
          </w:p>
        </w:tc>
        <w:tc>
          <w:tcPr>
            <w:tcW w:w="882" w:type="dxa"/>
            <w:vAlign w:val="center"/>
          </w:tcPr>
          <w:p>
            <w:pPr>
              <w:jc w:val="center"/>
              <w:rPr>
                <w:noProof/>
                <w:sz w:val="20"/>
              </w:rPr>
            </w:pPr>
            <w:r>
              <w:rPr>
                <w:noProof/>
                <w:sz w:val="20"/>
              </w:rPr>
              <w:t>Year</w:t>
            </w:r>
            <w:r>
              <w:rPr>
                <w:noProof/>
                <w:sz w:val="22"/>
              </w:rPr>
              <w:br/>
            </w:r>
            <w:r>
              <w:rPr>
                <w:b/>
                <w:noProof/>
                <w:sz w:val="20"/>
              </w:rPr>
              <w:t>2020</w:t>
            </w:r>
          </w:p>
        </w:tc>
        <w:tc>
          <w:tcPr>
            <w:tcW w:w="882" w:type="dxa"/>
            <w:vAlign w:val="center"/>
          </w:tcPr>
          <w:p>
            <w:pPr>
              <w:jc w:val="center"/>
              <w:rPr>
                <w:noProof/>
                <w:sz w:val="20"/>
              </w:rPr>
            </w:pPr>
            <w:r>
              <w:rPr>
                <w:noProof/>
                <w:sz w:val="20"/>
              </w:rPr>
              <w:t>Year</w:t>
            </w:r>
            <w:r>
              <w:rPr>
                <w:noProof/>
                <w:sz w:val="22"/>
              </w:rPr>
              <w:br/>
            </w:r>
            <w:r>
              <w:rPr>
                <w:b/>
                <w:noProof/>
                <w:sz w:val="20"/>
              </w:rPr>
              <w:t>2021</w:t>
            </w:r>
          </w:p>
        </w:tc>
        <w:tc>
          <w:tcPr>
            <w:tcW w:w="882" w:type="dxa"/>
            <w:vAlign w:val="center"/>
          </w:tcPr>
          <w:p>
            <w:pPr>
              <w:jc w:val="center"/>
              <w:rPr>
                <w:noProof/>
                <w:sz w:val="20"/>
              </w:rPr>
            </w:pPr>
            <w:r>
              <w:rPr>
                <w:noProof/>
                <w:sz w:val="20"/>
              </w:rPr>
              <w:t>Year</w:t>
            </w:r>
            <w:r>
              <w:rPr>
                <w:noProof/>
                <w:sz w:val="22"/>
              </w:rPr>
              <w:br/>
            </w:r>
            <w:r>
              <w:rPr>
                <w:b/>
                <w:noProof/>
                <w:sz w:val="20"/>
              </w:rPr>
              <w:t>2022</w:t>
            </w:r>
          </w:p>
        </w:tc>
        <w:tc>
          <w:tcPr>
            <w:tcW w:w="881" w:type="dxa"/>
            <w:vAlign w:val="center"/>
          </w:tcPr>
          <w:p>
            <w:pPr>
              <w:jc w:val="center"/>
              <w:rPr>
                <w:noProof/>
                <w:sz w:val="20"/>
              </w:rPr>
            </w:pPr>
            <w:r>
              <w:rPr>
                <w:noProof/>
                <w:sz w:val="20"/>
              </w:rPr>
              <w:t>Year</w:t>
            </w:r>
            <w:r>
              <w:rPr>
                <w:noProof/>
                <w:sz w:val="20"/>
              </w:rPr>
              <w:br/>
            </w:r>
            <w:r>
              <w:rPr>
                <w:b/>
                <w:noProof/>
                <w:sz w:val="20"/>
              </w:rPr>
              <w:t>2023</w:t>
            </w:r>
          </w:p>
        </w:tc>
        <w:tc>
          <w:tcPr>
            <w:tcW w:w="882" w:type="dxa"/>
            <w:shd w:val="clear" w:color="auto" w:fill="auto"/>
            <w:vAlign w:val="center"/>
          </w:tcPr>
          <w:p>
            <w:pPr>
              <w:jc w:val="center"/>
              <w:rPr>
                <w:noProof/>
                <w:sz w:val="20"/>
              </w:rPr>
            </w:pPr>
            <w:r>
              <w:rPr>
                <w:noProof/>
                <w:sz w:val="20"/>
              </w:rPr>
              <w:t>Year</w:t>
            </w:r>
            <w:r>
              <w:rPr>
                <w:noProof/>
                <w:sz w:val="20"/>
              </w:rPr>
              <w:br/>
            </w:r>
            <w:r>
              <w:rPr>
                <w:b/>
                <w:noProof/>
                <w:sz w:val="20"/>
              </w:rPr>
              <w:t>2024</w:t>
            </w:r>
          </w:p>
        </w:tc>
        <w:tc>
          <w:tcPr>
            <w:tcW w:w="882" w:type="dxa"/>
            <w:shd w:val="clear" w:color="auto" w:fill="auto"/>
            <w:vAlign w:val="center"/>
          </w:tcPr>
          <w:p>
            <w:pPr>
              <w:jc w:val="center"/>
              <w:rPr>
                <w:noProof/>
                <w:sz w:val="20"/>
              </w:rPr>
            </w:pPr>
            <w:r>
              <w:rPr>
                <w:noProof/>
                <w:sz w:val="20"/>
              </w:rPr>
              <w:t>Year</w:t>
            </w:r>
            <w:r>
              <w:rPr>
                <w:noProof/>
                <w:sz w:val="20"/>
              </w:rPr>
              <w:br/>
            </w:r>
            <w:r>
              <w:rPr>
                <w:b/>
                <w:noProof/>
                <w:sz w:val="20"/>
              </w:rPr>
              <w:t>2025</w:t>
            </w:r>
          </w:p>
        </w:tc>
        <w:tc>
          <w:tcPr>
            <w:tcW w:w="882" w:type="dxa"/>
            <w:shd w:val="clear" w:color="auto" w:fill="auto"/>
          </w:tcPr>
          <w:p>
            <w:pPr>
              <w:jc w:val="center"/>
              <w:rPr>
                <w:noProof/>
                <w:sz w:val="20"/>
              </w:rPr>
            </w:pPr>
            <w:r>
              <w:rPr>
                <w:noProof/>
                <w:sz w:val="20"/>
              </w:rPr>
              <w:t>Year</w:t>
            </w:r>
            <w:r>
              <w:rPr>
                <w:noProof/>
                <w:sz w:val="20"/>
              </w:rPr>
              <w:br/>
            </w:r>
            <w:r>
              <w:rPr>
                <w:b/>
                <w:noProof/>
                <w:sz w:val="20"/>
              </w:rPr>
              <w:t>2026</w:t>
            </w:r>
          </w:p>
        </w:tc>
        <w:tc>
          <w:tcPr>
            <w:tcW w:w="882" w:type="dxa"/>
          </w:tcPr>
          <w:p>
            <w:pPr>
              <w:jc w:val="center"/>
              <w:rPr>
                <w:noProof/>
                <w:sz w:val="20"/>
              </w:rPr>
            </w:pPr>
            <w:r>
              <w:rPr>
                <w:noProof/>
                <w:sz w:val="20"/>
              </w:rPr>
              <w:t>Year</w:t>
            </w:r>
            <w:r>
              <w:rPr>
                <w:noProof/>
                <w:sz w:val="20"/>
              </w:rPr>
              <w:br/>
            </w:r>
            <w:r>
              <w:rPr>
                <w:b/>
                <w:noProof/>
                <w:sz w:val="20"/>
              </w:rPr>
              <w:t>2027</w:t>
            </w:r>
          </w:p>
        </w:tc>
        <w:tc>
          <w:tcPr>
            <w:tcW w:w="1023" w:type="dxa"/>
            <w:vAlign w:val="center"/>
          </w:tcPr>
          <w:p>
            <w:pPr>
              <w:jc w:val="center"/>
              <w:rPr>
                <w:b/>
                <w:noProof/>
                <w:sz w:val="20"/>
              </w:rPr>
            </w:pPr>
            <w:r>
              <w:rPr>
                <w:b/>
                <w:noProof/>
                <w:sz w:val="20"/>
              </w:rPr>
              <w:t>TOTAL</w:t>
            </w:r>
          </w:p>
        </w:tc>
      </w:tr>
      <w:tr>
        <w:trPr>
          <w:trHeight w:val="276"/>
        </w:trPr>
        <w:tc>
          <w:tcPr>
            <w:tcW w:w="2770" w:type="dxa"/>
            <w:vMerge w:val="restart"/>
            <w:vAlign w:val="center"/>
          </w:tcPr>
          <w:p>
            <w:pPr>
              <w:jc w:val="left"/>
              <w:rPr>
                <w:noProof/>
                <w:color w:val="0000FF"/>
              </w:rPr>
            </w:pPr>
            <w:r>
              <w:rPr>
                <w:noProof/>
                <w:sz w:val="20"/>
              </w:rPr>
              <w:t>Title 1: Staff expenditures</w:t>
            </w:r>
          </w:p>
        </w:tc>
        <w:tc>
          <w:tcPr>
            <w:tcW w:w="1357" w:type="dxa"/>
            <w:vAlign w:val="center"/>
          </w:tcPr>
          <w:p>
            <w:pPr>
              <w:spacing w:before="20" w:after="20"/>
              <w:rPr>
                <w:noProof/>
              </w:rPr>
            </w:pPr>
            <w:r>
              <w:rPr>
                <w:noProof/>
                <w:sz w:val="18"/>
              </w:rPr>
              <w:t>Commitments</w:t>
            </w:r>
          </w:p>
        </w:tc>
        <w:tc>
          <w:tcPr>
            <w:tcW w:w="881" w:type="dxa"/>
            <w:vAlign w:val="center"/>
          </w:tcPr>
          <w:p>
            <w:pPr>
              <w:spacing w:before="20" w:after="20"/>
              <w:jc w:val="center"/>
              <w:rPr>
                <w:noProof/>
                <w:sz w:val="14"/>
              </w:rPr>
            </w:pPr>
            <w:r>
              <w:rPr>
                <w:noProof/>
                <w:sz w:val="14"/>
              </w:rPr>
              <w:t>(1)</w:t>
            </w:r>
          </w:p>
        </w:tc>
        <w:tc>
          <w:tcPr>
            <w:tcW w:w="882" w:type="dxa"/>
          </w:tcPr>
          <w:p>
            <w:pPr>
              <w:jc w:val="right"/>
              <w:rPr>
                <w:noProof/>
                <w:sz w:val="20"/>
              </w:rPr>
            </w:pPr>
            <w:r>
              <w:rPr>
                <w:noProof/>
                <w:sz w:val="20"/>
              </w:rPr>
              <w:t xml:space="preserve">2,876 </w:t>
            </w:r>
          </w:p>
        </w:tc>
        <w:tc>
          <w:tcPr>
            <w:tcW w:w="882" w:type="dxa"/>
          </w:tcPr>
          <w:p>
            <w:pPr>
              <w:jc w:val="right"/>
              <w:rPr>
                <w:noProof/>
                <w:sz w:val="20"/>
              </w:rPr>
            </w:pPr>
            <w:r>
              <w:rPr>
                <w:noProof/>
                <w:sz w:val="20"/>
              </w:rPr>
              <w:t xml:space="preserve">4,850 </w:t>
            </w:r>
          </w:p>
        </w:tc>
        <w:tc>
          <w:tcPr>
            <w:tcW w:w="882" w:type="dxa"/>
          </w:tcPr>
          <w:p>
            <w:pPr>
              <w:jc w:val="right"/>
              <w:rPr>
                <w:noProof/>
                <w:sz w:val="20"/>
              </w:rPr>
            </w:pPr>
            <w:r>
              <w:rPr>
                <w:noProof/>
                <w:sz w:val="20"/>
              </w:rPr>
              <w:t xml:space="preserve">6,202 </w:t>
            </w:r>
          </w:p>
        </w:tc>
        <w:tc>
          <w:tcPr>
            <w:tcW w:w="882" w:type="dxa"/>
          </w:tcPr>
          <w:p>
            <w:pPr>
              <w:jc w:val="right"/>
              <w:rPr>
                <w:noProof/>
                <w:sz w:val="20"/>
              </w:rPr>
            </w:pPr>
            <w:r>
              <w:rPr>
                <w:noProof/>
                <w:sz w:val="20"/>
              </w:rPr>
              <w:t xml:space="preserve">6,902 </w:t>
            </w:r>
          </w:p>
        </w:tc>
        <w:tc>
          <w:tcPr>
            <w:tcW w:w="881" w:type="dxa"/>
          </w:tcPr>
          <w:p>
            <w:pPr>
              <w:jc w:val="right"/>
              <w:rPr>
                <w:noProof/>
                <w:sz w:val="20"/>
              </w:rPr>
            </w:pPr>
            <w:r>
              <w:rPr>
                <w:noProof/>
                <w:sz w:val="20"/>
              </w:rPr>
              <w:t xml:space="preserve">6,624 </w:t>
            </w:r>
          </w:p>
        </w:tc>
        <w:tc>
          <w:tcPr>
            <w:tcW w:w="882" w:type="dxa"/>
          </w:tcPr>
          <w:p>
            <w:pPr>
              <w:jc w:val="right"/>
              <w:rPr>
                <w:noProof/>
                <w:sz w:val="20"/>
              </w:rPr>
            </w:pPr>
            <w:r>
              <w:rPr>
                <w:noProof/>
                <w:sz w:val="20"/>
              </w:rPr>
              <w:t xml:space="preserve">5,482 </w:t>
            </w:r>
          </w:p>
        </w:tc>
        <w:tc>
          <w:tcPr>
            <w:tcW w:w="882" w:type="dxa"/>
          </w:tcPr>
          <w:p>
            <w:pPr>
              <w:jc w:val="right"/>
              <w:rPr>
                <w:noProof/>
                <w:sz w:val="20"/>
              </w:rPr>
            </w:pPr>
            <w:r>
              <w:rPr>
                <w:noProof/>
                <w:sz w:val="20"/>
              </w:rPr>
              <w:t xml:space="preserve">5,136 </w:t>
            </w:r>
          </w:p>
        </w:tc>
        <w:tc>
          <w:tcPr>
            <w:tcW w:w="882" w:type="dxa"/>
          </w:tcPr>
          <w:p>
            <w:pPr>
              <w:jc w:val="right"/>
              <w:rPr>
                <w:noProof/>
                <w:sz w:val="20"/>
              </w:rPr>
            </w:pPr>
            <w:r>
              <w:rPr>
                <w:noProof/>
                <w:sz w:val="20"/>
              </w:rPr>
              <w:t xml:space="preserve">5,136 </w:t>
            </w:r>
          </w:p>
        </w:tc>
        <w:tc>
          <w:tcPr>
            <w:tcW w:w="882" w:type="dxa"/>
          </w:tcPr>
          <w:p>
            <w:pPr>
              <w:jc w:val="right"/>
              <w:rPr>
                <w:noProof/>
                <w:sz w:val="20"/>
              </w:rPr>
            </w:pPr>
            <w:r>
              <w:rPr>
                <w:noProof/>
                <w:sz w:val="20"/>
              </w:rPr>
              <w:t xml:space="preserve">5,136 </w:t>
            </w:r>
          </w:p>
        </w:tc>
        <w:tc>
          <w:tcPr>
            <w:tcW w:w="1023" w:type="dxa"/>
          </w:tcPr>
          <w:p>
            <w:pPr>
              <w:jc w:val="right"/>
              <w:rPr>
                <w:noProof/>
                <w:sz w:val="20"/>
              </w:rPr>
            </w:pPr>
            <w:r>
              <w:rPr>
                <w:noProof/>
                <w:sz w:val="20"/>
              </w:rPr>
              <w:t xml:space="preserve">48,344 </w:t>
            </w:r>
          </w:p>
        </w:tc>
      </w:tr>
      <w:tr>
        <w:trPr>
          <w:trHeight w:val="144"/>
        </w:trPr>
        <w:tc>
          <w:tcPr>
            <w:tcW w:w="2770" w:type="dxa"/>
            <w:vMerge/>
            <w:vAlign w:val="center"/>
          </w:tcPr>
          <w:p>
            <w:pPr>
              <w:jc w:val="left"/>
              <w:rPr>
                <w:noProof/>
                <w:color w:val="0000FF"/>
              </w:rPr>
            </w:pPr>
          </w:p>
        </w:tc>
        <w:tc>
          <w:tcPr>
            <w:tcW w:w="1357" w:type="dxa"/>
            <w:vAlign w:val="center"/>
          </w:tcPr>
          <w:p>
            <w:pPr>
              <w:spacing w:before="20" w:after="20"/>
              <w:rPr>
                <w:noProof/>
                <w:sz w:val="18"/>
              </w:rPr>
            </w:pPr>
            <w:r>
              <w:rPr>
                <w:noProof/>
                <w:sz w:val="18"/>
              </w:rPr>
              <w:t>Payments</w:t>
            </w:r>
          </w:p>
        </w:tc>
        <w:tc>
          <w:tcPr>
            <w:tcW w:w="881" w:type="dxa"/>
            <w:vAlign w:val="center"/>
          </w:tcPr>
          <w:p>
            <w:pPr>
              <w:spacing w:before="20" w:after="20"/>
              <w:jc w:val="center"/>
              <w:rPr>
                <w:noProof/>
                <w:sz w:val="14"/>
              </w:rPr>
            </w:pPr>
            <w:r>
              <w:rPr>
                <w:noProof/>
                <w:sz w:val="14"/>
              </w:rPr>
              <w:t>(2)</w:t>
            </w:r>
          </w:p>
        </w:tc>
        <w:tc>
          <w:tcPr>
            <w:tcW w:w="882" w:type="dxa"/>
          </w:tcPr>
          <w:p>
            <w:pPr>
              <w:jc w:val="right"/>
              <w:rPr>
                <w:noProof/>
                <w:sz w:val="20"/>
              </w:rPr>
            </w:pPr>
            <w:r>
              <w:rPr>
                <w:noProof/>
                <w:sz w:val="20"/>
              </w:rPr>
              <w:t xml:space="preserve">2,876 </w:t>
            </w:r>
          </w:p>
        </w:tc>
        <w:tc>
          <w:tcPr>
            <w:tcW w:w="882" w:type="dxa"/>
          </w:tcPr>
          <w:p>
            <w:pPr>
              <w:jc w:val="right"/>
              <w:rPr>
                <w:noProof/>
                <w:sz w:val="20"/>
              </w:rPr>
            </w:pPr>
            <w:r>
              <w:rPr>
                <w:noProof/>
                <w:sz w:val="20"/>
              </w:rPr>
              <w:t xml:space="preserve">4,850 </w:t>
            </w:r>
          </w:p>
        </w:tc>
        <w:tc>
          <w:tcPr>
            <w:tcW w:w="882" w:type="dxa"/>
          </w:tcPr>
          <w:p>
            <w:pPr>
              <w:jc w:val="right"/>
              <w:rPr>
                <w:noProof/>
                <w:sz w:val="20"/>
              </w:rPr>
            </w:pPr>
            <w:r>
              <w:rPr>
                <w:noProof/>
                <w:sz w:val="20"/>
              </w:rPr>
              <w:t xml:space="preserve">6,202 </w:t>
            </w:r>
          </w:p>
        </w:tc>
        <w:tc>
          <w:tcPr>
            <w:tcW w:w="882" w:type="dxa"/>
          </w:tcPr>
          <w:p>
            <w:pPr>
              <w:jc w:val="right"/>
              <w:rPr>
                <w:noProof/>
                <w:sz w:val="20"/>
              </w:rPr>
            </w:pPr>
            <w:r>
              <w:rPr>
                <w:noProof/>
                <w:sz w:val="20"/>
              </w:rPr>
              <w:t xml:space="preserve">6,902 </w:t>
            </w:r>
          </w:p>
        </w:tc>
        <w:tc>
          <w:tcPr>
            <w:tcW w:w="881" w:type="dxa"/>
          </w:tcPr>
          <w:p>
            <w:pPr>
              <w:jc w:val="right"/>
              <w:rPr>
                <w:noProof/>
                <w:sz w:val="20"/>
              </w:rPr>
            </w:pPr>
            <w:r>
              <w:rPr>
                <w:noProof/>
                <w:sz w:val="20"/>
              </w:rPr>
              <w:t xml:space="preserve">6,624 </w:t>
            </w:r>
          </w:p>
        </w:tc>
        <w:tc>
          <w:tcPr>
            <w:tcW w:w="882" w:type="dxa"/>
          </w:tcPr>
          <w:p>
            <w:pPr>
              <w:jc w:val="right"/>
              <w:rPr>
                <w:noProof/>
                <w:sz w:val="20"/>
              </w:rPr>
            </w:pPr>
            <w:r>
              <w:rPr>
                <w:noProof/>
                <w:sz w:val="20"/>
              </w:rPr>
              <w:t xml:space="preserve">5,482 </w:t>
            </w:r>
          </w:p>
        </w:tc>
        <w:tc>
          <w:tcPr>
            <w:tcW w:w="882" w:type="dxa"/>
          </w:tcPr>
          <w:p>
            <w:pPr>
              <w:jc w:val="right"/>
              <w:rPr>
                <w:noProof/>
                <w:sz w:val="20"/>
              </w:rPr>
            </w:pPr>
            <w:r>
              <w:rPr>
                <w:noProof/>
                <w:sz w:val="20"/>
              </w:rPr>
              <w:t xml:space="preserve">5,136 </w:t>
            </w:r>
          </w:p>
        </w:tc>
        <w:tc>
          <w:tcPr>
            <w:tcW w:w="882" w:type="dxa"/>
          </w:tcPr>
          <w:p>
            <w:pPr>
              <w:jc w:val="right"/>
              <w:rPr>
                <w:noProof/>
                <w:sz w:val="20"/>
              </w:rPr>
            </w:pPr>
            <w:r>
              <w:rPr>
                <w:noProof/>
                <w:sz w:val="20"/>
              </w:rPr>
              <w:t xml:space="preserve">5,136 </w:t>
            </w:r>
          </w:p>
        </w:tc>
        <w:tc>
          <w:tcPr>
            <w:tcW w:w="882" w:type="dxa"/>
          </w:tcPr>
          <w:p>
            <w:pPr>
              <w:jc w:val="right"/>
              <w:rPr>
                <w:noProof/>
                <w:sz w:val="20"/>
              </w:rPr>
            </w:pPr>
            <w:r>
              <w:rPr>
                <w:noProof/>
                <w:sz w:val="20"/>
              </w:rPr>
              <w:t xml:space="preserve">5,136 </w:t>
            </w:r>
          </w:p>
        </w:tc>
        <w:tc>
          <w:tcPr>
            <w:tcW w:w="1023" w:type="dxa"/>
          </w:tcPr>
          <w:p>
            <w:pPr>
              <w:jc w:val="right"/>
              <w:rPr>
                <w:noProof/>
                <w:sz w:val="20"/>
              </w:rPr>
            </w:pPr>
            <w:r>
              <w:rPr>
                <w:noProof/>
                <w:sz w:val="20"/>
              </w:rPr>
              <w:t xml:space="preserve">48,344 </w:t>
            </w:r>
          </w:p>
        </w:tc>
      </w:tr>
      <w:tr>
        <w:trPr>
          <w:trHeight w:val="262"/>
        </w:trPr>
        <w:tc>
          <w:tcPr>
            <w:tcW w:w="2770" w:type="dxa"/>
            <w:vMerge w:val="restart"/>
            <w:vAlign w:val="center"/>
          </w:tcPr>
          <w:p>
            <w:pPr>
              <w:jc w:val="left"/>
              <w:rPr>
                <w:noProof/>
                <w:color w:val="0000FF"/>
              </w:rPr>
            </w:pPr>
            <w:r>
              <w:rPr>
                <w:noProof/>
                <w:sz w:val="20"/>
              </w:rPr>
              <w:t>Title 2: Infrastructure and Operating expenditure</w:t>
            </w:r>
          </w:p>
        </w:tc>
        <w:tc>
          <w:tcPr>
            <w:tcW w:w="1357" w:type="dxa"/>
            <w:vAlign w:val="center"/>
          </w:tcPr>
          <w:p>
            <w:pPr>
              <w:spacing w:before="20" w:after="20"/>
              <w:rPr>
                <w:noProof/>
                <w:sz w:val="18"/>
              </w:rPr>
            </w:pPr>
            <w:r>
              <w:rPr>
                <w:noProof/>
                <w:sz w:val="18"/>
              </w:rPr>
              <w:t>Commitments</w:t>
            </w:r>
          </w:p>
        </w:tc>
        <w:tc>
          <w:tcPr>
            <w:tcW w:w="881" w:type="dxa"/>
            <w:vAlign w:val="center"/>
          </w:tcPr>
          <w:p>
            <w:pPr>
              <w:spacing w:before="20" w:after="20"/>
              <w:jc w:val="center"/>
              <w:rPr>
                <w:noProof/>
                <w:sz w:val="14"/>
              </w:rPr>
            </w:pPr>
            <w:r>
              <w:rPr>
                <w:noProof/>
                <w:sz w:val="14"/>
              </w:rPr>
              <w:t>(1a)</w:t>
            </w:r>
          </w:p>
        </w:tc>
        <w:tc>
          <w:tcPr>
            <w:tcW w:w="882" w:type="dxa"/>
          </w:tcPr>
          <w:p>
            <w:pPr>
              <w:jc w:val="right"/>
              <w:rPr>
                <w:noProof/>
                <w:sz w:val="20"/>
              </w:rPr>
            </w:pPr>
            <w:r>
              <w:rPr>
                <w:noProof/>
                <w:sz w:val="20"/>
              </w:rPr>
              <w:t xml:space="preserve">0,136 </w:t>
            </w:r>
          </w:p>
        </w:tc>
        <w:tc>
          <w:tcPr>
            <w:tcW w:w="882" w:type="dxa"/>
          </w:tcPr>
          <w:p>
            <w:pPr>
              <w:jc w:val="right"/>
              <w:rPr>
                <w:noProof/>
                <w:sz w:val="20"/>
              </w:rPr>
            </w:pPr>
            <w:r>
              <w:rPr>
                <w:noProof/>
                <w:sz w:val="20"/>
              </w:rPr>
              <w:t xml:space="preserve">0,227 </w:t>
            </w:r>
          </w:p>
        </w:tc>
        <w:tc>
          <w:tcPr>
            <w:tcW w:w="882" w:type="dxa"/>
          </w:tcPr>
          <w:p>
            <w:pPr>
              <w:jc w:val="right"/>
              <w:rPr>
                <w:noProof/>
                <w:sz w:val="20"/>
              </w:rPr>
            </w:pPr>
            <w:r>
              <w:rPr>
                <w:noProof/>
                <w:sz w:val="20"/>
              </w:rPr>
              <w:t xml:space="preserve">0,292 </w:t>
            </w:r>
          </w:p>
        </w:tc>
        <w:tc>
          <w:tcPr>
            <w:tcW w:w="882" w:type="dxa"/>
          </w:tcPr>
          <w:p>
            <w:pPr>
              <w:jc w:val="right"/>
              <w:rPr>
                <w:noProof/>
                <w:sz w:val="20"/>
              </w:rPr>
            </w:pPr>
            <w:r>
              <w:rPr>
                <w:noProof/>
                <w:sz w:val="20"/>
              </w:rPr>
              <w:t xml:space="preserve">0,343 </w:t>
            </w:r>
          </w:p>
        </w:tc>
        <w:tc>
          <w:tcPr>
            <w:tcW w:w="881" w:type="dxa"/>
          </w:tcPr>
          <w:p>
            <w:pPr>
              <w:jc w:val="right"/>
              <w:rPr>
                <w:noProof/>
                <w:sz w:val="20"/>
              </w:rPr>
            </w:pPr>
            <w:r>
              <w:rPr>
                <w:noProof/>
                <w:sz w:val="20"/>
              </w:rPr>
              <w:t xml:space="preserve">0,328 </w:t>
            </w:r>
          </w:p>
        </w:tc>
        <w:tc>
          <w:tcPr>
            <w:tcW w:w="882" w:type="dxa"/>
          </w:tcPr>
          <w:p>
            <w:pPr>
              <w:jc w:val="right"/>
              <w:rPr>
                <w:noProof/>
                <w:sz w:val="20"/>
              </w:rPr>
            </w:pPr>
            <w:r>
              <w:rPr>
                <w:noProof/>
                <w:sz w:val="20"/>
              </w:rPr>
              <w:t xml:space="preserve">0,277 </w:t>
            </w:r>
          </w:p>
        </w:tc>
        <w:tc>
          <w:tcPr>
            <w:tcW w:w="882" w:type="dxa"/>
          </w:tcPr>
          <w:p>
            <w:pPr>
              <w:jc w:val="right"/>
              <w:rPr>
                <w:noProof/>
                <w:sz w:val="20"/>
              </w:rPr>
            </w:pPr>
            <w:r>
              <w:rPr>
                <w:noProof/>
                <w:sz w:val="20"/>
              </w:rPr>
              <w:t xml:space="preserve">0,262 </w:t>
            </w:r>
          </w:p>
        </w:tc>
        <w:tc>
          <w:tcPr>
            <w:tcW w:w="882" w:type="dxa"/>
          </w:tcPr>
          <w:p>
            <w:pPr>
              <w:jc w:val="right"/>
              <w:rPr>
                <w:noProof/>
                <w:sz w:val="20"/>
              </w:rPr>
            </w:pPr>
            <w:r>
              <w:rPr>
                <w:noProof/>
                <w:sz w:val="20"/>
              </w:rPr>
              <w:t xml:space="preserve">0,262 </w:t>
            </w:r>
          </w:p>
        </w:tc>
        <w:tc>
          <w:tcPr>
            <w:tcW w:w="882" w:type="dxa"/>
          </w:tcPr>
          <w:p>
            <w:pPr>
              <w:jc w:val="right"/>
              <w:rPr>
                <w:noProof/>
                <w:sz w:val="20"/>
              </w:rPr>
            </w:pPr>
            <w:r>
              <w:rPr>
                <w:noProof/>
                <w:sz w:val="20"/>
              </w:rPr>
              <w:t xml:space="preserve">0,262 </w:t>
            </w:r>
          </w:p>
        </w:tc>
        <w:tc>
          <w:tcPr>
            <w:tcW w:w="1023" w:type="dxa"/>
          </w:tcPr>
          <w:p>
            <w:pPr>
              <w:jc w:val="right"/>
              <w:rPr>
                <w:noProof/>
                <w:sz w:val="20"/>
              </w:rPr>
            </w:pPr>
            <w:r>
              <w:rPr>
                <w:noProof/>
                <w:sz w:val="20"/>
              </w:rPr>
              <w:t xml:space="preserve">2,389 </w:t>
            </w:r>
          </w:p>
        </w:tc>
      </w:tr>
      <w:tr>
        <w:trPr>
          <w:trHeight w:val="144"/>
        </w:trPr>
        <w:tc>
          <w:tcPr>
            <w:tcW w:w="2770" w:type="dxa"/>
            <w:vMerge/>
            <w:vAlign w:val="center"/>
          </w:tcPr>
          <w:p>
            <w:pPr>
              <w:jc w:val="left"/>
              <w:rPr>
                <w:noProof/>
                <w:color w:val="0000FF"/>
              </w:rPr>
            </w:pPr>
          </w:p>
        </w:tc>
        <w:tc>
          <w:tcPr>
            <w:tcW w:w="1357" w:type="dxa"/>
            <w:vAlign w:val="center"/>
          </w:tcPr>
          <w:p>
            <w:pPr>
              <w:spacing w:before="20" w:after="20"/>
              <w:rPr>
                <w:noProof/>
                <w:sz w:val="18"/>
              </w:rPr>
            </w:pPr>
            <w:r>
              <w:rPr>
                <w:noProof/>
                <w:sz w:val="18"/>
              </w:rPr>
              <w:t>Payments</w:t>
            </w:r>
          </w:p>
        </w:tc>
        <w:tc>
          <w:tcPr>
            <w:tcW w:w="881" w:type="dxa"/>
            <w:vAlign w:val="center"/>
          </w:tcPr>
          <w:p>
            <w:pPr>
              <w:spacing w:before="20" w:after="20"/>
              <w:jc w:val="center"/>
              <w:rPr>
                <w:noProof/>
                <w:sz w:val="14"/>
              </w:rPr>
            </w:pPr>
            <w:r>
              <w:rPr>
                <w:noProof/>
                <w:sz w:val="14"/>
              </w:rPr>
              <w:t>(2a)</w:t>
            </w:r>
          </w:p>
        </w:tc>
        <w:tc>
          <w:tcPr>
            <w:tcW w:w="882" w:type="dxa"/>
          </w:tcPr>
          <w:p>
            <w:pPr>
              <w:jc w:val="right"/>
              <w:rPr>
                <w:noProof/>
                <w:sz w:val="20"/>
              </w:rPr>
            </w:pPr>
            <w:r>
              <w:rPr>
                <w:noProof/>
                <w:sz w:val="20"/>
              </w:rPr>
              <w:t xml:space="preserve">0,136 </w:t>
            </w:r>
          </w:p>
        </w:tc>
        <w:tc>
          <w:tcPr>
            <w:tcW w:w="882" w:type="dxa"/>
          </w:tcPr>
          <w:p>
            <w:pPr>
              <w:jc w:val="right"/>
              <w:rPr>
                <w:noProof/>
                <w:sz w:val="20"/>
              </w:rPr>
            </w:pPr>
            <w:r>
              <w:rPr>
                <w:noProof/>
                <w:sz w:val="20"/>
              </w:rPr>
              <w:t xml:space="preserve">0,227 </w:t>
            </w:r>
          </w:p>
        </w:tc>
        <w:tc>
          <w:tcPr>
            <w:tcW w:w="882" w:type="dxa"/>
          </w:tcPr>
          <w:p>
            <w:pPr>
              <w:jc w:val="right"/>
              <w:rPr>
                <w:noProof/>
                <w:sz w:val="20"/>
              </w:rPr>
            </w:pPr>
            <w:r>
              <w:rPr>
                <w:noProof/>
                <w:sz w:val="20"/>
              </w:rPr>
              <w:t xml:space="preserve">0,292 </w:t>
            </w:r>
          </w:p>
        </w:tc>
        <w:tc>
          <w:tcPr>
            <w:tcW w:w="882" w:type="dxa"/>
          </w:tcPr>
          <w:p>
            <w:pPr>
              <w:jc w:val="right"/>
              <w:rPr>
                <w:noProof/>
                <w:sz w:val="20"/>
              </w:rPr>
            </w:pPr>
            <w:r>
              <w:rPr>
                <w:noProof/>
                <w:sz w:val="20"/>
              </w:rPr>
              <w:t xml:space="preserve">0,343 </w:t>
            </w:r>
          </w:p>
        </w:tc>
        <w:tc>
          <w:tcPr>
            <w:tcW w:w="881" w:type="dxa"/>
          </w:tcPr>
          <w:p>
            <w:pPr>
              <w:jc w:val="right"/>
              <w:rPr>
                <w:noProof/>
                <w:sz w:val="20"/>
              </w:rPr>
            </w:pPr>
            <w:r>
              <w:rPr>
                <w:noProof/>
                <w:sz w:val="20"/>
              </w:rPr>
              <w:t xml:space="preserve">0,328 </w:t>
            </w:r>
          </w:p>
        </w:tc>
        <w:tc>
          <w:tcPr>
            <w:tcW w:w="882" w:type="dxa"/>
          </w:tcPr>
          <w:p>
            <w:pPr>
              <w:jc w:val="right"/>
              <w:rPr>
                <w:noProof/>
                <w:sz w:val="20"/>
              </w:rPr>
            </w:pPr>
            <w:r>
              <w:rPr>
                <w:noProof/>
                <w:sz w:val="20"/>
              </w:rPr>
              <w:t xml:space="preserve">0,277 </w:t>
            </w:r>
          </w:p>
        </w:tc>
        <w:tc>
          <w:tcPr>
            <w:tcW w:w="882" w:type="dxa"/>
          </w:tcPr>
          <w:p>
            <w:pPr>
              <w:jc w:val="right"/>
              <w:rPr>
                <w:noProof/>
                <w:sz w:val="20"/>
              </w:rPr>
            </w:pPr>
            <w:r>
              <w:rPr>
                <w:noProof/>
                <w:sz w:val="20"/>
              </w:rPr>
              <w:t xml:space="preserve">0,262 </w:t>
            </w:r>
          </w:p>
        </w:tc>
        <w:tc>
          <w:tcPr>
            <w:tcW w:w="882" w:type="dxa"/>
          </w:tcPr>
          <w:p>
            <w:pPr>
              <w:jc w:val="right"/>
              <w:rPr>
                <w:noProof/>
                <w:sz w:val="20"/>
              </w:rPr>
            </w:pPr>
            <w:r>
              <w:rPr>
                <w:noProof/>
                <w:sz w:val="20"/>
              </w:rPr>
              <w:t xml:space="preserve">0,262 </w:t>
            </w:r>
          </w:p>
        </w:tc>
        <w:tc>
          <w:tcPr>
            <w:tcW w:w="882" w:type="dxa"/>
          </w:tcPr>
          <w:p>
            <w:pPr>
              <w:jc w:val="right"/>
              <w:rPr>
                <w:noProof/>
                <w:sz w:val="20"/>
              </w:rPr>
            </w:pPr>
            <w:r>
              <w:rPr>
                <w:noProof/>
                <w:sz w:val="20"/>
              </w:rPr>
              <w:t xml:space="preserve">0,262 </w:t>
            </w:r>
          </w:p>
        </w:tc>
        <w:tc>
          <w:tcPr>
            <w:tcW w:w="1023" w:type="dxa"/>
          </w:tcPr>
          <w:p>
            <w:pPr>
              <w:jc w:val="right"/>
              <w:rPr>
                <w:noProof/>
                <w:sz w:val="20"/>
              </w:rPr>
            </w:pPr>
            <w:r>
              <w:rPr>
                <w:noProof/>
                <w:sz w:val="20"/>
              </w:rPr>
              <w:t xml:space="preserve">2,389 </w:t>
            </w:r>
          </w:p>
        </w:tc>
      </w:tr>
      <w:tr>
        <w:trPr>
          <w:trHeight w:val="318"/>
        </w:trPr>
        <w:tc>
          <w:tcPr>
            <w:tcW w:w="2770" w:type="dxa"/>
            <w:vMerge w:val="restart"/>
            <w:vAlign w:val="center"/>
          </w:tcPr>
          <w:p>
            <w:pPr>
              <w:spacing w:before="60" w:after="60"/>
              <w:jc w:val="left"/>
              <w:rPr>
                <w:noProof/>
                <w:color w:val="0000FF"/>
              </w:rPr>
            </w:pPr>
            <w:r>
              <w:rPr>
                <w:noProof/>
                <w:sz w:val="20"/>
              </w:rPr>
              <w:t>Title 3: Operational expenditure</w:t>
            </w:r>
          </w:p>
        </w:tc>
        <w:tc>
          <w:tcPr>
            <w:tcW w:w="1357" w:type="dxa"/>
            <w:vAlign w:val="center"/>
          </w:tcPr>
          <w:p>
            <w:pPr>
              <w:spacing w:before="40" w:after="40"/>
              <w:rPr>
                <w:noProof/>
                <w:sz w:val="18"/>
              </w:rPr>
            </w:pPr>
            <w:r>
              <w:rPr>
                <w:noProof/>
                <w:sz w:val="18"/>
              </w:rPr>
              <w:t>Commitments</w:t>
            </w:r>
          </w:p>
        </w:tc>
        <w:tc>
          <w:tcPr>
            <w:tcW w:w="881" w:type="dxa"/>
            <w:vAlign w:val="center"/>
          </w:tcPr>
          <w:p>
            <w:pPr>
              <w:spacing w:before="40" w:after="40"/>
              <w:jc w:val="center"/>
              <w:rPr>
                <w:noProof/>
                <w:sz w:val="14"/>
              </w:rPr>
            </w:pPr>
            <w:r>
              <w:rPr>
                <w:noProof/>
                <w:sz w:val="14"/>
              </w:rPr>
              <w:t>(3a)</w:t>
            </w:r>
          </w:p>
        </w:tc>
        <w:tc>
          <w:tcPr>
            <w:tcW w:w="882" w:type="dxa"/>
          </w:tcPr>
          <w:p>
            <w:pPr>
              <w:jc w:val="right"/>
              <w:rPr>
                <w:noProof/>
                <w:sz w:val="20"/>
              </w:rPr>
            </w:pPr>
            <w:r>
              <w:rPr>
                <w:noProof/>
                <w:sz w:val="20"/>
              </w:rPr>
              <w:t xml:space="preserve">2,818 </w:t>
            </w:r>
          </w:p>
        </w:tc>
        <w:tc>
          <w:tcPr>
            <w:tcW w:w="882" w:type="dxa"/>
          </w:tcPr>
          <w:p>
            <w:pPr>
              <w:jc w:val="right"/>
              <w:rPr>
                <w:noProof/>
                <w:sz w:val="20"/>
              </w:rPr>
            </w:pPr>
            <w:r>
              <w:rPr>
                <w:noProof/>
                <w:sz w:val="20"/>
              </w:rPr>
              <w:t xml:space="preserve">11,954 </w:t>
            </w:r>
          </w:p>
        </w:tc>
        <w:tc>
          <w:tcPr>
            <w:tcW w:w="882" w:type="dxa"/>
          </w:tcPr>
          <w:p>
            <w:pPr>
              <w:jc w:val="right"/>
              <w:rPr>
                <w:noProof/>
                <w:sz w:val="20"/>
              </w:rPr>
            </w:pPr>
            <w:r>
              <w:rPr>
                <w:noProof/>
                <w:sz w:val="20"/>
              </w:rPr>
              <w:t xml:space="preserve">45,249 </w:t>
            </w:r>
          </w:p>
        </w:tc>
        <w:tc>
          <w:tcPr>
            <w:tcW w:w="882" w:type="dxa"/>
          </w:tcPr>
          <w:p>
            <w:pPr>
              <w:jc w:val="right"/>
              <w:rPr>
                <w:noProof/>
                <w:sz w:val="20"/>
              </w:rPr>
            </w:pPr>
            <w:r>
              <w:rPr>
                <w:noProof/>
                <w:sz w:val="20"/>
              </w:rPr>
              <w:t xml:space="preserve">37,504 </w:t>
            </w:r>
          </w:p>
        </w:tc>
        <w:tc>
          <w:tcPr>
            <w:tcW w:w="881" w:type="dxa"/>
          </w:tcPr>
          <w:p>
            <w:pPr>
              <w:jc w:val="right"/>
              <w:rPr>
                <w:noProof/>
                <w:sz w:val="20"/>
              </w:rPr>
            </w:pPr>
            <w:r>
              <w:rPr>
                <w:noProof/>
                <w:sz w:val="20"/>
              </w:rPr>
              <w:t xml:space="preserve">22,701 </w:t>
            </w:r>
          </w:p>
        </w:tc>
        <w:tc>
          <w:tcPr>
            <w:tcW w:w="882" w:type="dxa"/>
          </w:tcPr>
          <w:p>
            <w:pPr>
              <w:jc w:val="right"/>
              <w:rPr>
                <w:noProof/>
                <w:sz w:val="20"/>
              </w:rPr>
            </w:pPr>
            <w:r>
              <w:rPr>
                <w:noProof/>
                <w:sz w:val="20"/>
              </w:rPr>
              <w:t xml:space="preserve">14,611 </w:t>
            </w:r>
          </w:p>
        </w:tc>
        <w:tc>
          <w:tcPr>
            <w:tcW w:w="882" w:type="dxa"/>
          </w:tcPr>
          <w:p>
            <w:pPr>
              <w:jc w:val="right"/>
              <w:rPr>
                <w:noProof/>
                <w:sz w:val="20"/>
              </w:rPr>
            </w:pPr>
            <w:r>
              <w:rPr>
                <w:noProof/>
                <w:sz w:val="20"/>
              </w:rPr>
              <w:t xml:space="preserve">13,211 </w:t>
            </w:r>
          </w:p>
        </w:tc>
        <w:tc>
          <w:tcPr>
            <w:tcW w:w="882" w:type="dxa"/>
          </w:tcPr>
          <w:p>
            <w:pPr>
              <w:jc w:val="right"/>
              <w:rPr>
                <w:noProof/>
                <w:sz w:val="20"/>
              </w:rPr>
            </w:pPr>
            <w:r>
              <w:rPr>
                <w:noProof/>
                <w:sz w:val="20"/>
              </w:rPr>
              <w:t xml:space="preserve">13,131 </w:t>
            </w:r>
          </w:p>
        </w:tc>
        <w:tc>
          <w:tcPr>
            <w:tcW w:w="882" w:type="dxa"/>
          </w:tcPr>
          <w:p>
            <w:pPr>
              <w:jc w:val="right"/>
              <w:rPr>
                <w:noProof/>
                <w:sz w:val="20"/>
              </w:rPr>
            </w:pPr>
            <w:r>
              <w:rPr>
                <w:noProof/>
                <w:sz w:val="20"/>
              </w:rPr>
              <w:t xml:space="preserve">13,131 </w:t>
            </w:r>
          </w:p>
        </w:tc>
        <w:tc>
          <w:tcPr>
            <w:tcW w:w="1023" w:type="dxa"/>
          </w:tcPr>
          <w:p>
            <w:pPr>
              <w:jc w:val="right"/>
              <w:rPr>
                <w:noProof/>
                <w:sz w:val="20"/>
              </w:rPr>
            </w:pPr>
            <w:r>
              <w:rPr>
                <w:noProof/>
                <w:sz w:val="20"/>
              </w:rPr>
              <w:t xml:space="preserve">174,309 </w:t>
            </w:r>
          </w:p>
        </w:tc>
      </w:tr>
      <w:tr>
        <w:trPr>
          <w:trHeight w:val="318"/>
        </w:trPr>
        <w:tc>
          <w:tcPr>
            <w:tcW w:w="2770" w:type="dxa"/>
            <w:vMerge/>
            <w:vAlign w:val="center"/>
          </w:tcPr>
          <w:p>
            <w:pPr>
              <w:spacing w:before="60" w:after="60"/>
              <w:rPr>
                <w:b/>
                <w:noProof/>
                <w:sz w:val="20"/>
              </w:rPr>
            </w:pPr>
          </w:p>
        </w:tc>
        <w:tc>
          <w:tcPr>
            <w:tcW w:w="1357" w:type="dxa"/>
            <w:vAlign w:val="center"/>
          </w:tcPr>
          <w:p>
            <w:pPr>
              <w:spacing w:before="40" w:after="40"/>
              <w:rPr>
                <w:noProof/>
                <w:sz w:val="18"/>
              </w:rPr>
            </w:pPr>
            <w:r>
              <w:rPr>
                <w:noProof/>
                <w:sz w:val="18"/>
              </w:rPr>
              <w:t>Payments</w:t>
            </w:r>
          </w:p>
        </w:tc>
        <w:tc>
          <w:tcPr>
            <w:tcW w:w="881" w:type="dxa"/>
            <w:vAlign w:val="center"/>
          </w:tcPr>
          <w:p>
            <w:pPr>
              <w:spacing w:before="40" w:after="40"/>
              <w:jc w:val="center"/>
              <w:rPr>
                <w:noProof/>
                <w:sz w:val="14"/>
              </w:rPr>
            </w:pPr>
            <w:r>
              <w:rPr>
                <w:noProof/>
                <w:sz w:val="14"/>
              </w:rPr>
              <w:t>(3b)</w:t>
            </w:r>
          </w:p>
        </w:tc>
        <w:tc>
          <w:tcPr>
            <w:tcW w:w="882" w:type="dxa"/>
          </w:tcPr>
          <w:p>
            <w:pPr>
              <w:jc w:val="right"/>
              <w:rPr>
                <w:noProof/>
                <w:sz w:val="20"/>
              </w:rPr>
            </w:pPr>
            <w:r>
              <w:rPr>
                <w:noProof/>
                <w:sz w:val="20"/>
              </w:rPr>
              <w:t xml:space="preserve">2,818 </w:t>
            </w:r>
          </w:p>
        </w:tc>
        <w:tc>
          <w:tcPr>
            <w:tcW w:w="882" w:type="dxa"/>
          </w:tcPr>
          <w:p>
            <w:pPr>
              <w:jc w:val="right"/>
              <w:rPr>
                <w:noProof/>
                <w:sz w:val="20"/>
              </w:rPr>
            </w:pPr>
            <w:r>
              <w:rPr>
                <w:noProof/>
                <w:sz w:val="20"/>
              </w:rPr>
              <w:t xml:space="preserve">11,954 </w:t>
            </w:r>
          </w:p>
        </w:tc>
        <w:tc>
          <w:tcPr>
            <w:tcW w:w="882" w:type="dxa"/>
          </w:tcPr>
          <w:p>
            <w:pPr>
              <w:jc w:val="right"/>
              <w:rPr>
                <w:noProof/>
                <w:sz w:val="20"/>
              </w:rPr>
            </w:pPr>
            <w:r>
              <w:rPr>
                <w:noProof/>
                <w:sz w:val="20"/>
              </w:rPr>
              <w:t xml:space="preserve">45,249 </w:t>
            </w:r>
          </w:p>
        </w:tc>
        <w:tc>
          <w:tcPr>
            <w:tcW w:w="882" w:type="dxa"/>
          </w:tcPr>
          <w:p>
            <w:pPr>
              <w:jc w:val="right"/>
              <w:rPr>
                <w:noProof/>
                <w:sz w:val="20"/>
              </w:rPr>
            </w:pPr>
            <w:r>
              <w:rPr>
                <w:noProof/>
                <w:sz w:val="20"/>
              </w:rPr>
              <w:t xml:space="preserve">37,504 </w:t>
            </w:r>
          </w:p>
        </w:tc>
        <w:tc>
          <w:tcPr>
            <w:tcW w:w="881" w:type="dxa"/>
          </w:tcPr>
          <w:p>
            <w:pPr>
              <w:jc w:val="right"/>
              <w:rPr>
                <w:noProof/>
                <w:sz w:val="20"/>
              </w:rPr>
            </w:pPr>
            <w:r>
              <w:rPr>
                <w:noProof/>
                <w:sz w:val="20"/>
              </w:rPr>
              <w:t xml:space="preserve">22,701 </w:t>
            </w:r>
          </w:p>
        </w:tc>
        <w:tc>
          <w:tcPr>
            <w:tcW w:w="882" w:type="dxa"/>
          </w:tcPr>
          <w:p>
            <w:pPr>
              <w:jc w:val="right"/>
              <w:rPr>
                <w:noProof/>
                <w:sz w:val="20"/>
              </w:rPr>
            </w:pPr>
            <w:r>
              <w:rPr>
                <w:noProof/>
                <w:sz w:val="20"/>
              </w:rPr>
              <w:t xml:space="preserve">14,611 </w:t>
            </w:r>
          </w:p>
        </w:tc>
        <w:tc>
          <w:tcPr>
            <w:tcW w:w="882" w:type="dxa"/>
          </w:tcPr>
          <w:p>
            <w:pPr>
              <w:jc w:val="right"/>
              <w:rPr>
                <w:noProof/>
                <w:sz w:val="20"/>
              </w:rPr>
            </w:pPr>
            <w:r>
              <w:rPr>
                <w:noProof/>
                <w:sz w:val="20"/>
              </w:rPr>
              <w:t xml:space="preserve">13,211 </w:t>
            </w:r>
          </w:p>
        </w:tc>
        <w:tc>
          <w:tcPr>
            <w:tcW w:w="882" w:type="dxa"/>
          </w:tcPr>
          <w:p>
            <w:pPr>
              <w:jc w:val="right"/>
              <w:rPr>
                <w:noProof/>
                <w:sz w:val="20"/>
              </w:rPr>
            </w:pPr>
            <w:r>
              <w:rPr>
                <w:noProof/>
                <w:sz w:val="20"/>
              </w:rPr>
              <w:t xml:space="preserve">13,131 </w:t>
            </w:r>
          </w:p>
        </w:tc>
        <w:tc>
          <w:tcPr>
            <w:tcW w:w="882" w:type="dxa"/>
          </w:tcPr>
          <w:p>
            <w:pPr>
              <w:jc w:val="right"/>
              <w:rPr>
                <w:noProof/>
                <w:sz w:val="20"/>
              </w:rPr>
            </w:pPr>
            <w:r>
              <w:rPr>
                <w:noProof/>
                <w:sz w:val="20"/>
              </w:rPr>
              <w:t xml:space="preserve">13,131 </w:t>
            </w:r>
          </w:p>
        </w:tc>
        <w:tc>
          <w:tcPr>
            <w:tcW w:w="1023" w:type="dxa"/>
          </w:tcPr>
          <w:p>
            <w:pPr>
              <w:jc w:val="right"/>
              <w:rPr>
                <w:noProof/>
                <w:sz w:val="20"/>
              </w:rPr>
            </w:pPr>
            <w:r>
              <w:rPr>
                <w:noProof/>
                <w:sz w:val="20"/>
              </w:rPr>
              <w:t xml:space="preserve">174,309 </w:t>
            </w:r>
          </w:p>
        </w:tc>
      </w:tr>
      <w:tr>
        <w:trPr>
          <w:trHeight w:val="749"/>
        </w:trPr>
        <w:tc>
          <w:tcPr>
            <w:tcW w:w="2770" w:type="dxa"/>
            <w:vAlign w:val="center"/>
          </w:tcPr>
          <w:p>
            <w:pPr>
              <w:jc w:val="center"/>
              <w:rPr>
                <w:noProof/>
                <w:lang w:val="fr-BE"/>
              </w:rPr>
            </w:pPr>
            <w:r>
              <w:rPr>
                <w:b/>
                <w:noProof/>
                <w:sz w:val="22"/>
                <w:lang w:val="fr-BE"/>
              </w:rPr>
              <w:t>TOTAL appropriations</w:t>
            </w:r>
            <w:r>
              <w:rPr>
                <w:noProof/>
                <w:sz w:val="22"/>
                <w:lang w:val="fr-BE"/>
              </w:rPr>
              <w:br/>
            </w:r>
            <w:r>
              <w:rPr>
                <w:b/>
                <w:noProof/>
                <w:sz w:val="22"/>
                <w:lang w:val="fr-BE"/>
              </w:rPr>
              <w:t>for eu-LISA</w:t>
            </w:r>
          </w:p>
        </w:tc>
        <w:tc>
          <w:tcPr>
            <w:tcW w:w="1357" w:type="dxa"/>
            <w:vAlign w:val="center"/>
          </w:tcPr>
          <w:p>
            <w:pPr>
              <w:rPr>
                <w:noProof/>
                <w:sz w:val="18"/>
              </w:rPr>
            </w:pPr>
            <w:r>
              <w:rPr>
                <w:noProof/>
                <w:sz w:val="18"/>
              </w:rPr>
              <w:t>(Total commitments = Total payments)</w:t>
            </w:r>
          </w:p>
        </w:tc>
        <w:tc>
          <w:tcPr>
            <w:tcW w:w="881" w:type="dxa"/>
            <w:vAlign w:val="center"/>
          </w:tcPr>
          <w:p>
            <w:pPr>
              <w:jc w:val="center"/>
              <w:rPr>
                <w:noProof/>
                <w:sz w:val="14"/>
              </w:rPr>
            </w:pPr>
            <w:r>
              <w:rPr>
                <w:noProof/>
                <w:sz w:val="14"/>
              </w:rPr>
              <w:t>=1+1a +3a</w:t>
            </w:r>
          </w:p>
        </w:tc>
        <w:tc>
          <w:tcPr>
            <w:tcW w:w="882" w:type="dxa"/>
          </w:tcPr>
          <w:p>
            <w:pPr>
              <w:jc w:val="right"/>
              <w:rPr>
                <w:b/>
                <w:noProof/>
                <w:sz w:val="22"/>
              </w:rPr>
            </w:pPr>
            <w:r>
              <w:rPr>
                <w:b/>
                <w:noProof/>
                <w:sz w:val="22"/>
              </w:rPr>
              <w:t xml:space="preserve">5,830 </w:t>
            </w:r>
          </w:p>
        </w:tc>
        <w:tc>
          <w:tcPr>
            <w:tcW w:w="882" w:type="dxa"/>
          </w:tcPr>
          <w:p>
            <w:pPr>
              <w:jc w:val="right"/>
              <w:rPr>
                <w:b/>
                <w:noProof/>
                <w:sz w:val="22"/>
              </w:rPr>
            </w:pPr>
            <w:r>
              <w:rPr>
                <w:b/>
                <w:noProof/>
                <w:sz w:val="22"/>
              </w:rPr>
              <w:t xml:space="preserve">17,031 </w:t>
            </w:r>
          </w:p>
        </w:tc>
        <w:tc>
          <w:tcPr>
            <w:tcW w:w="882" w:type="dxa"/>
          </w:tcPr>
          <w:p>
            <w:pPr>
              <w:jc w:val="right"/>
              <w:rPr>
                <w:b/>
                <w:noProof/>
                <w:sz w:val="22"/>
              </w:rPr>
            </w:pPr>
            <w:r>
              <w:rPr>
                <w:b/>
                <w:noProof/>
                <w:sz w:val="22"/>
              </w:rPr>
              <w:t xml:space="preserve">51,743 </w:t>
            </w:r>
          </w:p>
        </w:tc>
        <w:tc>
          <w:tcPr>
            <w:tcW w:w="882" w:type="dxa"/>
          </w:tcPr>
          <w:p>
            <w:pPr>
              <w:jc w:val="right"/>
              <w:rPr>
                <w:b/>
                <w:noProof/>
                <w:sz w:val="22"/>
              </w:rPr>
            </w:pPr>
            <w:r>
              <w:rPr>
                <w:b/>
                <w:noProof/>
                <w:sz w:val="22"/>
              </w:rPr>
              <w:t xml:space="preserve">44,749 </w:t>
            </w:r>
          </w:p>
        </w:tc>
        <w:tc>
          <w:tcPr>
            <w:tcW w:w="881" w:type="dxa"/>
          </w:tcPr>
          <w:p>
            <w:pPr>
              <w:jc w:val="right"/>
              <w:rPr>
                <w:b/>
                <w:noProof/>
                <w:sz w:val="22"/>
              </w:rPr>
            </w:pPr>
            <w:r>
              <w:rPr>
                <w:b/>
                <w:noProof/>
                <w:sz w:val="22"/>
              </w:rPr>
              <w:t xml:space="preserve">29,653 </w:t>
            </w:r>
          </w:p>
        </w:tc>
        <w:tc>
          <w:tcPr>
            <w:tcW w:w="882" w:type="dxa"/>
          </w:tcPr>
          <w:p>
            <w:pPr>
              <w:jc w:val="right"/>
              <w:rPr>
                <w:b/>
                <w:noProof/>
                <w:sz w:val="22"/>
              </w:rPr>
            </w:pPr>
            <w:r>
              <w:rPr>
                <w:b/>
                <w:noProof/>
                <w:sz w:val="22"/>
              </w:rPr>
              <w:t xml:space="preserve">20,370 </w:t>
            </w:r>
          </w:p>
        </w:tc>
        <w:tc>
          <w:tcPr>
            <w:tcW w:w="882" w:type="dxa"/>
          </w:tcPr>
          <w:p>
            <w:pPr>
              <w:jc w:val="right"/>
              <w:rPr>
                <w:b/>
                <w:noProof/>
                <w:sz w:val="22"/>
              </w:rPr>
            </w:pPr>
            <w:r>
              <w:rPr>
                <w:b/>
                <w:noProof/>
                <w:sz w:val="22"/>
              </w:rPr>
              <w:t xml:space="preserve">18,609 </w:t>
            </w:r>
          </w:p>
        </w:tc>
        <w:tc>
          <w:tcPr>
            <w:tcW w:w="882" w:type="dxa"/>
          </w:tcPr>
          <w:p>
            <w:pPr>
              <w:jc w:val="right"/>
              <w:rPr>
                <w:b/>
                <w:noProof/>
                <w:sz w:val="22"/>
              </w:rPr>
            </w:pPr>
            <w:r>
              <w:rPr>
                <w:b/>
                <w:noProof/>
                <w:sz w:val="22"/>
              </w:rPr>
              <w:t xml:space="preserve">18,529 </w:t>
            </w:r>
          </w:p>
        </w:tc>
        <w:tc>
          <w:tcPr>
            <w:tcW w:w="882" w:type="dxa"/>
          </w:tcPr>
          <w:p>
            <w:pPr>
              <w:jc w:val="right"/>
              <w:rPr>
                <w:b/>
                <w:noProof/>
                <w:sz w:val="22"/>
              </w:rPr>
            </w:pPr>
            <w:r>
              <w:rPr>
                <w:b/>
                <w:noProof/>
                <w:sz w:val="22"/>
              </w:rPr>
              <w:t xml:space="preserve">18,529 </w:t>
            </w:r>
          </w:p>
        </w:tc>
        <w:tc>
          <w:tcPr>
            <w:tcW w:w="1023" w:type="dxa"/>
          </w:tcPr>
          <w:p>
            <w:pPr>
              <w:jc w:val="right"/>
              <w:rPr>
                <w:b/>
                <w:noProof/>
                <w:sz w:val="22"/>
              </w:rPr>
            </w:pPr>
            <w:r>
              <w:rPr>
                <w:b/>
                <w:noProof/>
                <w:sz w:val="22"/>
              </w:rPr>
              <w:t xml:space="preserve">225,041 </w:t>
            </w:r>
          </w:p>
        </w:tc>
      </w:tr>
    </w:tbl>
    <w:p>
      <w:pPr>
        <w:rPr>
          <w:noProof/>
        </w:rPr>
      </w:pPr>
    </w:p>
    <w:p>
      <w:pPr>
        <w:rPr>
          <w:noProof/>
        </w:rPr>
      </w:pPr>
      <w:r>
        <w:rPr>
          <w:noProof/>
        </w:rPr>
        <w:t>These expenditures will cover:</w:t>
      </w:r>
    </w:p>
    <w:p>
      <w:pPr>
        <w:pStyle w:val="ListDash"/>
        <w:rPr>
          <w:noProof/>
        </w:rPr>
      </w:pPr>
      <w:r>
        <w:rPr>
          <w:noProof/>
        </w:rPr>
        <w:t>The development and maintenance of the four interoperability components (European search portal (ESP), shared biometric matching service (shared BMS), common identity repository (CIR), and multiple identity detector (MID) included in the legal proposal plus the common repository for reporting and statistics (CRRS).  eu-LISA will act as the representative of the project owner and use its own staff for drafting specifications, selecting contractors, directing its work, submitting results to a set of tests and accepting the work done.</w:t>
      </w:r>
    </w:p>
    <w:p>
      <w:pPr>
        <w:pStyle w:val="ListDash"/>
        <w:rPr>
          <w:noProof/>
        </w:rPr>
      </w:pPr>
      <w:r>
        <w:rPr>
          <w:noProof/>
        </w:rPr>
        <w:t>The costs involved with the data migration of legacy systems to the new components. eu-LISA has no direct role however in the initial data load for the MID (the validation of links) because this is an action on the data content itself. The migration of biometric data of legacy systems deals with the format and the label of data and not the data content.</w:t>
      </w:r>
    </w:p>
    <w:p>
      <w:pPr>
        <w:pStyle w:val="ListDash"/>
        <w:rPr>
          <w:noProof/>
        </w:rPr>
      </w:pPr>
      <w:r>
        <w:rPr>
          <w:noProof/>
        </w:rPr>
        <w:t>The costs for upgrading and operating ECRIS-TCN to a high availability system from 2022. ECRIS-TCN is the central system containing the criminal records of third-country nationals. The system is planned to become available by 2020. The interoperability components are expected to also access that system which should therefore also become a high availability system. The operational expenditures include the additional cost for achieving that high availability.  There is a significant development cost in 2021 followed by an on-going maintenance and operations cost.  These costs are not included in the Legislative Financial Sheet of the revision of the founding regulation of eu-LISA</w:t>
      </w:r>
      <w:r>
        <w:rPr>
          <w:rStyle w:val="FootnoteReference"/>
          <w:rFonts w:eastAsiaTheme="majorEastAsia"/>
          <w:noProof/>
        </w:rPr>
        <w:footnoteReference w:id="88"/>
      </w:r>
      <w:r>
        <w:rPr>
          <w:noProof/>
        </w:rPr>
        <w:t xml:space="preserve"> which only includes budgets from 2018 till 2020 and therefore does not overlap with this budget request.</w:t>
      </w:r>
    </w:p>
    <w:p>
      <w:pPr>
        <w:pStyle w:val="ListDash"/>
        <w:rPr>
          <w:noProof/>
        </w:rPr>
      </w:pPr>
      <w:r>
        <w:rPr>
          <w:noProof/>
        </w:rPr>
        <w:t>The pattern of expenditure is the result of the project sequencing. As the different components are not independent from one another, the development period spans from 2019 to 2023. However from 2020, maintenance and operations on the first available components already start. This explains why expenditures start slowly, increase and then diminish to a constant value.</w:t>
      </w:r>
    </w:p>
    <w:p>
      <w:pPr>
        <w:pStyle w:val="ListDash"/>
        <w:rPr>
          <w:noProof/>
        </w:rPr>
      </w:pPr>
      <w:r>
        <w:rPr>
          <w:noProof/>
        </w:rPr>
        <w:t>The expenditures under title 1 (staff expenditure) follow the project sequencing: more staff are required to deliver the project with the contractor (whose expenses are under title 3). When the project is delivered, part of the delivery team is assigned to evolution and maintenance work. At the same time, staff for operating the newly delivered systems increases.</w:t>
      </w:r>
    </w:p>
    <w:p>
      <w:pPr>
        <w:pStyle w:val="ListDash"/>
        <w:rPr>
          <w:noProof/>
        </w:rPr>
      </w:pPr>
      <w:r>
        <w:rPr>
          <w:noProof/>
        </w:rPr>
        <w:t xml:space="preserve">The expenditure under title 2 (infrastructure and operating expenditure) covers the additional office space for the temporary hosting of the contractor teams in charge of the development, maintenance and operations tasks. The pattern over time of the expenditure is therefore also following the evolution of staff levels. The costs for hosting additional equipment have already been included in the eu-LISA budget. There are also no additional costs for hosting eu-LISA staff as this is included in the standard staff cost. </w:t>
      </w:r>
    </w:p>
    <w:p>
      <w:pPr>
        <w:pStyle w:val="ListDash"/>
        <w:rPr>
          <w:noProof/>
        </w:rPr>
      </w:pPr>
      <w:r>
        <w:rPr>
          <w:noProof/>
        </w:rPr>
        <w:t>The expenditure under title 3 (operational expenditure) includes the cost for the contractor for developing and maintaining the system, the acquisition of the specific hardware and software.</w:t>
      </w:r>
      <w:r>
        <w:rPr>
          <w:noProof/>
        </w:rPr>
        <w:tab/>
      </w:r>
      <w:r>
        <w:rPr>
          <w:noProof/>
        </w:rPr>
        <w:br/>
        <w:t>The contractor costs start initially with the studies for specifying the components and the development only starting for one component (the CRRS). Over the period 2020-2022, costs then increase as more components are being developed in parallel. The costs do not decrease after the peak because the data migration tasks are particularly heavy in this project portfolio. The contractor costs then decrease as components are delivered and enter operations mode, which requires a stable resource pattern.</w:t>
      </w:r>
      <w:r>
        <w:rPr>
          <w:noProof/>
        </w:rPr>
        <w:tab/>
      </w:r>
      <w:r>
        <w:rPr>
          <w:noProof/>
        </w:rPr>
        <w:br/>
        <w:t xml:space="preserve">Simultaneously with the expenses under title 3, expenditure in 2020 increases strongly compared with the previous year because of the initial investment for hardware and software necessary during development. The expenses under title 3 (operational expenses) have an upsurge in 2021 and 2022 because the hardware and software investment costs for the operational IT environments (production and pre-production both for central unit and back-up central unit) are incurred in the year before go-live, respectively for interoperability components (the CIR and the MID) with high requirements on software and hardware. Once in operation, costs for hardware and software are essentially maintenance costs. </w:t>
      </w:r>
    </w:p>
    <w:p>
      <w:pPr>
        <w:pStyle w:val="ListDash"/>
        <w:rPr>
          <w:noProof/>
        </w:rPr>
      </w:pPr>
      <w:r>
        <w:rPr>
          <w:noProof/>
        </w:rPr>
        <w:t>More details are given further.</w:t>
      </w:r>
    </w:p>
    <w:p>
      <w:pPr>
        <w:keepNext/>
        <w:rPr>
          <w:noProof/>
        </w:rPr>
      </w:pPr>
    </w:p>
    <w:p>
      <w:pPr>
        <w:keepNext/>
        <w:rPr>
          <w:noProof/>
        </w:rPr>
      </w:pPr>
    </w:p>
    <w:tbl>
      <w:tblPr>
        <w:tblW w:w="0" w:type="auto"/>
        <w:jc w:val="center"/>
        <w:tblInd w:w="-23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44"/>
        <w:gridCol w:w="1080"/>
        <w:gridCol w:w="7817"/>
      </w:tblGrid>
      <w:tr>
        <w:trPr>
          <w:jc w:val="center"/>
        </w:trPr>
        <w:tc>
          <w:tcPr>
            <w:tcW w:w="4744" w:type="dxa"/>
            <w:shd w:val="thinDiagStripe" w:color="C0C0C0" w:fill="auto"/>
            <w:vAlign w:val="center"/>
          </w:tcPr>
          <w:p>
            <w:pPr>
              <w:keepNext/>
              <w:spacing w:before="60" w:after="60"/>
              <w:jc w:val="center"/>
              <w:rPr>
                <w:b/>
                <w:noProof/>
              </w:rPr>
            </w:pPr>
            <w:r>
              <w:rPr>
                <w:noProof/>
                <w:sz w:val="22"/>
              </w:rPr>
              <w:br w:type="page"/>
            </w:r>
            <w:r>
              <w:rPr>
                <w:b/>
                <w:noProof/>
                <w:sz w:val="22"/>
              </w:rPr>
              <w:t xml:space="preserve">Heading of multiannual financial </w:t>
            </w:r>
            <w:r>
              <w:rPr>
                <w:noProof/>
                <w:sz w:val="22"/>
              </w:rPr>
              <w:br/>
            </w:r>
            <w:r>
              <w:rPr>
                <w:b/>
                <w:noProof/>
                <w:sz w:val="22"/>
              </w:rPr>
              <w:t xml:space="preserve">framework </w:t>
            </w:r>
          </w:p>
        </w:tc>
        <w:tc>
          <w:tcPr>
            <w:tcW w:w="1080" w:type="dxa"/>
            <w:shd w:val="thinDiagStripe" w:color="C0C0C0" w:fill="auto"/>
            <w:vAlign w:val="center"/>
          </w:tcPr>
          <w:p>
            <w:pPr>
              <w:keepNext/>
              <w:spacing w:before="60" w:after="60"/>
              <w:jc w:val="center"/>
              <w:rPr>
                <w:noProof/>
              </w:rPr>
            </w:pPr>
            <w:r>
              <w:rPr>
                <w:b/>
                <w:noProof/>
                <w:sz w:val="22"/>
              </w:rPr>
              <w:t>5</w:t>
            </w:r>
          </w:p>
        </w:tc>
        <w:tc>
          <w:tcPr>
            <w:tcW w:w="7817" w:type="dxa"/>
            <w:vAlign w:val="center"/>
          </w:tcPr>
          <w:p>
            <w:pPr>
              <w:keepNext/>
              <w:spacing w:before="60" w:after="60"/>
              <w:rPr>
                <w:noProof/>
              </w:rPr>
            </w:pPr>
            <w:r>
              <w:rPr>
                <w:noProof/>
                <w:sz w:val="22"/>
              </w:rPr>
              <w:t>‘Administrative expenditure’</w:t>
            </w:r>
          </w:p>
        </w:tc>
      </w:tr>
    </w:tbl>
    <w:p>
      <w:pPr>
        <w:keepNext/>
        <w:jc w:val="right"/>
        <w:rPr>
          <w:noProof/>
          <w:sz w:val="20"/>
        </w:rPr>
      </w:pPr>
      <w:r>
        <w:rPr>
          <w:noProof/>
          <w:sz w:val="20"/>
        </w:rPr>
        <w:t>EUR million (to three decimal places)</w:t>
      </w:r>
    </w:p>
    <w:tbl>
      <w:tblPr>
        <w:tblW w:w="14346"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60"/>
        <w:gridCol w:w="1640"/>
        <w:gridCol w:w="240"/>
        <w:gridCol w:w="633"/>
        <w:gridCol w:w="87"/>
        <w:gridCol w:w="710"/>
        <w:gridCol w:w="10"/>
        <w:gridCol w:w="840"/>
        <w:gridCol w:w="62"/>
        <w:gridCol w:w="778"/>
        <w:gridCol w:w="20"/>
        <w:gridCol w:w="798"/>
        <w:gridCol w:w="22"/>
        <w:gridCol w:w="720"/>
        <w:gridCol w:w="56"/>
        <w:gridCol w:w="784"/>
        <w:gridCol w:w="14"/>
        <w:gridCol w:w="912"/>
        <w:gridCol w:w="34"/>
        <w:gridCol w:w="764"/>
        <w:gridCol w:w="76"/>
        <w:gridCol w:w="1150"/>
        <w:gridCol w:w="236"/>
      </w:tblGrid>
      <w:tr>
        <w:trPr>
          <w:trHeight w:val="692"/>
        </w:trPr>
        <w:tc>
          <w:tcPr>
            <w:tcW w:w="3760" w:type="dxa"/>
            <w:tcBorders>
              <w:top w:val="nil"/>
              <w:left w:val="nil"/>
              <w:right w:val="nil"/>
            </w:tcBorders>
            <w:vAlign w:val="center"/>
          </w:tcPr>
          <w:p>
            <w:pPr>
              <w:keepNext/>
              <w:jc w:val="center"/>
              <w:rPr>
                <w:noProof/>
                <w:sz w:val="22"/>
              </w:rPr>
            </w:pPr>
          </w:p>
        </w:tc>
        <w:tc>
          <w:tcPr>
            <w:tcW w:w="1640" w:type="dxa"/>
            <w:tcBorders>
              <w:top w:val="nil"/>
              <w:left w:val="nil"/>
              <w:right w:val="nil"/>
            </w:tcBorders>
          </w:tcPr>
          <w:p>
            <w:pPr>
              <w:keepNext/>
              <w:rPr>
                <w:noProof/>
                <w:sz w:val="20"/>
              </w:rPr>
            </w:pPr>
          </w:p>
        </w:tc>
        <w:tc>
          <w:tcPr>
            <w:tcW w:w="240" w:type="dxa"/>
            <w:tcBorders>
              <w:top w:val="nil"/>
              <w:left w:val="nil"/>
            </w:tcBorders>
          </w:tcPr>
          <w:p>
            <w:pPr>
              <w:keepNext/>
              <w:jc w:val="center"/>
              <w:rPr>
                <w:noProof/>
                <w:sz w:val="20"/>
              </w:rPr>
            </w:pPr>
          </w:p>
        </w:tc>
        <w:tc>
          <w:tcPr>
            <w:tcW w:w="720" w:type="dxa"/>
            <w:gridSpan w:val="2"/>
            <w:vAlign w:val="center"/>
          </w:tcPr>
          <w:p>
            <w:pPr>
              <w:keepNext/>
              <w:jc w:val="center"/>
              <w:rPr>
                <w:noProof/>
                <w:sz w:val="20"/>
              </w:rPr>
            </w:pPr>
            <w:r>
              <w:rPr>
                <w:noProof/>
                <w:sz w:val="20"/>
              </w:rPr>
              <w:t>Year</w:t>
            </w:r>
            <w:r>
              <w:rPr>
                <w:noProof/>
                <w:sz w:val="22"/>
              </w:rPr>
              <w:br/>
            </w:r>
            <w:r>
              <w:rPr>
                <w:b/>
                <w:noProof/>
                <w:sz w:val="20"/>
              </w:rPr>
              <w:t>2019</w:t>
            </w:r>
          </w:p>
        </w:tc>
        <w:tc>
          <w:tcPr>
            <w:tcW w:w="720" w:type="dxa"/>
            <w:gridSpan w:val="2"/>
            <w:vAlign w:val="center"/>
          </w:tcPr>
          <w:p>
            <w:pPr>
              <w:keepNext/>
              <w:jc w:val="center"/>
              <w:rPr>
                <w:noProof/>
                <w:sz w:val="20"/>
              </w:rPr>
            </w:pPr>
            <w:r>
              <w:rPr>
                <w:noProof/>
                <w:sz w:val="20"/>
              </w:rPr>
              <w:t>Year</w:t>
            </w:r>
            <w:r>
              <w:rPr>
                <w:noProof/>
                <w:sz w:val="22"/>
              </w:rPr>
              <w:br/>
            </w:r>
            <w:r>
              <w:rPr>
                <w:b/>
                <w:noProof/>
                <w:sz w:val="20"/>
              </w:rPr>
              <w:t>2020</w:t>
            </w:r>
          </w:p>
        </w:tc>
        <w:tc>
          <w:tcPr>
            <w:tcW w:w="840" w:type="dxa"/>
            <w:vAlign w:val="center"/>
          </w:tcPr>
          <w:p>
            <w:pPr>
              <w:keepNext/>
              <w:jc w:val="center"/>
              <w:rPr>
                <w:noProof/>
                <w:sz w:val="20"/>
              </w:rPr>
            </w:pPr>
            <w:r>
              <w:rPr>
                <w:noProof/>
                <w:sz w:val="20"/>
              </w:rPr>
              <w:t>Year</w:t>
            </w:r>
            <w:r>
              <w:rPr>
                <w:noProof/>
                <w:sz w:val="22"/>
              </w:rPr>
              <w:br/>
            </w:r>
            <w:r>
              <w:rPr>
                <w:b/>
                <w:noProof/>
                <w:sz w:val="20"/>
              </w:rPr>
              <w:t>2021</w:t>
            </w:r>
          </w:p>
        </w:tc>
        <w:tc>
          <w:tcPr>
            <w:tcW w:w="840" w:type="dxa"/>
            <w:gridSpan w:val="2"/>
            <w:vAlign w:val="center"/>
          </w:tcPr>
          <w:p>
            <w:pPr>
              <w:keepNext/>
              <w:jc w:val="center"/>
              <w:rPr>
                <w:noProof/>
                <w:sz w:val="20"/>
              </w:rPr>
            </w:pPr>
            <w:r>
              <w:rPr>
                <w:noProof/>
                <w:sz w:val="20"/>
              </w:rPr>
              <w:t>Year</w:t>
            </w:r>
            <w:r>
              <w:rPr>
                <w:noProof/>
                <w:sz w:val="22"/>
              </w:rPr>
              <w:br/>
            </w:r>
            <w:r>
              <w:rPr>
                <w:b/>
                <w:noProof/>
                <w:sz w:val="20"/>
              </w:rPr>
              <w:t>2022</w:t>
            </w:r>
          </w:p>
        </w:tc>
        <w:tc>
          <w:tcPr>
            <w:tcW w:w="840" w:type="dxa"/>
            <w:gridSpan w:val="3"/>
            <w:vAlign w:val="center"/>
          </w:tcPr>
          <w:p>
            <w:pPr>
              <w:keepNext/>
              <w:jc w:val="center"/>
              <w:rPr>
                <w:b/>
                <w:noProof/>
                <w:sz w:val="18"/>
              </w:rPr>
            </w:pPr>
            <w:r>
              <w:rPr>
                <w:noProof/>
                <w:sz w:val="20"/>
              </w:rPr>
              <w:t>Year</w:t>
            </w:r>
            <w:r>
              <w:rPr>
                <w:noProof/>
                <w:sz w:val="22"/>
              </w:rPr>
              <w:br/>
            </w:r>
            <w:r>
              <w:rPr>
                <w:b/>
                <w:noProof/>
                <w:sz w:val="20"/>
              </w:rPr>
              <w:t>2023</w:t>
            </w:r>
          </w:p>
        </w:tc>
        <w:tc>
          <w:tcPr>
            <w:tcW w:w="720" w:type="dxa"/>
            <w:vAlign w:val="center"/>
          </w:tcPr>
          <w:p>
            <w:pPr>
              <w:keepNext/>
              <w:jc w:val="center"/>
              <w:rPr>
                <w:b/>
                <w:noProof/>
                <w:sz w:val="18"/>
              </w:rPr>
            </w:pPr>
            <w:r>
              <w:rPr>
                <w:noProof/>
                <w:sz w:val="20"/>
              </w:rPr>
              <w:t>Year</w:t>
            </w:r>
            <w:r>
              <w:rPr>
                <w:noProof/>
                <w:sz w:val="22"/>
              </w:rPr>
              <w:br/>
            </w:r>
            <w:r>
              <w:rPr>
                <w:b/>
                <w:noProof/>
                <w:sz w:val="20"/>
              </w:rPr>
              <w:t>2024</w:t>
            </w:r>
          </w:p>
        </w:tc>
        <w:tc>
          <w:tcPr>
            <w:tcW w:w="840" w:type="dxa"/>
            <w:gridSpan w:val="2"/>
            <w:vAlign w:val="center"/>
          </w:tcPr>
          <w:p>
            <w:pPr>
              <w:keepNext/>
              <w:jc w:val="center"/>
              <w:rPr>
                <w:b/>
                <w:noProof/>
                <w:sz w:val="18"/>
              </w:rPr>
            </w:pPr>
            <w:r>
              <w:rPr>
                <w:noProof/>
                <w:sz w:val="20"/>
              </w:rPr>
              <w:t>Year</w:t>
            </w:r>
            <w:r>
              <w:rPr>
                <w:noProof/>
                <w:sz w:val="22"/>
              </w:rPr>
              <w:br/>
            </w:r>
            <w:r>
              <w:rPr>
                <w:b/>
                <w:noProof/>
                <w:sz w:val="20"/>
              </w:rPr>
              <w:t>2025</w:t>
            </w:r>
          </w:p>
        </w:tc>
        <w:tc>
          <w:tcPr>
            <w:tcW w:w="960" w:type="dxa"/>
            <w:gridSpan w:val="3"/>
          </w:tcPr>
          <w:p>
            <w:pPr>
              <w:keepNext/>
              <w:jc w:val="center"/>
              <w:rPr>
                <w:b/>
                <w:noProof/>
                <w:sz w:val="20"/>
              </w:rPr>
            </w:pPr>
            <w:r>
              <w:rPr>
                <w:noProof/>
                <w:sz w:val="20"/>
              </w:rPr>
              <w:t>Year</w:t>
            </w:r>
            <w:r>
              <w:rPr>
                <w:noProof/>
                <w:sz w:val="22"/>
              </w:rPr>
              <w:br/>
            </w:r>
            <w:r>
              <w:rPr>
                <w:b/>
                <w:noProof/>
                <w:sz w:val="20"/>
              </w:rPr>
              <w:t>2026</w:t>
            </w:r>
          </w:p>
        </w:tc>
        <w:tc>
          <w:tcPr>
            <w:tcW w:w="840" w:type="dxa"/>
            <w:gridSpan w:val="2"/>
          </w:tcPr>
          <w:p>
            <w:pPr>
              <w:keepNext/>
              <w:jc w:val="center"/>
              <w:rPr>
                <w:b/>
                <w:noProof/>
                <w:sz w:val="20"/>
              </w:rPr>
            </w:pPr>
            <w:r>
              <w:rPr>
                <w:noProof/>
                <w:sz w:val="20"/>
              </w:rPr>
              <w:t>Year</w:t>
            </w:r>
            <w:r>
              <w:rPr>
                <w:noProof/>
                <w:sz w:val="22"/>
              </w:rPr>
              <w:br/>
            </w:r>
            <w:r>
              <w:rPr>
                <w:b/>
                <w:noProof/>
                <w:sz w:val="20"/>
              </w:rPr>
              <w:t>2027</w:t>
            </w:r>
          </w:p>
        </w:tc>
        <w:tc>
          <w:tcPr>
            <w:tcW w:w="1386" w:type="dxa"/>
            <w:gridSpan w:val="2"/>
            <w:vAlign w:val="center"/>
          </w:tcPr>
          <w:p>
            <w:pPr>
              <w:keepNext/>
              <w:jc w:val="center"/>
              <w:rPr>
                <w:b/>
                <w:noProof/>
                <w:sz w:val="20"/>
              </w:rPr>
            </w:pPr>
            <w:r>
              <w:rPr>
                <w:b/>
                <w:noProof/>
                <w:sz w:val="20"/>
              </w:rPr>
              <w:t>TOTAL</w:t>
            </w:r>
          </w:p>
        </w:tc>
      </w:tr>
      <w:tr>
        <w:trPr>
          <w:gridAfter w:val="21"/>
          <w:wAfter w:w="8946" w:type="dxa"/>
          <w:trHeight w:val="378"/>
        </w:trPr>
        <w:tc>
          <w:tcPr>
            <w:tcW w:w="3760" w:type="dxa"/>
            <w:vAlign w:val="center"/>
          </w:tcPr>
          <w:p>
            <w:pPr>
              <w:keepNext/>
              <w:spacing w:before="60" w:after="60"/>
              <w:jc w:val="center"/>
              <w:rPr>
                <w:noProof/>
                <w:sz w:val="22"/>
              </w:rPr>
            </w:pPr>
            <w:r>
              <w:rPr>
                <w:noProof/>
                <w:sz w:val="22"/>
              </w:rPr>
              <w:t>DG HOME</w:t>
            </w:r>
          </w:p>
        </w:tc>
        <w:tc>
          <w:tcPr>
            <w:tcW w:w="1640" w:type="dxa"/>
          </w:tcPr>
          <w:p>
            <w:pPr>
              <w:keepNext/>
              <w:spacing w:before="60" w:after="60"/>
              <w:jc w:val="center"/>
              <w:rPr>
                <w:noProof/>
                <w:sz w:val="22"/>
              </w:rPr>
            </w:pPr>
          </w:p>
        </w:tc>
      </w:tr>
      <w:tr>
        <w:trPr>
          <w:gridAfter w:val="1"/>
          <w:wAfter w:w="236" w:type="dxa"/>
          <w:trHeight w:val="314"/>
        </w:trPr>
        <w:tc>
          <w:tcPr>
            <w:tcW w:w="5400" w:type="dxa"/>
            <w:gridSpan w:val="2"/>
            <w:vAlign w:val="center"/>
          </w:tcPr>
          <w:p>
            <w:pPr>
              <w:keepNext/>
              <w:spacing w:before="20" w:after="20"/>
              <w:rPr>
                <w:noProof/>
                <w:sz w:val="22"/>
              </w:rPr>
            </w:pPr>
            <w:r>
              <w:rPr>
                <w:noProof/>
                <w:sz w:val="22"/>
              </w:rPr>
              <w:sym w:font="Wingdings" w:char="F09F"/>
            </w:r>
            <w:r>
              <w:rPr>
                <w:noProof/>
                <w:sz w:val="22"/>
              </w:rPr>
              <w:t xml:space="preserve"> Human resources </w:t>
            </w:r>
          </w:p>
          <w:p>
            <w:pPr>
              <w:keepNext/>
              <w:spacing w:before="20" w:after="20"/>
              <w:rPr>
                <w:noProof/>
                <w:sz w:val="22"/>
                <w:highlight w:val="yellow"/>
              </w:rPr>
            </w:pPr>
            <w:r>
              <w:rPr>
                <w:noProof/>
                <w:sz w:val="22"/>
              </w:rPr>
              <w:t>Number of budget line 18.01</w:t>
            </w:r>
          </w:p>
        </w:tc>
        <w:tc>
          <w:tcPr>
            <w:tcW w:w="873" w:type="dxa"/>
            <w:gridSpan w:val="2"/>
          </w:tcPr>
          <w:p>
            <w:pPr>
              <w:keepNext/>
              <w:spacing w:before="20" w:after="20"/>
              <w:jc w:val="center"/>
              <w:rPr>
                <w:noProof/>
                <w:sz w:val="22"/>
              </w:rPr>
            </w:pPr>
            <w:r>
              <w:rPr>
                <w:noProof/>
                <w:sz w:val="22"/>
              </w:rPr>
              <w:t xml:space="preserve">0,690 </w:t>
            </w:r>
          </w:p>
        </w:tc>
        <w:tc>
          <w:tcPr>
            <w:tcW w:w="797" w:type="dxa"/>
            <w:gridSpan w:val="2"/>
          </w:tcPr>
          <w:p>
            <w:pPr>
              <w:keepNext/>
              <w:spacing w:before="20" w:after="20"/>
              <w:jc w:val="right"/>
              <w:rPr>
                <w:noProof/>
                <w:sz w:val="22"/>
              </w:rPr>
            </w:pPr>
            <w:r>
              <w:rPr>
                <w:noProof/>
                <w:sz w:val="22"/>
              </w:rPr>
              <w:t xml:space="preserve">0,690 </w:t>
            </w:r>
          </w:p>
        </w:tc>
        <w:tc>
          <w:tcPr>
            <w:tcW w:w="912" w:type="dxa"/>
            <w:gridSpan w:val="3"/>
          </w:tcPr>
          <w:p>
            <w:pPr>
              <w:keepNext/>
              <w:spacing w:before="20" w:after="20"/>
              <w:jc w:val="right"/>
              <w:rPr>
                <w:noProof/>
                <w:sz w:val="22"/>
              </w:rPr>
            </w:pPr>
            <w:r>
              <w:rPr>
                <w:noProof/>
                <w:sz w:val="22"/>
              </w:rPr>
              <w:t xml:space="preserve">0,690 </w:t>
            </w:r>
          </w:p>
        </w:tc>
        <w:tc>
          <w:tcPr>
            <w:tcW w:w="798" w:type="dxa"/>
            <w:gridSpan w:val="2"/>
          </w:tcPr>
          <w:p>
            <w:pPr>
              <w:keepNext/>
              <w:spacing w:before="20" w:after="20"/>
              <w:jc w:val="right"/>
              <w:rPr>
                <w:noProof/>
                <w:sz w:val="22"/>
              </w:rPr>
            </w:pPr>
            <w:r>
              <w:rPr>
                <w:noProof/>
                <w:sz w:val="22"/>
              </w:rPr>
              <w:t xml:space="preserve">0,690 </w:t>
            </w:r>
          </w:p>
        </w:tc>
        <w:tc>
          <w:tcPr>
            <w:tcW w:w="798" w:type="dxa"/>
          </w:tcPr>
          <w:p>
            <w:pPr>
              <w:keepNext/>
              <w:spacing w:before="20" w:after="20"/>
              <w:jc w:val="right"/>
              <w:rPr>
                <w:noProof/>
                <w:sz w:val="22"/>
              </w:rPr>
            </w:pPr>
            <w:r>
              <w:rPr>
                <w:noProof/>
                <w:sz w:val="22"/>
              </w:rPr>
              <w:t xml:space="preserve">0,690 </w:t>
            </w:r>
          </w:p>
        </w:tc>
        <w:tc>
          <w:tcPr>
            <w:tcW w:w="798" w:type="dxa"/>
            <w:gridSpan w:val="3"/>
          </w:tcPr>
          <w:p>
            <w:pPr>
              <w:keepNext/>
              <w:spacing w:before="20" w:after="20"/>
              <w:jc w:val="right"/>
              <w:rPr>
                <w:noProof/>
                <w:sz w:val="22"/>
              </w:rPr>
            </w:pPr>
            <w:r>
              <w:rPr>
                <w:noProof/>
                <w:sz w:val="22"/>
              </w:rPr>
              <w:t xml:space="preserve">0,690 </w:t>
            </w:r>
          </w:p>
        </w:tc>
        <w:tc>
          <w:tcPr>
            <w:tcW w:w="798" w:type="dxa"/>
            <w:gridSpan w:val="2"/>
          </w:tcPr>
          <w:p>
            <w:pPr>
              <w:keepNext/>
              <w:spacing w:before="20" w:after="20"/>
              <w:jc w:val="right"/>
              <w:rPr>
                <w:noProof/>
                <w:sz w:val="22"/>
              </w:rPr>
            </w:pPr>
            <w:r>
              <w:rPr>
                <w:noProof/>
                <w:sz w:val="22"/>
              </w:rPr>
              <w:t xml:space="preserve">0,276 </w:t>
            </w:r>
          </w:p>
        </w:tc>
        <w:tc>
          <w:tcPr>
            <w:tcW w:w="912" w:type="dxa"/>
          </w:tcPr>
          <w:p>
            <w:pPr>
              <w:keepNext/>
              <w:spacing w:before="20" w:after="20"/>
              <w:jc w:val="right"/>
              <w:rPr>
                <w:noProof/>
                <w:sz w:val="22"/>
              </w:rPr>
            </w:pPr>
            <w:r>
              <w:rPr>
                <w:noProof/>
                <w:sz w:val="22"/>
              </w:rPr>
              <w:t xml:space="preserve">0,276 </w:t>
            </w:r>
          </w:p>
        </w:tc>
        <w:tc>
          <w:tcPr>
            <w:tcW w:w="798" w:type="dxa"/>
            <w:gridSpan w:val="2"/>
          </w:tcPr>
          <w:p>
            <w:pPr>
              <w:keepNext/>
              <w:spacing w:before="20" w:after="20"/>
              <w:jc w:val="center"/>
              <w:rPr>
                <w:noProof/>
                <w:sz w:val="22"/>
              </w:rPr>
            </w:pPr>
            <w:r>
              <w:rPr>
                <w:noProof/>
                <w:sz w:val="22"/>
              </w:rPr>
              <w:t xml:space="preserve">0,276 </w:t>
            </w:r>
          </w:p>
        </w:tc>
        <w:tc>
          <w:tcPr>
            <w:tcW w:w="1226" w:type="dxa"/>
            <w:gridSpan w:val="2"/>
          </w:tcPr>
          <w:p>
            <w:pPr>
              <w:keepNext/>
              <w:spacing w:before="20" w:after="20"/>
              <w:jc w:val="right"/>
              <w:rPr>
                <w:b/>
                <w:noProof/>
                <w:sz w:val="22"/>
              </w:rPr>
            </w:pPr>
            <w:r>
              <w:rPr>
                <w:noProof/>
                <w:sz w:val="22"/>
              </w:rPr>
              <w:t xml:space="preserve">4,968 </w:t>
            </w:r>
          </w:p>
        </w:tc>
      </w:tr>
      <w:tr>
        <w:trPr>
          <w:gridAfter w:val="1"/>
          <w:wAfter w:w="236" w:type="dxa"/>
          <w:trHeight w:val="314"/>
        </w:trPr>
        <w:tc>
          <w:tcPr>
            <w:tcW w:w="5400" w:type="dxa"/>
            <w:gridSpan w:val="2"/>
            <w:vAlign w:val="center"/>
          </w:tcPr>
          <w:p>
            <w:pPr>
              <w:spacing w:before="20" w:after="20"/>
              <w:rPr>
                <w:noProof/>
                <w:sz w:val="22"/>
              </w:rPr>
            </w:pPr>
            <w:r>
              <w:rPr>
                <w:noProof/>
                <w:sz w:val="22"/>
              </w:rPr>
              <w:t>Other administrative costs (meetings, etc.)</w:t>
            </w:r>
          </w:p>
        </w:tc>
        <w:tc>
          <w:tcPr>
            <w:tcW w:w="873" w:type="dxa"/>
            <w:gridSpan w:val="2"/>
          </w:tcPr>
          <w:p>
            <w:pPr>
              <w:spacing w:before="20" w:after="20"/>
              <w:jc w:val="right"/>
              <w:rPr>
                <w:noProof/>
                <w:sz w:val="22"/>
              </w:rPr>
            </w:pPr>
            <w:r>
              <w:rPr>
                <w:noProof/>
                <w:sz w:val="22"/>
              </w:rPr>
              <w:t xml:space="preserve">0,323 </w:t>
            </w:r>
          </w:p>
        </w:tc>
        <w:tc>
          <w:tcPr>
            <w:tcW w:w="797" w:type="dxa"/>
            <w:gridSpan w:val="2"/>
          </w:tcPr>
          <w:p>
            <w:pPr>
              <w:spacing w:before="20" w:after="20"/>
              <w:jc w:val="right"/>
              <w:rPr>
                <w:noProof/>
                <w:sz w:val="22"/>
              </w:rPr>
            </w:pPr>
            <w:r>
              <w:rPr>
                <w:noProof/>
                <w:sz w:val="22"/>
              </w:rPr>
              <w:t xml:space="preserve">0,323 </w:t>
            </w:r>
          </w:p>
        </w:tc>
        <w:tc>
          <w:tcPr>
            <w:tcW w:w="912" w:type="dxa"/>
            <w:gridSpan w:val="3"/>
          </w:tcPr>
          <w:p>
            <w:pPr>
              <w:spacing w:before="20" w:after="20"/>
              <w:jc w:val="right"/>
              <w:rPr>
                <w:noProof/>
                <w:sz w:val="22"/>
              </w:rPr>
            </w:pPr>
            <w:r>
              <w:rPr>
                <w:noProof/>
                <w:sz w:val="22"/>
              </w:rPr>
              <w:t xml:space="preserve">0,323 </w:t>
            </w:r>
          </w:p>
        </w:tc>
        <w:tc>
          <w:tcPr>
            <w:tcW w:w="798" w:type="dxa"/>
            <w:gridSpan w:val="2"/>
          </w:tcPr>
          <w:p>
            <w:pPr>
              <w:spacing w:before="20" w:after="20"/>
              <w:jc w:val="right"/>
              <w:rPr>
                <w:noProof/>
                <w:sz w:val="22"/>
              </w:rPr>
            </w:pPr>
            <w:r>
              <w:rPr>
                <w:noProof/>
                <w:sz w:val="22"/>
              </w:rPr>
              <w:t xml:space="preserve">0,323 </w:t>
            </w:r>
          </w:p>
        </w:tc>
        <w:tc>
          <w:tcPr>
            <w:tcW w:w="798" w:type="dxa"/>
          </w:tcPr>
          <w:p>
            <w:pPr>
              <w:spacing w:before="20" w:after="20"/>
              <w:jc w:val="right"/>
              <w:rPr>
                <w:noProof/>
                <w:sz w:val="22"/>
              </w:rPr>
            </w:pPr>
            <w:r>
              <w:rPr>
                <w:noProof/>
                <w:sz w:val="22"/>
              </w:rPr>
              <w:t xml:space="preserve">0,323 </w:t>
            </w:r>
          </w:p>
        </w:tc>
        <w:tc>
          <w:tcPr>
            <w:tcW w:w="798" w:type="dxa"/>
            <w:gridSpan w:val="3"/>
          </w:tcPr>
          <w:p>
            <w:pPr>
              <w:spacing w:before="20" w:after="20"/>
              <w:jc w:val="right"/>
              <w:rPr>
                <w:noProof/>
                <w:sz w:val="22"/>
              </w:rPr>
            </w:pPr>
            <w:r>
              <w:rPr>
                <w:noProof/>
                <w:sz w:val="22"/>
              </w:rPr>
              <w:t xml:space="preserve">0,323 </w:t>
            </w:r>
          </w:p>
        </w:tc>
        <w:tc>
          <w:tcPr>
            <w:tcW w:w="798" w:type="dxa"/>
            <w:gridSpan w:val="2"/>
          </w:tcPr>
          <w:p>
            <w:pPr>
              <w:spacing w:before="20" w:after="20"/>
              <w:jc w:val="right"/>
              <w:rPr>
                <w:noProof/>
                <w:sz w:val="22"/>
              </w:rPr>
            </w:pPr>
            <w:r>
              <w:rPr>
                <w:noProof/>
                <w:sz w:val="22"/>
              </w:rPr>
              <w:t xml:space="preserve">0,263 </w:t>
            </w:r>
          </w:p>
        </w:tc>
        <w:tc>
          <w:tcPr>
            <w:tcW w:w="912" w:type="dxa"/>
          </w:tcPr>
          <w:p>
            <w:pPr>
              <w:spacing w:before="20" w:after="20"/>
              <w:jc w:val="right"/>
              <w:rPr>
                <w:b/>
                <w:noProof/>
                <w:sz w:val="22"/>
              </w:rPr>
            </w:pPr>
            <w:r>
              <w:rPr>
                <w:noProof/>
                <w:sz w:val="22"/>
              </w:rPr>
              <w:t xml:space="preserve">0,263 </w:t>
            </w:r>
          </w:p>
        </w:tc>
        <w:tc>
          <w:tcPr>
            <w:tcW w:w="798" w:type="dxa"/>
            <w:gridSpan w:val="2"/>
          </w:tcPr>
          <w:p>
            <w:pPr>
              <w:spacing w:before="20" w:after="20"/>
              <w:jc w:val="right"/>
              <w:rPr>
                <w:b/>
                <w:noProof/>
                <w:sz w:val="22"/>
              </w:rPr>
            </w:pPr>
            <w:r>
              <w:rPr>
                <w:noProof/>
                <w:sz w:val="22"/>
              </w:rPr>
              <w:t xml:space="preserve">0,263 </w:t>
            </w:r>
          </w:p>
        </w:tc>
        <w:tc>
          <w:tcPr>
            <w:tcW w:w="1226" w:type="dxa"/>
            <w:gridSpan w:val="2"/>
          </w:tcPr>
          <w:p>
            <w:pPr>
              <w:spacing w:before="20" w:after="20"/>
              <w:jc w:val="right"/>
              <w:rPr>
                <w:b/>
                <w:noProof/>
                <w:sz w:val="22"/>
              </w:rPr>
            </w:pPr>
            <w:r>
              <w:rPr>
                <w:noProof/>
                <w:sz w:val="22"/>
              </w:rPr>
              <w:t xml:space="preserve">2,727 </w:t>
            </w:r>
          </w:p>
        </w:tc>
      </w:tr>
      <w:tr>
        <w:trPr>
          <w:gridAfter w:val="1"/>
          <w:wAfter w:w="236" w:type="dxa"/>
          <w:trHeight w:val="503"/>
        </w:trPr>
        <w:tc>
          <w:tcPr>
            <w:tcW w:w="3760" w:type="dxa"/>
            <w:vAlign w:val="center"/>
          </w:tcPr>
          <w:p>
            <w:pPr>
              <w:jc w:val="center"/>
              <w:rPr>
                <w:b/>
                <w:noProof/>
                <w:sz w:val="22"/>
              </w:rPr>
            </w:pPr>
            <w:r>
              <w:rPr>
                <w:b/>
                <w:noProof/>
                <w:sz w:val="22"/>
              </w:rPr>
              <w:t>TOTAL DG HOME</w:t>
            </w:r>
          </w:p>
        </w:tc>
        <w:tc>
          <w:tcPr>
            <w:tcW w:w="1640" w:type="dxa"/>
            <w:vAlign w:val="center"/>
          </w:tcPr>
          <w:p>
            <w:pPr>
              <w:rPr>
                <w:noProof/>
                <w:sz w:val="14"/>
              </w:rPr>
            </w:pPr>
            <w:r>
              <w:rPr>
                <w:noProof/>
                <w:sz w:val="18"/>
              </w:rPr>
              <w:t xml:space="preserve">Appropriations </w:t>
            </w:r>
          </w:p>
        </w:tc>
        <w:tc>
          <w:tcPr>
            <w:tcW w:w="873" w:type="dxa"/>
            <w:gridSpan w:val="2"/>
          </w:tcPr>
          <w:p>
            <w:pPr>
              <w:spacing w:before="20" w:after="20"/>
              <w:jc w:val="center"/>
              <w:rPr>
                <w:noProof/>
                <w:sz w:val="22"/>
              </w:rPr>
            </w:pPr>
            <w:r>
              <w:rPr>
                <w:noProof/>
                <w:sz w:val="22"/>
              </w:rPr>
              <w:t xml:space="preserve">1,013 </w:t>
            </w:r>
          </w:p>
        </w:tc>
        <w:tc>
          <w:tcPr>
            <w:tcW w:w="797" w:type="dxa"/>
            <w:gridSpan w:val="2"/>
          </w:tcPr>
          <w:p>
            <w:pPr>
              <w:spacing w:before="20" w:after="20"/>
              <w:jc w:val="right"/>
              <w:rPr>
                <w:noProof/>
                <w:sz w:val="22"/>
              </w:rPr>
            </w:pPr>
            <w:r>
              <w:rPr>
                <w:noProof/>
                <w:sz w:val="22"/>
              </w:rPr>
              <w:t xml:space="preserve">1,013 </w:t>
            </w:r>
          </w:p>
        </w:tc>
        <w:tc>
          <w:tcPr>
            <w:tcW w:w="912" w:type="dxa"/>
            <w:gridSpan w:val="3"/>
          </w:tcPr>
          <w:p>
            <w:pPr>
              <w:spacing w:before="20" w:after="20"/>
              <w:jc w:val="right"/>
              <w:rPr>
                <w:noProof/>
                <w:sz w:val="22"/>
              </w:rPr>
            </w:pPr>
            <w:r>
              <w:rPr>
                <w:noProof/>
                <w:sz w:val="22"/>
              </w:rPr>
              <w:t xml:space="preserve">1,013 </w:t>
            </w:r>
          </w:p>
        </w:tc>
        <w:tc>
          <w:tcPr>
            <w:tcW w:w="798" w:type="dxa"/>
            <w:gridSpan w:val="2"/>
          </w:tcPr>
          <w:p>
            <w:pPr>
              <w:spacing w:before="20" w:after="20"/>
              <w:jc w:val="right"/>
              <w:rPr>
                <w:noProof/>
                <w:sz w:val="22"/>
              </w:rPr>
            </w:pPr>
            <w:r>
              <w:rPr>
                <w:noProof/>
                <w:sz w:val="22"/>
              </w:rPr>
              <w:t xml:space="preserve">1,013 </w:t>
            </w:r>
          </w:p>
        </w:tc>
        <w:tc>
          <w:tcPr>
            <w:tcW w:w="798" w:type="dxa"/>
          </w:tcPr>
          <w:p>
            <w:pPr>
              <w:spacing w:before="20" w:after="20"/>
              <w:jc w:val="right"/>
              <w:rPr>
                <w:noProof/>
                <w:sz w:val="22"/>
              </w:rPr>
            </w:pPr>
            <w:r>
              <w:rPr>
                <w:noProof/>
                <w:sz w:val="22"/>
              </w:rPr>
              <w:t xml:space="preserve">1,013 </w:t>
            </w:r>
          </w:p>
        </w:tc>
        <w:tc>
          <w:tcPr>
            <w:tcW w:w="798" w:type="dxa"/>
            <w:gridSpan w:val="3"/>
          </w:tcPr>
          <w:p>
            <w:pPr>
              <w:spacing w:before="20" w:after="20"/>
              <w:jc w:val="right"/>
              <w:rPr>
                <w:noProof/>
                <w:sz w:val="22"/>
              </w:rPr>
            </w:pPr>
            <w:r>
              <w:rPr>
                <w:noProof/>
                <w:sz w:val="22"/>
              </w:rPr>
              <w:t xml:space="preserve">1,013 </w:t>
            </w:r>
          </w:p>
        </w:tc>
        <w:tc>
          <w:tcPr>
            <w:tcW w:w="798" w:type="dxa"/>
            <w:gridSpan w:val="2"/>
          </w:tcPr>
          <w:p>
            <w:pPr>
              <w:spacing w:before="20" w:after="20"/>
              <w:jc w:val="right"/>
              <w:rPr>
                <w:noProof/>
                <w:sz w:val="22"/>
              </w:rPr>
            </w:pPr>
            <w:r>
              <w:rPr>
                <w:noProof/>
                <w:sz w:val="22"/>
              </w:rPr>
              <w:t xml:space="preserve">0,539 </w:t>
            </w:r>
          </w:p>
        </w:tc>
        <w:tc>
          <w:tcPr>
            <w:tcW w:w="912" w:type="dxa"/>
          </w:tcPr>
          <w:p>
            <w:pPr>
              <w:spacing w:before="20" w:after="20"/>
              <w:jc w:val="right"/>
              <w:rPr>
                <w:noProof/>
                <w:sz w:val="22"/>
              </w:rPr>
            </w:pPr>
            <w:r>
              <w:rPr>
                <w:noProof/>
                <w:sz w:val="22"/>
              </w:rPr>
              <w:t xml:space="preserve">0,539 </w:t>
            </w:r>
          </w:p>
        </w:tc>
        <w:tc>
          <w:tcPr>
            <w:tcW w:w="798" w:type="dxa"/>
            <w:gridSpan w:val="2"/>
          </w:tcPr>
          <w:p>
            <w:pPr>
              <w:spacing w:before="20" w:after="20"/>
              <w:jc w:val="center"/>
              <w:rPr>
                <w:noProof/>
                <w:sz w:val="22"/>
              </w:rPr>
            </w:pPr>
            <w:r>
              <w:rPr>
                <w:noProof/>
                <w:sz w:val="22"/>
              </w:rPr>
              <w:t xml:space="preserve">0,539 </w:t>
            </w:r>
          </w:p>
        </w:tc>
        <w:tc>
          <w:tcPr>
            <w:tcW w:w="1226" w:type="dxa"/>
            <w:gridSpan w:val="2"/>
          </w:tcPr>
          <w:p>
            <w:pPr>
              <w:spacing w:before="20" w:after="20"/>
              <w:jc w:val="right"/>
              <w:rPr>
                <w:b/>
                <w:noProof/>
                <w:sz w:val="22"/>
              </w:rPr>
            </w:pPr>
            <w:r>
              <w:rPr>
                <w:noProof/>
                <w:sz w:val="22"/>
              </w:rPr>
              <w:t xml:space="preserve">7,695 </w:t>
            </w:r>
          </w:p>
        </w:tc>
      </w:tr>
    </w:tbl>
    <w:p>
      <w:pPr>
        <w:jc w:val="right"/>
        <w:rPr>
          <w:noProof/>
          <w:sz w:val="20"/>
        </w:rPr>
      </w:pPr>
    </w:p>
    <w:tbl>
      <w:tblPr>
        <w:tblW w:w="1411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65"/>
        <w:gridCol w:w="1712"/>
        <w:gridCol w:w="799"/>
        <w:gridCol w:w="799"/>
        <w:gridCol w:w="913"/>
        <w:gridCol w:w="799"/>
        <w:gridCol w:w="799"/>
        <w:gridCol w:w="799"/>
        <w:gridCol w:w="799"/>
        <w:gridCol w:w="913"/>
        <w:gridCol w:w="799"/>
        <w:gridCol w:w="1214"/>
      </w:tblGrid>
      <w:tr>
        <w:trPr>
          <w:trHeight w:val="1002"/>
        </w:trPr>
        <w:tc>
          <w:tcPr>
            <w:tcW w:w="3765" w:type="dxa"/>
            <w:tcBorders>
              <w:top w:val="single" w:sz="4" w:space="0" w:color="auto"/>
              <w:left w:val="single" w:sz="4" w:space="0" w:color="auto"/>
              <w:bottom w:val="single" w:sz="4" w:space="0" w:color="auto"/>
              <w:right w:val="single" w:sz="4" w:space="0" w:color="auto"/>
            </w:tcBorders>
            <w:shd w:val="thinDiagStripe" w:color="C0C0C0" w:fill="auto"/>
            <w:vAlign w:val="center"/>
            <w:hideMark/>
          </w:tcPr>
          <w:p>
            <w:pPr>
              <w:jc w:val="center"/>
              <w:rPr>
                <w:b/>
                <w:noProof/>
              </w:rPr>
            </w:pPr>
            <w:r>
              <w:rPr>
                <w:b/>
                <w:noProof/>
                <w:sz w:val="22"/>
              </w:rPr>
              <w:t>TOTAL appropriations</w:t>
            </w:r>
            <w:r>
              <w:rPr>
                <w:noProof/>
                <w:sz w:val="22"/>
              </w:rPr>
              <w:br/>
            </w:r>
            <w:r>
              <w:rPr>
                <w:b/>
                <w:noProof/>
                <w:sz w:val="22"/>
              </w:rPr>
              <w:t>under HEADING 5</w:t>
            </w:r>
            <w:r>
              <w:rPr>
                <w:noProof/>
                <w:sz w:val="22"/>
              </w:rPr>
              <w:br/>
              <w:t>of the multiannual financial framework</w:t>
            </w:r>
            <w:r>
              <w:rPr>
                <w:b/>
                <w:noProof/>
                <w:sz w:val="22"/>
              </w:rPr>
              <w:t xml:space="preserve"> </w:t>
            </w:r>
          </w:p>
        </w:tc>
        <w:tc>
          <w:tcPr>
            <w:tcW w:w="1712" w:type="dxa"/>
            <w:tcBorders>
              <w:top w:val="single" w:sz="4" w:space="0" w:color="auto"/>
              <w:left w:val="single" w:sz="4" w:space="0" w:color="auto"/>
              <w:bottom w:val="single" w:sz="4" w:space="0" w:color="auto"/>
              <w:right w:val="single" w:sz="4" w:space="0" w:color="auto"/>
            </w:tcBorders>
            <w:vAlign w:val="center"/>
            <w:hideMark/>
          </w:tcPr>
          <w:p>
            <w:pPr>
              <w:spacing w:before="40" w:after="40"/>
              <w:rPr>
                <w:noProof/>
              </w:rPr>
            </w:pPr>
            <w:r>
              <w:rPr>
                <w:noProof/>
                <w:sz w:val="18"/>
              </w:rPr>
              <w:t>(Total commitments = Total payments)</w:t>
            </w:r>
          </w:p>
        </w:tc>
        <w:tc>
          <w:tcPr>
            <w:tcW w:w="799" w:type="dxa"/>
            <w:tcBorders>
              <w:top w:val="single" w:sz="4" w:space="0" w:color="auto"/>
              <w:left w:val="single" w:sz="4" w:space="0" w:color="auto"/>
              <w:bottom w:val="single" w:sz="4" w:space="0" w:color="auto"/>
              <w:right w:val="single" w:sz="4" w:space="0" w:color="auto"/>
            </w:tcBorders>
          </w:tcPr>
          <w:p>
            <w:pPr>
              <w:spacing w:before="20" w:after="20"/>
              <w:jc w:val="right"/>
              <w:rPr>
                <w:b/>
                <w:noProof/>
                <w:sz w:val="20"/>
              </w:rPr>
            </w:pPr>
            <w:r>
              <w:rPr>
                <w:b/>
                <w:noProof/>
                <w:sz w:val="20"/>
              </w:rPr>
              <w:t xml:space="preserve">1,013 </w:t>
            </w:r>
          </w:p>
        </w:tc>
        <w:tc>
          <w:tcPr>
            <w:tcW w:w="799" w:type="dxa"/>
            <w:tcBorders>
              <w:top w:val="single" w:sz="4" w:space="0" w:color="auto"/>
              <w:left w:val="single" w:sz="4" w:space="0" w:color="auto"/>
              <w:bottom w:val="single" w:sz="4" w:space="0" w:color="auto"/>
              <w:right w:val="single" w:sz="4" w:space="0" w:color="auto"/>
            </w:tcBorders>
          </w:tcPr>
          <w:p>
            <w:pPr>
              <w:spacing w:before="20" w:after="20"/>
              <w:jc w:val="right"/>
              <w:rPr>
                <w:b/>
                <w:noProof/>
                <w:sz w:val="20"/>
              </w:rPr>
            </w:pPr>
            <w:r>
              <w:rPr>
                <w:b/>
                <w:noProof/>
                <w:sz w:val="20"/>
              </w:rPr>
              <w:t xml:space="preserve">1,013 </w:t>
            </w:r>
          </w:p>
        </w:tc>
        <w:tc>
          <w:tcPr>
            <w:tcW w:w="913" w:type="dxa"/>
            <w:tcBorders>
              <w:top w:val="single" w:sz="4" w:space="0" w:color="auto"/>
              <w:left w:val="single" w:sz="4" w:space="0" w:color="auto"/>
              <w:bottom w:val="single" w:sz="4" w:space="0" w:color="auto"/>
              <w:right w:val="single" w:sz="4" w:space="0" w:color="auto"/>
            </w:tcBorders>
          </w:tcPr>
          <w:p>
            <w:pPr>
              <w:spacing w:before="20" w:after="20"/>
              <w:jc w:val="right"/>
              <w:rPr>
                <w:b/>
                <w:noProof/>
                <w:sz w:val="20"/>
              </w:rPr>
            </w:pPr>
            <w:r>
              <w:rPr>
                <w:b/>
                <w:noProof/>
                <w:sz w:val="20"/>
              </w:rPr>
              <w:t xml:space="preserve">1,013 </w:t>
            </w:r>
          </w:p>
        </w:tc>
        <w:tc>
          <w:tcPr>
            <w:tcW w:w="799" w:type="dxa"/>
            <w:tcBorders>
              <w:top w:val="single" w:sz="4" w:space="0" w:color="auto"/>
              <w:left w:val="single" w:sz="4" w:space="0" w:color="auto"/>
              <w:bottom w:val="single" w:sz="4" w:space="0" w:color="auto"/>
              <w:right w:val="single" w:sz="4" w:space="0" w:color="auto"/>
            </w:tcBorders>
          </w:tcPr>
          <w:p>
            <w:pPr>
              <w:spacing w:before="20" w:after="20"/>
              <w:jc w:val="right"/>
              <w:rPr>
                <w:b/>
                <w:noProof/>
                <w:sz w:val="20"/>
              </w:rPr>
            </w:pPr>
            <w:r>
              <w:rPr>
                <w:b/>
                <w:noProof/>
                <w:sz w:val="20"/>
              </w:rPr>
              <w:t xml:space="preserve">1,013 </w:t>
            </w:r>
          </w:p>
        </w:tc>
        <w:tc>
          <w:tcPr>
            <w:tcW w:w="799" w:type="dxa"/>
            <w:tcBorders>
              <w:top w:val="single" w:sz="4" w:space="0" w:color="auto"/>
              <w:left w:val="single" w:sz="4" w:space="0" w:color="auto"/>
              <w:bottom w:val="single" w:sz="4" w:space="0" w:color="auto"/>
              <w:right w:val="single" w:sz="4" w:space="0" w:color="auto"/>
            </w:tcBorders>
          </w:tcPr>
          <w:p>
            <w:pPr>
              <w:spacing w:before="20" w:after="20"/>
              <w:jc w:val="right"/>
              <w:rPr>
                <w:b/>
                <w:noProof/>
                <w:sz w:val="20"/>
              </w:rPr>
            </w:pPr>
            <w:r>
              <w:rPr>
                <w:b/>
                <w:noProof/>
                <w:sz w:val="20"/>
              </w:rPr>
              <w:t xml:space="preserve">1,013 </w:t>
            </w:r>
          </w:p>
        </w:tc>
        <w:tc>
          <w:tcPr>
            <w:tcW w:w="799" w:type="dxa"/>
            <w:tcBorders>
              <w:top w:val="single" w:sz="4" w:space="0" w:color="auto"/>
              <w:left w:val="single" w:sz="4" w:space="0" w:color="auto"/>
              <w:bottom w:val="single" w:sz="4" w:space="0" w:color="auto"/>
              <w:right w:val="single" w:sz="4" w:space="0" w:color="auto"/>
            </w:tcBorders>
          </w:tcPr>
          <w:p>
            <w:pPr>
              <w:spacing w:before="20" w:after="20"/>
              <w:jc w:val="right"/>
              <w:rPr>
                <w:b/>
                <w:noProof/>
                <w:sz w:val="20"/>
              </w:rPr>
            </w:pPr>
            <w:r>
              <w:rPr>
                <w:b/>
                <w:noProof/>
                <w:sz w:val="20"/>
              </w:rPr>
              <w:t xml:space="preserve">1,013 </w:t>
            </w:r>
          </w:p>
        </w:tc>
        <w:tc>
          <w:tcPr>
            <w:tcW w:w="799" w:type="dxa"/>
            <w:tcBorders>
              <w:top w:val="single" w:sz="4" w:space="0" w:color="auto"/>
              <w:left w:val="single" w:sz="4" w:space="0" w:color="auto"/>
              <w:bottom w:val="single" w:sz="4" w:space="0" w:color="auto"/>
              <w:right w:val="single" w:sz="4" w:space="0" w:color="auto"/>
            </w:tcBorders>
          </w:tcPr>
          <w:p>
            <w:pPr>
              <w:spacing w:before="20" w:after="20"/>
              <w:jc w:val="right"/>
              <w:rPr>
                <w:b/>
                <w:noProof/>
                <w:sz w:val="20"/>
              </w:rPr>
            </w:pPr>
            <w:r>
              <w:rPr>
                <w:b/>
                <w:noProof/>
                <w:sz w:val="20"/>
              </w:rPr>
              <w:t xml:space="preserve">0,539 </w:t>
            </w:r>
          </w:p>
        </w:tc>
        <w:tc>
          <w:tcPr>
            <w:tcW w:w="913" w:type="dxa"/>
            <w:tcBorders>
              <w:top w:val="single" w:sz="4" w:space="0" w:color="auto"/>
              <w:left w:val="single" w:sz="4" w:space="0" w:color="auto"/>
              <w:bottom w:val="single" w:sz="4" w:space="0" w:color="auto"/>
              <w:right w:val="single" w:sz="4" w:space="0" w:color="auto"/>
            </w:tcBorders>
          </w:tcPr>
          <w:p>
            <w:pPr>
              <w:spacing w:before="20" w:after="20"/>
              <w:jc w:val="center"/>
              <w:rPr>
                <w:b/>
                <w:noProof/>
                <w:sz w:val="20"/>
              </w:rPr>
            </w:pPr>
            <w:r>
              <w:rPr>
                <w:b/>
                <w:noProof/>
                <w:sz w:val="20"/>
              </w:rPr>
              <w:t xml:space="preserve">0,539 </w:t>
            </w:r>
          </w:p>
        </w:tc>
        <w:tc>
          <w:tcPr>
            <w:tcW w:w="799" w:type="dxa"/>
            <w:tcBorders>
              <w:top w:val="single" w:sz="4" w:space="0" w:color="auto"/>
              <w:left w:val="single" w:sz="4" w:space="0" w:color="auto"/>
              <w:bottom w:val="single" w:sz="4" w:space="0" w:color="auto"/>
              <w:right w:val="single" w:sz="4" w:space="0" w:color="auto"/>
            </w:tcBorders>
          </w:tcPr>
          <w:p>
            <w:pPr>
              <w:spacing w:before="20" w:after="20"/>
              <w:jc w:val="center"/>
              <w:rPr>
                <w:b/>
                <w:noProof/>
                <w:sz w:val="20"/>
              </w:rPr>
            </w:pPr>
            <w:r>
              <w:rPr>
                <w:b/>
                <w:noProof/>
                <w:sz w:val="20"/>
              </w:rPr>
              <w:t xml:space="preserve">0,539 </w:t>
            </w:r>
          </w:p>
        </w:tc>
        <w:tc>
          <w:tcPr>
            <w:tcW w:w="1214" w:type="dxa"/>
            <w:tcBorders>
              <w:top w:val="single" w:sz="4" w:space="0" w:color="auto"/>
              <w:left w:val="single" w:sz="4" w:space="0" w:color="auto"/>
              <w:bottom w:val="single" w:sz="4" w:space="0" w:color="auto"/>
              <w:right w:val="single" w:sz="4" w:space="0" w:color="auto"/>
            </w:tcBorders>
          </w:tcPr>
          <w:p>
            <w:pPr>
              <w:spacing w:before="20" w:after="20"/>
              <w:jc w:val="right"/>
              <w:rPr>
                <w:b/>
                <w:noProof/>
                <w:sz w:val="20"/>
              </w:rPr>
            </w:pPr>
            <w:r>
              <w:rPr>
                <w:b/>
                <w:noProof/>
                <w:sz w:val="20"/>
              </w:rPr>
              <w:t xml:space="preserve">7,695 </w:t>
            </w:r>
          </w:p>
        </w:tc>
      </w:tr>
    </w:tbl>
    <w:p>
      <w:pPr>
        <w:jc w:val="right"/>
        <w:rPr>
          <w:noProof/>
          <w:sz w:val="20"/>
        </w:rPr>
      </w:pPr>
      <w:r>
        <w:rPr>
          <w:noProof/>
          <w:sz w:val="20"/>
        </w:rPr>
        <w:t>EUR million (to three decimal places)</w:t>
      </w:r>
    </w:p>
    <w:tbl>
      <w:tblPr>
        <w:tblW w:w="14707"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72"/>
        <w:gridCol w:w="1485"/>
        <w:gridCol w:w="236"/>
        <w:gridCol w:w="800"/>
        <w:gridCol w:w="801"/>
        <w:gridCol w:w="915"/>
        <w:gridCol w:w="801"/>
        <w:gridCol w:w="801"/>
        <w:gridCol w:w="801"/>
        <w:gridCol w:w="801"/>
        <w:gridCol w:w="915"/>
        <w:gridCol w:w="801"/>
        <w:gridCol w:w="785"/>
        <w:gridCol w:w="993"/>
      </w:tblGrid>
      <w:tr>
        <w:trPr>
          <w:trHeight w:val="701"/>
        </w:trPr>
        <w:tc>
          <w:tcPr>
            <w:tcW w:w="3772" w:type="dxa"/>
            <w:tcBorders>
              <w:top w:val="nil"/>
              <w:left w:val="nil"/>
              <w:right w:val="nil"/>
            </w:tcBorders>
            <w:vAlign w:val="center"/>
          </w:tcPr>
          <w:p>
            <w:pPr>
              <w:jc w:val="center"/>
              <w:rPr>
                <w:noProof/>
                <w:sz w:val="22"/>
              </w:rPr>
            </w:pPr>
          </w:p>
        </w:tc>
        <w:tc>
          <w:tcPr>
            <w:tcW w:w="1485" w:type="dxa"/>
            <w:tcBorders>
              <w:top w:val="nil"/>
              <w:left w:val="nil"/>
              <w:right w:val="nil"/>
            </w:tcBorders>
          </w:tcPr>
          <w:p>
            <w:pPr>
              <w:rPr>
                <w:noProof/>
                <w:sz w:val="20"/>
              </w:rPr>
            </w:pPr>
          </w:p>
        </w:tc>
        <w:tc>
          <w:tcPr>
            <w:tcW w:w="236" w:type="dxa"/>
            <w:tcBorders>
              <w:top w:val="nil"/>
              <w:left w:val="nil"/>
            </w:tcBorders>
          </w:tcPr>
          <w:p>
            <w:pPr>
              <w:jc w:val="center"/>
              <w:rPr>
                <w:noProof/>
                <w:sz w:val="20"/>
              </w:rPr>
            </w:pPr>
          </w:p>
        </w:tc>
        <w:tc>
          <w:tcPr>
            <w:tcW w:w="800" w:type="dxa"/>
          </w:tcPr>
          <w:p>
            <w:pPr>
              <w:jc w:val="center"/>
              <w:rPr>
                <w:noProof/>
                <w:sz w:val="20"/>
              </w:rPr>
            </w:pPr>
            <w:r>
              <w:rPr>
                <w:noProof/>
                <w:sz w:val="20"/>
              </w:rPr>
              <w:t>Year</w:t>
            </w:r>
            <w:r>
              <w:rPr>
                <w:noProof/>
                <w:sz w:val="22"/>
              </w:rPr>
              <w:br/>
            </w:r>
            <w:r>
              <w:rPr>
                <w:b/>
                <w:noProof/>
                <w:sz w:val="20"/>
              </w:rPr>
              <w:t>2019</w:t>
            </w:r>
          </w:p>
        </w:tc>
        <w:tc>
          <w:tcPr>
            <w:tcW w:w="801" w:type="dxa"/>
          </w:tcPr>
          <w:p>
            <w:pPr>
              <w:jc w:val="center"/>
              <w:rPr>
                <w:noProof/>
                <w:sz w:val="20"/>
              </w:rPr>
            </w:pPr>
            <w:r>
              <w:rPr>
                <w:noProof/>
                <w:sz w:val="20"/>
              </w:rPr>
              <w:t>Year</w:t>
            </w:r>
            <w:r>
              <w:rPr>
                <w:noProof/>
                <w:sz w:val="22"/>
              </w:rPr>
              <w:br/>
            </w:r>
            <w:r>
              <w:rPr>
                <w:b/>
                <w:noProof/>
                <w:sz w:val="20"/>
              </w:rPr>
              <w:t>2020</w:t>
            </w:r>
          </w:p>
        </w:tc>
        <w:tc>
          <w:tcPr>
            <w:tcW w:w="915" w:type="dxa"/>
            <w:vAlign w:val="center"/>
          </w:tcPr>
          <w:p>
            <w:pPr>
              <w:jc w:val="center"/>
              <w:rPr>
                <w:noProof/>
                <w:sz w:val="20"/>
              </w:rPr>
            </w:pPr>
            <w:r>
              <w:rPr>
                <w:noProof/>
                <w:sz w:val="20"/>
              </w:rPr>
              <w:t>Year</w:t>
            </w:r>
            <w:r>
              <w:rPr>
                <w:noProof/>
                <w:sz w:val="22"/>
              </w:rPr>
              <w:br/>
            </w:r>
            <w:r>
              <w:rPr>
                <w:b/>
                <w:noProof/>
                <w:sz w:val="20"/>
              </w:rPr>
              <w:t>2021</w:t>
            </w:r>
          </w:p>
        </w:tc>
        <w:tc>
          <w:tcPr>
            <w:tcW w:w="801" w:type="dxa"/>
            <w:vAlign w:val="center"/>
          </w:tcPr>
          <w:p>
            <w:pPr>
              <w:jc w:val="center"/>
              <w:rPr>
                <w:noProof/>
                <w:sz w:val="20"/>
              </w:rPr>
            </w:pPr>
            <w:r>
              <w:rPr>
                <w:noProof/>
                <w:sz w:val="20"/>
              </w:rPr>
              <w:t>Year</w:t>
            </w:r>
            <w:r>
              <w:rPr>
                <w:noProof/>
                <w:sz w:val="22"/>
              </w:rPr>
              <w:br/>
            </w:r>
            <w:r>
              <w:rPr>
                <w:b/>
                <w:noProof/>
                <w:sz w:val="20"/>
              </w:rPr>
              <w:t>2022</w:t>
            </w:r>
          </w:p>
        </w:tc>
        <w:tc>
          <w:tcPr>
            <w:tcW w:w="801" w:type="dxa"/>
            <w:vAlign w:val="center"/>
          </w:tcPr>
          <w:p>
            <w:pPr>
              <w:jc w:val="center"/>
              <w:rPr>
                <w:noProof/>
                <w:sz w:val="20"/>
              </w:rPr>
            </w:pPr>
            <w:r>
              <w:rPr>
                <w:noProof/>
                <w:sz w:val="20"/>
              </w:rPr>
              <w:t>Year</w:t>
            </w:r>
            <w:r>
              <w:rPr>
                <w:noProof/>
                <w:sz w:val="22"/>
              </w:rPr>
              <w:br/>
            </w:r>
            <w:r>
              <w:rPr>
                <w:b/>
                <w:noProof/>
                <w:sz w:val="20"/>
              </w:rPr>
              <w:t>2023</w:t>
            </w:r>
          </w:p>
        </w:tc>
        <w:tc>
          <w:tcPr>
            <w:tcW w:w="801" w:type="dxa"/>
            <w:vAlign w:val="center"/>
          </w:tcPr>
          <w:p>
            <w:pPr>
              <w:jc w:val="center"/>
              <w:rPr>
                <w:noProof/>
                <w:sz w:val="20"/>
              </w:rPr>
            </w:pPr>
            <w:r>
              <w:rPr>
                <w:noProof/>
                <w:sz w:val="20"/>
              </w:rPr>
              <w:t>Year</w:t>
            </w:r>
            <w:r>
              <w:rPr>
                <w:noProof/>
                <w:sz w:val="22"/>
              </w:rPr>
              <w:br/>
            </w:r>
            <w:r>
              <w:rPr>
                <w:b/>
                <w:noProof/>
                <w:sz w:val="20"/>
              </w:rPr>
              <w:t>2024</w:t>
            </w:r>
          </w:p>
        </w:tc>
        <w:tc>
          <w:tcPr>
            <w:tcW w:w="801" w:type="dxa"/>
            <w:vAlign w:val="center"/>
          </w:tcPr>
          <w:p>
            <w:pPr>
              <w:jc w:val="center"/>
              <w:rPr>
                <w:b/>
                <w:noProof/>
                <w:sz w:val="18"/>
              </w:rPr>
            </w:pPr>
            <w:r>
              <w:rPr>
                <w:noProof/>
                <w:sz w:val="20"/>
              </w:rPr>
              <w:t>Year</w:t>
            </w:r>
            <w:r>
              <w:rPr>
                <w:noProof/>
                <w:sz w:val="22"/>
              </w:rPr>
              <w:br/>
            </w:r>
            <w:r>
              <w:rPr>
                <w:b/>
                <w:noProof/>
                <w:sz w:val="20"/>
              </w:rPr>
              <w:t>2025</w:t>
            </w:r>
          </w:p>
        </w:tc>
        <w:tc>
          <w:tcPr>
            <w:tcW w:w="915" w:type="dxa"/>
            <w:vAlign w:val="center"/>
          </w:tcPr>
          <w:p>
            <w:pPr>
              <w:jc w:val="center"/>
              <w:rPr>
                <w:b/>
                <w:noProof/>
                <w:sz w:val="18"/>
              </w:rPr>
            </w:pPr>
            <w:r>
              <w:rPr>
                <w:noProof/>
                <w:sz w:val="20"/>
              </w:rPr>
              <w:t>Year</w:t>
            </w:r>
            <w:r>
              <w:rPr>
                <w:noProof/>
                <w:sz w:val="22"/>
              </w:rPr>
              <w:br/>
            </w:r>
            <w:r>
              <w:rPr>
                <w:b/>
                <w:noProof/>
                <w:sz w:val="20"/>
              </w:rPr>
              <w:t>2026</w:t>
            </w:r>
          </w:p>
        </w:tc>
        <w:tc>
          <w:tcPr>
            <w:tcW w:w="801" w:type="dxa"/>
            <w:vAlign w:val="center"/>
          </w:tcPr>
          <w:p>
            <w:pPr>
              <w:jc w:val="center"/>
              <w:rPr>
                <w:b/>
                <w:noProof/>
                <w:sz w:val="18"/>
              </w:rPr>
            </w:pPr>
            <w:r>
              <w:rPr>
                <w:noProof/>
                <w:sz w:val="20"/>
              </w:rPr>
              <w:t>Year</w:t>
            </w:r>
            <w:r>
              <w:rPr>
                <w:noProof/>
                <w:sz w:val="22"/>
              </w:rPr>
              <w:br/>
            </w:r>
            <w:r>
              <w:rPr>
                <w:b/>
                <w:noProof/>
                <w:sz w:val="20"/>
              </w:rPr>
              <w:t>2027</w:t>
            </w:r>
          </w:p>
        </w:tc>
        <w:tc>
          <w:tcPr>
            <w:tcW w:w="785" w:type="dxa"/>
          </w:tcPr>
          <w:p>
            <w:pPr>
              <w:jc w:val="center"/>
              <w:rPr>
                <w:noProof/>
                <w:sz w:val="20"/>
              </w:rPr>
            </w:pPr>
            <w:r>
              <w:rPr>
                <w:noProof/>
                <w:sz w:val="20"/>
              </w:rPr>
              <w:t>Year</w:t>
            </w:r>
            <w:r>
              <w:rPr>
                <w:noProof/>
                <w:sz w:val="20"/>
              </w:rPr>
              <w:br/>
              <w:t>2028</w:t>
            </w:r>
          </w:p>
        </w:tc>
        <w:tc>
          <w:tcPr>
            <w:tcW w:w="993" w:type="dxa"/>
            <w:vAlign w:val="center"/>
          </w:tcPr>
          <w:p>
            <w:pPr>
              <w:jc w:val="center"/>
              <w:rPr>
                <w:b/>
                <w:noProof/>
                <w:sz w:val="20"/>
              </w:rPr>
            </w:pPr>
            <w:r>
              <w:rPr>
                <w:b/>
                <w:noProof/>
                <w:sz w:val="20"/>
              </w:rPr>
              <w:t>TOTAL</w:t>
            </w:r>
          </w:p>
        </w:tc>
      </w:tr>
      <w:tr>
        <w:trPr>
          <w:trHeight w:val="626"/>
        </w:trPr>
        <w:tc>
          <w:tcPr>
            <w:tcW w:w="3772" w:type="dxa"/>
            <w:vMerge w:val="restart"/>
            <w:shd w:val="clear" w:color="auto" w:fill="C0C0C0"/>
            <w:vAlign w:val="center"/>
          </w:tcPr>
          <w:p>
            <w:pPr>
              <w:jc w:val="center"/>
              <w:rPr>
                <w:b/>
                <w:noProof/>
                <w:sz w:val="22"/>
              </w:rPr>
            </w:pPr>
            <w:r>
              <w:rPr>
                <w:b/>
                <w:noProof/>
                <w:sz w:val="22"/>
              </w:rPr>
              <w:t xml:space="preserve">TOTAL appropriations </w:t>
            </w:r>
            <w:r>
              <w:rPr>
                <w:noProof/>
                <w:sz w:val="22"/>
              </w:rPr>
              <w:br/>
            </w:r>
            <w:r>
              <w:rPr>
                <w:b/>
                <w:noProof/>
                <w:sz w:val="22"/>
              </w:rPr>
              <w:t>under HEADINGS 1 to 5</w:t>
            </w:r>
            <w:r>
              <w:rPr>
                <w:noProof/>
                <w:sz w:val="22"/>
              </w:rPr>
              <w:br/>
              <w:t>of the multiannual financial framework</w:t>
            </w:r>
            <w:r>
              <w:rPr>
                <w:b/>
                <w:noProof/>
                <w:sz w:val="22"/>
              </w:rPr>
              <w:t xml:space="preserve"> </w:t>
            </w:r>
          </w:p>
        </w:tc>
        <w:tc>
          <w:tcPr>
            <w:tcW w:w="1721" w:type="dxa"/>
            <w:gridSpan w:val="2"/>
            <w:vAlign w:val="center"/>
          </w:tcPr>
          <w:p>
            <w:pPr>
              <w:rPr>
                <w:noProof/>
                <w:sz w:val="14"/>
              </w:rPr>
            </w:pPr>
            <w:r>
              <w:rPr>
                <w:noProof/>
                <w:sz w:val="18"/>
              </w:rPr>
              <w:t>Commitments</w:t>
            </w:r>
          </w:p>
        </w:tc>
        <w:tc>
          <w:tcPr>
            <w:tcW w:w="800" w:type="dxa"/>
          </w:tcPr>
          <w:p>
            <w:pPr>
              <w:jc w:val="right"/>
              <w:rPr>
                <w:b/>
                <w:noProof/>
                <w:sz w:val="20"/>
              </w:rPr>
            </w:pPr>
            <w:r>
              <w:rPr>
                <w:b/>
                <w:noProof/>
                <w:sz w:val="20"/>
              </w:rPr>
              <w:t xml:space="preserve">7,533 </w:t>
            </w:r>
          </w:p>
        </w:tc>
        <w:tc>
          <w:tcPr>
            <w:tcW w:w="801" w:type="dxa"/>
          </w:tcPr>
          <w:p>
            <w:pPr>
              <w:jc w:val="right"/>
              <w:rPr>
                <w:b/>
                <w:noProof/>
                <w:sz w:val="20"/>
              </w:rPr>
            </w:pPr>
            <w:r>
              <w:rPr>
                <w:b/>
                <w:noProof/>
                <w:sz w:val="20"/>
              </w:rPr>
              <w:t xml:space="preserve">26,569 </w:t>
            </w:r>
          </w:p>
        </w:tc>
        <w:tc>
          <w:tcPr>
            <w:tcW w:w="915" w:type="dxa"/>
          </w:tcPr>
          <w:p>
            <w:pPr>
              <w:jc w:val="right"/>
              <w:rPr>
                <w:b/>
                <w:noProof/>
                <w:sz w:val="20"/>
              </w:rPr>
            </w:pPr>
            <w:r>
              <w:rPr>
                <w:b/>
                <w:noProof/>
                <w:sz w:val="20"/>
              </w:rPr>
              <w:t xml:space="preserve">104,672 </w:t>
            </w:r>
          </w:p>
        </w:tc>
        <w:tc>
          <w:tcPr>
            <w:tcW w:w="801" w:type="dxa"/>
          </w:tcPr>
          <w:p>
            <w:pPr>
              <w:jc w:val="right"/>
              <w:rPr>
                <w:b/>
                <w:noProof/>
                <w:sz w:val="20"/>
              </w:rPr>
            </w:pPr>
            <w:r>
              <w:rPr>
                <w:b/>
                <w:noProof/>
                <w:sz w:val="20"/>
              </w:rPr>
              <w:t xml:space="preserve">98,591 </w:t>
            </w:r>
          </w:p>
        </w:tc>
        <w:tc>
          <w:tcPr>
            <w:tcW w:w="801" w:type="dxa"/>
          </w:tcPr>
          <w:p>
            <w:pPr>
              <w:jc w:val="right"/>
              <w:rPr>
                <w:b/>
                <w:noProof/>
                <w:sz w:val="20"/>
              </w:rPr>
            </w:pPr>
            <w:r>
              <w:rPr>
                <w:b/>
                <w:noProof/>
                <w:sz w:val="20"/>
              </w:rPr>
              <w:t xml:space="preserve">83,363 </w:t>
            </w:r>
          </w:p>
        </w:tc>
        <w:tc>
          <w:tcPr>
            <w:tcW w:w="801" w:type="dxa"/>
          </w:tcPr>
          <w:p>
            <w:pPr>
              <w:jc w:val="right"/>
              <w:rPr>
                <w:b/>
                <w:noProof/>
                <w:sz w:val="20"/>
              </w:rPr>
            </w:pPr>
            <w:r>
              <w:rPr>
                <w:b/>
                <w:noProof/>
                <w:sz w:val="20"/>
              </w:rPr>
              <w:t xml:space="preserve">25,256 </w:t>
            </w:r>
          </w:p>
        </w:tc>
        <w:tc>
          <w:tcPr>
            <w:tcW w:w="801" w:type="dxa"/>
          </w:tcPr>
          <w:p>
            <w:pPr>
              <w:jc w:val="right"/>
              <w:rPr>
                <w:b/>
                <w:noProof/>
                <w:sz w:val="20"/>
              </w:rPr>
            </w:pPr>
            <w:r>
              <w:rPr>
                <w:b/>
                <w:noProof/>
                <w:sz w:val="20"/>
              </w:rPr>
              <w:t xml:space="preserve">28,088 </w:t>
            </w:r>
          </w:p>
        </w:tc>
        <w:tc>
          <w:tcPr>
            <w:tcW w:w="915" w:type="dxa"/>
          </w:tcPr>
          <w:p>
            <w:pPr>
              <w:jc w:val="right"/>
              <w:rPr>
                <w:b/>
                <w:noProof/>
                <w:sz w:val="20"/>
              </w:rPr>
            </w:pPr>
            <w:r>
              <w:rPr>
                <w:b/>
                <w:noProof/>
                <w:sz w:val="20"/>
              </w:rPr>
              <w:t xml:space="preserve">28,008 </w:t>
            </w:r>
          </w:p>
        </w:tc>
        <w:tc>
          <w:tcPr>
            <w:tcW w:w="801" w:type="dxa"/>
          </w:tcPr>
          <w:p>
            <w:pPr>
              <w:jc w:val="right"/>
              <w:rPr>
                <w:b/>
                <w:noProof/>
                <w:sz w:val="20"/>
              </w:rPr>
            </w:pPr>
            <w:r>
              <w:rPr>
                <w:b/>
                <w:noProof/>
                <w:sz w:val="20"/>
              </w:rPr>
              <w:t xml:space="preserve">22,658 </w:t>
            </w:r>
          </w:p>
        </w:tc>
        <w:tc>
          <w:tcPr>
            <w:tcW w:w="785" w:type="dxa"/>
          </w:tcPr>
          <w:p>
            <w:pPr>
              <w:jc w:val="right"/>
              <w:rPr>
                <w:b/>
                <w:noProof/>
                <w:sz w:val="20"/>
              </w:rPr>
            </w:pPr>
            <w:r>
              <w:rPr>
                <w:b/>
                <w:noProof/>
                <w:sz w:val="20"/>
              </w:rPr>
              <w:t>0</w:t>
            </w:r>
          </w:p>
        </w:tc>
        <w:tc>
          <w:tcPr>
            <w:tcW w:w="993" w:type="dxa"/>
          </w:tcPr>
          <w:p>
            <w:pPr>
              <w:jc w:val="right"/>
              <w:rPr>
                <w:b/>
                <w:noProof/>
                <w:sz w:val="20"/>
              </w:rPr>
            </w:pPr>
            <w:r>
              <w:rPr>
                <w:b/>
                <w:noProof/>
                <w:sz w:val="20"/>
              </w:rPr>
              <w:t xml:space="preserve">424,738 </w:t>
            </w:r>
          </w:p>
        </w:tc>
      </w:tr>
      <w:tr>
        <w:trPr>
          <w:trHeight w:val="626"/>
        </w:trPr>
        <w:tc>
          <w:tcPr>
            <w:tcW w:w="3772" w:type="dxa"/>
            <w:vMerge/>
            <w:shd w:val="clear" w:color="auto" w:fill="C0C0C0"/>
            <w:vAlign w:val="center"/>
          </w:tcPr>
          <w:p>
            <w:pPr>
              <w:jc w:val="center"/>
              <w:rPr>
                <w:b/>
                <w:noProof/>
                <w:sz w:val="22"/>
              </w:rPr>
            </w:pPr>
          </w:p>
        </w:tc>
        <w:tc>
          <w:tcPr>
            <w:tcW w:w="1721" w:type="dxa"/>
            <w:gridSpan w:val="2"/>
            <w:vAlign w:val="center"/>
          </w:tcPr>
          <w:p>
            <w:pPr>
              <w:rPr>
                <w:noProof/>
                <w:sz w:val="18"/>
              </w:rPr>
            </w:pPr>
            <w:r>
              <w:rPr>
                <w:noProof/>
                <w:sz w:val="18"/>
              </w:rPr>
              <w:t>Payments</w:t>
            </w:r>
          </w:p>
        </w:tc>
        <w:tc>
          <w:tcPr>
            <w:tcW w:w="800" w:type="dxa"/>
          </w:tcPr>
          <w:p>
            <w:pPr>
              <w:jc w:val="right"/>
              <w:rPr>
                <w:b/>
                <w:noProof/>
                <w:sz w:val="20"/>
              </w:rPr>
            </w:pPr>
            <w:r>
              <w:rPr>
                <w:b/>
                <w:noProof/>
                <w:sz w:val="20"/>
              </w:rPr>
              <w:t xml:space="preserve">7,533 </w:t>
            </w:r>
          </w:p>
        </w:tc>
        <w:tc>
          <w:tcPr>
            <w:tcW w:w="801" w:type="dxa"/>
          </w:tcPr>
          <w:p>
            <w:pPr>
              <w:jc w:val="right"/>
              <w:rPr>
                <w:b/>
                <w:noProof/>
                <w:sz w:val="20"/>
              </w:rPr>
            </w:pPr>
            <w:r>
              <w:rPr>
                <w:b/>
                <w:noProof/>
                <w:sz w:val="20"/>
              </w:rPr>
              <w:t xml:space="preserve">26,569 </w:t>
            </w:r>
          </w:p>
        </w:tc>
        <w:tc>
          <w:tcPr>
            <w:tcW w:w="915" w:type="dxa"/>
          </w:tcPr>
          <w:p>
            <w:pPr>
              <w:jc w:val="right"/>
              <w:rPr>
                <w:b/>
                <w:noProof/>
                <w:sz w:val="20"/>
              </w:rPr>
            </w:pPr>
            <w:r>
              <w:rPr>
                <w:b/>
                <w:noProof/>
                <w:sz w:val="20"/>
              </w:rPr>
              <w:t xml:space="preserve">96,042 </w:t>
            </w:r>
          </w:p>
        </w:tc>
        <w:tc>
          <w:tcPr>
            <w:tcW w:w="801" w:type="dxa"/>
          </w:tcPr>
          <w:p>
            <w:pPr>
              <w:jc w:val="right"/>
              <w:rPr>
                <w:b/>
                <w:noProof/>
                <w:sz w:val="20"/>
              </w:rPr>
            </w:pPr>
            <w:r>
              <w:rPr>
                <w:b/>
                <w:noProof/>
                <w:sz w:val="20"/>
              </w:rPr>
              <w:t xml:space="preserve">97,591 </w:t>
            </w:r>
          </w:p>
        </w:tc>
        <w:tc>
          <w:tcPr>
            <w:tcW w:w="801" w:type="dxa"/>
          </w:tcPr>
          <w:p>
            <w:pPr>
              <w:jc w:val="right"/>
              <w:rPr>
                <w:b/>
                <w:noProof/>
                <w:sz w:val="20"/>
              </w:rPr>
            </w:pPr>
            <w:r>
              <w:rPr>
                <w:b/>
                <w:noProof/>
                <w:sz w:val="20"/>
              </w:rPr>
              <w:t xml:space="preserve">83,993 </w:t>
            </w:r>
          </w:p>
        </w:tc>
        <w:tc>
          <w:tcPr>
            <w:tcW w:w="801" w:type="dxa"/>
          </w:tcPr>
          <w:p>
            <w:pPr>
              <w:jc w:val="right"/>
              <w:rPr>
                <w:b/>
                <w:noProof/>
                <w:sz w:val="20"/>
              </w:rPr>
            </w:pPr>
            <w:r>
              <w:rPr>
                <w:b/>
                <w:noProof/>
                <w:sz w:val="20"/>
              </w:rPr>
              <w:t xml:space="preserve">34,256 </w:t>
            </w:r>
          </w:p>
        </w:tc>
        <w:tc>
          <w:tcPr>
            <w:tcW w:w="801" w:type="dxa"/>
          </w:tcPr>
          <w:p>
            <w:pPr>
              <w:jc w:val="right"/>
              <w:rPr>
                <w:b/>
                <w:noProof/>
                <w:sz w:val="20"/>
              </w:rPr>
            </w:pPr>
            <w:r>
              <w:rPr>
                <w:b/>
                <w:noProof/>
                <w:sz w:val="20"/>
              </w:rPr>
              <w:t xml:space="preserve">28,088 </w:t>
            </w:r>
          </w:p>
        </w:tc>
        <w:tc>
          <w:tcPr>
            <w:tcW w:w="915" w:type="dxa"/>
          </w:tcPr>
          <w:p>
            <w:pPr>
              <w:jc w:val="right"/>
              <w:rPr>
                <w:b/>
                <w:noProof/>
                <w:sz w:val="20"/>
              </w:rPr>
            </w:pPr>
            <w:r>
              <w:rPr>
                <w:b/>
                <w:noProof/>
                <w:sz w:val="20"/>
              </w:rPr>
              <w:t xml:space="preserve">28,008 </w:t>
            </w:r>
          </w:p>
        </w:tc>
        <w:tc>
          <w:tcPr>
            <w:tcW w:w="801" w:type="dxa"/>
          </w:tcPr>
          <w:p>
            <w:pPr>
              <w:jc w:val="right"/>
              <w:rPr>
                <w:b/>
                <w:noProof/>
                <w:sz w:val="20"/>
              </w:rPr>
            </w:pPr>
            <w:r>
              <w:rPr>
                <w:b/>
                <w:noProof/>
                <w:sz w:val="20"/>
              </w:rPr>
              <w:t xml:space="preserve">22,658 </w:t>
            </w:r>
          </w:p>
        </w:tc>
        <w:tc>
          <w:tcPr>
            <w:tcW w:w="785" w:type="dxa"/>
          </w:tcPr>
          <w:p>
            <w:pPr>
              <w:jc w:val="right"/>
              <w:rPr>
                <w:b/>
                <w:noProof/>
                <w:sz w:val="20"/>
              </w:rPr>
            </w:pPr>
            <w:r>
              <w:rPr>
                <w:b/>
                <w:noProof/>
                <w:sz w:val="20"/>
              </w:rPr>
              <w:t xml:space="preserve">0 </w:t>
            </w:r>
          </w:p>
        </w:tc>
        <w:tc>
          <w:tcPr>
            <w:tcW w:w="993" w:type="dxa"/>
          </w:tcPr>
          <w:p>
            <w:pPr>
              <w:jc w:val="right"/>
              <w:rPr>
                <w:b/>
                <w:noProof/>
                <w:sz w:val="20"/>
              </w:rPr>
            </w:pPr>
            <w:r>
              <w:rPr>
                <w:b/>
                <w:noProof/>
                <w:sz w:val="20"/>
              </w:rPr>
              <w:t xml:space="preserve">424,738 </w:t>
            </w:r>
          </w:p>
        </w:tc>
      </w:tr>
    </w:tbl>
    <w:p>
      <w:pPr>
        <w:rPr>
          <w:noProof/>
        </w:rPr>
      </w:pPr>
    </w:p>
    <w:p>
      <w:pPr>
        <w:rPr>
          <w:noProof/>
        </w:rPr>
        <w:sectPr>
          <w:headerReference w:type="default" r:id="rId21"/>
          <w:footerReference w:type="default" r:id="rId22"/>
          <w:headerReference w:type="first" r:id="rId23"/>
          <w:footerReference w:type="first" r:id="rId24"/>
          <w:pgSz w:w="16840" w:h="11907" w:orient="landscape" w:code="9"/>
          <w:pgMar w:top="1134" w:right="1418" w:bottom="1134" w:left="1418" w:header="709" w:footer="709" w:gutter="0"/>
          <w:cols w:space="708"/>
          <w:docGrid w:linePitch="360"/>
        </w:sectPr>
      </w:pPr>
    </w:p>
    <w:p>
      <w:pPr>
        <w:pStyle w:val="ManualHeading3"/>
        <w:rPr>
          <w:noProof/>
        </w:rPr>
      </w:pPr>
      <w:bookmarkStart w:id="292" w:name="_Toc498514176"/>
      <w:r>
        <w:t>3.2.2.</w:t>
      </w:r>
      <w:r>
        <w:tab/>
      </w:r>
      <w:r>
        <w:rPr>
          <w:noProof/>
        </w:rPr>
        <w:t>Estimated impact on operational appropriations</w:t>
      </w:r>
      <w:bookmarkEnd w:id="292"/>
      <w:r>
        <w:rPr>
          <w:noProof/>
        </w:rPr>
        <w:t xml:space="preserve"> </w:t>
      </w:r>
    </w:p>
    <w:p>
      <w:pPr>
        <w:pStyle w:val="ManualHeading4"/>
        <w:rPr>
          <w:noProof/>
        </w:rPr>
      </w:pPr>
      <w:r>
        <w:t>3.2.2.1.</w:t>
      </w:r>
      <w:r>
        <w:tab/>
      </w:r>
      <w:r>
        <w:rPr>
          <w:noProof/>
        </w:rPr>
        <w:t>Estimated impact on EBCG Agency's appropriations</w:t>
      </w:r>
    </w:p>
    <w:p>
      <w:pPr>
        <w:pStyle w:val="ListDash1"/>
        <w:keepNext/>
        <w:rPr>
          <w:noProof/>
        </w:rPr>
      </w:pPr>
      <w:r>
        <w:rPr>
          <w:noProof/>
        </w:rPr>
        <w:sym w:font="Wingdings" w:char="F0A8"/>
      </w:r>
      <w:r>
        <w:rPr>
          <w:noProof/>
        </w:rPr>
        <w:tab/>
        <w:t xml:space="preserve">The proposal/initiative does not require the use of operational appropriations </w:t>
      </w:r>
    </w:p>
    <w:p>
      <w:pPr>
        <w:pStyle w:val="ListDash1"/>
        <w:keepNext/>
        <w:rPr>
          <w:noProof/>
        </w:rPr>
      </w:pPr>
      <w:r>
        <w:rPr>
          <w:noProof/>
        </w:rPr>
        <w:sym w:font="Wingdings" w:char="F078"/>
      </w:r>
      <w:r>
        <w:rPr>
          <w:noProof/>
        </w:rPr>
        <w:tab/>
        <w:t>The proposal/initiative requires the use of operational appropriations, as explained below:</w:t>
      </w:r>
    </w:p>
    <w:p>
      <w:pPr>
        <w:keepNext/>
        <w:jc w:val="right"/>
        <w:rPr>
          <w:noProof/>
          <w:sz w:val="20"/>
        </w:rPr>
      </w:pPr>
      <w:r>
        <w:rPr>
          <w:noProof/>
          <w:sz w:val="20"/>
        </w:rPr>
        <w:t>Commitment appropriations in EUR million (to three decimal places)</w:t>
      </w:r>
    </w:p>
    <w:tbl>
      <w:tblPr>
        <w:tblW w:w="155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22"/>
        <w:gridCol w:w="721"/>
        <w:gridCol w:w="659"/>
        <w:gridCol w:w="303"/>
        <w:gridCol w:w="867"/>
        <w:gridCol w:w="330"/>
        <w:gridCol w:w="840"/>
        <w:gridCol w:w="360"/>
        <w:gridCol w:w="840"/>
        <w:gridCol w:w="596"/>
        <w:gridCol w:w="840"/>
        <w:gridCol w:w="596"/>
        <w:gridCol w:w="792"/>
        <w:gridCol w:w="360"/>
        <w:gridCol w:w="720"/>
        <w:gridCol w:w="360"/>
        <w:gridCol w:w="840"/>
        <w:gridCol w:w="360"/>
        <w:gridCol w:w="840"/>
        <w:gridCol w:w="360"/>
        <w:gridCol w:w="840"/>
        <w:gridCol w:w="360"/>
        <w:gridCol w:w="1320"/>
      </w:tblGrid>
      <w:tr>
        <w:trPr>
          <w:jc w:val="center"/>
        </w:trPr>
        <w:tc>
          <w:tcPr>
            <w:tcW w:w="1422" w:type="dxa"/>
            <w:vMerge w:val="restart"/>
            <w:tcBorders>
              <w:top w:val="single" w:sz="12" w:space="0" w:color="auto"/>
              <w:left w:val="single" w:sz="12" w:space="0" w:color="auto"/>
            </w:tcBorders>
            <w:vAlign w:val="center"/>
          </w:tcPr>
          <w:p>
            <w:pPr>
              <w:keepNext/>
              <w:ind w:right="-29"/>
              <w:jc w:val="center"/>
              <w:rPr>
                <w:b/>
                <w:noProof/>
                <w:sz w:val="18"/>
                <w:szCs w:val="18"/>
              </w:rPr>
            </w:pPr>
            <w:r>
              <w:rPr>
                <w:b/>
                <w:noProof/>
                <w:sz w:val="18"/>
              </w:rPr>
              <w:t xml:space="preserve">Indicate objectives and outputs </w:t>
            </w:r>
          </w:p>
          <w:p>
            <w:pPr>
              <w:keepNext/>
              <w:ind w:right="-29"/>
              <w:jc w:val="center"/>
              <w:rPr>
                <w:b/>
                <w:noProof/>
                <w:sz w:val="18"/>
                <w:szCs w:val="18"/>
              </w:rPr>
            </w:pPr>
            <w:r>
              <w:rPr>
                <w:b/>
                <w:noProof/>
                <w:sz w:val="18"/>
                <w:szCs w:val="18"/>
              </w:rPr>
              <w:t>EBCG</w:t>
            </w:r>
            <w:r>
              <w:rPr>
                <w:b/>
                <w:noProof/>
                <w:sz w:val="18"/>
                <w:szCs w:val="18"/>
              </w:rPr>
              <w:br/>
              <w:t>Agency</w:t>
            </w:r>
          </w:p>
          <w:p>
            <w:pPr>
              <w:keepNext/>
              <w:ind w:right="-29"/>
              <w:jc w:val="center"/>
              <w:rPr>
                <w:noProof/>
                <w:sz w:val="18"/>
                <w:szCs w:val="18"/>
              </w:rPr>
            </w:pPr>
            <w:r>
              <w:rPr>
                <w:noProof/>
                <w:sz w:val="18"/>
              </w:rPr>
              <w:sym w:font="Wingdings" w:char="F0F2"/>
            </w:r>
          </w:p>
        </w:tc>
        <w:tc>
          <w:tcPr>
            <w:tcW w:w="721" w:type="dxa"/>
            <w:tcBorders>
              <w:top w:val="single" w:sz="12" w:space="0" w:color="auto"/>
            </w:tcBorders>
            <w:vAlign w:val="center"/>
          </w:tcPr>
          <w:p>
            <w:pPr>
              <w:keepNext/>
              <w:ind w:right="-29"/>
              <w:jc w:val="center"/>
              <w:rPr>
                <w:noProof/>
                <w:sz w:val="18"/>
                <w:szCs w:val="18"/>
              </w:rPr>
            </w:pPr>
          </w:p>
        </w:tc>
        <w:tc>
          <w:tcPr>
            <w:tcW w:w="659" w:type="dxa"/>
            <w:tcBorders>
              <w:top w:val="single" w:sz="12" w:space="0" w:color="auto"/>
            </w:tcBorders>
            <w:vAlign w:val="center"/>
          </w:tcPr>
          <w:p>
            <w:pPr>
              <w:keepNext/>
              <w:ind w:right="-29"/>
              <w:jc w:val="center"/>
              <w:rPr>
                <w:noProof/>
                <w:sz w:val="18"/>
                <w:szCs w:val="18"/>
              </w:rPr>
            </w:pPr>
          </w:p>
        </w:tc>
        <w:tc>
          <w:tcPr>
            <w:tcW w:w="1170" w:type="dxa"/>
            <w:gridSpan w:val="2"/>
            <w:tcBorders>
              <w:top w:val="single" w:sz="12" w:space="0" w:color="auto"/>
              <w:right w:val="single" w:sz="4" w:space="0" w:color="auto"/>
            </w:tcBorders>
            <w:vAlign w:val="center"/>
          </w:tcPr>
          <w:p>
            <w:pPr>
              <w:keepNext/>
              <w:ind w:right="-29"/>
              <w:jc w:val="center"/>
              <w:rPr>
                <w:noProof/>
                <w:sz w:val="18"/>
                <w:szCs w:val="18"/>
              </w:rPr>
            </w:pPr>
            <w:r>
              <w:rPr>
                <w:noProof/>
                <w:sz w:val="18"/>
              </w:rPr>
              <w:t>Year</w:t>
            </w:r>
            <w:r>
              <w:rPr>
                <w:noProof/>
                <w:sz w:val="22"/>
              </w:rPr>
              <w:br/>
            </w:r>
            <w:r>
              <w:rPr>
                <w:b/>
                <w:noProof/>
                <w:sz w:val="18"/>
              </w:rPr>
              <w:t>2019</w:t>
            </w:r>
          </w:p>
        </w:tc>
        <w:tc>
          <w:tcPr>
            <w:tcW w:w="1170" w:type="dxa"/>
            <w:gridSpan w:val="2"/>
            <w:tcBorders>
              <w:top w:val="single" w:sz="12" w:space="0" w:color="auto"/>
              <w:left w:val="single" w:sz="4" w:space="0" w:color="auto"/>
            </w:tcBorders>
            <w:vAlign w:val="center"/>
          </w:tcPr>
          <w:p>
            <w:pPr>
              <w:keepNext/>
              <w:ind w:right="-29"/>
              <w:jc w:val="center"/>
              <w:rPr>
                <w:noProof/>
                <w:sz w:val="18"/>
                <w:szCs w:val="18"/>
              </w:rPr>
            </w:pPr>
            <w:r>
              <w:rPr>
                <w:noProof/>
                <w:sz w:val="18"/>
              </w:rPr>
              <w:t>Year</w:t>
            </w:r>
            <w:r>
              <w:rPr>
                <w:noProof/>
                <w:sz w:val="22"/>
              </w:rPr>
              <w:br/>
            </w:r>
            <w:r>
              <w:rPr>
                <w:b/>
                <w:noProof/>
                <w:sz w:val="18"/>
              </w:rPr>
              <w:t>2020</w:t>
            </w:r>
          </w:p>
        </w:tc>
        <w:tc>
          <w:tcPr>
            <w:tcW w:w="1200" w:type="dxa"/>
            <w:gridSpan w:val="2"/>
            <w:tcBorders>
              <w:top w:val="single" w:sz="12" w:space="0" w:color="auto"/>
            </w:tcBorders>
            <w:vAlign w:val="center"/>
          </w:tcPr>
          <w:p>
            <w:pPr>
              <w:keepNext/>
              <w:ind w:right="-29"/>
              <w:jc w:val="center"/>
              <w:rPr>
                <w:noProof/>
                <w:sz w:val="18"/>
                <w:szCs w:val="18"/>
              </w:rPr>
            </w:pPr>
            <w:r>
              <w:rPr>
                <w:noProof/>
                <w:sz w:val="18"/>
              </w:rPr>
              <w:t>Year</w:t>
            </w:r>
            <w:r>
              <w:rPr>
                <w:noProof/>
                <w:sz w:val="22"/>
              </w:rPr>
              <w:br/>
            </w:r>
            <w:r>
              <w:rPr>
                <w:b/>
                <w:noProof/>
                <w:sz w:val="18"/>
              </w:rPr>
              <w:t>2021</w:t>
            </w:r>
          </w:p>
        </w:tc>
        <w:tc>
          <w:tcPr>
            <w:tcW w:w="1436" w:type="dxa"/>
            <w:gridSpan w:val="2"/>
            <w:tcBorders>
              <w:top w:val="single" w:sz="12" w:space="0" w:color="auto"/>
            </w:tcBorders>
            <w:vAlign w:val="center"/>
          </w:tcPr>
          <w:p>
            <w:pPr>
              <w:keepNext/>
              <w:ind w:right="-29"/>
              <w:jc w:val="center"/>
              <w:rPr>
                <w:noProof/>
                <w:sz w:val="18"/>
                <w:szCs w:val="18"/>
              </w:rPr>
            </w:pPr>
            <w:r>
              <w:rPr>
                <w:noProof/>
                <w:sz w:val="18"/>
              </w:rPr>
              <w:t>Year</w:t>
            </w:r>
            <w:r>
              <w:rPr>
                <w:noProof/>
                <w:sz w:val="22"/>
              </w:rPr>
              <w:br/>
            </w:r>
            <w:r>
              <w:rPr>
                <w:b/>
                <w:noProof/>
                <w:sz w:val="18"/>
              </w:rPr>
              <w:t>2022</w:t>
            </w:r>
          </w:p>
        </w:tc>
        <w:tc>
          <w:tcPr>
            <w:tcW w:w="1388" w:type="dxa"/>
            <w:gridSpan w:val="2"/>
            <w:tcBorders>
              <w:top w:val="single" w:sz="12" w:space="0" w:color="auto"/>
            </w:tcBorders>
            <w:vAlign w:val="center"/>
          </w:tcPr>
          <w:p>
            <w:pPr>
              <w:keepNext/>
              <w:jc w:val="center"/>
              <w:rPr>
                <w:noProof/>
                <w:sz w:val="18"/>
                <w:szCs w:val="18"/>
              </w:rPr>
            </w:pPr>
            <w:r>
              <w:rPr>
                <w:noProof/>
                <w:sz w:val="18"/>
              </w:rPr>
              <w:t>Year</w:t>
            </w:r>
            <w:r>
              <w:rPr>
                <w:noProof/>
                <w:sz w:val="22"/>
              </w:rPr>
              <w:br/>
            </w:r>
            <w:r>
              <w:rPr>
                <w:b/>
                <w:noProof/>
                <w:sz w:val="18"/>
              </w:rPr>
              <w:t>2023</w:t>
            </w:r>
          </w:p>
        </w:tc>
        <w:tc>
          <w:tcPr>
            <w:tcW w:w="1080" w:type="dxa"/>
            <w:gridSpan w:val="2"/>
            <w:tcBorders>
              <w:top w:val="single" w:sz="12" w:space="0" w:color="auto"/>
            </w:tcBorders>
            <w:vAlign w:val="center"/>
          </w:tcPr>
          <w:p>
            <w:pPr>
              <w:keepNext/>
              <w:jc w:val="center"/>
              <w:rPr>
                <w:noProof/>
                <w:sz w:val="18"/>
                <w:szCs w:val="18"/>
              </w:rPr>
            </w:pPr>
            <w:r>
              <w:rPr>
                <w:noProof/>
                <w:sz w:val="18"/>
              </w:rPr>
              <w:t>Year</w:t>
            </w:r>
            <w:r>
              <w:rPr>
                <w:noProof/>
                <w:sz w:val="22"/>
              </w:rPr>
              <w:br/>
            </w:r>
            <w:r>
              <w:rPr>
                <w:b/>
                <w:noProof/>
                <w:sz w:val="18"/>
              </w:rPr>
              <w:t>2024</w:t>
            </w:r>
          </w:p>
        </w:tc>
        <w:tc>
          <w:tcPr>
            <w:tcW w:w="1200" w:type="dxa"/>
            <w:gridSpan w:val="2"/>
            <w:tcBorders>
              <w:top w:val="single" w:sz="12" w:space="0" w:color="auto"/>
            </w:tcBorders>
            <w:vAlign w:val="center"/>
          </w:tcPr>
          <w:p>
            <w:pPr>
              <w:keepNext/>
              <w:jc w:val="center"/>
              <w:rPr>
                <w:noProof/>
                <w:sz w:val="18"/>
                <w:szCs w:val="18"/>
              </w:rPr>
            </w:pPr>
            <w:r>
              <w:rPr>
                <w:noProof/>
                <w:sz w:val="18"/>
              </w:rPr>
              <w:t>Year</w:t>
            </w:r>
            <w:r>
              <w:rPr>
                <w:noProof/>
                <w:sz w:val="22"/>
              </w:rPr>
              <w:br/>
            </w:r>
            <w:r>
              <w:rPr>
                <w:b/>
                <w:noProof/>
                <w:sz w:val="18"/>
              </w:rPr>
              <w:t>2025</w:t>
            </w:r>
          </w:p>
        </w:tc>
        <w:tc>
          <w:tcPr>
            <w:tcW w:w="1200" w:type="dxa"/>
            <w:gridSpan w:val="2"/>
            <w:tcBorders>
              <w:top w:val="single" w:sz="12" w:space="0" w:color="auto"/>
            </w:tcBorders>
          </w:tcPr>
          <w:p>
            <w:pPr>
              <w:keepNext/>
              <w:ind w:right="-29"/>
              <w:jc w:val="center"/>
              <w:rPr>
                <w:b/>
                <w:noProof/>
                <w:sz w:val="18"/>
              </w:rPr>
            </w:pPr>
            <w:r>
              <w:rPr>
                <w:noProof/>
                <w:sz w:val="18"/>
              </w:rPr>
              <w:t>Year</w:t>
            </w:r>
            <w:r>
              <w:rPr>
                <w:noProof/>
                <w:sz w:val="22"/>
              </w:rPr>
              <w:br/>
            </w:r>
            <w:r>
              <w:rPr>
                <w:b/>
                <w:noProof/>
                <w:sz w:val="18"/>
              </w:rPr>
              <w:t>2026</w:t>
            </w:r>
          </w:p>
        </w:tc>
        <w:tc>
          <w:tcPr>
            <w:tcW w:w="1200" w:type="dxa"/>
            <w:gridSpan w:val="2"/>
            <w:tcBorders>
              <w:top w:val="single" w:sz="12" w:space="0" w:color="auto"/>
              <w:right w:val="nil"/>
            </w:tcBorders>
          </w:tcPr>
          <w:p>
            <w:pPr>
              <w:keepNext/>
              <w:ind w:right="-29"/>
              <w:jc w:val="center"/>
              <w:rPr>
                <w:b/>
                <w:noProof/>
                <w:sz w:val="18"/>
              </w:rPr>
            </w:pPr>
            <w:r>
              <w:rPr>
                <w:noProof/>
                <w:sz w:val="18"/>
              </w:rPr>
              <w:t>Year</w:t>
            </w:r>
            <w:r>
              <w:rPr>
                <w:noProof/>
                <w:sz w:val="22"/>
              </w:rPr>
              <w:br/>
            </w:r>
            <w:r>
              <w:rPr>
                <w:b/>
                <w:noProof/>
                <w:sz w:val="18"/>
              </w:rPr>
              <w:t>2027</w:t>
            </w:r>
          </w:p>
        </w:tc>
        <w:tc>
          <w:tcPr>
            <w:tcW w:w="1680" w:type="dxa"/>
            <w:gridSpan w:val="2"/>
            <w:tcBorders>
              <w:top w:val="single" w:sz="12" w:space="0" w:color="auto"/>
              <w:left w:val="single" w:sz="6" w:space="0" w:color="auto"/>
              <w:bottom w:val="single" w:sz="4" w:space="0" w:color="auto"/>
              <w:right w:val="single" w:sz="12" w:space="0" w:color="auto"/>
            </w:tcBorders>
            <w:vAlign w:val="center"/>
          </w:tcPr>
          <w:p>
            <w:pPr>
              <w:keepNext/>
              <w:ind w:right="-29"/>
              <w:jc w:val="center"/>
              <w:rPr>
                <w:noProof/>
                <w:sz w:val="18"/>
                <w:szCs w:val="18"/>
              </w:rPr>
            </w:pPr>
            <w:r>
              <w:rPr>
                <w:b/>
                <w:noProof/>
                <w:sz w:val="18"/>
              </w:rPr>
              <w:t>TOTAL</w:t>
            </w:r>
          </w:p>
        </w:tc>
      </w:tr>
      <w:tr>
        <w:trPr>
          <w:gridAfter w:val="22"/>
          <w:wAfter w:w="14104" w:type="dxa"/>
          <w:trHeight w:val="465"/>
          <w:jc w:val="center"/>
        </w:trPr>
        <w:tc>
          <w:tcPr>
            <w:tcW w:w="1422" w:type="dxa"/>
            <w:vMerge/>
            <w:tcBorders>
              <w:left w:val="single" w:sz="12" w:space="0" w:color="auto"/>
            </w:tcBorders>
            <w:vAlign w:val="center"/>
          </w:tcPr>
          <w:p>
            <w:pPr>
              <w:keepNext/>
              <w:ind w:right="-29"/>
              <w:jc w:val="center"/>
              <w:rPr>
                <w:noProof/>
                <w:sz w:val="18"/>
                <w:szCs w:val="18"/>
              </w:rPr>
            </w:pPr>
          </w:p>
        </w:tc>
      </w:tr>
      <w:tr>
        <w:trPr>
          <w:cantSplit/>
          <w:trHeight w:val="1134"/>
          <w:jc w:val="center"/>
        </w:trPr>
        <w:tc>
          <w:tcPr>
            <w:tcW w:w="1422" w:type="dxa"/>
            <w:vMerge/>
            <w:tcBorders>
              <w:left w:val="single" w:sz="12" w:space="0" w:color="auto"/>
            </w:tcBorders>
            <w:vAlign w:val="center"/>
          </w:tcPr>
          <w:p>
            <w:pPr>
              <w:keepNext/>
              <w:rPr>
                <w:noProof/>
                <w:sz w:val="18"/>
                <w:szCs w:val="18"/>
              </w:rPr>
            </w:pPr>
          </w:p>
        </w:tc>
        <w:tc>
          <w:tcPr>
            <w:tcW w:w="721" w:type="dxa"/>
            <w:vAlign w:val="center"/>
          </w:tcPr>
          <w:p>
            <w:pPr>
              <w:keepNext/>
              <w:jc w:val="center"/>
              <w:rPr>
                <w:noProof/>
                <w:sz w:val="18"/>
                <w:szCs w:val="18"/>
              </w:rPr>
            </w:pPr>
            <w:r>
              <w:rPr>
                <w:noProof/>
                <w:sz w:val="18"/>
              </w:rPr>
              <w:t>Type</w:t>
            </w:r>
            <w:r>
              <w:rPr>
                <w:rStyle w:val="FootnoteReference"/>
                <w:noProof/>
              </w:rPr>
              <w:footnoteReference w:id="89"/>
            </w:r>
          </w:p>
          <w:p>
            <w:pPr>
              <w:keepNext/>
              <w:spacing w:before="0" w:after="0"/>
              <w:jc w:val="center"/>
              <w:rPr>
                <w:noProof/>
                <w:sz w:val="18"/>
                <w:szCs w:val="18"/>
              </w:rPr>
            </w:pPr>
          </w:p>
        </w:tc>
        <w:tc>
          <w:tcPr>
            <w:tcW w:w="659" w:type="dxa"/>
            <w:tcBorders>
              <w:right w:val="single" w:sz="4" w:space="0" w:color="auto"/>
            </w:tcBorders>
            <w:vAlign w:val="center"/>
          </w:tcPr>
          <w:p>
            <w:pPr>
              <w:keepNext/>
              <w:jc w:val="center"/>
              <w:rPr>
                <w:noProof/>
                <w:sz w:val="18"/>
                <w:szCs w:val="18"/>
              </w:rPr>
            </w:pPr>
            <w:r>
              <w:rPr>
                <w:noProof/>
                <w:sz w:val="18"/>
              </w:rPr>
              <w:t>Average cost</w:t>
            </w:r>
          </w:p>
        </w:tc>
        <w:tc>
          <w:tcPr>
            <w:tcW w:w="303" w:type="dxa"/>
            <w:tcBorders>
              <w:top w:val="dotted" w:sz="4" w:space="0" w:color="auto"/>
              <w:left w:val="single" w:sz="4" w:space="0" w:color="auto"/>
              <w:bottom w:val="dotted" w:sz="4" w:space="0" w:color="auto"/>
              <w:right w:val="nil"/>
            </w:tcBorders>
            <w:shd w:val="pct10" w:color="auto" w:fill="auto"/>
            <w:textDirection w:val="btLr"/>
            <w:vAlign w:val="center"/>
          </w:tcPr>
          <w:p>
            <w:pPr>
              <w:keepNext/>
              <w:ind w:left="113" w:right="113"/>
              <w:jc w:val="center"/>
              <w:rPr>
                <w:noProof/>
                <w:sz w:val="18"/>
              </w:rPr>
            </w:pPr>
            <w:r>
              <w:rPr>
                <w:noProof/>
                <w:sz w:val="18"/>
              </w:rPr>
              <w:t>No</w:t>
            </w:r>
          </w:p>
        </w:tc>
        <w:tc>
          <w:tcPr>
            <w:tcW w:w="867" w:type="dxa"/>
            <w:tcBorders>
              <w:left w:val="nil"/>
              <w:right w:val="single" w:sz="4" w:space="0" w:color="auto"/>
            </w:tcBorders>
            <w:shd w:val="pct10" w:color="auto" w:fill="auto"/>
            <w:vAlign w:val="center"/>
          </w:tcPr>
          <w:p>
            <w:pPr>
              <w:keepNext/>
              <w:jc w:val="center"/>
              <w:rPr>
                <w:noProof/>
                <w:sz w:val="18"/>
              </w:rPr>
            </w:pPr>
            <w:r>
              <w:rPr>
                <w:noProof/>
                <w:sz w:val="18"/>
              </w:rPr>
              <w:t>Cost</w:t>
            </w:r>
          </w:p>
        </w:tc>
        <w:tc>
          <w:tcPr>
            <w:tcW w:w="330" w:type="dxa"/>
            <w:tcBorders>
              <w:left w:val="single" w:sz="4" w:space="0" w:color="auto"/>
              <w:right w:val="dashSmallGap" w:sz="4" w:space="0" w:color="auto"/>
            </w:tcBorders>
            <w:shd w:val="pct10" w:color="auto" w:fill="auto"/>
            <w:textDirection w:val="btLr"/>
            <w:vAlign w:val="center"/>
          </w:tcPr>
          <w:p>
            <w:pPr>
              <w:keepNext/>
              <w:ind w:left="113" w:right="113"/>
              <w:jc w:val="center"/>
              <w:rPr>
                <w:noProof/>
                <w:sz w:val="18"/>
                <w:szCs w:val="18"/>
              </w:rPr>
            </w:pPr>
            <w:r>
              <w:rPr>
                <w:noProof/>
                <w:sz w:val="18"/>
              </w:rPr>
              <w:t>No</w:t>
            </w:r>
          </w:p>
        </w:tc>
        <w:tc>
          <w:tcPr>
            <w:tcW w:w="840" w:type="dxa"/>
            <w:tcBorders>
              <w:left w:val="dashSmallGap" w:sz="4" w:space="0" w:color="auto"/>
            </w:tcBorders>
            <w:shd w:val="pct10" w:color="auto" w:fill="auto"/>
            <w:vAlign w:val="center"/>
          </w:tcPr>
          <w:p>
            <w:pPr>
              <w:keepNext/>
              <w:jc w:val="center"/>
              <w:rPr>
                <w:noProof/>
                <w:sz w:val="18"/>
                <w:szCs w:val="18"/>
              </w:rPr>
            </w:pPr>
            <w:r>
              <w:rPr>
                <w:noProof/>
                <w:sz w:val="18"/>
              </w:rPr>
              <w:t>Cost</w:t>
            </w:r>
          </w:p>
        </w:tc>
        <w:tc>
          <w:tcPr>
            <w:tcW w:w="360" w:type="dxa"/>
            <w:tcBorders>
              <w:right w:val="dashSmallGap" w:sz="4" w:space="0" w:color="auto"/>
            </w:tcBorders>
            <w:shd w:val="pct10" w:color="auto" w:fill="auto"/>
            <w:textDirection w:val="btLr"/>
            <w:vAlign w:val="center"/>
          </w:tcPr>
          <w:p>
            <w:pPr>
              <w:keepNext/>
              <w:ind w:left="113" w:right="113"/>
              <w:jc w:val="center"/>
              <w:rPr>
                <w:noProof/>
                <w:sz w:val="18"/>
                <w:szCs w:val="18"/>
              </w:rPr>
            </w:pPr>
            <w:r>
              <w:rPr>
                <w:noProof/>
                <w:sz w:val="18"/>
              </w:rPr>
              <w:t>No</w:t>
            </w:r>
          </w:p>
        </w:tc>
        <w:tc>
          <w:tcPr>
            <w:tcW w:w="840" w:type="dxa"/>
            <w:tcBorders>
              <w:left w:val="dashSmallGap" w:sz="4" w:space="0" w:color="auto"/>
            </w:tcBorders>
            <w:shd w:val="pct10" w:color="auto" w:fill="auto"/>
            <w:vAlign w:val="center"/>
          </w:tcPr>
          <w:p>
            <w:pPr>
              <w:keepNext/>
              <w:jc w:val="center"/>
              <w:rPr>
                <w:noProof/>
                <w:sz w:val="18"/>
                <w:szCs w:val="18"/>
              </w:rPr>
            </w:pPr>
            <w:r>
              <w:rPr>
                <w:noProof/>
                <w:sz w:val="18"/>
              </w:rPr>
              <w:t>Cost</w:t>
            </w:r>
          </w:p>
        </w:tc>
        <w:tc>
          <w:tcPr>
            <w:tcW w:w="596" w:type="dxa"/>
            <w:tcBorders>
              <w:right w:val="dashSmallGap" w:sz="4" w:space="0" w:color="auto"/>
            </w:tcBorders>
            <w:shd w:val="pct10" w:color="auto" w:fill="auto"/>
            <w:textDirection w:val="btLr"/>
            <w:vAlign w:val="center"/>
          </w:tcPr>
          <w:p>
            <w:pPr>
              <w:keepNext/>
              <w:ind w:left="113" w:right="113"/>
              <w:jc w:val="center"/>
              <w:rPr>
                <w:noProof/>
                <w:sz w:val="18"/>
                <w:szCs w:val="18"/>
              </w:rPr>
            </w:pPr>
            <w:r>
              <w:rPr>
                <w:noProof/>
                <w:sz w:val="18"/>
              </w:rPr>
              <w:t>No</w:t>
            </w:r>
          </w:p>
        </w:tc>
        <w:tc>
          <w:tcPr>
            <w:tcW w:w="840" w:type="dxa"/>
            <w:tcBorders>
              <w:left w:val="dashSmallGap" w:sz="4" w:space="0" w:color="auto"/>
            </w:tcBorders>
            <w:shd w:val="pct10" w:color="auto" w:fill="auto"/>
            <w:vAlign w:val="center"/>
          </w:tcPr>
          <w:p>
            <w:pPr>
              <w:keepNext/>
              <w:jc w:val="center"/>
              <w:rPr>
                <w:noProof/>
                <w:sz w:val="18"/>
                <w:szCs w:val="18"/>
              </w:rPr>
            </w:pPr>
            <w:r>
              <w:rPr>
                <w:noProof/>
                <w:sz w:val="18"/>
              </w:rPr>
              <w:t>Cost</w:t>
            </w:r>
          </w:p>
        </w:tc>
        <w:tc>
          <w:tcPr>
            <w:tcW w:w="596" w:type="dxa"/>
            <w:tcBorders>
              <w:right w:val="dashSmallGap" w:sz="4" w:space="0" w:color="auto"/>
            </w:tcBorders>
            <w:shd w:val="pct10" w:color="auto" w:fill="auto"/>
            <w:textDirection w:val="btLr"/>
            <w:vAlign w:val="center"/>
          </w:tcPr>
          <w:p>
            <w:pPr>
              <w:keepNext/>
              <w:ind w:left="113" w:right="113"/>
              <w:jc w:val="center"/>
              <w:rPr>
                <w:noProof/>
                <w:sz w:val="18"/>
                <w:szCs w:val="18"/>
              </w:rPr>
            </w:pPr>
            <w:r>
              <w:rPr>
                <w:noProof/>
                <w:sz w:val="18"/>
              </w:rPr>
              <w:t>No</w:t>
            </w:r>
          </w:p>
        </w:tc>
        <w:tc>
          <w:tcPr>
            <w:tcW w:w="792" w:type="dxa"/>
            <w:tcBorders>
              <w:left w:val="dashSmallGap" w:sz="4" w:space="0" w:color="auto"/>
            </w:tcBorders>
            <w:shd w:val="pct10" w:color="auto" w:fill="auto"/>
            <w:vAlign w:val="center"/>
          </w:tcPr>
          <w:p>
            <w:pPr>
              <w:keepNext/>
              <w:jc w:val="center"/>
              <w:rPr>
                <w:noProof/>
                <w:sz w:val="18"/>
                <w:szCs w:val="18"/>
              </w:rPr>
            </w:pPr>
            <w:r>
              <w:rPr>
                <w:noProof/>
                <w:sz w:val="18"/>
              </w:rPr>
              <w:t>Cost</w:t>
            </w:r>
          </w:p>
        </w:tc>
        <w:tc>
          <w:tcPr>
            <w:tcW w:w="360" w:type="dxa"/>
            <w:tcBorders>
              <w:right w:val="dashSmallGap" w:sz="4" w:space="0" w:color="auto"/>
            </w:tcBorders>
            <w:shd w:val="pct10" w:color="auto" w:fill="auto"/>
            <w:textDirection w:val="btLr"/>
            <w:vAlign w:val="center"/>
          </w:tcPr>
          <w:p>
            <w:pPr>
              <w:keepNext/>
              <w:ind w:left="113" w:right="113"/>
              <w:jc w:val="center"/>
              <w:rPr>
                <w:noProof/>
                <w:sz w:val="18"/>
                <w:szCs w:val="18"/>
              </w:rPr>
            </w:pPr>
            <w:r>
              <w:rPr>
                <w:noProof/>
                <w:sz w:val="18"/>
              </w:rPr>
              <w:t>No</w:t>
            </w:r>
          </w:p>
        </w:tc>
        <w:tc>
          <w:tcPr>
            <w:tcW w:w="720" w:type="dxa"/>
            <w:tcBorders>
              <w:left w:val="dashSmallGap" w:sz="4" w:space="0" w:color="auto"/>
            </w:tcBorders>
            <w:shd w:val="pct10" w:color="auto" w:fill="auto"/>
            <w:vAlign w:val="center"/>
          </w:tcPr>
          <w:p>
            <w:pPr>
              <w:keepNext/>
              <w:jc w:val="center"/>
              <w:rPr>
                <w:noProof/>
                <w:sz w:val="18"/>
                <w:szCs w:val="18"/>
              </w:rPr>
            </w:pPr>
            <w:r>
              <w:rPr>
                <w:noProof/>
                <w:sz w:val="18"/>
              </w:rPr>
              <w:t>Cost</w:t>
            </w:r>
          </w:p>
        </w:tc>
        <w:tc>
          <w:tcPr>
            <w:tcW w:w="360" w:type="dxa"/>
            <w:tcBorders>
              <w:right w:val="dashSmallGap" w:sz="4" w:space="0" w:color="auto"/>
            </w:tcBorders>
            <w:shd w:val="pct10" w:color="auto" w:fill="auto"/>
            <w:textDirection w:val="btLr"/>
            <w:vAlign w:val="center"/>
          </w:tcPr>
          <w:p>
            <w:pPr>
              <w:keepNext/>
              <w:ind w:left="113" w:right="113"/>
              <w:jc w:val="center"/>
              <w:rPr>
                <w:noProof/>
                <w:sz w:val="18"/>
                <w:szCs w:val="18"/>
              </w:rPr>
            </w:pPr>
            <w:r>
              <w:rPr>
                <w:noProof/>
                <w:sz w:val="18"/>
              </w:rPr>
              <w:t>No</w:t>
            </w:r>
          </w:p>
        </w:tc>
        <w:tc>
          <w:tcPr>
            <w:tcW w:w="840" w:type="dxa"/>
            <w:tcBorders>
              <w:left w:val="dashSmallGap" w:sz="4" w:space="0" w:color="auto"/>
            </w:tcBorders>
            <w:shd w:val="pct10" w:color="auto" w:fill="auto"/>
            <w:vAlign w:val="center"/>
          </w:tcPr>
          <w:p>
            <w:pPr>
              <w:keepNext/>
              <w:jc w:val="center"/>
              <w:rPr>
                <w:noProof/>
                <w:sz w:val="18"/>
                <w:szCs w:val="18"/>
              </w:rPr>
            </w:pPr>
            <w:r>
              <w:rPr>
                <w:noProof/>
                <w:sz w:val="18"/>
              </w:rPr>
              <w:t>Cost</w:t>
            </w:r>
          </w:p>
        </w:tc>
        <w:tc>
          <w:tcPr>
            <w:tcW w:w="360" w:type="dxa"/>
            <w:tcBorders>
              <w:right w:val="dashSmallGap" w:sz="4" w:space="0" w:color="auto"/>
            </w:tcBorders>
            <w:shd w:val="pct10" w:color="auto" w:fill="auto"/>
            <w:textDirection w:val="btLr"/>
            <w:vAlign w:val="center"/>
          </w:tcPr>
          <w:p>
            <w:pPr>
              <w:keepNext/>
              <w:ind w:left="113" w:right="113"/>
              <w:jc w:val="center"/>
              <w:rPr>
                <w:noProof/>
                <w:sz w:val="18"/>
                <w:szCs w:val="18"/>
              </w:rPr>
            </w:pPr>
            <w:r>
              <w:rPr>
                <w:noProof/>
                <w:sz w:val="18"/>
              </w:rPr>
              <w:t>No</w:t>
            </w:r>
          </w:p>
        </w:tc>
        <w:tc>
          <w:tcPr>
            <w:tcW w:w="840" w:type="dxa"/>
            <w:tcBorders>
              <w:left w:val="dashSmallGap" w:sz="4" w:space="0" w:color="auto"/>
            </w:tcBorders>
            <w:shd w:val="pct10" w:color="auto" w:fill="auto"/>
            <w:vAlign w:val="center"/>
          </w:tcPr>
          <w:p>
            <w:pPr>
              <w:keepNext/>
              <w:jc w:val="center"/>
              <w:rPr>
                <w:noProof/>
                <w:sz w:val="18"/>
                <w:szCs w:val="18"/>
              </w:rPr>
            </w:pPr>
            <w:r>
              <w:rPr>
                <w:noProof/>
                <w:sz w:val="18"/>
              </w:rPr>
              <w:t>Cost</w:t>
            </w:r>
          </w:p>
        </w:tc>
        <w:tc>
          <w:tcPr>
            <w:tcW w:w="360" w:type="dxa"/>
            <w:tcBorders>
              <w:right w:val="dashSmallGap" w:sz="4" w:space="0" w:color="auto"/>
            </w:tcBorders>
            <w:shd w:val="pct10" w:color="auto" w:fill="auto"/>
            <w:textDirection w:val="btLr"/>
            <w:vAlign w:val="center"/>
          </w:tcPr>
          <w:p>
            <w:pPr>
              <w:keepNext/>
              <w:ind w:left="113" w:right="113"/>
              <w:jc w:val="center"/>
              <w:rPr>
                <w:noProof/>
                <w:sz w:val="18"/>
              </w:rPr>
            </w:pPr>
            <w:r>
              <w:rPr>
                <w:noProof/>
                <w:sz w:val="18"/>
              </w:rPr>
              <w:t>No</w:t>
            </w:r>
          </w:p>
        </w:tc>
        <w:tc>
          <w:tcPr>
            <w:tcW w:w="840" w:type="dxa"/>
            <w:tcBorders>
              <w:left w:val="dashSmallGap" w:sz="4" w:space="0" w:color="auto"/>
            </w:tcBorders>
            <w:shd w:val="pct10" w:color="auto" w:fill="auto"/>
            <w:vAlign w:val="center"/>
          </w:tcPr>
          <w:p>
            <w:pPr>
              <w:keepNext/>
              <w:jc w:val="center"/>
              <w:rPr>
                <w:noProof/>
                <w:sz w:val="18"/>
              </w:rPr>
            </w:pPr>
            <w:r>
              <w:rPr>
                <w:noProof/>
                <w:sz w:val="18"/>
              </w:rPr>
              <w:t>Cost</w:t>
            </w:r>
          </w:p>
        </w:tc>
        <w:tc>
          <w:tcPr>
            <w:tcW w:w="360" w:type="dxa"/>
            <w:tcBorders>
              <w:right w:val="dashSmallGap" w:sz="4" w:space="0" w:color="auto"/>
            </w:tcBorders>
            <w:shd w:val="pct10" w:color="auto" w:fill="auto"/>
            <w:textDirection w:val="btLr"/>
            <w:vAlign w:val="center"/>
          </w:tcPr>
          <w:p>
            <w:pPr>
              <w:keepNext/>
              <w:ind w:left="113" w:right="113"/>
              <w:jc w:val="center"/>
              <w:rPr>
                <w:noProof/>
                <w:sz w:val="18"/>
                <w:szCs w:val="18"/>
              </w:rPr>
            </w:pPr>
            <w:r>
              <w:rPr>
                <w:noProof/>
                <w:sz w:val="18"/>
              </w:rPr>
              <w:t>Total No</w:t>
            </w:r>
          </w:p>
        </w:tc>
        <w:tc>
          <w:tcPr>
            <w:tcW w:w="1320" w:type="dxa"/>
            <w:tcBorders>
              <w:left w:val="dashSmallGap" w:sz="4" w:space="0" w:color="auto"/>
              <w:right w:val="single" w:sz="12" w:space="0" w:color="auto"/>
            </w:tcBorders>
            <w:shd w:val="pct10" w:color="auto" w:fill="auto"/>
            <w:vAlign w:val="center"/>
          </w:tcPr>
          <w:p>
            <w:pPr>
              <w:keepNext/>
              <w:jc w:val="center"/>
              <w:rPr>
                <w:noProof/>
                <w:sz w:val="18"/>
                <w:szCs w:val="18"/>
              </w:rPr>
            </w:pPr>
            <w:r>
              <w:rPr>
                <w:noProof/>
                <w:sz w:val="18"/>
              </w:rPr>
              <w:t>Total cost</w:t>
            </w:r>
          </w:p>
        </w:tc>
      </w:tr>
      <w:tr>
        <w:trPr>
          <w:jc w:val="center"/>
        </w:trPr>
        <w:tc>
          <w:tcPr>
            <w:tcW w:w="2802" w:type="dxa"/>
            <w:gridSpan w:val="3"/>
            <w:tcBorders>
              <w:left w:val="single" w:sz="12" w:space="0" w:color="auto"/>
            </w:tcBorders>
            <w:vAlign w:val="center"/>
          </w:tcPr>
          <w:p>
            <w:pPr>
              <w:keepNext/>
              <w:spacing w:before="60" w:after="60"/>
              <w:ind w:right="-29"/>
              <w:jc w:val="center"/>
              <w:rPr>
                <w:noProof/>
                <w:sz w:val="18"/>
              </w:rPr>
            </w:pPr>
            <w:r>
              <w:rPr>
                <w:noProof/>
                <w:sz w:val="18"/>
              </w:rPr>
              <w:t>SPECIFIC OBJECTIVE No 1</w:t>
            </w:r>
            <w:r>
              <w:rPr>
                <w:rStyle w:val="FootnoteReference"/>
                <w:noProof/>
              </w:rPr>
              <w:footnoteReference w:id="90"/>
            </w:r>
          </w:p>
          <w:p>
            <w:pPr>
              <w:keepNext/>
              <w:spacing w:before="60" w:after="60"/>
              <w:ind w:right="-29"/>
              <w:jc w:val="center"/>
              <w:rPr>
                <w:noProof/>
                <w:sz w:val="18"/>
                <w:szCs w:val="18"/>
              </w:rPr>
            </w:pPr>
            <w:r>
              <w:rPr>
                <w:noProof/>
                <w:sz w:val="18"/>
                <w:szCs w:val="18"/>
              </w:rPr>
              <w:t xml:space="preserve">Validation of links </w:t>
            </w:r>
          </w:p>
        </w:tc>
        <w:tc>
          <w:tcPr>
            <w:tcW w:w="303" w:type="dxa"/>
            <w:tcBorders>
              <w:right w:val="nil"/>
            </w:tcBorders>
          </w:tcPr>
          <w:p>
            <w:pPr>
              <w:keepNext/>
              <w:spacing w:before="60" w:after="60"/>
              <w:ind w:right="-29"/>
              <w:jc w:val="center"/>
              <w:rPr>
                <w:noProof/>
                <w:sz w:val="18"/>
                <w:szCs w:val="18"/>
              </w:rPr>
            </w:pPr>
          </w:p>
        </w:tc>
        <w:tc>
          <w:tcPr>
            <w:tcW w:w="867" w:type="dxa"/>
            <w:tcBorders>
              <w:left w:val="nil"/>
              <w:bottom w:val="single" w:sz="4" w:space="0" w:color="auto"/>
            </w:tcBorders>
          </w:tcPr>
          <w:p>
            <w:pPr>
              <w:keepNext/>
              <w:spacing w:before="60" w:after="60"/>
              <w:ind w:right="-29"/>
              <w:jc w:val="center"/>
              <w:rPr>
                <w:noProof/>
                <w:sz w:val="18"/>
                <w:szCs w:val="18"/>
              </w:rPr>
            </w:pPr>
          </w:p>
        </w:tc>
        <w:tc>
          <w:tcPr>
            <w:tcW w:w="330" w:type="dxa"/>
            <w:tcBorders>
              <w:top w:val="nil"/>
              <w:left w:val="nil"/>
              <w:bottom w:val="nil"/>
              <w:right w:val="nil"/>
            </w:tcBorders>
          </w:tcPr>
          <w:p>
            <w:pPr>
              <w:keepNext/>
              <w:spacing w:before="60" w:after="60"/>
              <w:ind w:right="-29"/>
              <w:jc w:val="center"/>
              <w:rPr>
                <w:noProof/>
                <w:sz w:val="18"/>
                <w:szCs w:val="18"/>
              </w:rPr>
            </w:pPr>
          </w:p>
        </w:tc>
        <w:tc>
          <w:tcPr>
            <w:tcW w:w="840" w:type="dxa"/>
            <w:tcBorders>
              <w:top w:val="nil"/>
              <w:left w:val="nil"/>
              <w:bottom w:val="nil"/>
              <w:right w:val="nil"/>
            </w:tcBorders>
          </w:tcPr>
          <w:p>
            <w:pPr>
              <w:keepNext/>
              <w:spacing w:before="60" w:after="60"/>
              <w:ind w:right="-29"/>
              <w:jc w:val="center"/>
              <w:rPr>
                <w:noProof/>
                <w:sz w:val="18"/>
                <w:szCs w:val="18"/>
              </w:rPr>
            </w:pPr>
          </w:p>
        </w:tc>
        <w:tc>
          <w:tcPr>
            <w:tcW w:w="360" w:type="dxa"/>
            <w:tcBorders>
              <w:top w:val="nil"/>
              <w:left w:val="nil"/>
              <w:bottom w:val="nil"/>
              <w:right w:val="nil"/>
            </w:tcBorders>
          </w:tcPr>
          <w:p>
            <w:pPr>
              <w:keepNext/>
              <w:spacing w:before="60" w:after="60"/>
              <w:ind w:right="-29"/>
              <w:jc w:val="center"/>
              <w:rPr>
                <w:noProof/>
                <w:sz w:val="18"/>
                <w:szCs w:val="18"/>
              </w:rPr>
            </w:pPr>
          </w:p>
        </w:tc>
        <w:tc>
          <w:tcPr>
            <w:tcW w:w="840" w:type="dxa"/>
            <w:tcBorders>
              <w:top w:val="nil"/>
              <w:left w:val="nil"/>
              <w:bottom w:val="nil"/>
              <w:right w:val="nil"/>
            </w:tcBorders>
          </w:tcPr>
          <w:p>
            <w:pPr>
              <w:keepNext/>
              <w:spacing w:before="60" w:after="60"/>
              <w:ind w:right="-29"/>
              <w:jc w:val="center"/>
              <w:rPr>
                <w:noProof/>
                <w:sz w:val="18"/>
                <w:szCs w:val="18"/>
              </w:rPr>
            </w:pPr>
          </w:p>
        </w:tc>
        <w:tc>
          <w:tcPr>
            <w:tcW w:w="596" w:type="dxa"/>
            <w:tcBorders>
              <w:top w:val="nil"/>
              <w:left w:val="nil"/>
              <w:bottom w:val="nil"/>
              <w:right w:val="nil"/>
            </w:tcBorders>
          </w:tcPr>
          <w:p>
            <w:pPr>
              <w:keepNext/>
              <w:spacing w:before="60" w:after="60"/>
              <w:ind w:right="-29"/>
              <w:jc w:val="center"/>
              <w:rPr>
                <w:noProof/>
                <w:sz w:val="18"/>
                <w:szCs w:val="18"/>
              </w:rPr>
            </w:pPr>
          </w:p>
        </w:tc>
        <w:tc>
          <w:tcPr>
            <w:tcW w:w="840" w:type="dxa"/>
            <w:tcBorders>
              <w:top w:val="nil"/>
              <w:left w:val="nil"/>
              <w:bottom w:val="nil"/>
              <w:right w:val="nil"/>
            </w:tcBorders>
          </w:tcPr>
          <w:p>
            <w:pPr>
              <w:keepNext/>
              <w:spacing w:before="60" w:after="60"/>
              <w:ind w:right="-29"/>
              <w:jc w:val="center"/>
              <w:rPr>
                <w:noProof/>
                <w:sz w:val="18"/>
                <w:szCs w:val="18"/>
              </w:rPr>
            </w:pPr>
          </w:p>
        </w:tc>
        <w:tc>
          <w:tcPr>
            <w:tcW w:w="596" w:type="dxa"/>
            <w:tcBorders>
              <w:top w:val="nil"/>
              <w:left w:val="nil"/>
              <w:bottom w:val="nil"/>
              <w:right w:val="nil"/>
            </w:tcBorders>
          </w:tcPr>
          <w:p>
            <w:pPr>
              <w:keepNext/>
              <w:spacing w:before="60" w:after="60"/>
              <w:ind w:right="-29"/>
              <w:jc w:val="center"/>
              <w:rPr>
                <w:noProof/>
                <w:sz w:val="18"/>
                <w:szCs w:val="18"/>
              </w:rPr>
            </w:pPr>
          </w:p>
        </w:tc>
        <w:tc>
          <w:tcPr>
            <w:tcW w:w="792" w:type="dxa"/>
            <w:tcBorders>
              <w:top w:val="nil"/>
              <w:left w:val="nil"/>
              <w:bottom w:val="nil"/>
              <w:right w:val="nil"/>
            </w:tcBorders>
          </w:tcPr>
          <w:p>
            <w:pPr>
              <w:keepNext/>
              <w:spacing w:before="60" w:after="60"/>
              <w:ind w:right="-29"/>
              <w:jc w:val="center"/>
              <w:rPr>
                <w:noProof/>
                <w:sz w:val="18"/>
                <w:szCs w:val="18"/>
              </w:rPr>
            </w:pPr>
          </w:p>
        </w:tc>
        <w:tc>
          <w:tcPr>
            <w:tcW w:w="360" w:type="dxa"/>
            <w:tcBorders>
              <w:top w:val="nil"/>
              <w:left w:val="nil"/>
              <w:bottom w:val="nil"/>
              <w:right w:val="nil"/>
            </w:tcBorders>
          </w:tcPr>
          <w:p>
            <w:pPr>
              <w:keepNext/>
              <w:spacing w:before="60" w:after="60"/>
              <w:ind w:right="-29"/>
              <w:jc w:val="center"/>
              <w:rPr>
                <w:noProof/>
                <w:sz w:val="18"/>
                <w:szCs w:val="18"/>
              </w:rPr>
            </w:pPr>
          </w:p>
        </w:tc>
        <w:tc>
          <w:tcPr>
            <w:tcW w:w="720" w:type="dxa"/>
            <w:tcBorders>
              <w:top w:val="nil"/>
              <w:left w:val="nil"/>
              <w:bottom w:val="nil"/>
              <w:right w:val="nil"/>
            </w:tcBorders>
          </w:tcPr>
          <w:p>
            <w:pPr>
              <w:keepNext/>
              <w:spacing w:before="60" w:after="60"/>
              <w:ind w:right="-29"/>
              <w:jc w:val="center"/>
              <w:rPr>
                <w:noProof/>
                <w:sz w:val="18"/>
                <w:szCs w:val="18"/>
              </w:rPr>
            </w:pPr>
          </w:p>
        </w:tc>
        <w:tc>
          <w:tcPr>
            <w:tcW w:w="360" w:type="dxa"/>
            <w:tcBorders>
              <w:top w:val="nil"/>
              <w:left w:val="nil"/>
              <w:bottom w:val="nil"/>
              <w:right w:val="nil"/>
            </w:tcBorders>
          </w:tcPr>
          <w:p>
            <w:pPr>
              <w:keepNext/>
              <w:spacing w:before="60" w:after="60"/>
              <w:ind w:right="-29"/>
              <w:jc w:val="center"/>
              <w:rPr>
                <w:noProof/>
                <w:sz w:val="18"/>
                <w:szCs w:val="18"/>
              </w:rPr>
            </w:pPr>
          </w:p>
        </w:tc>
        <w:tc>
          <w:tcPr>
            <w:tcW w:w="840" w:type="dxa"/>
            <w:tcBorders>
              <w:top w:val="nil"/>
              <w:left w:val="nil"/>
              <w:bottom w:val="nil"/>
              <w:right w:val="nil"/>
            </w:tcBorders>
          </w:tcPr>
          <w:p>
            <w:pPr>
              <w:keepNext/>
              <w:spacing w:before="60" w:after="60"/>
              <w:ind w:right="-29"/>
              <w:jc w:val="center"/>
              <w:rPr>
                <w:noProof/>
                <w:sz w:val="18"/>
                <w:szCs w:val="18"/>
              </w:rPr>
            </w:pPr>
          </w:p>
        </w:tc>
        <w:tc>
          <w:tcPr>
            <w:tcW w:w="360" w:type="dxa"/>
            <w:tcBorders>
              <w:top w:val="nil"/>
              <w:left w:val="nil"/>
              <w:bottom w:val="nil"/>
              <w:right w:val="nil"/>
            </w:tcBorders>
          </w:tcPr>
          <w:p>
            <w:pPr>
              <w:keepNext/>
              <w:spacing w:before="60" w:after="60"/>
              <w:ind w:right="-29"/>
              <w:jc w:val="center"/>
              <w:rPr>
                <w:noProof/>
                <w:sz w:val="18"/>
                <w:szCs w:val="18"/>
              </w:rPr>
            </w:pPr>
          </w:p>
        </w:tc>
        <w:tc>
          <w:tcPr>
            <w:tcW w:w="840" w:type="dxa"/>
            <w:tcBorders>
              <w:top w:val="nil"/>
              <w:left w:val="nil"/>
              <w:bottom w:val="nil"/>
              <w:right w:val="nil"/>
            </w:tcBorders>
          </w:tcPr>
          <w:p>
            <w:pPr>
              <w:keepNext/>
              <w:spacing w:before="60" w:after="60"/>
              <w:ind w:right="-29"/>
              <w:jc w:val="center"/>
              <w:rPr>
                <w:noProof/>
                <w:sz w:val="18"/>
                <w:szCs w:val="18"/>
              </w:rPr>
            </w:pPr>
          </w:p>
        </w:tc>
        <w:tc>
          <w:tcPr>
            <w:tcW w:w="1200" w:type="dxa"/>
            <w:gridSpan w:val="2"/>
            <w:tcBorders>
              <w:top w:val="nil"/>
              <w:left w:val="nil"/>
              <w:bottom w:val="nil"/>
              <w:right w:val="nil"/>
            </w:tcBorders>
          </w:tcPr>
          <w:p>
            <w:pPr>
              <w:keepNext/>
              <w:spacing w:before="60" w:after="60"/>
              <w:ind w:right="-29"/>
              <w:jc w:val="center"/>
              <w:rPr>
                <w:noProof/>
                <w:sz w:val="18"/>
                <w:szCs w:val="18"/>
              </w:rPr>
            </w:pPr>
          </w:p>
        </w:tc>
        <w:tc>
          <w:tcPr>
            <w:tcW w:w="360" w:type="dxa"/>
            <w:tcBorders>
              <w:top w:val="nil"/>
              <w:left w:val="nil"/>
              <w:bottom w:val="nil"/>
              <w:right w:val="nil"/>
            </w:tcBorders>
          </w:tcPr>
          <w:p>
            <w:pPr>
              <w:keepNext/>
              <w:spacing w:before="60" w:after="60"/>
              <w:ind w:right="-29"/>
              <w:jc w:val="center"/>
              <w:rPr>
                <w:noProof/>
                <w:sz w:val="18"/>
                <w:szCs w:val="18"/>
              </w:rPr>
            </w:pPr>
          </w:p>
        </w:tc>
        <w:tc>
          <w:tcPr>
            <w:tcW w:w="1320" w:type="dxa"/>
            <w:tcBorders>
              <w:top w:val="nil"/>
              <w:left w:val="nil"/>
              <w:bottom w:val="single" w:sz="4" w:space="0" w:color="auto"/>
              <w:right w:val="single" w:sz="12" w:space="0" w:color="auto"/>
            </w:tcBorders>
          </w:tcPr>
          <w:p>
            <w:pPr>
              <w:keepNext/>
              <w:spacing w:before="60" w:after="60"/>
              <w:ind w:right="-29"/>
              <w:jc w:val="center"/>
              <w:rPr>
                <w:noProof/>
                <w:sz w:val="18"/>
                <w:szCs w:val="18"/>
              </w:rPr>
            </w:pPr>
          </w:p>
        </w:tc>
      </w:tr>
      <w:tr>
        <w:trPr>
          <w:trHeight w:hRule="exact" w:val="1232"/>
          <w:jc w:val="center"/>
        </w:trPr>
        <w:tc>
          <w:tcPr>
            <w:tcW w:w="1422" w:type="dxa"/>
            <w:tcBorders>
              <w:left w:val="single" w:sz="12" w:space="0" w:color="auto"/>
            </w:tcBorders>
          </w:tcPr>
          <w:p>
            <w:pPr>
              <w:ind w:right="-29"/>
              <w:jc w:val="center"/>
              <w:rPr>
                <w:noProof/>
                <w:sz w:val="18"/>
                <w:szCs w:val="18"/>
              </w:rPr>
            </w:pPr>
            <w:r>
              <w:rPr>
                <w:noProof/>
                <w:sz w:val="20"/>
                <w:szCs w:val="18"/>
              </w:rPr>
              <w:t>Nbr of staff recruited as experts to validate links</w:t>
            </w:r>
          </w:p>
        </w:tc>
        <w:tc>
          <w:tcPr>
            <w:tcW w:w="1380" w:type="dxa"/>
            <w:gridSpan w:val="2"/>
          </w:tcPr>
          <w:p>
            <w:pPr>
              <w:ind w:right="-29"/>
              <w:jc w:val="center"/>
              <w:rPr>
                <w:noProof/>
                <w:sz w:val="18"/>
                <w:szCs w:val="18"/>
              </w:rPr>
            </w:pPr>
            <w:r>
              <w:rPr>
                <w:noProof/>
                <w:sz w:val="20"/>
                <w:szCs w:val="18"/>
              </w:rPr>
              <w:t>Contractor costs</w:t>
            </w:r>
          </w:p>
        </w:tc>
        <w:tc>
          <w:tcPr>
            <w:tcW w:w="303" w:type="dxa"/>
            <w:tcBorders>
              <w:right w:val="dashSmallGap" w:sz="4" w:space="0" w:color="auto"/>
            </w:tcBorders>
          </w:tcPr>
          <w:p>
            <w:pPr>
              <w:ind w:right="-29"/>
              <w:jc w:val="center"/>
              <w:rPr>
                <w:noProof/>
                <w:sz w:val="22"/>
              </w:rPr>
            </w:pPr>
            <w:r>
              <w:rPr>
                <w:noProof/>
                <w:sz w:val="22"/>
              </w:rPr>
              <w:t>0</w:t>
            </w:r>
          </w:p>
        </w:tc>
        <w:tc>
          <w:tcPr>
            <w:tcW w:w="867" w:type="dxa"/>
            <w:tcBorders>
              <w:left w:val="dashSmallGap" w:sz="4" w:space="0" w:color="auto"/>
              <w:bottom w:val="single" w:sz="4" w:space="0" w:color="auto"/>
            </w:tcBorders>
          </w:tcPr>
          <w:p>
            <w:pPr>
              <w:ind w:right="-29"/>
              <w:jc w:val="center"/>
              <w:rPr>
                <w:noProof/>
                <w:sz w:val="22"/>
              </w:rPr>
            </w:pPr>
            <w:r>
              <w:rPr>
                <w:noProof/>
                <w:sz w:val="22"/>
              </w:rPr>
              <w:t>0</w:t>
            </w:r>
          </w:p>
        </w:tc>
        <w:tc>
          <w:tcPr>
            <w:tcW w:w="330" w:type="dxa"/>
            <w:tcBorders>
              <w:right w:val="dashSmallGap" w:sz="4" w:space="0" w:color="auto"/>
            </w:tcBorders>
          </w:tcPr>
          <w:p>
            <w:pPr>
              <w:ind w:right="-29"/>
              <w:jc w:val="center"/>
              <w:rPr>
                <w:noProof/>
                <w:sz w:val="22"/>
              </w:rPr>
            </w:pPr>
            <w:r>
              <w:rPr>
                <w:noProof/>
                <w:sz w:val="22"/>
              </w:rPr>
              <w:t>0</w:t>
            </w:r>
          </w:p>
        </w:tc>
        <w:tc>
          <w:tcPr>
            <w:tcW w:w="840" w:type="dxa"/>
            <w:tcBorders>
              <w:left w:val="dashSmallGap" w:sz="4" w:space="0" w:color="auto"/>
            </w:tcBorders>
          </w:tcPr>
          <w:p>
            <w:pPr>
              <w:ind w:right="-29"/>
              <w:jc w:val="center"/>
              <w:rPr>
                <w:noProof/>
                <w:sz w:val="22"/>
              </w:rPr>
            </w:pPr>
            <w:r>
              <w:rPr>
                <w:noProof/>
                <w:sz w:val="22"/>
              </w:rPr>
              <w:t>0</w:t>
            </w:r>
          </w:p>
        </w:tc>
        <w:tc>
          <w:tcPr>
            <w:tcW w:w="360" w:type="dxa"/>
            <w:tcBorders>
              <w:right w:val="dashSmallGap" w:sz="4" w:space="0" w:color="auto"/>
            </w:tcBorders>
          </w:tcPr>
          <w:p>
            <w:pPr>
              <w:ind w:right="-29"/>
              <w:jc w:val="center"/>
              <w:rPr>
                <w:noProof/>
                <w:sz w:val="22"/>
              </w:rPr>
            </w:pPr>
            <w:r>
              <w:rPr>
                <w:noProof/>
                <w:sz w:val="22"/>
              </w:rPr>
              <w:t>0</w:t>
            </w:r>
          </w:p>
        </w:tc>
        <w:tc>
          <w:tcPr>
            <w:tcW w:w="840" w:type="dxa"/>
            <w:tcBorders>
              <w:left w:val="dashSmallGap" w:sz="4" w:space="0" w:color="auto"/>
            </w:tcBorders>
          </w:tcPr>
          <w:p>
            <w:pPr>
              <w:ind w:right="-29"/>
              <w:jc w:val="center"/>
              <w:rPr>
                <w:noProof/>
                <w:sz w:val="22"/>
              </w:rPr>
            </w:pPr>
            <w:r>
              <w:rPr>
                <w:noProof/>
                <w:sz w:val="22"/>
              </w:rPr>
              <w:t>0</w:t>
            </w:r>
          </w:p>
        </w:tc>
        <w:tc>
          <w:tcPr>
            <w:tcW w:w="596" w:type="dxa"/>
            <w:tcBorders>
              <w:right w:val="dashSmallGap" w:sz="4" w:space="0" w:color="auto"/>
            </w:tcBorders>
          </w:tcPr>
          <w:p>
            <w:pPr>
              <w:ind w:right="-29"/>
              <w:jc w:val="center"/>
              <w:rPr>
                <w:noProof/>
                <w:sz w:val="22"/>
              </w:rPr>
            </w:pPr>
            <w:r>
              <w:rPr>
                <w:noProof/>
                <w:sz w:val="22"/>
              </w:rPr>
              <w:t>0.8</w:t>
            </w:r>
          </w:p>
        </w:tc>
        <w:tc>
          <w:tcPr>
            <w:tcW w:w="840" w:type="dxa"/>
            <w:tcBorders>
              <w:left w:val="dashSmallGap" w:sz="4" w:space="0" w:color="auto"/>
            </w:tcBorders>
          </w:tcPr>
          <w:p>
            <w:pPr>
              <w:ind w:right="-29"/>
              <w:jc w:val="center"/>
              <w:rPr>
                <w:noProof/>
                <w:sz w:val="22"/>
              </w:rPr>
            </w:pPr>
            <w:r>
              <w:rPr>
                <w:noProof/>
                <w:sz w:val="22"/>
              </w:rPr>
              <w:t>0,183</w:t>
            </w:r>
          </w:p>
        </w:tc>
        <w:tc>
          <w:tcPr>
            <w:tcW w:w="596" w:type="dxa"/>
            <w:tcBorders>
              <w:right w:val="dashSmallGap" w:sz="4" w:space="0" w:color="auto"/>
            </w:tcBorders>
          </w:tcPr>
          <w:p>
            <w:pPr>
              <w:ind w:right="-29"/>
              <w:jc w:val="center"/>
              <w:rPr>
                <w:noProof/>
                <w:sz w:val="22"/>
              </w:rPr>
            </w:pPr>
            <w:r>
              <w:rPr>
                <w:noProof/>
                <w:sz w:val="22"/>
              </w:rPr>
              <w:t>10</w:t>
            </w:r>
          </w:p>
        </w:tc>
        <w:tc>
          <w:tcPr>
            <w:tcW w:w="792" w:type="dxa"/>
            <w:tcBorders>
              <w:left w:val="dashSmallGap" w:sz="4" w:space="0" w:color="auto"/>
            </w:tcBorders>
          </w:tcPr>
          <w:p>
            <w:pPr>
              <w:ind w:right="-29"/>
              <w:jc w:val="center"/>
              <w:rPr>
                <w:noProof/>
                <w:sz w:val="22"/>
              </w:rPr>
            </w:pPr>
            <w:r>
              <w:rPr>
                <w:noProof/>
                <w:sz w:val="22"/>
              </w:rPr>
              <w:t>2,200</w:t>
            </w:r>
          </w:p>
        </w:tc>
        <w:tc>
          <w:tcPr>
            <w:tcW w:w="360" w:type="dxa"/>
            <w:tcBorders>
              <w:right w:val="dashSmallGap" w:sz="4" w:space="0" w:color="auto"/>
            </w:tcBorders>
          </w:tcPr>
          <w:p>
            <w:pPr>
              <w:ind w:right="-29"/>
              <w:jc w:val="center"/>
              <w:rPr>
                <w:noProof/>
                <w:sz w:val="22"/>
              </w:rPr>
            </w:pPr>
            <w:r>
              <w:rPr>
                <w:noProof/>
                <w:sz w:val="22"/>
              </w:rPr>
              <w:t>0</w:t>
            </w:r>
          </w:p>
        </w:tc>
        <w:tc>
          <w:tcPr>
            <w:tcW w:w="720" w:type="dxa"/>
            <w:tcBorders>
              <w:left w:val="dashSmallGap" w:sz="4" w:space="0" w:color="auto"/>
            </w:tcBorders>
          </w:tcPr>
          <w:p>
            <w:pPr>
              <w:ind w:right="-29"/>
              <w:jc w:val="center"/>
              <w:rPr>
                <w:noProof/>
                <w:sz w:val="22"/>
              </w:rPr>
            </w:pPr>
            <w:r>
              <w:rPr>
                <w:noProof/>
                <w:sz w:val="22"/>
              </w:rPr>
              <w:t>0</w:t>
            </w:r>
          </w:p>
        </w:tc>
        <w:tc>
          <w:tcPr>
            <w:tcW w:w="360" w:type="dxa"/>
            <w:tcBorders>
              <w:right w:val="dashSmallGap" w:sz="4" w:space="0" w:color="auto"/>
            </w:tcBorders>
          </w:tcPr>
          <w:p>
            <w:pPr>
              <w:ind w:right="-29"/>
              <w:jc w:val="center"/>
              <w:rPr>
                <w:noProof/>
                <w:sz w:val="22"/>
              </w:rPr>
            </w:pPr>
            <w:r>
              <w:rPr>
                <w:noProof/>
                <w:sz w:val="22"/>
              </w:rPr>
              <w:t>0</w:t>
            </w:r>
          </w:p>
        </w:tc>
        <w:tc>
          <w:tcPr>
            <w:tcW w:w="840" w:type="dxa"/>
            <w:tcBorders>
              <w:left w:val="dashSmallGap" w:sz="4" w:space="0" w:color="auto"/>
            </w:tcBorders>
          </w:tcPr>
          <w:p>
            <w:pPr>
              <w:ind w:right="-29"/>
              <w:jc w:val="center"/>
              <w:rPr>
                <w:noProof/>
                <w:sz w:val="22"/>
              </w:rPr>
            </w:pPr>
            <w:r>
              <w:rPr>
                <w:noProof/>
                <w:sz w:val="22"/>
              </w:rPr>
              <w:t>0</w:t>
            </w:r>
          </w:p>
        </w:tc>
        <w:tc>
          <w:tcPr>
            <w:tcW w:w="360" w:type="dxa"/>
            <w:tcBorders>
              <w:right w:val="dashSmallGap" w:sz="4" w:space="0" w:color="auto"/>
            </w:tcBorders>
          </w:tcPr>
          <w:p>
            <w:pPr>
              <w:ind w:right="-29"/>
              <w:jc w:val="center"/>
              <w:rPr>
                <w:noProof/>
                <w:sz w:val="22"/>
              </w:rPr>
            </w:pPr>
            <w:r>
              <w:rPr>
                <w:noProof/>
                <w:sz w:val="22"/>
              </w:rPr>
              <w:t>0</w:t>
            </w:r>
          </w:p>
        </w:tc>
        <w:tc>
          <w:tcPr>
            <w:tcW w:w="840" w:type="dxa"/>
            <w:tcBorders>
              <w:left w:val="dashSmallGap" w:sz="4" w:space="0" w:color="auto"/>
            </w:tcBorders>
          </w:tcPr>
          <w:p>
            <w:pPr>
              <w:ind w:right="-29"/>
              <w:jc w:val="center"/>
              <w:rPr>
                <w:noProof/>
                <w:sz w:val="22"/>
              </w:rPr>
            </w:pPr>
            <w:r>
              <w:rPr>
                <w:noProof/>
                <w:sz w:val="22"/>
              </w:rPr>
              <w:t>0</w:t>
            </w:r>
          </w:p>
        </w:tc>
        <w:tc>
          <w:tcPr>
            <w:tcW w:w="360" w:type="dxa"/>
            <w:tcBorders>
              <w:right w:val="dashSmallGap" w:sz="4" w:space="0" w:color="auto"/>
            </w:tcBorders>
          </w:tcPr>
          <w:p>
            <w:pPr>
              <w:ind w:right="-29"/>
              <w:jc w:val="center"/>
              <w:rPr>
                <w:noProof/>
                <w:sz w:val="22"/>
                <w:szCs w:val="18"/>
              </w:rPr>
            </w:pPr>
            <w:r>
              <w:rPr>
                <w:noProof/>
                <w:sz w:val="22"/>
              </w:rPr>
              <w:t>0</w:t>
            </w:r>
          </w:p>
        </w:tc>
        <w:tc>
          <w:tcPr>
            <w:tcW w:w="840" w:type="dxa"/>
            <w:tcBorders>
              <w:left w:val="dashSmallGap" w:sz="4" w:space="0" w:color="auto"/>
              <w:bottom w:val="single" w:sz="4" w:space="0" w:color="auto"/>
            </w:tcBorders>
          </w:tcPr>
          <w:p>
            <w:pPr>
              <w:ind w:right="-29"/>
              <w:jc w:val="center"/>
              <w:rPr>
                <w:noProof/>
                <w:sz w:val="22"/>
                <w:szCs w:val="18"/>
              </w:rPr>
            </w:pPr>
            <w:r>
              <w:rPr>
                <w:noProof/>
                <w:sz w:val="22"/>
              </w:rPr>
              <w:t>0</w:t>
            </w:r>
          </w:p>
        </w:tc>
        <w:tc>
          <w:tcPr>
            <w:tcW w:w="360" w:type="dxa"/>
            <w:tcBorders>
              <w:right w:val="dashSmallGap" w:sz="4" w:space="0" w:color="auto"/>
            </w:tcBorders>
          </w:tcPr>
          <w:p>
            <w:pPr>
              <w:ind w:right="-29"/>
              <w:jc w:val="center"/>
              <w:rPr>
                <w:noProof/>
                <w:sz w:val="22"/>
                <w:szCs w:val="18"/>
              </w:rPr>
            </w:pPr>
          </w:p>
        </w:tc>
        <w:tc>
          <w:tcPr>
            <w:tcW w:w="1320" w:type="dxa"/>
            <w:tcBorders>
              <w:left w:val="dashSmallGap" w:sz="4" w:space="0" w:color="auto"/>
              <w:bottom w:val="single" w:sz="4" w:space="0" w:color="auto"/>
              <w:right w:val="single" w:sz="12" w:space="0" w:color="auto"/>
            </w:tcBorders>
          </w:tcPr>
          <w:p>
            <w:pPr>
              <w:ind w:right="-29"/>
              <w:jc w:val="center"/>
              <w:rPr>
                <w:noProof/>
                <w:sz w:val="22"/>
                <w:szCs w:val="18"/>
              </w:rPr>
            </w:pPr>
            <w:r>
              <w:rPr>
                <w:noProof/>
                <w:sz w:val="22"/>
                <w:szCs w:val="18"/>
              </w:rPr>
              <w:t>2,383</w:t>
            </w:r>
          </w:p>
        </w:tc>
      </w:tr>
      <w:tr>
        <w:trPr>
          <w:jc w:val="center"/>
        </w:trPr>
        <w:tc>
          <w:tcPr>
            <w:tcW w:w="2802" w:type="dxa"/>
            <w:gridSpan w:val="3"/>
            <w:tcBorders>
              <w:left w:val="single" w:sz="12" w:space="0" w:color="auto"/>
              <w:bottom w:val="single" w:sz="12" w:space="0" w:color="auto"/>
            </w:tcBorders>
            <w:vAlign w:val="center"/>
          </w:tcPr>
          <w:p>
            <w:pPr>
              <w:ind w:right="-29"/>
              <w:jc w:val="center"/>
              <w:rPr>
                <w:noProof/>
                <w:sz w:val="18"/>
                <w:szCs w:val="18"/>
              </w:rPr>
            </w:pPr>
            <w:r>
              <w:rPr>
                <w:noProof/>
                <w:sz w:val="18"/>
              </w:rPr>
              <w:t>Subtotal for specific objective No 1</w:t>
            </w:r>
          </w:p>
        </w:tc>
        <w:tc>
          <w:tcPr>
            <w:tcW w:w="303" w:type="dxa"/>
            <w:tcBorders>
              <w:bottom w:val="single" w:sz="12" w:space="0" w:color="auto"/>
              <w:right w:val="dashSmallGap" w:sz="4" w:space="0" w:color="auto"/>
            </w:tcBorders>
          </w:tcPr>
          <w:p>
            <w:pPr>
              <w:ind w:right="-29"/>
              <w:jc w:val="center"/>
              <w:rPr>
                <w:b/>
                <w:noProof/>
                <w:sz w:val="22"/>
                <w:szCs w:val="18"/>
              </w:rPr>
            </w:pPr>
            <w:r>
              <w:rPr>
                <w:b/>
                <w:noProof/>
                <w:sz w:val="22"/>
              </w:rPr>
              <w:t>0</w:t>
            </w:r>
          </w:p>
        </w:tc>
        <w:tc>
          <w:tcPr>
            <w:tcW w:w="867" w:type="dxa"/>
            <w:tcBorders>
              <w:left w:val="dashSmallGap" w:sz="4" w:space="0" w:color="auto"/>
              <w:bottom w:val="single" w:sz="12" w:space="0" w:color="auto"/>
            </w:tcBorders>
          </w:tcPr>
          <w:p>
            <w:pPr>
              <w:ind w:right="-29"/>
              <w:jc w:val="center"/>
              <w:rPr>
                <w:b/>
                <w:noProof/>
                <w:sz w:val="22"/>
                <w:szCs w:val="18"/>
              </w:rPr>
            </w:pPr>
            <w:r>
              <w:rPr>
                <w:b/>
                <w:noProof/>
                <w:sz w:val="22"/>
              </w:rPr>
              <w:t>0</w:t>
            </w:r>
          </w:p>
        </w:tc>
        <w:tc>
          <w:tcPr>
            <w:tcW w:w="330" w:type="dxa"/>
            <w:tcBorders>
              <w:bottom w:val="single" w:sz="12" w:space="0" w:color="auto"/>
              <w:right w:val="dashSmallGap" w:sz="4" w:space="0" w:color="auto"/>
            </w:tcBorders>
          </w:tcPr>
          <w:p>
            <w:pPr>
              <w:ind w:right="-29"/>
              <w:jc w:val="center"/>
              <w:rPr>
                <w:b/>
                <w:noProof/>
                <w:sz w:val="22"/>
                <w:szCs w:val="18"/>
              </w:rPr>
            </w:pPr>
            <w:r>
              <w:rPr>
                <w:b/>
                <w:noProof/>
                <w:sz w:val="22"/>
              </w:rPr>
              <w:t>0</w:t>
            </w:r>
          </w:p>
        </w:tc>
        <w:tc>
          <w:tcPr>
            <w:tcW w:w="840" w:type="dxa"/>
            <w:tcBorders>
              <w:left w:val="dashSmallGap" w:sz="4" w:space="0" w:color="auto"/>
              <w:bottom w:val="single" w:sz="12" w:space="0" w:color="auto"/>
            </w:tcBorders>
          </w:tcPr>
          <w:p>
            <w:pPr>
              <w:ind w:right="-29"/>
              <w:jc w:val="center"/>
              <w:rPr>
                <w:b/>
                <w:noProof/>
                <w:sz w:val="22"/>
                <w:szCs w:val="18"/>
              </w:rPr>
            </w:pPr>
            <w:r>
              <w:rPr>
                <w:b/>
                <w:noProof/>
                <w:sz w:val="22"/>
              </w:rPr>
              <w:t>0</w:t>
            </w:r>
          </w:p>
        </w:tc>
        <w:tc>
          <w:tcPr>
            <w:tcW w:w="360" w:type="dxa"/>
            <w:tcBorders>
              <w:bottom w:val="single" w:sz="12" w:space="0" w:color="auto"/>
              <w:right w:val="dashSmallGap" w:sz="4" w:space="0" w:color="auto"/>
            </w:tcBorders>
          </w:tcPr>
          <w:p>
            <w:pPr>
              <w:ind w:right="-29"/>
              <w:jc w:val="center"/>
              <w:rPr>
                <w:b/>
                <w:noProof/>
                <w:sz w:val="22"/>
                <w:szCs w:val="18"/>
              </w:rPr>
            </w:pPr>
            <w:r>
              <w:rPr>
                <w:b/>
                <w:noProof/>
                <w:sz w:val="22"/>
              </w:rPr>
              <w:t>0</w:t>
            </w:r>
          </w:p>
        </w:tc>
        <w:tc>
          <w:tcPr>
            <w:tcW w:w="840" w:type="dxa"/>
            <w:tcBorders>
              <w:left w:val="dashSmallGap" w:sz="4" w:space="0" w:color="auto"/>
              <w:bottom w:val="single" w:sz="12" w:space="0" w:color="auto"/>
            </w:tcBorders>
          </w:tcPr>
          <w:p>
            <w:pPr>
              <w:ind w:right="-29"/>
              <w:jc w:val="center"/>
              <w:rPr>
                <w:b/>
                <w:noProof/>
                <w:sz w:val="22"/>
                <w:szCs w:val="18"/>
              </w:rPr>
            </w:pPr>
            <w:r>
              <w:rPr>
                <w:b/>
                <w:noProof/>
                <w:sz w:val="22"/>
              </w:rPr>
              <w:t>0</w:t>
            </w:r>
          </w:p>
        </w:tc>
        <w:tc>
          <w:tcPr>
            <w:tcW w:w="596" w:type="dxa"/>
            <w:tcBorders>
              <w:bottom w:val="single" w:sz="12" w:space="0" w:color="auto"/>
              <w:right w:val="dashSmallGap" w:sz="4" w:space="0" w:color="auto"/>
            </w:tcBorders>
          </w:tcPr>
          <w:p>
            <w:pPr>
              <w:ind w:right="-29"/>
              <w:jc w:val="center"/>
              <w:rPr>
                <w:b/>
                <w:noProof/>
                <w:sz w:val="22"/>
                <w:szCs w:val="18"/>
              </w:rPr>
            </w:pPr>
            <w:r>
              <w:rPr>
                <w:b/>
                <w:noProof/>
                <w:sz w:val="22"/>
              </w:rPr>
              <w:t>0.8</w:t>
            </w:r>
          </w:p>
        </w:tc>
        <w:tc>
          <w:tcPr>
            <w:tcW w:w="840" w:type="dxa"/>
            <w:tcBorders>
              <w:left w:val="dashSmallGap" w:sz="4" w:space="0" w:color="auto"/>
              <w:bottom w:val="single" w:sz="12" w:space="0" w:color="auto"/>
            </w:tcBorders>
          </w:tcPr>
          <w:p>
            <w:pPr>
              <w:ind w:right="-29"/>
              <w:jc w:val="center"/>
              <w:rPr>
                <w:b/>
                <w:noProof/>
                <w:sz w:val="22"/>
                <w:szCs w:val="18"/>
              </w:rPr>
            </w:pPr>
            <w:r>
              <w:rPr>
                <w:b/>
                <w:noProof/>
                <w:sz w:val="22"/>
              </w:rPr>
              <w:t>0,183</w:t>
            </w:r>
          </w:p>
        </w:tc>
        <w:tc>
          <w:tcPr>
            <w:tcW w:w="596" w:type="dxa"/>
            <w:tcBorders>
              <w:bottom w:val="single" w:sz="12" w:space="0" w:color="auto"/>
              <w:right w:val="dashSmallGap" w:sz="4" w:space="0" w:color="auto"/>
            </w:tcBorders>
          </w:tcPr>
          <w:p>
            <w:pPr>
              <w:ind w:right="-29"/>
              <w:jc w:val="center"/>
              <w:rPr>
                <w:b/>
                <w:noProof/>
                <w:sz w:val="22"/>
                <w:szCs w:val="18"/>
              </w:rPr>
            </w:pPr>
            <w:r>
              <w:rPr>
                <w:b/>
                <w:noProof/>
                <w:sz w:val="22"/>
              </w:rPr>
              <w:t>10</w:t>
            </w:r>
          </w:p>
        </w:tc>
        <w:tc>
          <w:tcPr>
            <w:tcW w:w="792" w:type="dxa"/>
            <w:tcBorders>
              <w:left w:val="dashSmallGap" w:sz="4" w:space="0" w:color="auto"/>
              <w:bottom w:val="single" w:sz="12" w:space="0" w:color="auto"/>
            </w:tcBorders>
          </w:tcPr>
          <w:p>
            <w:pPr>
              <w:ind w:right="-29"/>
              <w:rPr>
                <w:b/>
                <w:noProof/>
                <w:sz w:val="22"/>
              </w:rPr>
            </w:pPr>
            <w:r>
              <w:rPr>
                <w:b/>
                <w:noProof/>
                <w:sz w:val="22"/>
              </w:rPr>
              <w:t>2,200</w:t>
            </w:r>
          </w:p>
        </w:tc>
        <w:tc>
          <w:tcPr>
            <w:tcW w:w="360" w:type="dxa"/>
            <w:tcBorders>
              <w:bottom w:val="single" w:sz="12" w:space="0" w:color="auto"/>
              <w:right w:val="dashSmallGap" w:sz="4" w:space="0" w:color="auto"/>
            </w:tcBorders>
          </w:tcPr>
          <w:p>
            <w:pPr>
              <w:ind w:right="-29"/>
              <w:jc w:val="center"/>
              <w:rPr>
                <w:b/>
                <w:noProof/>
                <w:sz w:val="22"/>
              </w:rPr>
            </w:pPr>
            <w:r>
              <w:rPr>
                <w:b/>
                <w:noProof/>
                <w:sz w:val="22"/>
              </w:rPr>
              <w:t>0</w:t>
            </w:r>
          </w:p>
        </w:tc>
        <w:tc>
          <w:tcPr>
            <w:tcW w:w="720" w:type="dxa"/>
            <w:tcBorders>
              <w:left w:val="dashSmallGap" w:sz="4" w:space="0" w:color="auto"/>
              <w:bottom w:val="single" w:sz="12" w:space="0" w:color="auto"/>
            </w:tcBorders>
          </w:tcPr>
          <w:p>
            <w:pPr>
              <w:ind w:right="-29"/>
              <w:jc w:val="center"/>
              <w:rPr>
                <w:b/>
                <w:noProof/>
                <w:sz w:val="22"/>
              </w:rPr>
            </w:pPr>
            <w:r>
              <w:rPr>
                <w:b/>
                <w:noProof/>
                <w:sz w:val="22"/>
              </w:rPr>
              <w:t>0</w:t>
            </w:r>
          </w:p>
        </w:tc>
        <w:tc>
          <w:tcPr>
            <w:tcW w:w="360" w:type="dxa"/>
            <w:tcBorders>
              <w:bottom w:val="single" w:sz="12" w:space="0" w:color="auto"/>
              <w:right w:val="dashSmallGap" w:sz="4" w:space="0" w:color="auto"/>
            </w:tcBorders>
          </w:tcPr>
          <w:p>
            <w:pPr>
              <w:ind w:right="-29"/>
              <w:jc w:val="center"/>
              <w:rPr>
                <w:b/>
                <w:noProof/>
                <w:sz w:val="22"/>
              </w:rPr>
            </w:pPr>
            <w:r>
              <w:rPr>
                <w:b/>
                <w:noProof/>
                <w:sz w:val="22"/>
              </w:rPr>
              <w:t>0</w:t>
            </w:r>
          </w:p>
        </w:tc>
        <w:tc>
          <w:tcPr>
            <w:tcW w:w="840" w:type="dxa"/>
            <w:tcBorders>
              <w:left w:val="dashSmallGap" w:sz="4" w:space="0" w:color="auto"/>
              <w:bottom w:val="single" w:sz="12" w:space="0" w:color="auto"/>
            </w:tcBorders>
          </w:tcPr>
          <w:p>
            <w:pPr>
              <w:ind w:right="-29"/>
              <w:jc w:val="center"/>
              <w:rPr>
                <w:b/>
                <w:noProof/>
                <w:sz w:val="22"/>
              </w:rPr>
            </w:pPr>
            <w:r>
              <w:rPr>
                <w:b/>
                <w:noProof/>
                <w:sz w:val="22"/>
              </w:rPr>
              <w:t>0</w:t>
            </w:r>
          </w:p>
        </w:tc>
        <w:tc>
          <w:tcPr>
            <w:tcW w:w="360" w:type="dxa"/>
            <w:tcBorders>
              <w:bottom w:val="single" w:sz="12" w:space="0" w:color="auto"/>
              <w:right w:val="dashSmallGap" w:sz="4" w:space="0" w:color="auto"/>
            </w:tcBorders>
          </w:tcPr>
          <w:p>
            <w:pPr>
              <w:ind w:right="-29"/>
              <w:jc w:val="center"/>
              <w:rPr>
                <w:b/>
                <w:noProof/>
                <w:sz w:val="22"/>
              </w:rPr>
            </w:pPr>
            <w:r>
              <w:rPr>
                <w:b/>
                <w:noProof/>
                <w:sz w:val="22"/>
              </w:rPr>
              <w:t>0</w:t>
            </w:r>
          </w:p>
        </w:tc>
        <w:tc>
          <w:tcPr>
            <w:tcW w:w="840" w:type="dxa"/>
            <w:tcBorders>
              <w:left w:val="dashSmallGap" w:sz="4" w:space="0" w:color="auto"/>
              <w:bottom w:val="single" w:sz="12" w:space="0" w:color="auto"/>
            </w:tcBorders>
          </w:tcPr>
          <w:p>
            <w:pPr>
              <w:ind w:right="-29"/>
              <w:jc w:val="center"/>
              <w:rPr>
                <w:b/>
                <w:noProof/>
                <w:sz w:val="22"/>
              </w:rPr>
            </w:pPr>
            <w:r>
              <w:rPr>
                <w:b/>
                <w:noProof/>
                <w:sz w:val="22"/>
              </w:rPr>
              <w:t>0</w:t>
            </w:r>
          </w:p>
        </w:tc>
        <w:tc>
          <w:tcPr>
            <w:tcW w:w="360" w:type="dxa"/>
            <w:tcBorders>
              <w:bottom w:val="single" w:sz="12" w:space="0" w:color="auto"/>
              <w:right w:val="dashSmallGap" w:sz="4" w:space="0" w:color="auto"/>
            </w:tcBorders>
          </w:tcPr>
          <w:p>
            <w:pPr>
              <w:ind w:right="-29"/>
              <w:jc w:val="center"/>
              <w:rPr>
                <w:b/>
                <w:noProof/>
                <w:sz w:val="22"/>
              </w:rPr>
            </w:pPr>
            <w:r>
              <w:rPr>
                <w:b/>
                <w:noProof/>
                <w:sz w:val="22"/>
              </w:rPr>
              <w:t>0</w:t>
            </w:r>
          </w:p>
        </w:tc>
        <w:tc>
          <w:tcPr>
            <w:tcW w:w="840" w:type="dxa"/>
            <w:tcBorders>
              <w:left w:val="dashSmallGap" w:sz="4" w:space="0" w:color="auto"/>
              <w:bottom w:val="single" w:sz="12" w:space="0" w:color="auto"/>
            </w:tcBorders>
          </w:tcPr>
          <w:p>
            <w:pPr>
              <w:ind w:right="-29"/>
              <w:jc w:val="center"/>
              <w:rPr>
                <w:b/>
                <w:noProof/>
                <w:sz w:val="22"/>
              </w:rPr>
            </w:pPr>
            <w:r>
              <w:rPr>
                <w:b/>
                <w:noProof/>
                <w:sz w:val="22"/>
              </w:rPr>
              <w:t>0</w:t>
            </w:r>
          </w:p>
        </w:tc>
        <w:tc>
          <w:tcPr>
            <w:tcW w:w="360" w:type="dxa"/>
            <w:tcBorders>
              <w:bottom w:val="single" w:sz="12" w:space="0" w:color="auto"/>
              <w:right w:val="dashSmallGap" w:sz="4" w:space="0" w:color="auto"/>
            </w:tcBorders>
          </w:tcPr>
          <w:p>
            <w:pPr>
              <w:ind w:right="-29"/>
              <w:jc w:val="center"/>
              <w:rPr>
                <w:noProof/>
                <w:sz w:val="22"/>
                <w:szCs w:val="18"/>
              </w:rPr>
            </w:pPr>
          </w:p>
        </w:tc>
        <w:tc>
          <w:tcPr>
            <w:tcW w:w="1320" w:type="dxa"/>
            <w:tcBorders>
              <w:left w:val="dashSmallGap" w:sz="4" w:space="0" w:color="auto"/>
              <w:bottom w:val="single" w:sz="12" w:space="0" w:color="auto"/>
              <w:right w:val="single" w:sz="12" w:space="0" w:color="auto"/>
            </w:tcBorders>
          </w:tcPr>
          <w:p>
            <w:pPr>
              <w:ind w:right="-29"/>
              <w:jc w:val="center"/>
              <w:rPr>
                <w:b/>
                <w:noProof/>
                <w:sz w:val="22"/>
                <w:szCs w:val="18"/>
              </w:rPr>
            </w:pPr>
            <w:r>
              <w:rPr>
                <w:b/>
                <w:noProof/>
                <w:sz w:val="22"/>
                <w:szCs w:val="18"/>
              </w:rPr>
              <w:t>2,383</w:t>
            </w:r>
          </w:p>
        </w:tc>
      </w:tr>
    </w:tbl>
    <w:p>
      <w:pPr>
        <w:keepNext/>
        <w:rPr>
          <w:noProof/>
        </w:rPr>
      </w:pPr>
      <w:r>
        <w:rPr>
          <w:noProof/>
        </w:rPr>
        <w:t>These expenditures will cover:</w:t>
      </w:r>
    </w:p>
    <w:p>
      <w:pPr>
        <w:rPr>
          <w:noProof/>
        </w:rPr>
      </w:pPr>
      <w:r>
        <w:rPr>
          <w:noProof/>
        </w:rPr>
        <w:t>- The recruitment of a sufficient additional manpower (estimate of about 10 experts) to the existing internal staff (estimated at about 20 persons) who will be hosted in the EBCG in order to validate links. There is only one month of recruitment before the start date planned to reach the required staffing levels.</w:t>
      </w:r>
    </w:p>
    <w:p>
      <w:pPr>
        <w:rPr>
          <w:noProof/>
        </w:rPr>
      </w:pPr>
      <w:r>
        <w:rPr>
          <w:noProof/>
        </w:rPr>
        <w:t xml:space="preserve">- There are no other contractor costs estimated. The software required is part of the shared BMS licence costs. There is no specific hardware processing capacity. The contractor personnel are assumed to be hosted by EBCG. It is therefore that, under Title 2 expenses, the annual cost of 12 square metres is added on average per person.  </w:t>
      </w:r>
    </w:p>
    <w:p>
      <w:pPr>
        <w:spacing w:before="0" w:after="200" w:line="276" w:lineRule="auto"/>
        <w:jc w:val="left"/>
        <w:rPr>
          <w:noProof/>
        </w:rPr>
      </w:pPr>
      <w:r>
        <w:rPr>
          <w:noProof/>
        </w:rPr>
        <w:br w:type="page"/>
      </w:r>
    </w:p>
    <w:p>
      <w:pPr>
        <w:rPr>
          <w:noProof/>
        </w:rPr>
      </w:pPr>
    </w:p>
    <w:p>
      <w:pPr>
        <w:pStyle w:val="ManualHeading4"/>
        <w:rPr>
          <w:noProof/>
        </w:rPr>
      </w:pPr>
      <w:r>
        <w:t>3.2.2.2.</w:t>
      </w:r>
      <w:r>
        <w:tab/>
      </w:r>
      <w:r>
        <w:rPr>
          <w:noProof/>
        </w:rPr>
        <w:t>Estimated impact on Europol's appropriations</w:t>
      </w:r>
    </w:p>
    <w:p>
      <w:pPr>
        <w:pStyle w:val="ListDash1"/>
        <w:keepNext/>
        <w:rPr>
          <w:noProof/>
        </w:rPr>
      </w:pPr>
      <w:r>
        <w:rPr>
          <w:noProof/>
        </w:rPr>
        <w:sym w:font="Wingdings" w:char="F0A8"/>
      </w:r>
      <w:r>
        <w:rPr>
          <w:noProof/>
        </w:rPr>
        <w:tab/>
        <w:t xml:space="preserve">The proposal/initiative does not require the use of operational appropriations </w:t>
      </w:r>
    </w:p>
    <w:p>
      <w:pPr>
        <w:pStyle w:val="ListDash1"/>
        <w:keepNext/>
        <w:rPr>
          <w:noProof/>
        </w:rPr>
      </w:pPr>
      <w:r>
        <w:rPr>
          <w:noProof/>
        </w:rPr>
        <w:sym w:font="Wingdings" w:char="F078"/>
      </w:r>
      <w:r>
        <w:rPr>
          <w:noProof/>
        </w:rPr>
        <w:tab/>
        <w:t>The proposal/initiative requires the use of operational appropriations, as explained below:</w:t>
      </w:r>
    </w:p>
    <w:p>
      <w:pPr>
        <w:keepNext/>
        <w:jc w:val="right"/>
        <w:rPr>
          <w:noProof/>
          <w:sz w:val="20"/>
        </w:rPr>
      </w:pPr>
      <w:r>
        <w:rPr>
          <w:noProof/>
          <w:sz w:val="20"/>
        </w:rPr>
        <w:t>Commitment appropriations in EUR million (to three decimal places)</w:t>
      </w:r>
    </w:p>
    <w:tbl>
      <w:tblPr>
        <w:tblW w:w="150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22"/>
        <w:gridCol w:w="721"/>
        <w:gridCol w:w="659"/>
        <w:gridCol w:w="303"/>
        <w:gridCol w:w="867"/>
        <w:gridCol w:w="330"/>
        <w:gridCol w:w="840"/>
        <w:gridCol w:w="360"/>
        <w:gridCol w:w="840"/>
        <w:gridCol w:w="360"/>
        <w:gridCol w:w="840"/>
        <w:gridCol w:w="360"/>
        <w:gridCol w:w="792"/>
        <w:gridCol w:w="360"/>
        <w:gridCol w:w="720"/>
        <w:gridCol w:w="360"/>
        <w:gridCol w:w="840"/>
        <w:gridCol w:w="360"/>
        <w:gridCol w:w="840"/>
        <w:gridCol w:w="360"/>
        <w:gridCol w:w="840"/>
        <w:gridCol w:w="360"/>
        <w:gridCol w:w="1320"/>
      </w:tblGrid>
      <w:tr>
        <w:trPr>
          <w:jc w:val="center"/>
        </w:trPr>
        <w:tc>
          <w:tcPr>
            <w:tcW w:w="1422" w:type="dxa"/>
            <w:vMerge w:val="restart"/>
            <w:tcBorders>
              <w:top w:val="single" w:sz="12" w:space="0" w:color="auto"/>
              <w:left w:val="single" w:sz="12" w:space="0" w:color="auto"/>
            </w:tcBorders>
            <w:vAlign w:val="center"/>
          </w:tcPr>
          <w:p>
            <w:pPr>
              <w:keepNext/>
              <w:ind w:right="-29"/>
              <w:jc w:val="center"/>
              <w:rPr>
                <w:b/>
                <w:noProof/>
                <w:sz w:val="18"/>
                <w:szCs w:val="18"/>
              </w:rPr>
            </w:pPr>
            <w:r>
              <w:rPr>
                <w:b/>
                <w:noProof/>
                <w:sz w:val="18"/>
              </w:rPr>
              <w:t xml:space="preserve">Indicate objectives and outputs </w:t>
            </w:r>
          </w:p>
          <w:p>
            <w:pPr>
              <w:keepNext/>
              <w:ind w:right="-29"/>
              <w:jc w:val="center"/>
              <w:rPr>
                <w:b/>
                <w:noProof/>
                <w:sz w:val="18"/>
                <w:szCs w:val="18"/>
              </w:rPr>
            </w:pPr>
            <w:r>
              <w:rPr>
                <w:b/>
                <w:noProof/>
                <w:sz w:val="18"/>
                <w:szCs w:val="18"/>
              </w:rPr>
              <w:t>Europol</w:t>
            </w:r>
          </w:p>
          <w:p>
            <w:pPr>
              <w:keepNext/>
              <w:ind w:right="-29"/>
              <w:jc w:val="center"/>
              <w:rPr>
                <w:noProof/>
                <w:sz w:val="18"/>
                <w:szCs w:val="18"/>
              </w:rPr>
            </w:pPr>
            <w:r>
              <w:rPr>
                <w:noProof/>
                <w:sz w:val="18"/>
              </w:rPr>
              <w:sym w:font="Wingdings" w:char="F0F2"/>
            </w:r>
          </w:p>
        </w:tc>
        <w:tc>
          <w:tcPr>
            <w:tcW w:w="721" w:type="dxa"/>
            <w:tcBorders>
              <w:top w:val="single" w:sz="12" w:space="0" w:color="auto"/>
            </w:tcBorders>
            <w:vAlign w:val="center"/>
          </w:tcPr>
          <w:p>
            <w:pPr>
              <w:keepNext/>
              <w:ind w:right="-29"/>
              <w:jc w:val="center"/>
              <w:rPr>
                <w:noProof/>
                <w:sz w:val="18"/>
                <w:szCs w:val="18"/>
              </w:rPr>
            </w:pPr>
          </w:p>
        </w:tc>
        <w:tc>
          <w:tcPr>
            <w:tcW w:w="659" w:type="dxa"/>
            <w:tcBorders>
              <w:top w:val="single" w:sz="12" w:space="0" w:color="auto"/>
            </w:tcBorders>
            <w:vAlign w:val="center"/>
          </w:tcPr>
          <w:p>
            <w:pPr>
              <w:keepNext/>
              <w:ind w:right="-29"/>
              <w:jc w:val="center"/>
              <w:rPr>
                <w:noProof/>
                <w:sz w:val="18"/>
                <w:szCs w:val="18"/>
              </w:rPr>
            </w:pPr>
          </w:p>
        </w:tc>
        <w:tc>
          <w:tcPr>
            <w:tcW w:w="1170" w:type="dxa"/>
            <w:gridSpan w:val="2"/>
            <w:tcBorders>
              <w:top w:val="single" w:sz="12" w:space="0" w:color="auto"/>
              <w:right w:val="single" w:sz="4" w:space="0" w:color="auto"/>
            </w:tcBorders>
            <w:vAlign w:val="center"/>
          </w:tcPr>
          <w:p>
            <w:pPr>
              <w:keepNext/>
              <w:ind w:right="-29"/>
              <w:jc w:val="center"/>
              <w:rPr>
                <w:noProof/>
                <w:sz w:val="18"/>
                <w:szCs w:val="18"/>
              </w:rPr>
            </w:pPr>
            <w:r>
              <w:rPr>
                <w:noProof/>
                <w:sz w:val="18"/>
              </w:rPr>
              <w:t>Year</w:t>
            </w:r>
            <w:r>
              <w:rPr>
                <w:noProof/>
                <w:sz w:val="22"/>
              </w:rPr>
              <w:br/>
            </w:r>
            <w:r>
              <w:rPr>
                <w:b/>
                <w:noProof/>
                <w:sz w:val="18"/>
              </w:rPr>
              <w:t>2019</w:t>
            </w:r>
          </w:p>
        </w:tc>
        <w:tc>
          <w:tcPr>
            <w:tcW w:w="1170" w:type="dxa"/>
            <w:gridSpan w:val="2"/>
            <w:tcBorders>
              <w:top w:val="single" w:sz="12" w:space="0" w:color="auto"/>
              <w:left w:val="single" w:sz="4" w:space="0" w:color="auto"/>
            </w:tcBorders>
            <w:vAlign w:val="center"/>
          </w:tcPr>
          <w:p>
            <w:pPr>
              <w:keepNext/>
              <w:ind w:right="-29"/>
              <w:jc w:val="center"/>
              <w:rPr>
                <w:noProof/>
                <w:sz w:val="18"/>
                <w:szCs w:val="18"/>
              </w:rPr>
            </w:pPr>
            <w:r>
              <w:rPr>
                <w:noProof/>
                <w:sz w:val="18"/>
              </w:rPr>
              <w:t>Year</w:t>
            </w:r>
            <w:r>
              <w:rPr>
                <w:noProof/>
                <w:sz w:val="22"/>
              </w:rPr>
              <w:br/>
            </w:r>
            <w:r>
              <w:rPr>
                <w:b/>
                <w:noProof/>
                <w:sz w:val="18"/>
              </w:rPr>
              <w:t>2020</w:t>
            </w:r>
          </w:p>
        </w:tc>
        <w:tc>
          <w:tcPr>
            <w:tcW w:w="1200" w:type="dxa"/>
            <w:gridSpan w:val="2"/>
            <w:tcBorders>
              <w:top w:val="single" w:sz="12" w:space="0" w:color="auto"/>
            </w:tcBorders>
            <w:vAlign w:val="center"/>
          </w:tcPr>
          <w:p>
            <w:pPr>
              <w:keepNext/>
              <w:ind w:right="-29"/>
              <w:jc w:val="center"/>
              <w:rPr>
                <w:noProof/>
                <w:sz w:val="18"/>
                <w:szCs w:val="18"/>
              </w:rPr>
            </w:pPr>
            <w:r>
              <w:rPr>
                <w:noProof/>
                <w:sz w:val="18"/>
              </w:rPr>
              <w:t>Year</w:t>
            </w:r>
            <w:r>
              <w:rPr>
                <w:noProof/>
                <w:sz w:val="22"/>
              </w:rPr>
              <w:br/>
            </w:r>
            <w:r>
              <w:rPr>
                <w:b/>
                <w:noProof/>
                <w:sz w:val="18"/>
              </w:rPr>
              <w:t>2021</w:t>
            </w:r>
          </w:p>
        </w:tc>
        <w:tc>
          <w:tcPr>
            <w:tcW w:w="1200" w:type="dxa"/>
            <w:gridSpan w:val="2"/>
            <w:tcBorders>
              <w:top w:val="single" w:sz="12" w:space="0" w:color="auto"/>
            </w:tcBorders>
            <w:vAlign w:val="center"/>
          </w:tcPr>
          <w:p>
            <w:pPr>
              <w:keepNext/>
              <w:ind w:right="-29"/>
              <w:jc w:val="center"/>
              <w:rPr>
                <w:noProof/>
                <w:sz w:val="18"/>
                <w:szCs w:val="18"/>
              </w:rPr>
            </w:pPr>
            <w:r>
              <w:rPr>
                <w:noProof/>
                <w:sz w:val="18"/>
              </w:rPr>
              <w:t>Year</w:t>
            </w:r>
            <w:r>
              <w:rPr>
                <w:noProof/>
                <w:sz w:val="22"/>
              </w:rPr>
              <w:br/>
            </w:r>
            <w:r>
              <w:rPr>
                <w:b/>
                <w:noProof/>
                <w:sz w:val="18"/>
              </w:rPr>
              <w:t>2022</w:t>
            </w:r>
          </w:p>
        </w:tc>
        <w:tc>
          <w:tcPr>
            <w:tcW w:w="1152" w:type="dxa"/>
            <w:gridSpan w:val="2"/>
            <w:tcBorders>
              <w:top w:val="single" w:sz="12" w:space="0" w:color="auto"/>
            </w:tcBorders>
            <w:vAlign w:val="center"/>
          </w:tcPr>
          <w:p>
            <w:pPr>
              <w:keepNext/>
              <w:jc w:val="center"/>
              <w:rPr>
                <w:noProof/>
                <w:sz w:val="18"/>
                <w:szCs w:val="18"/>
              </w:rPr>
            </w:pPr>
            <w:r>
              <w:rPr>
                <w:noProof/>
                <w:sz w:val="18"/>
              </w:rPr>
              <w:t>Year</w:t>
            </w:r>
            <w:r>
              <w:rPr>
                <w:noProof/>
                <w:sz w:val="22"/>
              </w:rPr>
              <w:br/>
            </w:r>
            <w:r>
              <w:rPr>
                <w:b/>
                <w:noProof/>
                <w:sz w:val="18"/>
              </w:rPr>
              <w:t>2023</w:t>
            </w:r>
          </w:p>
        </w:tc>
        <w:tc>
          <w:tcPr>
            <w:tcW w:w="1080" w:type="dxa"/>
            <w:gridSpan w:val="2"/>
            <w:tcBorders>
              <w:top w:val="single" w:sz="12" w:space="0" w:color="auto"/>
            </w:tcBorders>
            <w:vAlign w:val="center"/>
          </w:tcPr>
          <w:p>
            <w:pPr>
              <w:keepNext/>
              <w:jc w:val="center"/>
              <w:rPr>
                <w:noProof/>
                <w:sz w:val="18"/>
                <w:szCs w:val="18"/>
              </w:rPr>
            </w:pPr>
            <w:r>
              <w:rPr>
                <w:noProof/>
                <w:sz w:val="18"/>
              </w:rPr>
              <w:t>Year</w:t>
            </w:r>
            <w:r>
              <w:rPr>
                <w:noProof/>
                <w:sz w:val="22"/>
              </w:rPr>
              <w:br/>
            </w:r>
            <w:r>
              <w:rPr>
                <w:b/>
                <w:noProof/>
                <w:sz w:val="18"/>
              </w:rPr>
              <w:t>2024</w:t>
            </w:r>
          </w:p>
        </w:tc>
        <w:tc>
          <w:tcPr>
            <w:tcW w:w="1200" w:type="dxa"/>
            <w:gridSpan w:val="2"/>
            <w:tcBorders>
              <w:top w:val="single" w:sz="12" w:space="0" w:color="auto"/>
            </w:tcBorders>
            <w:vAlign w:val="center"/>
          </w:tcPr>
          <w:p>
            <w:pPr>
              <w:keepNext/>
              <w:jc w:val="center"/>
              <w:rPr>
                <w:noProof/>
                <w:sz w:val="18"/>
                <w:szCs w:val="18"/>
              </w:rPr>
            </w:pPr>
            <w:r>
              <w:rPr>
                <w:noProof/>
                <w:sz w:val="18"/>
              </w:rPr>
              <w:t>Year</w:t>
            </w:r>
            <w:r>
              <w:rPr>
                <w:noProof/>
                <w:sz w:val="22"/>
              </w:rPr>
              <w:br/>
            </w:r>
            <w:r>
              <w:rPr>
                <w:b/>
                <w:noProof/>
                <w:sz w:val="18"/>
              </w:rPr>
              <w:t>2025</w:t>
            </w:r>
          </w:p>
        </w:tc>
        <w:tc>
          <w:tcPr>
            <w:tcW w:w="1200" w:type="dxa"/>
            <w:gridSpan w:val="2"/>
            <w:tcBorders>
              <w:top w:val="single" w:sz="12" w:space="0" w:color="auto"/>
            </w:tcBorders>
          </w:tcPr>
          <w:p>
            <w:pPr>
              <w:keepNext/>
              <w:ind w:right="-29"/>
              <w:jc w:val="center"/>
              <w:rPr>
                <w:b/>
                <w:noProof/>
                <w:sz w:val="18"/>
              </w:rPr>
            </w:pPr>
            <w:r>
              <w:rPr>
                <w:noProof/>
                <w:sz w:val="18"/>
              </w:rPr>
              <w:t>Year</w:t>
            </w:r>
            <w:r>
              <w:rPr>
                <w:noProof/>
                <w:sz w:val="22"/>
              </w:rPr>
              <w:br/>
            </w:r>
            <w:r>
              <w:rPr>
                <w:b/>
                <w:noProof/>
                <w:sz w:val="18"/>
              </w:rPr>
              <w:t>2026</w:t>
            </w:r>
          </w:p>
        </w:tc>
        <w:tc>
          <w:tcPr>
            <w:tcW w:w="1200" w:type="dxa"/>
            <w:gridSpan w:val="2"/>
            <w:tcBorders>
              <w:top w:val="single" w:sz="12" w:space="0" w:color="auto"/>
              <w:right w:val="nil"/>
            </w:tcBorders>
          </w:tcPr>
          <w:p>
            <w:pPr>
              <w:keepNext/>
              <w:ind w:right="-29"/>
              <w:jc w:val="center"/>
              <w:rPr>
                <w:b/>
                <w:noProof/>
                <w:sz w:val="18"/>
              </w:rPr>
            </w:pPr>
            <w:r>
              <w:rPr>
                <w:noProof/>
                <w:sz w:val="18"/>
              </w:rPr>
              <w:t>Year</w:t>
            </w:r>
            <w:r>
              <w:rPr>
                <w:noProof/>
                <w:sz w:val="22"/>
              </w:rPr>
              <w:br/>
            </w:r>
            <w:r>
              <w:rPr>
                <w:b/>
                <w:noProof/>
                <w:sz w:val="18"/>
              </w:rPr>
              <w:t>2027</w:t>
            </w:r>
          </w:p>
        </w:tc>
        <w:tc>
          <w:tcPr>
            <w:tcW w:w="1680" w:type="dxa"/>
            <w:gridSpan w:val="2"/>
            <w:tcBorders>
              <w:top w:val="single" w:sz="12" w:space="0" w:color="auto"/>
              <w:left w:val="single" w:sz="6" w:space="0" w:color="auto"/>
              <w:bottom w:val="single" w:sz="4" w:space="0" w:color="auto"/>
              <w:right w:val="single" w:sz="12" w:space="0" w:color="auto"/>
            </w:tcBorders>
            <w:vAlign w:val="center"/>
          </w:tcPr>
          <w:p>
            <w:pPr>
              <w:keepNext/>
              <w:ind w:right="-29"/>
              <w:jc w:val="center"/>
              <w:rPr>
                <w:noProof/>
                <w:sz w:val="18"/>
                <w:szCs w:val="18"/>
              </w:rPr>
            </w:pPr>
            <w:r>
              <w:rPr>
                <w:b/>
                <w:noProof/>
                <w:sz w:val="18"/>
              </w:rPr>
              <w:t>TOTAL</w:t>
            </w:r>
          </w:p>
        </w:tc>
      </w:tr>
      <w:tr>
        <w:trPr>
          <w:gridAfter w:val="22"/>
          <w:wAfter w:w="13632" w:type="dxa"/>
          <w:trHeight w:val="465"/>
          <w:jc w:val="center"/>
        </w:trPr>
        <w:tc>
          <w:tcPr>
            <w:tcW w:w="1422" w:type="dxa"/>
            <w:vMerge/>
            <w:tcBorders>
              <w:left w:val="single" w:sz="12" w:space="0" w:color="auto"/>
            </w:tcBorders>
            <w:vAlign w:val="center"/>
          </w:tcPr>
          <w:p>
            <w:pPr>
              <w:keepNext/>
              <w:ind w:right="-29"/>
              <w:jc w:val="center"/>
              <w:rPr>
                <w:noProof/>
                <w:sz w:val="18"/>
                <w:szCs w:val="18"/>
              </w:rPr>
            </w:pPr>
          </w:p>
        </w:tc>
      </w:tr>
      <w:tr>
        <w:trPr>
          <w:cantSplit/>
          <w:trHeight w:val="1134"/>
          <w:jc w:val="center"/>
        </w:trPr>
        <w:tc>
          <w:tcPr>
            <w:tcW w:w="1422" w:type="dxa"/>
            <w:vMerge/>
            <w:tcBorders>
              <w:left w:val="single" w:sz="12" w:space="0" w:color="auto"/>
            </w:tcBorders>
            <w:vAlign w:val="center"/>
          </w:tcPr>
          <w:p>
            <w:pPr>
              <w:keepNext/>
              <w:rPr>
                <w:noProof/>
                <w:sz w:val="18"/>
                <w:szCs w:val="18"/>
              </w:rPr>
            </w:pPr>
          </w:p>
        </w:tc>
        <w:tc>
          <w:tcPr>
            <w:tcW w:w="721" w:type="dxa"/>
            <w:vAlign w:val="center"/>
          </w:tcPr>
          <w:p>
            <w:pPr>
              <w:keepNext/>
              <w:jc w:val="center"/>
              <w:rPr>
                <w:noProof/>
                <w:sz w:val="18"/>
                <w:szCs w:val="18"/>
              </w:rPr>
            </w:pPr>
            <w:r>
              <w:rPr>
                <w:noProof/>
                <w:sz w:val="18"/>
              </w:rPr>
              <w:t>Type</w:t>
            </w:r>
            <w:r>
              <w:rPr>
                <w:rStyle w:val="FootnoteReference"/>
                <w:noProof/>
              </w:rPr>
              <w:footnoteReference w:id="91"/>
            </w:r>
          </w:p>
          <w:p>
            <w:pPr>
              <w:keepNext/>
              <w:spacing w:before="0" w:after="0"/>
              <w:jc w:val="center"/>
              <w:rPr>
                <w:noProof/>
                <w:sz w:val="18"/>
                <w:szCs w:val="18"/>
              </w:rPr>
            </w:pPr>
          </w:p>
        </w:tc>
        <w:tc>
          <w:tcPr>
            <w:tcW w:w="659" w:type="dxa"/>
            <w:tcBorders>
              <w:right w:val="single" w:sz="4" w:space="0" w:color="auto"/>
            </w:tcBorders>
            <w:vAlign w:val="center"/>
          </w:tcPr>
          <w:p>
            <w:pPr>
              <w:keepNext/>
              <w:jc w:val="center"/>
              <w:rPr>
                <w:noProof/>
                <w:sz w:val="18"/>
                <w:szCs w:val="18"/>
              </w:rPr>
            </w:pPr>
            <w:r>
              <w:rPr>
                <w:noProof/>
                <w:sz w:val="18"/>
              </w:rPr>
              <w:t>Average cost</w:t>
            </w:r>
          </w:p>
        </w:tc>
        <w:tc>
          <w:tcPr>
            <w:tcW w:w="303" w:type="dxa"/>
            <w:tcBorders>
              <w:top w:val="dotted" w:sz="4" w:space="0" w:color="auto"/>
              <w:left w:val="single" w:sz="4" w:space="0" w:color="auto"/>
              <w:bottom w:val="dotted" w:sz="4" w:space="0" w:color="auto"/>
              <w:right w:val="nil"/>
            </w:tcBorders>
            <w:shd w:val="pct10" w:color="auto" w:fill="auto"/>
            <w:textDirection w:val="btLr"/>
            <w:vAlign w:val="center"/>
          </w:tcPr>
          <w:p>
            <w:pPr>
              <w:keepNext/>
              <w:ind w:left="113" w:right="113"/>
              <w:jc w:val="center"/>
              <w:rPr>
                <w:noProof/>
                <w:sz w:val="18"/>
              </w:rPr>
            </w:pPr>
            <w:r>
              <w:rPr>
                <w:noProof/>
                <w:sz w:val="18"/>
              </w:rPr>
              <w:t>No</w:t>
            </w:r>
          </w:p>
        </w:tc>
        <w:tc>
          <w:tcPr>
            <w:tcW w:w="867" w:type="dxa"/>
            <w:tcBorders>
              <w:left w:val="nil"/>
              <w:right w:val="single" w:sz="4" w:space="0" w:color="auto"/>
            </w:tcBorders>
            <w:shd w:val="pct10" w:color="auto" w:fill="auto"/>
            <w:vAlign w:val="center"/>
          </w:tcPr>
          <w:p>
            <w:pPr>
              <w:keepNext/>
              <w:jc w:val="center"/>
              <w:rPr>
                <w:noProof/>
                <w:sz w:val="18"/>
              </w:rPr>
            </w:pPr>
            <w:r>
              <w:rPr>
                <w:noProof/>
                <w:sz w:val="18"/>
              </w:rPr>
              <w:t>Cost</w:t>
            </w:r>
          </w:p>
        </w:tc>
        <w:tc>
          <w:tcPr>
            <w:tcW w:w="330" w:type="dxa"/>
            <w:tcBorders>
              <w:left w:val="single" w:sz="4" w:space="0" w:color="auto"/>
              <w:right w:val="dashSmallGap" w:sz="4" w:space="0" w:color="auto"/>
            </w:tcBorders>
            <w:shd w:val="pct10" w:color="auto" w:fill="auto"/>
            <w:textDirection w:val="btLr"/>
            <w:vAlign w:val="center"/>
          </w:tcPr>
          <w:p>
            <w:pPr>
              <w:keepNext/>
              <w:ind w:left="113" w:right="113"/>
              <w:jc w:val="center"/>
              <w:rPr>
                <w:noProof/>
                <w:sz w:val="18"/>
                <w:szCs w:val="18"/>
              </w:rPr>
            </w:pPr>
            <w:r>
              <w:rPr>
                <w:noProof/>
                <w:sz w:val="18"/>
              </w:rPr>
              <w:t>No</w:t>
            </w:r>
          </w:p>
        </w:tc>
        <w:tc>
          <w:tcPr>
            <w:tcW w:w="840" w:type="dxa"/>
            <w:tcBorders>
              <w:left w:val="dashSmallGap" w:sz="4" w:space="0" w:color="auto"/>
            </w:tcBorders>
            <w:shd w:val="pct10" w:color="auto" w:fill="auto"/>
            <w:vAlign w:val="center"/>
          </w:tcPr>
          <w:p>
            <w:pPr>
              <w:keepNext/>
              <w:jc w:val="center"/>
              <w:rPr>
                <w:noProof/>
                <w:sz w:val="18"/>
                <w:szCs w:val="18"/>
              </w:rPr>
            </w:pPr>
            <w:r>
              <w:rPr>
                <w:noProof/>
                <w:sz w:val="18"/>
              </w:rPr>
              <w:t>Cost</w:t>
            </w:r>
          </w:p>
        </w:tc>
        <w:tc>
          <w:tcPr>
            <w:tcW w:w="360" w:type="dxa"/>
            <w:tcBorders>
              <w:right w:val="dashSmallGap" w:sz="4" w:space="0" w:color="auto"/>
            </w:tcBorders>
            <w:shd w:val="pct10" w:color="auto" w:fill="auto"/>
            <w:textDirection w:val="btLr"/>
            <w:vAlign w:val="center"/>
          </w:tcPr>
          <w:p>
            <w:pPr>
              <w:keepNext/>
              <w:ind w:left="113" w:right="113"/>
              <w:jc w:val="center"/>
              <w:rPr>
                <w:noProof/>
                <w:sz w:val="18"/>
                <w:szCs w:val="18"/>
              </w:rPr>
            </w:pPr>
            <w:r>
              <w:rPr>
                <w:noProof/>
                <w:sz w:val="18"/>
              </w:rPr>
              <w:t>No</w:t>
            </w:r>
          </w:p>
        </w:tc>
        <w:tc>
          <w:tcPr>
            <w:tcW w:w="840" w:type="dxa"/>
            <w:tcBorders>
              <w:left w:val="dashSmallGap" w:sz="4" w:space="0" w:color="auto"/>
            </w:tcBorders>
            <w:shd w:val="pct10" w:color="auto" w:fill="auto"/>
            <w:vAlign w:val="center"/>
          </w:tcPr>
          <w:p>
            <w:pPr>
              <w:keepNext/>
              <w:jc w:val="center"/>
              <w:rPr>
                <w:noProof/>
                <w:sz w:val="18"/>
                <w:szCs w:val="18"/>
              </w:rPr>
            </w:pPr>
            <w:r>
              <w:rPr>
                <w:noProof/>
                <w:sz w:val="18"/>
              </w:rPr>
              <w:t>Cost</w:t>
            </w:r>
          </w:p>
        </w:tc>
        <w:tc>
          <w:tcPr>
            <w:tcW w:w="360" w:type="dxa"/>
            <w:tcBorders>
              <w:right w:val="dashSmallGap" w:sz="4" w:space="0" w:color="auto"/>
            </w:tcBorders>
            <w:shd w:val="pct10" w:color="auto" w:fill="auto"/>
            <w:textDirection w:val="btLr"/>
            <w:vAlign w:val="center"/>
          </w:tcPr>
          <w:p>
            <w:pPr>
              <w:keepNext/>
              <w:ind w:left="113" w:right="113"/>
              <w:jc w:val="center"/>
              <w:rPr>
                <w:noProof/>
                <w:sz w:val="18"/>
                <w:szCs w:val="18"/>
              </w:rPr>
            </w:pPr>
            <w:r>
              <w:rPr>
                <w:noProof/>
                <w:sz w:val="18"/>
              </w:rPr>
              <w:t>No</w:t>
            </w:r>
          </w:p>
        </w:tc>
        <w:tc>
          <w:tcPr>
            <w:tcW w:w="840" w:type="dxa"/>
            <w:tcBorders>
              <w:left w:val="dashSmallGap" w:sz="4" w:space="0" w:color="auto"/>
            </w:tcBorders>
            <w:shd w:val="pct10" w:color="auto" w:fill="auto"/>
            <w:vAlign w:val="center"/>
          </w:tcPr>
          <w:p>
            <w:pPr>
              <w:keepNext/>
              <w:jc w:val="center"/>
              <w:rPr>
                <w:noProof/>
                <w:sz w:val="18"/>
                <w:szCs w:val="18"/>
              </w:rPr>
            </w:pPr>
            <w:r>
              <w:rPr>
                <w:noProof/>
                <w:sz w:val="18"/>
              </w:rPr>
              <w:t>Cost</w:t>
            </w:r>
          </w:p>
        </w:tc>
        <w:tc>
          <w:tcPr>
            <w:tcW w:w="360" w:type="dxa"/>
            <w:tcBorders>
              <w:right w:val="dashSmallGap" w:sz="4" w:space="0" w:color="auto"/>
            </w:tcBorders>
            <w:shd w:val="pct10" w:color="auto" w:fill="auto"/>
            <w:textDirection w:val="btLr"/>
            <w:vAlign w:val="center"/>
          </w:tcPr>
          <w:p>
            <w:pPr>
              <w:keepNext/>
              <w:ind w:left="113" w:right="113"/>
              <w:jc w:val="center"/>
              <w:rPr>
                <w:noProof/>
                <w:sz w:val="18"/>
                <w:szCs w:val="18"/>
              </w:rPr>
            </w:pPr>
            <w:r>
              <w:rPr>
                <w:noProof/>
                <w:sz w:val="18"/>
              </w:rPr>
              <w:t>No</w:t>
            </w:r>
          </w:p>
        </w:tc>
        <w:tc>
          <w:tcPr>
            <w:tcW w:w="792" w:type="dxa"/>
            <w:tcBorders>
              <w:left w:val="dashSmallGap" w:sz="4" w:space="0" w:color="auto"/>
            </w:tcBorders>
            <w:shd w:val="pct10" w:color="auto" w:fill="auto"/>
            <w:vAlign w:val="center"/>
          </w:tcPr>
          <w:p>
            <w:pPr>
              <w:keepNext/>
              <w:jc w:val="center"/>
              <w:rPr>
                <w:noProof/>
                <w:sz w:val="18"/>
                <w:szCs w:val="18"/>
              </w:rPr>
            </w:pPr>
            <w:r>
              <w:rPr>
                <w:noProof/>
                <w:sz w:val="18"/>
              </w:rPr>
              <w:t>Cost</w:t>
            </w:r>
          </w:p>
        </w:tc>
        <w:tc>
          <w:tcPr>
            <w:tcW w:w="360" w:type="dxa"/>
            <w:tcBorders>
              <w:right w:val="dashSmallGap" w:sz="4" w:space="0" w:color="auto"/>
            </w:tcBorders>
            <w:shd w:val="pct10" w:color="auto" w:fill="auto"/>
            <w:textDirection w:val="btLr"/>
            <w:vAlign w:val="center"/>
          </w:tcPr>
          <w:p>
            <w:pPr>
              <w:keepNext/>
              <w:ind w:left="113" w:right="113"/>
              <w:jc w:val="center"/>
              <w:rPr>
                <w:noProof/>
                <w:sz w:val="18"/>
                <w:szCs w:val="18"/>
              </w:rPr>
            </w:pPr>
            <w:r>
              <w:rPr>
                <w:noProof/>
                <w:sz w:val="18"/>
              </w:rPr>
              <w:t>No</w:t>
            </w:r>
          </w:p>
        </w:tc>
        <w:tc>
          <w:tcPr>
            <w:tcW w:w="720" w:type="dxa"/>
            <w:tcBorders>
              <w:left w:val="dashSmallGap" w:sz="4" w:space="0" w:color="auto"/>
            </w:tcBorders>
            <w:shd w:val="pct10" w:color="auto" w:fill="auto"/>
            <w:vAlign w:val="center"/>
          </w:tcPr>
          <w:p>
            <w:pPr>
              <w:keepNext/>
              <w:jc w:val="center"/>
              <w:rPr>
                <w:noProof/>
                <w:sz w:val="18"/>
                <w:szCs w:val="18"/>
              </w:rPr>
            </w:pPr>
            <w:r>
              <w:rPr>
                <w:noProof/>
                <w:sz w:val="18"/>
              </w:rPr>
              <w:t>Cost</w:t>
            </w:r>
          </w:p>
        </w:tc>
        <w:tc>
          <w:tcPr>
            <w:tcW w:w="360" w:type="dxa"/>
            <w:tcBorders>
              <w:right w:val="dashSmallGap" w:sz="4" w:space="0" w:color="auto"/>
            </w:tcBorders>
            <w:shd w:val="pct10" w:color="auto" w:fill="auto"/>
            <w:textDirection w:val="btLr"/>
            <w:vAlign w:val="center"/>
          </w:tcPr>
          <w:p>
            <w:pPr>
              <w:keepNext/>
              <w:ind w:left="113" w:right="113"/>
              <w:jc w:val="center"/>
              <w:rPr>
                <w:noProof/>
                <w:sz w:val="18"/>
                <w:szCs w:val="18"/>
              </w:rPr>
            </w:pPr>
            <w:r>
              <w:rPr>
                <w:noProof/>
                <w:sz w:val="18"/>
              </w:rPr>
              <w:t>No</w:t>
            </w:r>
          </w:p>
        </w:tc>
        <w:tc>
          <w:tcPr>
            <w:tcW w:w="840" w:type="dxa"/>
            <w:tcBorders>
              <w:left w:val="dashSmallGap" w:sz="4" w:space="0" w:color="auto"/>
            </w:tcBorders>
            <w:shd w:val="pct10" w:color="auto" w:fill="auto"/>
            <w:vAlign w:val="center"/>
          </w:tcPr>
          <w:p>
            <w:pPr>
              <w:keepNext/>
              <w:jc w:val="center"/>
              <w:rPr>
                <w:noProof/>
                <w:sz w:val="18"/>
                <w:szCs w:val="18"/>
              </w:rPr>
            </w:pPr>
            <w:r>
              <w:rPr>
                <w:noProof/>
                <w:sz w:val="18"/>
              </w:rPr>
              <w:t>Cost</w:t>
            </w:r>
          </w:p>
        </w:tc>
        <w:tc>
          <w:tcPr>
            <w:tcW w:w="360" w:type="dxa"/>
            <w:tcBorders>
              <w:right w:val="dashSmallGap" w:sz="4" w:space="0" w:color="auto"/>
            </w:tcBorders>
            <w:shd w:val="pct10" w:color="auto" w:fill="auto"/>
            <w:textDirection w:val="btLr"/>
            <w:vAlign w:val="center"/>
          </w:tcPr>
          <w:p>
            <w:pPr>
              <w:keepNext/>
              <w:ind w:left="113" w:right="113"/>
              <w:jc w:val="center"/>
              <w:rPr>
                <w:noProof/>
                <w:sz w:val="18"/>
                <w:szCs w:val="18"/>
              </w:rPr>
            </w:pPr>
            <w:r>
              <w:rPr>
                <w:noProof/>
                <w:sz w:val="18"/>
              </w:rPr>
              <w:t>No</w:t>
            </w:r>
          </w:p>
        </w:tc>
        <w:tc>
          <w:tcPr>
            <w:tcW w:w="840" w:type="dxa"/>
            <w:tcBorders>
              <w:left w:val="dashSmallGap" w:sz="4" w:space="0" w:color="auto"/>
            </w:tcBorders>
            <w:shd w:val="pct10" w:color="auto" w:fill="auto"/>
            <w:vAlign w:val="center"/>
          </w:tcPr>
          <w:p>
            <w:pPr>
              <w:keepNext/>
              <w:jc w:val="center"/>
              <w:rPr>
                <w:noProof/>
                <w:sz w:val="18"/>
                <w:szCs w:val="18"/>
              </w:rPr>
            </w:pPr>
            <w:r>
              <w:rPr>
                <w:noProof/>
                <w:sz w:val="18"/>
              </w:rPr>
              <w:t>Cost</w:t>
            </w:r>
          </w:p>
        </w:tc>
        <w:tc>
          <w:tcPr>
            <w:tcW w:w="360" w:type="dxa"/>
            <w:tcBorders>
              <w:right w:val="dashSmallGap" w:sz="4" w:space="0" w:color="auto"/>
            </w:tcBorders>
            <w:shd w:val="pct10" w:color="auto" w:fill="auto"/>
            <w:textDirection w:val="btLr"/>
            <w:vAlign w:val="center"/>
          </w:tcPr>
          <w:p>
            <w:pPr>
              <w:keepNext/>
              <w:ind w:left="113" w:right="113"/>
              <w:jc w:val="center"/>
              <w:rPr>
                <w:noProof/>
                <w:sz w:val="18"/>
              </w:rPr>
            </w:pPr>
            <w:r>
              <w:rPr>
                <w:noProof/>
                <w:sz w:val="18"/>
              </w:rPr>
              <w:t>No</w:t>
            </w:r>
          </w:p>
        </w:tc>
        <w:tc>
          <w:tcPr>
            <w:tcW w:w="840" w:type="dxa"/>
            <w:tcBorders>
              <w:left w:val="dashSmallGap" w:sz="4" w:space="0" w:color="auto"/>
            </w:tcBorders>
            <w:shd w:val="pct10" w:color="auto" w:fill="auto"/>
            <w:vAlign w:val="center"/>
          </w:tcPr>
          <w:p>
            <w:pPr>
              <w:keepNext/>
              <w:jc w:val="center"/>
              <w:rPr>
                <w:noProof/>
                <w:sz w:val="18"/>
              </w:rPr>
            </w:pPr>
            <w:r>
              <w:rPr>
                <w:noProof/>
                <w:sz w:val="18"/>
              </w:rPr>
              <w:t>Cost</w:t>
            </w:r>
          </w:p>
        </w:tc>
        <w:tc>
          <w:tcPr>
            <w:tcW w:w="360" w:type="dxa"/>
            <w:tcBorders>
              <w:right w:val="dashSmallGap" w:sz="4" w:space="0" w:color="auto"/>
            </w:tcBorders>
            <w:shd w:val="pct10" w:color="auto" w:fill="auto"/>
            <w:textDirection w:val="btLr"/>
            <w:vAlign w:val="center"/>
          </w:tcPr>
          <w:p>
            <w:pPr>
              <w:keepNext/>
              <w:ind w:left="113" w:right="113"/>
              <w:jc w:val="center"/>
              <w:rPr>
                <w:noProof/>
                <w:sz w:val="18"/>
                <w:szCs w:val="18"/>
              </w:rPr>
            </w:pPr>
            <w:r>
              <w:rPr>
                <w:noProof/>
                <w:sz w:val="18"/>
              </w:rPr>
              <w:t>Total No</w:t>
            </w:r>
          </w:p>
        </w:tc>
        <w:tc>
          <w:tcPr>
            <w:tcW w:w="1320" w:type="dxa"/>
            <w:tcBorders>
              <w:left w:val="dashSmallGap" w:sz="4" w:space="0" w:color="auto"/>
              <w:right w:val="single" w:sz="12" w:space="0" w:color="auto"/>
            </w:tcBorders>
            <w:shd w:val="pct10" w:color="auto" w:fill="auto"/>
            <w:vAlign w:val="center"/>
          </w:tcPr>
          <w:p>
            <w:pPr>
              <w:keepNext/>
              <w:jc w:val="center"/>
              <w:rPr>
                <w:noProof/>
                <w:sz w:val="18"/>
                <w:szCs w:val="18"/>
              </w:rPr>
            </w:pPr>
            <w:r>
              <w:rPr>
                <w:noProof/>
                <w:sz w:val="18"/>
              </w:rPr>
              <w:t>Total cost</w:t>
            </w:r>
          </w:p>
        </w:tc>
      </w:tr>
      <w:tr>
        <w:trPr>
          <w:jc w:val="center"/>
        </w:trPr>
        <w:tc>
          <w:tcPr>
            <w:tcW w:w="2802" w:type="dxa"/>
            <w:gridSpan w:val="3"/>
            <w:tcBorders>
              <w:left w:val="single" w:sz="12" w:space="0" w:color="auto"/>
            </w:tcBorders>
            <w:vAlign w:val="center"/>
          </w:tcPr>
          <w:p>
            <w:pPr>
              <w:keepNext/>
              <w:spacing w:before="60" w:after="60"/>
              <w:ind w:right="-29"/>
              <w:jc w:val="center"/>
              <w:rPr>
                <w:noProof/>
                <w:sz w:val="18"/>
              </w:rPr>
            </w:pPr>
            <w:r>
              <w:rPr>
                <w:noProof/>
                <w:sz w:val="18"/>
              </w:rPr>
              <w:t>SPECIFIC OBJECTIVE No 1</w:t>
            </w:r>
            <w:r>
              <w:rPr>
                <w:rStyle w:val="FootnoteReference"/>
                <w:noProof/>
              </w:rPr>
              <w:footnoteReference w:id="92"/>
            </w:r>
          </w:p>
          <w:p>
            <w:pPr>
              <w:keepNext/>
              <w:spacing w:before="60" w:after="60"/>
              <w:ind w:right="-29"/>
              <w:jc w:val="center"/>
              <w:rPr>
                <w:noProof/>
                <w:sz w:val="18"/>
                <w:szCs w:val="18"/>
              </w:rPr>
            </w:pPr>
            <w:r>
              <w:rPr>
                <w:noProof/>
                <w:sz w:val="18"/>
                <w:szCs w:val="18"/>
              </w:rPr>
              <w:t>Development and Maintenance of (Europol) systems</w:t>
            </w:r>
          </w:p>
        </w:tc>
        <w:tc>
          <w:tcPr>
            <w:tcW w:w="303" w:type="dxa"/>
            <w:tcBorders>
              <w:right w:val="nil"/>
            </w:tcBorders>
          </w:tcPr>
          <w:p>
            <w:pPr>
              <w:keepNext/>
              <w:spacing w:before="60" w:after="60"/>
              <w:ind w:right="-29"/>
              <w:jc w:val="center"/>
              <w:rPr>
                <w:noProof/>
                <w:sz w:val="18"/>
                <w:szCs w:val="18"/>
              </w:rPr>
            </w:pPr>
          </w:p>
        </w:tc>
        <w:tc>
          <w:tcPr>
            <w:tcW w:w="867" w:type="dxa"/>
            <w:tcBorders>
              <w:left w:val="nil"/>
              <w:bottom w:val="single" w:sz="4" w:space="0" w:color="auto"/>
            </w:tcBorders>
          </w:tcPr>
          <w:p>
            <w:pPr>
              <w:keepNext/>
              <w:spacing w:before="60" w:after="60"/>
              <w:ind w:right="-29"/>
              <w:jc w:val="center"/>
              <w:rPr>
                <w:noProof/>
                <w:sz w:val="18"/>
                <w:szCs w:val="18"/>
              </w:rPr>
            </w:pPr>
          </w:p>
        </w:tc>
        <w:tc>
          <w:tcPr>
            <w:tcW w:w="330" w:type="dxa"/>
            <w:tcBorders>
              <w:top w:val="nil"/>
              <w:left w:val="nil"/>
              <w:bottom w:val="nil"/>
              <w:right w:val="nil"/>
            </w:tcBorders>
          </w:tcPr>
          <w:p>
            <w:pPr>
              <w:keepNext/>
              <w:spacing w:before="60" w:after="60"/>
              <w:ind w:right="-29"/>
              <w:jc w:val="center"/>
              <w:rPr>
                <w:noProof/>
                <w:sz w:val="18"/>
                <w:szCs w:val="18"/>
              </w:rPr>
            </w:pPr>
          </w:p>
        </w:tc>
        <w:tc>
          <w:tcPr>
            <w:tcW w:w="840" w:type="dxa"/>
            <w:tcBorders>
              <w:top w:val="nil"/>
              <w:left w:val="nil"/>
              <w:bottom w:val="nil"/>
              <w:right w:val="nil"/>
            </w:tcBorders>
          </w:tcPr>
          <w:p>
            <w:pPr>
              <w:keepNext/>
              <w:spacing w:before="60" w:after="60"/>
              <w:ind w:right="-29"/>
              <w:jc w:val="center"/>
              <w:rPr>
                <w:noProof/>
                <w:sz w:val="18"/>
                <w:szCs w:val="18"/>
              </w:rPr>
            </w:pPr>
          </w:p>
        </w:tc>
        <w:tc>
          <w:tcPr>
            <w:tcW w:w="360" w:type="dxa"/>
            <w:tcBorders>
              <w:top w:val="nil"/>
              <w:left w:val="nil"/>
              <w:bottom w:val="nil"/>
              <w:right w:val="nil"/>
            </w:tcBorders>
          </w:tcPr>
          <w:p>
            <w:pPr>
              <w:keepNext/>
              <w:spacing w:before="60" w:after="60"/>
              <w:ind w:right="-29"/>
              <w:jc w:val="center"/>
              <w:rPr>
                <w:noProof/>
                <w:sz w:val="18"/>
                <w:szCs w:val="18"/>
              </w:rPr>
            </w:pPr>
          </w:p>
        </w:tc>
        <w:tc>
          <w:tcPr>
            <w:tcW w:w="840" w:type="dxa"/>
            <w:tcBorders>
              <w:top w:val="nil"/>
              <w:left w:val="nil"/>
              <w:bottom w:val="nil"/>
              <w:right w:val="nil"/>
            </w:tcBorders>
          </w:tcPr>
          <w:p>
            <w:pPr>
              <w:keepNext/>
              <w:spacing w:before="60" w:after="60"/>
              <w:ind w:right="-29"/>
              <w:jc w:val="center"/>
              <w:rPr>
                <w:noProof/>
                <w:sz w:val="18"/>
                <w:szCs w:val="18"/>
              </w:rPr>
            </w:pPr>
          </w:p>
        </w:tc>
        <w:tc>
          <w:tcPr>
            <w:tcW w:w="360" w:type="dxa"/>
            <w:tcBorders>
              <w:top w:val="nil"/>
              <w:left w:val="nil"/>
              <w:bottom w:val="nil"/>
              <w:right w:val="nil"/>
            </w:tcBorders>
          </w:tcPr>
          <w:p>
            <w:pPr>
              <w:keepNext/>
              <w:spacing w:before="60" w:after="60"/>
              <w:ind w:right="-29"/>
              <w:jc w:val="center"/>
              <w:rPr>
                <w:noProof/>
                <w:sz w:val="18"/>
                <w:szCs w:val="18"/>
              </w:rPr>
            </w:pPr>
          </w:p>
        </w:tc>
        <w:tc>
          <w:tcPr>
            <w:tcW w:w="840" w:type="dxa"/>
            <w:tcBorders>
              <w:top w:val="nil"/>
              <w:left w:val="nil"/>
              <w:bottom w:val="nil"/>
              <w:right w:val="nil"/>
            </w:tcBorders>
          </w:tcPr>
          <w:p>
            <w:pPr>
              <w:keepNext/>
              <w:spacing w:before="60" w:after="60"/>
              <w:ind w:right="-29"/>
              <w:jc w:val="center"/>
              <w:rPr>
                <w:noProof/>
                <w:sz w:val="18"/>
                <w:szCs w:val="18"/>
              </w:rPr>
            </w:pPr>
          </w:p>
        </w:tc>
        <w:tc>
          <w:tcPr>
            <w:tcW w:w="360" w:type="dxa"/>
            <w:tcBorders>
              <w:top w:val="nil"/>
              <w:left w:val="nil"/>
              <w:bottom w:val="nil"/>
              <w:right w:val="nil"/>
            </w:tcBorders>
          </w:tcPr>
          <w:p>
            <w:pPr>
              <w:keepNext/>
              <w:spacing w:before="60" w:after="60"/>
              <w:ind w:right="-29"/>
              <w:jc w:val="center"/>
              <w:rPr>
                <w:noProof/>
                <w:sz w:val="18"/>
                <w:szCs w:val="18"/>
              </w:rPr>
            </w:pPr>
          </w:p>
        </w:tc>
        <w:tc>
          <w:tcPr>
            <w:tcW w:w="792" w:type="dxa"/>
            <w:tcBorders>
              <w:top w:val="nil"/>
              <w:left w:val="nil"/>
              <w:bottom w:val="nil"/>
              <w:right w:val="nil"/>
            </w:tcBorders>
          </w:tcPr>
          <w:p>
            <w:pPr>
              <w:keepNext/>
              <w:spacing w:before="60" w:after="60"/>
              <w:ind w:right="-29"/>
              <w:jc w:val="center"/>
              <w:rPr>
                <w:noProof/>
                <w:sz w:val="18"/>
                <w:szCs w:val="18"/>
              </w:rPr>
            </w:pPr>
          </w:p>
        </w:tc>
        <w:tc>
          <w:tcPr>
            <w:tcW w:w="360" w:type="dxa"/>
            <w:tcBorders>
              <w:top w:val="nil"/>
              <w:left w:val="nil"/>
              <w:bottom w:val="nil"/>
              <w:right w:val="nil"/>
            </w:tcBorders>
          </w:tcPr>
          <w:p>
            <w:pPr>
              <w:keepNext/>
              <w:spacing w:before="60" w:after="60"/>
              <w:ind w:right="-29"/>
              <w:jc w:val="center"/>
              <w:rPr>
                <w:noProof/>
                <w:sz w:val="18"/>
                <w:szCs w:val="18"/>
              </w:rPr>
            </w:pPr>
          </w:p>
        </w:tc>
        <w:tc>
          <w:tcPr>
            <w:tcW w:w="720" w:type="dxa"/>
            <w:tcBorders>
              <w:top w:val="nil"/>
              <w:left w:val="nil"/>
              <w:bottom w:val="nil"/>
              <w:right w:val="nil"/>
            </w:tcBorders>
          </w:tcPr>
          <w:p>
            <w:pPr>
              <w:keepNext/>
              <w:spacing w:before="60" w:after="60"/>
              <w:ind w:right="-29"/>
              <w:jc w:val="center"/>
              <w:rPr>
                <w:noProof/>
                <w:sz w:val="18"/>
                <w:szCs w:val="18"/>
              </w:rPr>
            </w:pPr>
          </w:p>
        </w:tc>
        <w:tc>
          <w:tcPr>
            <w:tcW w:w="360" w:type="dxa"/>
            <w:tcBorders>
              <w:top w:val="nil"/>
              <w:left w:val="nil"/>
              <w:bottom w:val="nil"/>
              <w:right w:val="nil"/>
            </w:tcBorders>
          </w:tcPr>
          <w:p>
            <w:pPr>
              <w:keepNext/>
              <w:spacing w:before="60" w:after="60"/>
              <w:ind w:right="-29"/>
              <w:jc w:val="center"/>
              <w:rPr>
                <w:noProof/>
                <w:sz w:val="18"/>
                <w:szCs w:val="18"/>
              </w:rPr>
            </w:pPr>
          </w:p>
        </w:tc>
        <w:tc>
          <w:tcPr>
            <w:tcW w:w="840" w:type="dxa"/>
            <w:tcBorders>
              <w:top w:val="nil"/>
              <w:left w:val="nil"/>
              <w:bottom w:val="nil"/>
              <w:right w:val="nil"/>
            </w:tcBorders>
          </w:tcPr>
          <w:p>
            <w:pPr>
              <w:keepNext/>
              <w:spacing w:before="60" w:after="60"/>
              <w:ind w:right="-29"/>
              <w:jc w:val="center"/>
              <w:rPr>
                <w:noProof/>
                <w:sz w:val="18"/>
                <w:szCs w:val="18"/>
              </w:rPr>
            </w:pPr>
          </w:p>
        </w:tc>
        <w:tc>
          <w:tcPr>
            <w:tcW w:w="360" w:type="dxa"/>
            <w:tcBorders>
              <w:top w:val="nil"/>
              <w:left w:val="nil"/>
              <w:bottom w:val="nil"/>
              <w:right w:val="nil"/>
            </w:tcBorders>
          </w:tcPr>
          <w:p>
            <w:pPr>
              <w:keepNext/>
              <w:spacing w:before="60" w:after="60"/>
              <w:ind w:right="-29"/>
              <w:jc w:val="center"/>
              <w:rPr>
                <w:noProof/>
                <w:sz w:val="18"/>
                <w:szCs w:val="18"/>
              </w:rPr>
            </w:pPr>
          </w:p>
        </w:tc>
        <w:tc>
          <w:tcPr>
            <w:tcW w:w="840" w:type="dxa"/>
            <w:tcBorders>
              <w:top w:val="nil"/>
              <w:left w:val="nil"/>
              <w:bottom w:val="nil"/>
              <w:right w:val="nil"/>
            </w:tcBorders>
          </w:tcPr>
          <w:p>
            <w:pPr>
              <w:keepNext/>
              <w:spacing w:before="60" w:after="60"/>
              <w:ind w:right="-29"/>
              <w:jc w:val="center"/>
              <w:rPr>
                <w:noProof/>
                <w:sz w:val="18"/>
                <w:szCs w:val="18"/>
              </w:rPr>
            </w:pPr>
          </w:p>
        </w:tc>
        <w:tc>
          <w:tcPr>
            <w:tcW w:w="1200" w:type="dxa"/>
            <w:gridSpan w:val="2"/>
            <w:tcBorders>
              <w:top w:val="nil"/>
              <w:left w:val="nil"/>
              <w:bottom w:val="nil"/>
              <w:right w:val="nil"/>
            </w:tcBorders>
          </w:tcPr>
          <w:p>
            <w:pPr>
              <w:keepNext/>
              <w:spacing w:before="60" w:after="60"/>
              <w:ind w:right="-29"/>
              <w:jc w:val="center"/>
              <w:rPr>
                <w:noProof/>
                <w:sz w:val="18"/>
                <w:szCs w:val="18"/>
              </w:rPr>
            </w:pPr>
          </w:p>
        </w:tc>
        <w:tc>
          <w:tcPr>
            <w:tcW w:w="360" w:type="dxa"/>
            <w:tcBorders>
              <w:top w:val="nil"/>
              <w:left w:val="nil"/>
              <w:bottom w:val="nil"/>
              <w:right w:val="nil"/>
            </w:tcBorders>
          </w:tcPr>
          <w:p>
            <w:pPr>
              <w:keepNext/>
              <w:spacing w:before="60" w:after="60"/>
              <w:ind w:right="-29"/>
              <w:jc w:val="center"/>
              <w:rPr>
                <w:noProof/>
                <w:sz w:val="18"/>
                <w:szCs w:val="18"/>
              </w:rPr>
            </w:pPr>
          </w:p>
        </w:tc>
        <w:tc>
          <w:tcPr>
            <w:tcW w:w="1320" w:type="dxa"/>
            <w:tcBorders>
              <w:top w:val="nil"/>
              <w:left w:val="nil"/>
              <w:bottom w:val="single" w:sz="4" w:space="0" w:color="auto"/>
              <w:right w:val="single" w:sz="12" w:space="0" w:color="auto"/>
            </w:tcBorders>
          </w:tcPr>
          <w:p>
            <w:pPr>
              <w:keepNext/>
              <w:spacing w:before="60" w:after="60"/>
              <w:ind w:right="-29"/>
              <w:jc w:val="center"/>
              <w:rPr>
                <w:noProof/>
                <w:sz w:val="18"/>
                <w:szCs w:val="18"/>
              </w:rPr>
            </w:pPr>
          </w:p>
        </w:tc>
      </w:tr>
      <w:tr>
        <w:trPr>
          <w:trHeight w:hRule="exact" w:val="908"/>
          <w:jc w:val="center"/>
        </w:trPr>
        <w:tc>
          <w:tcPr>
            <w:tcW w:w="1422" w:type="dxa"/>
            <w:tcBorders>
              <w:left w:val="single" w:sz="12" w:space="0" w:color="auto"/>
            </w:tcBorders>
          </w:tcPr>
          <w:p>
            <w:pPr>
              <w:ind w:right="-29"/>
              <w:jc w:val="center"/>
              <w:rPr>
                <w:noProof/>
                <w:sz w:val="18"/>
                <w:szCs w:val="18"/>
              </w:rPr>
            </w:pPr>
            <w:r>
              <w:rPr>
                <w:noProof/>
                <w:sz w:val="18"/>
              </w:rPr>
              <w:t>IT environment</w:t>
            </w:r>
          </w:p>
        </w:tc>
        <w:tc>
          <w:tcPr>
            <w:tcW w:w="1380" w:type="dxa"/>
            <w:gridSpan w:val="2"/>
          </w:tcPr>
          <w:p>
            <w:pPr>
              <w:ind w:right="-29"/>
              <w:jc w:val="center"/>
              <w:rPr>
                <w:noProof/>
                <w:sz w:val="20"/>
              </w:rPr>
            </w:pPr>
            <w:r>
              <w:rPr>
                <w:noProof/>
                <w:sz w:val="20"/>
              </w:rPr>
              <w:t>Infrastructure</w:t>
            </w:r>
          </w:p>
        </w:tc>
        <w:tc>
          <w:tcPr>
            <w:tcW w:w="303" w:type="dxa"/>
            <w:tcBorders>
              <w:right w:val="dashSmallGap" w:sz="4" w:space="0" w:color="auto"/>
            </w:tcBorders>
          </w:tcPr>
          <w:p>
            <w:pPr>
              <w:ind w:right="-29"/>
              <w:jc w:val="center"/>
              <w:rPr>
                <w:noProof/>
                <w:sz w:val="18"/>
                <w:szCs w:val="18"/>
              </w:rPr>
            </w:pPr>
          </w:p>
        </w:tc>
        <w:tc>
          <w:tcPr>
            <w:tcW w:w="867" w:type="dxa"/>
            <w:tcBorders>
              <w:left w:val="dashSmallGap" w:sz="4" w:space="0" w:color="auto"/>
              <w:bottom w:val="single" w:sz="4" w:space="0" w:color="auto"/>
            </w:tcBorders>
          </w:tcPr>
          <w:p>
            <w:pPr>
              <w:ind w:right="-29"/>
              <w:jc w:val="center"/>
              <w:rPr>
                <w:noProof/>
                <w:sz w:val="18"/>
                <w:szCs w:val="18"/>
              </w:rPr>
            </w:pPr>
          </w:p>
        </w:tc>
        <w:tc>
          <w:tcPr>
            <w:tcW w:w="330" w:type="dxa"/>
            <w:tcBorders>
              <w:right w:val="dashSmallGap" w:sz="4" w:space="0" w:color="auto"/>
            </w:tcBorders>
          </w:tcPr>
          <w:p>
            <w:pPr>
              <w:ind w:right="-29"/>
              <w:jc w:val="center"/>
              <w:rPr>
                <w:noProof/>
                <w:sz w:val="18"/>
                <w:szCs w:val="18"/>
              </w:rPr>
            </w:pPr>
          </w:p>
        </w:tc>
        <w:tc>
          <w:tcPr>
            <w:tcW w:w="840" w:type="dxa"/>
            <w:tcBorders>
              <w:left w:val="dashSmallGap" w:sz="4" w:space="0" w:color="auto"/>
            </w:tcBorders>
          </w:tcPr>
          <w:p>
            <w:pPr>
              <w:ind w:right="-29"/>
              <w:jc w:val="center"/>
              <w:rPr>
                <w:noProof/>
                <w:sz w:val="18"/>
                <w:szCs w:val="18"/>
              </w:rPr>
            </w:pPr>
            <w:r>
              <w:rPr>
                <w:noProof/>
                <w:sz w:val="18"/>
                <w:szCs w:val="18"/>
              </w:rPr>
              <w:t>1,840</w:t>
            </w:r>
          </w:p>
        </w:tc>
        <w:tc>
          <w:tcPr>
            <w:tcW w:w="360" w:type="dxa"/>
            <w:tcBorders>
              <w:right w:val="dashSmallGap" w:sz="4" w:space="0" w:color="auto"/>
            </w:tcBorders>
          </w:tcPr>
          <w:p>
            <w:pPr>
              <w:ind w:right="-29"/>
              <w:jc w:val="center"/>
              <w:rPr>
                <w:noProof/>
                <w:sz w:val="18"/>
                <w:szCs w:val="18"/>
              </w:rPr>
            </w:pPr>
          </w:p>
        </w:tc>
        <w:tc>
          <w:tcPr>
            <w:tcW w:w="840" w:type="dxa"/>
            <w:tcBorders>
              <w:left w:val="dashSmallGap" w:sz="4" w:space="0" w:color="auto"/>
            </w:tcBorders>
          </w:tcPr>
          <w:p>
            <w:pPr>
              <w:ind w:right="-29"/>
              <w:jc w:val="center"/>
              <w:rPr>
                <w:noProof/>
                <w:sz w:val="18"/>
                <w:szCs w:val="18"/>
              </w:rPr>
            </w:pPr>
            <w:r>
              <w:rPr>
                <w:noProof/>
                <w:sz w:val="18"/>
                <w:szCs w:val="18"/>
              </w:rPr>
              <w:t>1,840</w:t>
            </w:r>
          </w:p>
        </w:tc>
        <w:tc>
          <w:tcPr>
            <w:tcW w:w="360" w:type="dxa"/>
            <w:tcBorders>
              <w:right w:val="dashSmallGap" w:sz="4" w:space="0" w:color="auto"/>
            </w:tcBorders>
          </w:tcPr>
          <w:p>
            <w:pPr>
              <w:ind w:right="-29"/>
              <w:jc w:val="center"/>
              <w:rPr>
                <w:noProof/>
                <w:sz w:val="18"/>
                <w:szCs w:val="18"/>
              </w:rPr>
            </w:pPr>
          </w:p>
        </w:tc>
        <w:tc>
          <w:tcPr>
            <w:tcW w:w="840" w:type="dxa"/>
            <w:tcBorders>
              <w:left w:val="dashSmallGap" w:sz="4" w:space="0" w:color="auto"/>
            </w:tcBorders>
          </w:tcPr>
          <w:p>
            <w:pPr>
              <w:ind w:right="-29"/>
              <w:jc w:val="center"/>
              <w:rPr>
                <w:noProof/>
                <w:sz w:val="18"/>
                <w:szCs w:val="18"/>
              </w:rPr>
            </w:pPr>
            <w:r>
              <w:rPr>
                <w:noProof/>
                <w:sz w:val="18"/>
                <w:szCs w:val="18"/>
              </w:rPr>
              <w:t>0,736</w:t>
            </w:r>
          </w:p>
        </w:tc>
        <w:tc>
          <w:tcPr>
            <w:tcW w:w="360" w:type="dxa"/>
            <w:tcBorders>
              <w:right w:val="dashSmallGap" w:sz="4" w:space="0" w:color="auto"/>
            </w:tcBorders>
          </w:tcPr>
          <w:p>
            <w:pPr>
              <w:ind w:right="-29"/>
              <w:jc w:val="center"/>
              <w:rPr>
                <w:noProof/>
                <w:sz w:val="18"/>
                <w:szCs w:val="18"/>
              </w:rPr>
            </w:pPr>
          </w:p>
        </w:tc>
        <w:tc>
          <w:tcPr>
            <w:tcW w:w="792" w:type="dxa"/>
            <w:tcBorders>
              <w:left w:val="dashSmallGap" w:sz="4" w:space="0" w:color="auto"/>
            </w:tcBorders>
          </w:tcPr>
          <w:p>
            <w:pPr>
              <w:ind w:right="-29"/>
              <w:jc w:val="center"/>
              <w:rPr>
                <w:noProof/>
                <w:sz w:val="18"/>
                <w:szCs w:val="18"/>
              </w:rPr>
            </w:pPr>
            <w:r>
              <w:rPr>
                <w:noProof/>
                <w:sz w:val="18"/>
                <w:szCs w:val="18"/>
              </w:rPr>
              <w:t>0,736</w:t>
            </w:r>
          </w:p>
        </w:tc>
        <w:tc>
          <w:tcPr>
            <w:tcW w:w="360" w:type="dxa"/>
            <w:tcBorders>
              <w:right w:val="dashSmallGap" w:sz="4" w:space="0" w:color="auto"/>
            </w:tcBorders>
          </w:tcPr>
          <w:p>
            <w:pPr>
              <w:ind w:right="-29"/>
              <w:jc w:val="center"/>
              <w:rPr>
                <w:noProof/>
                <w:sz w:val="18"/>
                <w:szCs w:val="18"/>
              </w:rPr>
            </w:pPr>
          </w:p>
        </w:tc>
        <w:tc>
          <w:tcPr>
            <w:tcW w:w="720" w:type="dxa"/>
            <w:tcBorders>
              <w:left w:val="dashSmallGap" w:sz="4" w:space="0" w:color="auto"/>
            </w:tcBorders>
          </w:tcPr>
          <w:p>
            <w:pPr>
              <w:ind w:right="-29"/>
              <w:jc w:val="center"/>
              <w:rPr>
                <w:noProof/>
                <w:sz w:val="18"/>
                <w:szCs w:val="18"/>
              </w:rPr>
            </w:pPr>
            <w:r>
              <w:rPr>
                <w:noProof/>
                <w:sz w:val="18"/>
                <w:szCs w:val="18"/>
              </w:rPr>
              <w:t>0,736</w:t>
            </w:r>
          </w:p>
        </w:tc>
        <w:tc>
          <w:tcPr>
            <w:tcW w:w="360" w:type="dxa"/>
            <w:tcBorders>
              <w:right w:val="dashSmallGap" w:sz="4" w:space="0" w:color="auto"/>
            </w:tcBorders>
          </w:tcPr>
          <w:p>
            <w:pPr>
              <w:ind w:right="-29"/>
              <w:jc w:val="center"/>
              <w:rPr>
                <w:noProof/>
                <w:sz w:val="18"/>
                <w:szCs w:val="18"/>
              </w:rPr>
            </w:pPr>
          </w:p>
        </w:tc>
        <w:tc>
          <w:tcPr>
            <w:tcW w:w="840" w:type="dxa"/>
            <w:tcBorders>
              <w:left w:val="dashSmallGap" w:sz="4" w:space="0" w:color="auto"/>
            </w:tcBorders>
          </w:tcPr>
          <w:p>
            <w:pPr>
              <w:ind w:right="-29"/>
              <w:jc w:val="center"/>
              <w:rPr>
                <w:noProof/>
                <w:sz w:val="18"/>
                <w:szCs w:val="18"/>
              </w:rPr>
            </w:pPr>
            <w:r>
              <w:rPr>
                <w:noProof/>
                <w:sz w:val="18"/>
                <w:szCs w:val="18"/>
              </w:rPr>
              <w:t>0,736</w:t>
            </w:r>
          </w:p>
        </w:tc>
        <w:tc>
          <w:tcPr>
            <w:tcW w:w="360" w:type="dxa"/>
            <w:tcBorders>
              <w:right w:val="dashSmallGap" w:sz="4" w:space="0" w:color="auto"/>
            </w:tcBorders>
          </w:tcPr>
          <w:p>
            <w:pPr>
              <w:ind w:right="-29"/>
              <w:jc w:val="center"/>
              <w:rPr>
                <w:noProof/>
                <w:sz w:val="18"/>
                <w:szCs w:val="18"/>
              </w:rPr>
            </w:pPr>
          </w:p>
        </w:tc>
        <w:tc>
          <w:tcPr>
            <w:tcW w:w="840" w:type="dxa"/>
            <w:tcBorders>
              <w:left w:val="dashSmallGap" w:sz="4" w:space="0" w:color="auto"/>
            </w:tcBorders>
          </w:tcPr>
          <w:p>
            <w:pPr>
              <w:ind w:right="-29"/>
              <w:jc w:val="center"/>
              <w:rPr>
                <w:noProof/>
                <w:sz w:val="18"/>
                <w:szCs w:val="18"/>
              </w:rPr>
            </w:pPr>
            <w:r>
              <w:rPr>
                <w:noProof/>
                <w:sz w:val="18"/>
                <w:szCs w:val="18"/>
              </w:rPr>
              <w:t>0,736</w:t>
            </w:r>
          </w:p>
        </w:tc>
        <w:tc>
          <w:tcPr>
            <w:tcW w:w="360" w:type="dxa"/>
            <w:tcBorders>
              <w:right w:val="dashSmallGap" w:sz="4" w:space="0" w:color="auto"/>
            </w:tcBorders>
          </w:tcPr>
          <w:p>
            <w:pPr>
              <w:ind w:right="-29"/>
              <w:jc w:val="center"/>
              <w:rPr>
                <w:noProof/>
                <w:sz w:val="18"/>
                <w:szCs w:val="18"/>
              </w:rPr>
            </w:pPr>
          </w:p>
        </w:tc>
        <w:tc>
          <w:tcPr>
            <w:tcW w:w="840" w:type="dxa"/>
            <w:tcBorders>
              <w:left w:val="dashSmallGap" w:sz="4" w:space="0" w:color="auto"/>
              <w:bottom w:val="single" w:sz="4" w:space="0" w:color="auto"/>
            </w:tcBorders>
          </w:tcPr>
          <w:p>
            <w:pPr>
              <w:ind w:right="-29"/>
              <w:jc w:val="center"/>
              <w:rPr>
                <w:noProof/>
                <w:sz w:val="18"/>
                <w:szCs w:val="18"/>
              </w:rPr>
            </w:pPr>
            <w:r>
              <w:rPr>
                <w:noProof/>
                <w:sz w:val="18"/>
                <w:szCs w:val="18"/>
              </w:rPr>
              <w:t>0,736</w:t>
            </w:r>
          </w:p>
        </w:tc>
        <w:tc>
          <w:tcPr>
            <w:tcW w:w="360" w:type="dxa"/>
            <w:tcBorders>
              <w:right w:val="dashSmallGap" w:sz="4" w:space="0" w:color="auto"/>
            </w:tcBorders>
          </w:tcPr>
          <w:p>
            <w:pPr>
              <w:ind w:right="-29"/>
              <w:jc w:val="center"/>
              <w:rPr>
                <w:noProof/>
                <w:sz w:val="18"/>
                <w:szCs w:val="18"/>
              </w:rPr>
            </w:pPr>
          </w:p>
        </w:tc>
        <w:tc>
          <w:tcPr>
            <w:tcW w:w="1320" w:type="dxa"/>
            <w:tcBorders>
              <w:left w:val="dashSmallGap" w:sz="4" w:space="0" w:color="auto"/>
              <w:bottom w:val="single" w:sz="4" w:space="0" w:color="auto"/>
              <w:right w:val="single" w:sz="12" w:space="0" w:color="auto"/>
            </w:tcBorders>
          </w:tcPr>
          <w:p>
            <w:pPr>
              <w:ind w:right="-29"/>
              <w:jc w:val="center"/>
              <w:rPr>
                <w:noProof/>
                <w:sz w:val="18"/>
                <w:szCs w:val="18"/>
              </w:rPr>
            </w:pPr>
            <w:r>
              <w:rPr>
                <w:noProof/>
                <w:sz w:val="20"/>
              </w:rPr>
              <w:t>8,096</w:t>
            </w:r>
          </w:p>
        </w:tc>
      </w:tr>
      <w:tr>
        <w:trPr>
          <w:trHeight w:hRule="exact" w:val="908"/>
          <w:jc w:val="center"/>
        </w:trPr>
        <w:tc>
          <w:tcPr>
            <w:tcW w:w="1422" w:type="dxa"/>
            <w:tcBorders>
              <w:left w:val="single" w:sz="12" w:space="0" w:color="auto"/>
            </w:tcBorders>
          </w:tcPr>
          <w:p>
            <w:pPr>
              <w:ind w:right="-29"/>
              <w:jc w:val="center"/>
              <w:rPr>
                <w:noProof/>
                <w:sz w:val="18"/>
              </w:rPr>
            </w:pPr>
            <w:r>
              <w:rPr>
                <w:noProof/>
                <w:sz w:val="18"/>
              </w:rPr>
              <w:t>IT environment</w:t>
            </w:r>
          </w:p>
        </w:tc>
        <w:tc>
          <w:tcPr>
            <w:tcW w:w="1380" w:type="dxa"/>
            <w:gridSpan w:val="2"/>
          </w:tcPr>
          <w:p>
            <w:pPr>
              <w:ind w:right="-29"/>
              <w:jc w:val="center"/>
              <w:rPr>
                <w:noProof/>
                <w:sz w:val="20"/>
              </w:rPr>
            </w:pPr>
            <w:r>
              <w:rPr>
                <w:noProof/>
                <w:sz w:val="20"/>
              </w:rPr>
              <w:t>Hardware</w:t>
            </w:r>
          </w:p>
        </w:tc>
        <w:tc>
          <w:tcPr>
            <w:tcW w:w="303" w:type="dxa"/>
            <w:tcBorders>
              <w:right w:val="dashSmallGap" w:sz="4" w:space="0" w:color="auto"/>
            </w:tcBorders>
          </w:tcPr>
          <w:p>
            <w:pPr>
              <w:ind w:right="-29"/>
              <w:jc w:val="center"/>
              <w:rPr>
                <w:noProof/>
                <w:sz w:val="18"/>
                <w:szCs w:val="18"/>
              </w:rPr>
            </w:pPr>
          </w:p>
        </w:tc>
        <w:tc>
          <w:tcPr>
            <w:tcW w:w="867" w:type="dxa"/>
            <w:tcBorders>
              <w:left w:val="dashSmallGap" w:sz="4" w:space="0" w:color="auto"/>
              <w:bottom w:val="single" w:sz="4" w:space="0" w:color="auto"/>
            </w:tcBorders>
          </w:tcPr>
          <w:p>
            <w:pPr>
              <w:ind w:right="-29"/>
              <w:jc w:val="center"/>
              <w:rPr>
                <w:noProof/>
                <w:sz w:val="18"/>
                <w:szCs w:val="18"/>
              </w:rPr>
            </w:pPr>
          </w:p>
        </w:tc>
        <w:tc>
          <w:tcPr>
            <w:tcW w:w="330" w:type="dxa"/>
            <w:tcBorders>
              <w:right w:val="dashSmallGap" w:sz="4" w:space="0" w:color="auto"/>
            </w:tcBorders>
          </w:tcPr>
          <w:p>
            <w:pPr>
              <w:ind w:right="-29"/>
              <w:jc w:val="center"/>
              <w:rPr>
                <w:noProof/>
                <w:sz w:val="18"/>
                <w:szCs w:val="18"/>
              </w:rPr>
            </w:pPr>
          </w:p>
        </w:tc>
        <w:tc>
          <w:tcPr>
            <w:tcW w:w="840" w:type="dxa"/>
            <w:tcBorders>
              <w:left w:val="dashSmallGap" w:sz="4" w:space="0" w:color="auto"/>
            </w:tcBorders>
          </w:tcPr>
          <w:p>
            <w:pPr>
              <w:ind w:right="-29"/>
              <w:jc w:val="center"/>
              <w:rPr>
                <w:noProof/>
                <w:sz w:val="18"/>
                <w:szCs w:val="18"/>
              </w:rPr>
            </w:pPr>
            <w:r>
              <w:rPr>
                <w:noProof/>
                <w:sz w:val="18"/>
                <w:szCs w:val="18"/>
              </w:rPr>
              <w:t>3,510</w:t>
            </w:r>
          </w:p>
        </w:tc>
        <w:tc>
          <w:tcPr>
            <w:tcW w:w="360" w:type="dxa"/>
            <w:tcBorders>
              <w:right w:val="dashSmallGap" w:sz="4" w:space="0" w:color="auto"/>
            </w:tcBorders>
          </w:tcPr>
          <w:p>
            <w:pPr>
              <w:ind w:right="-29"/>
              <w:jc w:val="center"/>
              <w:rPr>
                <w:noProof/>
                <w:sz w:val="18"/>
                <w:szCs w:val="18"/>
              </w:rPr>
            </w:pPr>
          </w:p>
        </w:tc>
        <w:tc>
          <w:tcPr>
            <w:tcW w:w="840" w:type="dxa"/>
            <w:tcBorders>
              <w:left w:val="dashSmallGap" w:sz="4" w:space="0" w:color="auto"/>
            </w:tcBorders>
          </w:tcPr>
          <w:p>
            <w:pPr>
              <w:ind w:right="-29"/>
              <w:jc w:val="center"/>
              <w:rPr>
                <w:noProof/>
                <w:sz w:val="18"/>
                <w:szCs w:val="18"/>
              </w:rPr>
            </w:pPr>
            <w:r>
              <w:rPr>
                <w:noProof/>
                <w:sz w:val="18"/>
                <w:szCs w:val="18"/>
              </w:rPr>
              <w:t>3,510</w:t>
            </w:r>
          </w:p>
        </w:tc>
        <w:tc>
          <w:tcPr>
            <w:tcW w:w="360" w:type="dxa"/>
            <w:tcBorders>
              <w:right w:val="dashSmallGap" w:sz="4" w:space="0" w:color="auto"/>
            </w:tcBorders>
          </w:tcPr>
          <w:p>
            <w:pPr>
              <w:ind w:right="-29"/>
              <w:jc w:val="center"/>
              <w:rPr>
                <w:noProof/>
                <w:sz w:val="18"/>
                <w:szCs w:val="18"/>
              </w:rPr>
            </w:pPr>
          </w:p>
        </w:tc>
        <w:tc>
          <w:tcPr>
            <w:tcW w:w="840" w:type="dxa"/>
            <w:tcBorders>
              <w:left w:val="dashSmallGap" w:sz="4" w:space="0" w:color="auto"/>
            </w:tcBorders>
          </w:tcPr>
          <w:p>
            <w:pPr>
              <w:ind w:right="-29"/>
              <w:jc w:val="center"/>
              <w:rPr>
                <w:noProof/>
                <w:sz w:val="18"/>
                <w:szCs w:val="18"/>
              </w:rPr>
            </w:pPr>
            <w:r>
              <w:rPr>
                <w:noProof/>
                <w:sz w:val="18"/>
                <w:szCs w:val="18"/>
              </w:rPr>
              <w:t>1,404</w:t>
            </w:r>
          </w:p>
        </w:tc>
        <w:tc>
          <w:tcPr>
            <w:tcW w:w="360" w:type="dxa"/>
            <w:tcBorders>
              <w:right w:val="dashSmallGap" w:sz="4" w:space="0" w:color="auto"/>
            </w:tcBorders>
          </w:tcPr>
          <w:p>
            <w:pPr>
              <w:ind w:right="-29"/>
              <w:jc w:val="center"/>
              <w:rPr>
                <w:noProof/>
                <w:sz w:val="18"/>
                <w:szCs w:val="18"/>
              </w:rPr>
            </w:pPr>
          </w:p>
        </w:tc>
        <w:tc>
          <w:tcPr>
            <w:tcW w:w="792" w:type="dxa"/>
            <w:tcBorders>
              <w:left w:val="dashSmallGap" w:sz="4" w:space="0" w:color="auto"/>
            </w:tcBorders>
          </w:tcPr>
          <w:p>
            <w:pPr>
              <w:ind w:right="-29"/>
              <w:jc w:val="center"/>
              <w:rPr>
                <w:noProof/>
                <w:sz w:val="18"/>
                <w:szCs w:val="18"/>
              </w:rPr>
            </w:pPr>
            <w:r>
              <w:rPr>
                <w:noProof/>
                <w:sz w:val="18"/>
                <w:szCs w:val="18"/>
              </w:rPr>
              <w:t>1,404</w:t>
            </w:r>
          </w:p>
        </w:tc>
        <w:tc>
          <w:tcPr>
            <w:tcW w:w="360" w:type="dxa"/>
            <w:tcBorders>
              <w:right w:val="dashSmallGap" w:sz="4" w:space="0" w:color="auto"/>
            </w:tcBorders>
          </w:tcPr>
          <w:p>
            <w:pPr>
              <w:ind w:right="-29"/>
              <w:jc w:val="center"/>
              <w:rPr>
                <w:noProof/>
                <w:sz w:val="18"/>
                <w:szCs w:val="18"/>
              </w:rPr>
            </w:pPr>
          </w:p>
        </w:tc>
        <w:tc>
          <w:tcPr>
            <w:tcW w:w="720" w:type="dxa"/>
            <w:tcBorders>
              <w:left w:val="dashSmallGap" w:sz="4" w:space="0" w:color="auto"/>
            </w:tcBorders>
          </w:tcPr>
          <w:p>
            <w:pPr>
              <w:ind w:right="-29"/>
              <w:jc w:val="center"/>
              <w:rPr>
                <w:noProof/>
                <w:sz w:val="18"/>
                <w:szCs w:val="18"/>
              </w:rPr>
            </w:pPr>
            <w:r>
              <w:rPr>
                <w:noProof/>
                <w:sz w:val="18"/>
                <w:szCs w:val="18"/>
              </w:rPr>
              <w:t>1,404</w:t>
            </w:r>
          </w:p>
        </w:tc>
        <w:tc>
          <w:tcPr>
            <w:tcW w:w="360" w:type="dxa"/>
            <w:tcBorders>
              <w:right w:val="dashSmallGap" w:sz="4" w:space="0" w:color="auto"/>
            </w:tcBorders>
          </w:tcPr>
          <w:p>
            <w:pPr>
              <w:ind w:right="-29"/>
              <w:jc w:val="center"/>
              <w:rPr>
                <w:noProof/>
                <w:sz w:val="18"/>
                <w:szCs w:val="18"/>
              </w:rPr>
            </w:pPr>
          </w:p>
        </w:tc>
        <w:tc>
          <w:tcPr>
            <w:tcW w:w="840" w:type="dxa"/>
            <w:tcBorders>
              <w:left w:val="dashSmallGap" w:sz="4" w:space="0" w:color="auto"/>
            </w:tcBorders>
          </w:tcPr>
          <w:p>
            <w:pPr>
              <w:ind w:right="-29"/>
              <w:jc w:val="center"/>
              <w:rPr>
                <w:noProof/>
                <w:sz w:val="18"/>
                <w:szCs w:val="18"/>
              </w:rPr>
            </w:pPr>
            <w:r>
              <w:rPr>
                <w:noProof/>
                <w:sz w:val="18"/>
                <w:szCs w:val="18"/>
              </w:rPr>
              <w:t>5,754</w:t>
            </w:r>
          </w:p>
        </w:tc>
        <w:tc>
          <w:tcPr>
            <w:tcW w:w="360" w:type="dxa"/>
            <w:tcBorders>
              <w:right w:val="dashSmallGap" w:sz="4" w:space="0" w:color="auto"/>
            </w:tcBorders>
          </w:tcPr>
          <w:p>
            <w:pPr>
              <w:ind w:right="-29"/>
              <w:jc w:val="center"/>
              <w:rPr>
                <w:noProof/>
                <w:sz w:val="18"/>
                <w:szCs w:val="18"/>
              </w:rPr>
            </w:pPr>
          </w:p>
        </w:tc>
        <w:tc>
          <w:tcPr>
            <w:tcW w:w="840" w:type="dxa"/>
            <w:tcBorders>
              <w:left w:val="dashSmallGap" w:sz="4" w:space="0" w:color="auto"/>
            </w:tcBorders>
          </w:tcPr>
          <w:p>
            <w:pPr>
              <w:ind w:right="-29"/>
              <w:jc w:val="center"/>
              <w:rPr>
                <w:noProof/>
                <w:sz w:val="18"/>
                <w:szCs w:val="18"/>
              </w:rPr>
            </w:pPr>
            <w:r>
              <w:rPr>
                <w:noProof/>
                <w:sz w:val="18"/>
                <w:szCs w:val="18"/>
              </w:rPr>
              <w:t>5,754</w:t>
            </w:r>
          </w:p>
        </w:tc>
        <w:tc>
          <w:tcPr>
            <w:tcW w:w="360" w:type="dxa"/>
            <w:tcBorders>
              <w:right w:val="dashSmallGap" w:sz="4" w:space="0" w:color="auto"/>
            </w:tcBorders>
          </w:tcPr>
          <w:p>
            <w:pPr>
              <w:ind w:right="-29"/>
              <w:jc w:val="center"/>
              <w:rPr>
                <w:noProof/>
                <w:sz w:val="18"/>
                <w:szCs w:val="18"/>
              </w:rPr>
            </w:pPr>
          </w:p>
        </w:tc>
        <w:tc>
          <w:tcPr>
            <w:tcW w:w="840" w:type="dxa"/>
            <w:tcBorders>
              <w:left w:val="dashSmallGap" w:sz="4" w:space="0" w:color="auto"/>
              <w:bottom w:val="single" w:sz="4" w:space="0" w:color="auto"/>
            </w:tcBorders>
          </w:tcPr>
          <w:p>
            <w:pPr>
              <w:ind w:right="-29"/>
              <w:jc w:val="center"/>
              <w:rPr>
                <w:noProof/>
                <w:sz w:val="18"/>
                <w:szCs w:val="18"/>
              </w:rPr>
            </w:pPr>
            <w:r>
              <w:rPr>
                <w:noProof/>
                <w:sz w:val="18"/>
                <w:szCs w:val="18"/>
              </w:rPr>
              <w:t>1,404</w:t>
            </w:r>
          </w:p>
        </w:tc>
        <w:tc>
          <w:tcPr>
            <w:tcW w:w="360" w:type="dxa"/>
            <w:tcBorders>
              <w:right w:val="dashSmallGap" w:sz="4" w:space="0" w:color="auto"/>
            </w:tcBorders>
          </w:tcPr>
          <w:p>
            <w:pPr>
              <w:ind w:right="-29"/>
              <w:jc w:val="center"/>
              <w:rPr>
                <w:noProof/>
                <w:sz w:val="18"/>
                <w:szCs w:val="18"/>
              </w:rPr>
            </w:pPr>
          </w:p>
        </w:tc>
        <w:tc>
          <w:tcPr>
            <w:tcW w:w="1320" w:type="dxa"/>
            <w:tcBorders>
              <w:left w:val="dashSmallGap" w:sz="4" w:space="0" w:color="auto"/>
              <w:bottom w:val="single" w:sz="4" w:space="0" w:color="auto"/>
              <w:right w:val="single" w:sz="12" w:space="0" w:color="auto"/>
            </w:tcBorders>
          </w:tcPr>
          <w:p>
            <w:pPr>
              <w:ind w:right="-29"/>
              <w:jc w:val="center"/>
              <w:rPr>
                <w:noProof/>
                <w:sz w:val="20"/>
              </w:rPr>
            </w:pPr>
            <w:r>
              <w:rPr>
                <w:noProof/>
                <w:sz w:val="20"/>
              </w:rPr>
              <w:t>26,144</w:t>
            </w:r>
          </w:p>
        </w:tc>
      </w:tr>
      <w:tr>
        <w:trPr>
          <w:trHeight w:hRule="exact" w:val="908"/>
          <w:jc w:val="center"/>
        </w:trPr>
        <w:tc>
          <w:tcPr>
            <w:tcW w:w="1422" w:type="dxa"/>
            <w:tcBorders>
              <w:left w:val="single" w:sz="12" w:space="0" w:color="auto"/>
            </w:tcBorders>
          </w:tcPr>
          <w:p>
            <w:pPr>
              <w:ind w:right="-29"/>
              <w:jc w:val="center"/>
              <w:rPr>
                <w:noProof/>
                <w:sz w:val="18"/>
              </w:rPr>
            </w:pPr>
            <w:r>
              <w:rPr>
                <w:noProof/>
                <w:sz w:val="18"/>
              </w:rPr>
              <w:t>IT environment</w:t>
            </w:r>
          </w:p>
        </w:tc>
        <w:tc>
          <w:tcPr>
            <w:tcW w:w="1380" w:type="dxa"/>
            <w:gridSpan w:val="2"/>
          </w:tcPr>
          <w:p>
            <w:pPr>
              <w:ind w:right="-29"/>
              <w:jc w:val="center"/>
              <w:rPr>
                <w:noProof/>
                <w:sz w:val="20"/>
              </w:rPr>
            </w:pPr>
            <w:r>
              <w:rPr>
                <w:noProof/>
                <w:sz w:val="20"/>
              </w:rPr>
              <w:t>Software</w:t>
            </w:r>
          </w:p>
        </w:tc>
        <w:tc>
          <w:tcPr>
            <w:tcW w:w="303" w:type="dxa"/>
            <w:tcBorders>
              <w:right w:val="dashSmallGap" w:sz="4" w:space="0" w:color="auto"/>
            </w:tcBorders>
          </w:tcPr>
          <w:p>
            <w:pPr>
              <w:ind w:right="-29"/>
              <w:jc w:val="center"/>
              <w:rPr>
                <w:noProof/>
                <w:sz w:val="18"/>
                <w:szCs w:val="18"/>
              </w:rPr>
            </w:pPr>
          </w:p>
        </w:tc>
        <w:tc>
          <w:tcPr>
            <w:tcW w:w="867" w:type="dxa"/>
            <w:tcBorders>
              <w:left w:val="dashSmallGap" w:sz="4" w:space="0" w:color="auto"/>
              <w:bottom w:val="single" w:sz="4" w:space="0" w:color="auto"/>
            </w:tcBorders>
          </w:tcPr>
          <w:p>
            <w:pPr>
              <w:ind w:right="-29"/>
              <w:jc w:val="center"/>
              <w:rPr>
                <w:noProof/>
                <w:sz w:val="18"/>
                <w:szCs w:val="18"/>
              </w:rPr>
            </w:pPr>
          </w:p>
        </w:tc>
        <w:tc>
          <w:tcPr>
            <w:tcW w:w="330" w:type="dxa"/>
            <w:tcBorders>
              <w:right w:val="dashSmallGap" w:sz="4" w:space="0" w:color="auto"/>
            </w:tcBorders>
          </w:tcPr>
          <w:p>
            <w:pPr>
              <w:ind w:right="-29"/>
              <w:jc w:val="center"/>
              <w:rPr>
                <w:noProof/>
                <w:sz w:val="18"/>
                <w:szCs w:val="18"/>
              </w:rPr>
            </w:pPr>
          </w:p>
        </w:tc>
        <w:tc>
          <w:tcPr>
            <w:tcW w:w="840" w:type="dxa"/>
            <w:tcBorders>
              <w:left w:val="dashSmallGap" w:sz="4" w:space="0" w:color="auto"/>
            </w:tcBorders>
          </w:tcPr>
          <w:p>
            <w:pPr>
              <w:ind w:right="-29"/>
              <w:jc w:val="center"/>
              <w:rPr>
                <w:noProof/>
                <w:sz w:val="18"/>
                <w:szCs w:val="18"/>
              </w:rPr>
            </w:pPr>
            <w:r>
              <w:rPr>
                <w:noProof/>
                <w:sz w:val="18"/>
                <w:szCs w:val="18"/>
              </w:rPr>
              <w:t>0,670</w:t>
            </w:r>
          </w:p>
        </w:tc>
        <w:tc>
          <w:tcPr>
            <w:tcW w:w="360" w:type="dxa"/>
            <w:tcBorders>
              <w:right w:val="dashSmallGap" w:sz="4" w:space="0" w:color="auto"/>
            </w:tcBorders>
          </w:tcPr>
          <w:p>
            <w:pPr>
              <w:ind w:right="-29"/>
              <w:jc w:val="center"/>
              <w:rPr>
                <w:noProof/>
                <w:sz w:val="18"/>
                <w:szCs w:val="18"/>
              </w:rPr>
            </w:pPr>
          </w:p>
        </w:tc>
        <w:tc>
          <w:tcPr>
            <w:tcW w:w="840" w:type="dxa"/>
            <w:tcBorders>
              <w:left w:val="dashSmallGap" w:sz="4" w:space="0" w:color="auto"/>
            </w:tcBorders>
          </w:tcPr>
          <w:p>
            <w:pPr>
              <w:ind w:right="-29"/>
              <w:jc w:val="center"/>
              <w:rPr>
                <w:noProof/>
                <w:sz w:val="18"/>
                <w:szCs w:val="18"/>
              </w:rPr>
            </w:pPr>
            <w:r>
              <w:rPr>
                <w:noProof/>
                <w:sz w:val="18"/>
                <w:szCs w:val="18"/>
              </w:rPr>
              <w:t>0,670</w:t>
            </w:r>
          </w:p>
        </w:tc>
        <w:tc>
          <w:tcPr>
            <w:tcW w:w="360" w:type="dxa"/>
            <w:tcBorders>
              <w:right w:val="dashSmallGap" w:sz="4" w:space="0" w:color="auto"/>
            </w:tcBorders>
          </w:tcPr>
          <w:p>
            <w:pPr>
              <w:ind w:right="-29"/>
              <w:jc w:val="center"/>
              <w:rPr>
                <w:noProof/>
                <w:sz w:val="18"/>
                <w:szCs w:val="18"/>
              </w:rPr>
            </w:pPr>
          </w:p>
        </w:tc>
        <w:tc>
          <w:tcPr>
            <w:tcW w:w="840" w:type="dxa"/>
            <w:tcBorders>
              <w:left w:val="dashSmallGap" w:sz="4" w:space="0" w:color="auto"/>
            </w:tcBorders>
          </w:tcPr>
          <w:p>
            <w:pPr>
              <w:ind w:right="-29"/>
              <w:jc w:val="center"/>
              <w:rPr>
                <w:noProof/>
                <w:sz w:val="18"/>
                <w:szCs w:val="18"/>
              </w:rPr>
            </w:pPr>
            <w:r>
              <w:rPr>
                <w:noProof/>
                <w:sz w:val="18"/>
                <w:szCs w:val="18"/>
              </w:rPr>
              <w:t>0,268</w:t>
            </w:r>
          </w:p>
        </w:tc>
        <w:tc>
          <w:tcPr>
            <w:tcW w:w="360" w:type="dxa"/>
            <w:tcBorders>
              <w:right w:val="dashSmallGap" w:sz="4" w:space="0" w:color="auto"/>
            </w:tcBorders>
          </w:tcPr>
          <w:p>
            <w:pPr>
              <w:ind w:right="-29"/>
              <w:jc w:val="center"/>
              <w:rPr>
                <w:noProof/>
                <w:sz w:val="18"/>
                <w:szCs w:val="18"/>
              </w:rPr>
            </w:pPr>
          </w:p>
        </w:tc>
        <w:tc>
          <w:tcPr>
            <w:tcW w:w="792" w:type="dxa"/>
            <w:tcBorders>
              <w:left w:val="dashSmallGap" w:sz="4" w:space="0" w:color="auto"/>
            </w:tcBorders>
          </w:tcPr>
          <w:p>
            <w:pPr>
              <w:ind w:right="-29"/>
              <w:jc w:val="center"/>
              <w:rPr>
                <w:noProof/>
                <w:sz w:val="18"/>
                <w:szCs w:val="18"/>
              </w:rPr>
            </w:pPr>
            <w:r>
              <w:rPr>
                <w:noProof/>
                <w:sz w:val="18"/>
                <w:szCs w:val="18"/>
              </w:rPr>
              <w:t>0,268</w:t>
            </w:r>
          </w:p>
        </w:tc>
        <w:tc>
          <w:tcPr>
            <w:tcW w:w="360" w:type="dxa"/>
            <w:tcBorders>
              <w:right w:val="dashSmallGap" w:sz="4" w:space="0" w:color="auto"/>
            </w:tcBorders>
          </w:tcPr>
          <w:p>
            <w:pPr>
              <w:ind w:right="-29"/>
              <w:jc w:val="center"/>
              <w:rPr>
                <w:noProof/>
                <w:sz w:val="18"/>
                <w:szCs w:val="18"/>
              </w:rPr>
            </w:pPr>
          </w:p>
        </w:tc>
        <w:tc>
          <w:tcPr>
            <w:tcW w:w="720" w:type="dxa"/>
            <w:tcBorders>
              <w:left w:val="dashSmallGap" w:sz="4" w:space="0" w:color="auto"/>
            </w:tcBorders>
          </w:tcPr>
          <w:p>
            <w:pPr>
              <w:ind w:right="-29"/>
              <w:jc w:val="center"/>
              <w:rPr>
                <w:noProof/>
                <w:sz w:val="18"/>
                <w:szCs w:val="18"/>
              </w:rPr>
            </w:pPr>
            <w:r>
              <w:rPr>
                <w:noProof/>
                <w:sz w:val="18"/>
                <w:szCs w:val="18"/>
              </w:rPr>
              <w:t>0,268</w:t>
            </w:r>
          </w:p>
        </w:tc>
        <w:tc>
          <w:tcPr>
            <w:tcW w:w="360" w:type="dxa"/>
            <w:tcBorders>
              <w:right w:val="dashSmallGap" w:sz="4" w:space="0" w:color="auto"/>
            </w:tcBorders>
          </w:tcPr>
          <w:p>
            <w:pPr>
              <w:ind w:right="-29"/>
              <w:jc w:val="center"/>
              <w:rPr>
                <w:noProof/>
                <w:sz w:val="18"/>
                <w:szCs w:val="18"/>
              </w:rPr>
            </w:pPr>
          </w:p>
        </w:tc>
        <w:tc>
          <w:tcPr>
            <w:tcW w:w="840" w:type="dxa"/>
            <w:tcBorders>
              <w:left w:val="dashSmallGap" w:sz="4" w:space="0" w:color="auto"/>
            </w:tcBorders>
          </w:tcPr>
          <w:p>
            <w:pPr>
              <w:ind w:right="-29"/>
              <w:jc w:val="center"/>
              <w:rPr>
                <w:noProof/>
                <w:sz w:val="18"/>
                <w:szCs w:val="18"/>
              </w:rPr>
            </w:pPr>
            <w:r>
              <w:rPr>
                <w:noProof/>
                <w:sz w:val="18"/>
                <w:szCs w:val="18"/>
              </w:rPr>
              <w:t>0,268</w:t>
            </w:r>
          </w:p>
        </w:tc>
        <w:tc>
          <w:tcPr>
            <w:tcW w:w="360" w:type="dxa"/>
            <w:tcBorders>
              <w:right w:val="dashSmallGap" w:sz="4" w:space="0" w:color="auto"/>
            </w:tcBorders>
          </w:tcPr>
          <w:p>
            <w:pPr>
              <w:ind w:right="-29"/>
              <w:jc w:val="center"/>
              <w:rPr>
                <w:noProof/>
                <w:sz w:val="18"/>
                <w:szCs w:val="18"/>
              </w:rPr>
            </w:pPr>
          </w:p>
        </w:tc>
        <w:tc>
          <w:tcPr>
            <w:tcW w:w="840" w:type="dxa"/>
            <w:tcBorders>
              <w:left w:val="dashSmallGap" w:sz="4" w:space="0" w:color="auto"/>
            </w:tcBorders>
          </w:tcPr>
          <w:p>
            <w:pPr>
              <w:ind w:right="-29"/>
              <w:jc w:val="center"/>
              <w:rPr>
                <w:noProof/>
                <w:sz w:val="18"/>
                <w:szCs w:val="18"/>
              </w:rPr>
            </w:pPr>
            <w:r>
              <w:rPr>
                <w:noProof/>
                <w:sz w:val="18"/>
                <w:szCs w:val="18"/>
              </w:rPr>
              <w:t>0,268</w:t>
            </w:r>
          </w:p>
        </w:tc>
        <w:tc>
          <w:tcPr>
            <w:tcW w:w="360" w:type="dxa"/>
            <w:tcBorders>
              <w:right w:val="dashSmallGap" w:sz="4" w:space="0" w:color="auto"/>
            </w:tcBorders>
          </w:tcPr>
          <w:p>
            <w:pPr>
              <w:ind w:right="-29"/>
              <w:jc w:val="center"/>
              <w:rPr>
                <w:noProof/>
                <w:sz w:val="18"/>
                <w:szCs w:val="18"/>
              </w:rPr>
            </w:pPr>
          </w:p>
        </w:tc>
        <w:tc>
          <w:tcPr>
            <w:tcW w:w="840" w:type="dxa"/>
            <w:tcBorders>
              <w:left w:val="dashSmallGap" w:sz="4" w:space="0" w:color="auto"/>
              <w:bottom w:val="single" w:sz="4" w:space="0" w:color="auto"/>
            </w:tcBorders>
          </w:tcPr>
          <w:p>
            <w:pPr>
              <w:ind w:right="-29"/>
              <w:jc w:val="center"/>
              <w:rPr>
                <w:noProof/>
                <w:sz w:val="18"/>
                <w:szCs w:val="18"/>
              </w:rPr>
            </w:pPr>
            <w:r>
              <w:rPr>
                <w:noProof/>
                <w:sz w:val="18"/>
                <w:szCs w:val="18"/>
              </w:rPr>
              <w:t>0,268</w:t>
            </w:r>
          </w:p>
        </w:tc>
        <w:tc>
          <w:tcPr>
            <w:tcW w:w="360" w:type="dxa"/>
            <w:tcBorders>
              <w:right w:val="dashSmallGap" w:sz="4" w:space="0" w:color="auto"/>
            </w:tcBorders>
          </w:tcPr>
          <w:p>
            <w:pPr>
              <w:ind w:right="-29"/>
              <w:jc w:val="center"/>
              <w:rPr>
                <w:noProof/>
                <w:sz w:val="18"/>
                <w:szCs w:val="18"/>
              </w:rPr>
            </w:pPr>
          </w:p>
        </w:tc>
        <w:tc>
          <w:tcPr>
            <w:tcW w:w="1320" w:type="dxa"/>
            <w:tcBorders>
              <w:left w:val="dashSmallGap" w:sz="4" w:space="0" w:color="auto"/>
              <w:bottom w:val="single" w:sz="4" w:space="0" w:color="auto"/>
              <w:right w:val="single" w:sz="12" w:space="0" w:color="auto"/>
            </w:tcBorders>
          </w:tcPr>
          <w:p>
            <w:pPr>
              <w:ind w:right="-29"/>
              <w:jc w:val="center"/>
              <w:rPr>
                <w:noProof/>
                <w:sz w:val="20"/>
              </w:rPr>
            </w:pPr>
            <w:r>
              <w:rPr>
                <w:noProof/>
                <w:sz w:val="20"/>
              </w:rPr>
              <w:t>2,948</w:t>
            </w:r>
          </w:p>
        </w:tc>
      </w:tr>
      <w:tr>
        <w:trPr>
          <w:trHeight w:hRule="exact" w:val="908"/>
          <w:jc w:val="center"/>
        </w:trPr>
        <w:tc>
          <w:tcPr>
            <w:tcW w:w="1422" w:type="dxa"/>
            <w:tcBorders>
              <w:left w:val="single" w:sz="12" w:space="0" w:color="auto"/>
            </w:tcBorders>
          </w:tcPr>
          <w:p>
            <w:pPr>
              <w:ind w:right="-29"/>
              <w:jc w:val="center"/>
              <w:rPr>
                <w:noProof/>
                <w:sz w:val="18"/>
              </w:rPr>
            </w:pPr>
            <w:r>
              <w:rPr>
                <w:noProof/>
                <w:sz w:val="18"/>
              </w:rPr>
              <w:t>Development works</w:t>
            </w:r>
          </w:p>
        </w:tc>
        <w:tc>
          <w:tcPr>
            <w:tcW w:w="1380" w:type="dxa"/>
            <w:gridSpan w:val="2"/>
          </w:tcPr>
          <w:p>
            <w:pPr>
              <w:ind w:right="-29"/>
              <w:jc w:val="center"/>
              <w:rPr>
                <w:noProof/>
                <w:sz w:val="20"/>
              </w:rPr>
            </w:pPr>
            <w:r>
              <w:rPr>
                <w:noProof/>
                <w:sz w:val="20"/>
              </w:rPr>
              <w:t>Contractor</w:t>
            </w:r>
          </w:p>
        </w:tc>
        <w:tc>
          <w:tcPr>
            <w:tcW w:w="303" w:type="dxa"/>
            <w:tcBorders>
              <w:right w:val="dashSmallGap" w:sz="4" w:space="0" w:color="auto"/>
            </w:tcBorders>
          </w:tcPr>
          <w:p>
            <w:pPr>
              <w:ind w:right="-29"/>
              <w:jc w:val="center"/>
              <w:rPr>
                <w:noProof/>
                <w:sz w:val="18"/>
                <w:szCs w:val="18"/>
              </w:rPr>
            </w:pPr>
          </w:p>
        </w:tc>
        <w:tc>
          <w:tcPr>
            <w:tcW w:w="867" w:type="dxa"/>
            <w:tcBorders>
              <w:left w:val="dashSmallGap" w:sz="4" w:space="0" w:color="auto"/>
              <w:bottom w:val="single" w:sz="4" w:space="0" w:color="auto"/>
            </w:tcBorders>
          </w:tcPr>
          <w:p>
            <w:pPr>
              <w:ind w:right="-29"/>
              <w:jc w:val="center"/>
              <w:rPr>
                <w:noProof/>
                <w:sz w:val="18"/>
                <w:szCs w:val="18"/>
              </w:rPr>
            </w:pPr>
          </w:p>
        </w:tc>
        <w:tc>
          <w:tcPr>
            <w:tcW w:w="330" w:type="dxa"/>
            <w:tcBorders>
              <w:right w:val="dashSmallGap" w:sz="4" w:space="0" w:color="auto"/>
            </w:tcBorders>
          </w:tcPr>
          <w:p>
            <w:pPr>
              <w:ind w:right="-29"/>
              <w:jc w:val="center"/>
              <w:rPr>
                <w:noProof/>
                <w:sz w:val="18"/>
                <w:szCs w:val="18"/>
              </w:rPr>
            </w:pPr>
          </w:p>
        </w:tc>
        <w:tc>
          <w:tcPr>
            <w:tcW w:w="840" w:type="dxa"/>
            <w:tcBorders>
              <w:left w:val="dashSmallGap" w:sz="4" w:space="0" w:color="auto"/>
            </w:tcBorders>
          </w:tcPr>
          <w:p>
            <w:pPr>
              <w:ind w:right="-29"/>
              <w:jc w:val="center"/>
              <w:rPr>
                <w:noProof/>
                <w:sz w:val="18"/>
                <w:szCs w:val="18"/>
              </w:rPr>
            </w:pPr>
            <w:r>
              <w:rPr>
                <w:noProof/>
                <w:sz w:val="18"/>
                <w:szCs w:val="18"/>
              </w:rPr>
              <w:t>0,360</w:t>
            </w:r>
          </w:p>
        </w:tc>
        <w:tc>
          <w:tcPr>
            <w:tcW w:w="360" w:type="dxa"/>
            <w:tcBorders>
              <w:right w:val="dashSmallGap" w:sz="4" w:space="0" w:color="auto"/>
            </w:tcBorders>
          </w:tcPr>
          <w:p>
            <w:pPr>
              <w:ind w:right="-29"/>
              <w:jc w:val="center"/>
              <w:rPr>
                <w:noProof/>
                <w:sz w:val="18"/>
                <w:szCs w:val="18"/>
              </w:rPr>
            </w:pPr>
          </w:p>
        </w:tc>
        <w:tc>
          <w:tcPr>
            <w:tcW w:w="840" w:type="dxa"/>
            <w:tcBorders>
              <w:left w:val="dashSmallGap" w:sz="4" w:space="0" w:color="auto"/>
            </w:tcBorders>
          </w:tcPr>
          <w:p>
            <w:pPr>
              <w:ind w:right="-29"/>
              <w:jc w:val="center"/>
              <w:rPr>
                <w:noProof/>
                <w:sz w:val="18"/>
                <w:szCs w:val="18"/>
              </w:rPr>
            </w:pPr>
            <w:r>
              <w:rPr>
                <w:noProof/>
                <w:sz w:val="18"/>
                <w:szCs w:val="18"/>
              </w:rPr>
              <w:t>0,360</w:t>
            </w:r>
          </w:p>
        </w:tc>
        <w:tc>
          <w:tcPr>
            <w:tcW w:w="360" w:type="dxa"/>
            <w:tcBorders>
              <w:right w:val="dashSmallGap" w:sz="4" w:space="0" w:color="auto"/>
            </w:tcBorders>
          </w:tcPr>
          <w:p>
            <w:pPr>
              <w:ind w:right="-29"/>
              <w:jc w:val="center"/>
              <w:rPr>
                <w:noProof/>
                <w:sz w:val="18"/>
                <w:szCs w:val="18"/>
              </w:rPr>
            </w:pPr>
          </w:p>
        </w:tc>
        <w:tc>
          <w:tcPr>
            <w:tcW w:w="840" w:type="dxa"/>
            <w:tcBorders>
              <w:left w:val="dashSmallGap" w:sz="4" w:space="0" w:color="auto"/>
            </w:tcBorders>
          </w:tcPr>
          <w:p>
            <w:pPr>
              <w:ind w:right="-29"/>
              <w:jc w:val="center"/>
              <w:rPr>
                <w:noProof/>
                <w:sz w:val="18"/>
                <w:szCs w:val="18"/>
              </w:rPr>
            </w:pPr>
          </w:p>
        </w:tc>
        <w:tc>
          <w:tcPr>
            <w:tcW w:w="360" w:type="dxa"/>
            <w:tcBorders>
              <w:right w:val="dashSmallGap" w:sz="4" w:space="0" w:color="auto"/>
            </w:tcBorders>
          </w:tcPr>
          <w:p>
            <w:pPr>
              <w:ind w:right="-29"/>
              <w:jc w:val="center"/>
              <w:rPr>
                <w:noProof/>
                <w:sz w:val="18"/>
                <w:szCs w:val="18"/>
              </w:rPr>
            </w:pPr>
          </w:p>
        </w:tc>
        <w:tc>
          <w:tcPr>
            <w:tcW w:w="792" w:type="dxa"/>
            <w:tcBorders>
              <w:left w:val="dashSmallGap" w:sz="4" w:space="0" w:color="auto"/>
            </w:tcBorders>
          </w:tcPr>
          <w:p>
            <w:pPr>
              <w:ind w:right="-29"/>
              <w:jc w:val="center"/>
              <w:rPr>
                <w:noProof/>
                <w:sz w:val="18"/>
                <w:szCs w:val="18"/>
              </w:rPr>
            </w:pPr>
          </w:p>
        </w:tc>
        <w:tc>
          <w:tcPr>
            <w:tcW w:w="360" w:type="dxa"/>
            <w:tcBorders>
              <w:right w:val="dashSmallGap" w:sz="4" w:space="0" w:color="auto"/>
            </w:tcBorders>
          </w:tcPr>
          <w:p>
            <w:pPr>
              <w:ind w:right="-29"/>
              <w:jc w:val="center"/>
              <w:rPr>
                <w:noProof/>
                <w:sz w:val="18"/>
                <w:szCs w:val="18"/>
              </w:rPr>
            </w:pPr>
          </w:p>
        </w:tc>
        <w:tc>
          <w:tcPr>
            <w:tcW w:w="720" w:type="dxa"/>
            <w:tcBorders>
              <w:left w:val="dashSmallGap" w:sz="4" w:space="0" w:color="auto"/>
            </w:tcBorders>
          </w:tcPr>
          <w:p>
            <w:pPr>
              <w:ind w:right="-29"/>
              <w:jc w:val="center"/>
              <w:rPr>
                <w:noProof/>
                <w:sz w:val="18"/>
                <w:szCs w:val="18"/>
              </w:rPr>
            </w:pPr>
          </w:p>
        </w:tc>
        <w:tc>
          <w:tcPr>
            <w:tcW w:w="360" w:type="dxa"/>
            <w:tcBorders>
              <w:right w:val="dashSmallGap" w:sz="4" w:space="0" w:color="auto"/>
            </w:tcBorders>
          </w:tcPr>
          <w:p>
            <w:pPr>
              <w:ind w:right="-29"/>
              <w:jc w:val="center"/>
              <w:rPr>
                <w:noProof/>
                <w:sz w:val="18"/>
                <w:szCs w:val="18"/>
              </w:rPr>
            </w:pPr>
          </w:p>
        </w:tc>
        <w:tc>
          <w:tcPr>
            <w:tcW w:w="840" w:type="dxa"/>
            <w:tcBorders>
              <w:left w:val="dashSmallGap" w:sz="4" w:space="0" w:color="auto"/>
            </w:tcBorders>
          </w:tcPr>
          <w:p>
            <w:pPr>
              <w:ind w:right="-29"/>
              <w:jc w:val="center"/>
              <w:rPr>
                <w:noProof/>
                <w:sz w:val="18"/>
                <w:szCs w:val="18"/>
              </w:rPr>
            </w:pPr>
          </w:p>
        </w:tc>
        <w:tc>
          <w:tcPr>
            <w:tcW w:w="360" w:type="dxa"/>
            <w:tcBorders>
              <w:right w:val="dashSmallGap" w:sz="4" w:space="0" w:color="auto"/>
            </w:tcBorders>
          </w:tcPr>
          <w:p>
            <w:pPr>
              <w:ind w:right="-29"/>
              <w:jc w:val="center"/>
              <w:rPr>
                <w:noProof/>
                <w:sz w:val="18"/>
                <w:szCs w:val="18"/>
              </w:rPr>
            </w:pPr>
          </w:p>
        </w:tc>
        <w:tc>
          <w:tcPr>
            <w:tcW w:w="840" w:type="dxa"/>
            <w:tcBorders>
              <w:left w:val="dashSmallGap" w:sz="4" w:space="0" w:color="auto"/>
            </w:tcBorders>
          </w:tcPr>
          <w:p>
            <w:pPr>
              <w:ind w:right="-29"/>
              <w:jc w:val="center"/>
              <w:rPr>
                <w:noProof/>
                <w:sz w:val="18"/>
                <w:szCs w:val="18"/>
              </w:rPr>
            </w:pPr>
          </w:p>
        </w:tc>
        <w:tc>
          <w:tcPr>
            <w:tcW w:w="360" w:type="dxa"/>
            <w:tcBorders>
              <w:right w:val="dashSmallGap" w:sz="4" w:space="0" w:color="auto"/>
            </w:tcBorders>
          </w:tcPr>
          <w:p>
            <w:pPr>
              <w:ind w:right="-29"/>
              <w:jc w:val="center"/>
              <w:rPr>
                <w:noProof/>
                <w:sz w:val="18"/>
                <w:szCs w:val="18"/>
              </w:rPr>
            </w:pPr>
          </w:p>
        </w:tc>
        <w:tc>
          <w:tcPr>
            <w:tcW w:w="840" w:type="dxa"/>
            <w:tcBorders>
              <w:left w:val="dashSmallGap" w:sz="4" w:space="0" w:color="auto"/>
              <w:bottom w:val="single" w:sz="4" w:space="0" w:color="auto"/>
            </w:tcBorders>
          </w:tcPr>
          <w:p>
            <w:pPr>
              <w:ind w:right="-29"/>
              <w:jc w:val="center"/>
              <w:rPr>
                <w:noProof/>
                <w:sz w:val="18"/>
                <w:szCs w:val="18"/>
              </w:rPr>
            </w:pPr>
          </w:p>
        </w:tc>
        <w:tc>
          <w:tcPr>
            <w:tcW w:w="360" w:type="dxa"/>
            <w:tcBorders>
              <w:right w:val="dashSmallGap" w:sz="4" w:space="0" w:color="auto"/>
            </w:tcBorders>
          </w:tcPr>
          <w:p>
            <w:pPr>
              <w:ind w:right="-29"/>
              <w:jc w:val="center"/>
              <w:rPr>
                <w:noProof/>
                <w:sz w:val="18"/>
                <w:szCs w:val="18"/>
              </w:rPr>
            </w:pPr>
          </w:p>
        </w:tc>
        <w:tc>
          <w:tcPr>
            <w:tcW w:w="1320" w:type="dxa"/>
            <w:tcBorders>
              <w:left w:val="dashSmallGap" w:sz="4" w:space="0" w:color="auto"/>
              <w:bottom w:val="single" w:sz="4" w:space="0" w:color="auto"/>
              <w:right w:val="single" w:sz="12" w:space="0" w:color="auto"/>
            </w:tcBorders>
          </w:tcPr>
          <w:p>
            <w:pPr>
              <w:ind w:right="-29"/>
              <w:jc w:val="center"/>
              <w:rPr>
                <w:noProof/>
                <w:sz w:val="20"/>
              </w:rPr>
            </w:pPr>
            <w:r>
              <w:rPr>
                <w:noProof/>
                <w:sz w:val="20"/>
              </w:rPr>
              <w:t>0,720</w:t>
            </w:r>
          </w:p>
        </w:tc>
      </w:tr>
      <w:tr>
        <w:trPr>
          <w:jc w:val="center"/>
        </w:trPr>
        <w:tc>
          <w:tcPr>
            <w:tcW w:w="2802" w:type="dxa"/>
            <w:gridSpan w:val="3"/>
            <w:tcBorders>
              <w:left w:val="single" w:sz="12" w:space="0" w:color="auto"/>
              <w:bottom w:val="single" w:sz="12" w:space="0" w:color="auto"/>
            </w:tcBorders>
            <w:vAlign w:val="center"/>
          </w:tcPr>
          <w:p>
            <w:pPr>
              <w:ind w:right="-29"/>
              <w:jc w:val="center"/>
              <w:rPr>
                <w:noProof/>
                <w:sz w:val="18"/>
                <w:szCs w:val="18"/>
              </w:rPr>
            </w:pPr>
            <w:r>
              <w:rPr>
                <w:noProof/>
                <w:sz w:val="18"/>
              </w:rPr>
              <w:t xml:space="preserve">Subtotal </w:t>
            </w:r>
          </w:p>
        </w:tc>
        <w:tc>
          <w:tcPr>
            <w:tcW w:w="303" w:type="dxa"/>
            <w:tcBorders>
              <w:bottom w:val="single" w:sz="12" w:space="0" w:color="auto"/>
              <w:right w:val="dashSmallGap" w:sz="4" w:space="0" w:color="auto"/>
            </w:tcBorders>
          </w:tcPr>
          <w:p>
            <w:pPr>
              <w:ind w:right="-29"/>
              <w:jc w:val="center"/>
              <w:rPr>
                <w:noProof/>
                <w:sz w:val="18"/>
                <w:szCs w:val="18"/>
              </w:rPr>
            </w:pPr>
          </w:p>
        </w:tc>
        <w:tc>
          <w:tcPr>
            <w:tcW w:w="867" w:type="dxa"/>
            <w:tcBorders>
              <w:left w:val="dashSmallGap" w:sz="4" w:space="0" w:color="auto"/>
              <w:bottom w:val="single" w:sz="12" w:space="0" w:color="auto"/>
            </w:tcBorders>
          </w:tcPr>
          <w:p>
            <w:pPr>
              <w:ind w:right="-29"/>
              <w:jc w:val="center"/>
              <w:rPr>
                <w:b/>
                <w:noProof/>
                <w:sz w:val="22"/>
                <w:szCs w:val="18"/>
              </w:rPr>
            </w:pPr>
            <w:r>
              <w:rPr>
                <w:b/>
                <w:noProof/>
                <w:sz w:val="22"/>
              </w:rPr>
              <w:t>0</w:t>
            </w:r>
          </w:p>
        </w:tc>
        <w:tc>
          <w:tcPr>
            <w:tcW w:w="330" w:type="dxa"/>
            <w:tcBorders>
              <w:bottom w:val="single" w:sz="12" w:space="0" w:color="auto"/>
              <w:right w:val="dashSmallGap" w:sz="4" w:space="0" w:color="auto"/>
            </w:tcBorders>
          </w:tcPr>
          <w:p>
            <w:pPr>
              <w:ind w:right="-29"/>
              <w:jc w:val="center"/>
              <w:rPr>
                <w:b/>
                <w:noProof/>
                <w:sz w:val="22"/>
              </w:rPr>
            </w:pPr>
          </w:p>
        </w:tc>
        <w:tc>
          <w:tcPr>
            <w:tcW w:w="840" w:type="dxa"/>
            <w:tcBorders>
              <w:left w:val="dashSmallGap" w:sz="4" w:space="0" w:color="auto"/>
              <w:bottom w:val="single" w:sz="12" w:space="0" w:color="auto"/>
            </w:tcBorders>
          </w:tcPr>
          <w:p>
            <w:pPr>
              <w:ind w:right="-29"/>
              <w:jc w:val="center"/>
              <w:rPr>
                <w:b/>
                <w:noProof/>
                <w:sz w:val="22"/>
                <w:szCs w:val="18"/>
              </w:rPr>
            </w:pPr>
            <w:r>
              <w:rPr>
                <w:b/>
                <w:noProof/>
                <w:sz w:val="22"/>
              </w:rPr>
              <w:t>6,380</w:t>
            </w:r>
          </w:p>
        </w:tc>
        <w:tc>
          <w:tcPr>
            <w:tcW w:w="360" w:type="dxa"/>
            <w:tcBorders>
              <w:bottom w:val="single" w:sz="12" w:space="0" w:color="auto"/>
              <w:right w:val="dashSmallGap" w:sz="4" w:space="0" w:color="auto"/>
            </w:tcBorders>
          </w:tcPr>
          <w:p>
            <w:pPr>
              <w:ind w:right="-29"/>
              <w:jc w:val="center"/>
              <w:rPr>
                <w:b/>
                <w:noProof/>
                <w:sz w:val="22"/>
              </w:rPr>
            </w:pPr>
          </w:p>
        </w:tc>
        <w:tc>
          <w:tcPr>
            <w:tcW w:w="840" w:type="dxa"/>
            <w:tcBorders>
              <w:left w:val="dashSmallGap" w:sz="4" w:space="0" w:color="auto"/>
              <w:bottom w:val="single" w:sz="12" w:space="0" w:color="auto"/>
            </w:tcBorders>
          </w:tcPr>
          <w:p>
            <w:pPr>
              <w:ind w:right="-29"/>
              <w:jc w:val="center"/>
              <w:rPr>
                <w:b/>
                <w:noProof/>
                <w:sz w:val="22"/>
                <w:szCs w:val="18"/>
              </w:rPr>
            </w:pPr>
            <w:r>
              <w:rPr>
                <w:b/>
                <w:noProof/>
                <w:sz w:val="22"/>
              </w:rPr>
              <w:t>6,380</w:t>
            </w:r>
          </w:p>
        </w:tc>
        <w:tc>
          <w:tcPr>
            <w:tcW w:w="360" w:type="dxa"/>
            <w:tcBorders>
              <w:bottom w:val="single" w:sz="12" w:space="0" w:color="auto"/>
              <w:right w:val="dashSmallGap" w:sz="4" w:space="0" w:color="auto"/>
            </w:tcBorders>
          </w:tcPr>
          <w:p>
            <w:pPr>
              <w:ind w:right="-29"/>
              <w:jc w:val="center"/>
              <w:rPr>
                <w:b/>
                <w:noProof/>
                <w:sz w:val="22"/>
              </w:rPr>
            </w:pPr>
          </w:p>
        </w:tc>
        <w:tc>
          <w:tcPr>
            <w:tcW w:w="840" w:type="dxa"/>
            <w:tcBorders>
              <w:left w:val="dashSmallGap" w:sz="4" w:space="0" w:color="auto"/>
              <w:bottom w:val="single" w:sz="12" w:space="0" w:color="auto"/>
            </w:tcBorders>
          </w:tcPr>
          <w:p>
            <w:pPr>
              <w:ind w:right="-29"/>
              <w:jc w:val="center"/>
              <w:rPr>
                <w:b/>
                <w:noProof/>
                <w:sz w:val="22"/>
                <w:szCs w:val="18"/>
              </w:rPr>
            </w:pPr>
            <w:r>
              <w:rPr>
                <w:b/>
                <w:noProof/>
                <w:sz w:val="22"/>
              </w:rPr>
              <w:t>2,408</w:t>
            </w:r>
          </w:p>
        </w:tc>
        <w:tc>
          <w:tcPr>
            <w:tcW w:w="360" w:type="dxa"/>
            <w:tcBorders>
              <w:bottom w:val="single" w:sz="12" w:space="0" w:color="auto"/>
              <w:right w:val="dashSmallGap" w:sz="4" w:space="0" w:color="auto"/>
            </w:tcBorders>
          </w:tcPr>
          <w:p>
            <w:pPr>
              <w:ind w:right="-29"/>
              <w:jc w:val="center"/>
              <w:rPr>
                <w:b/>
                <w:noProof/>
                <w:sz w:val="22"/>
              </w:rPr>
            </w:pPr>
          </w:p>
        </w:tc>
        <w:tc>
          <w:tcPr>
            <w:tcW w:w="792" w:type="dxa"/>
            <w:tcBorders>
              <w:left w:val="dashSmallGap" w:sz="4" w:space="0" w:color="auto"/>
              <w:bottom w:val="single" w:sz="12" w:space="0" w:color="auto"/>
            </w:tcBorders>
          </w:tcPr>
          <w:p>
            <w:pPr>
              <w:ind w:right="-29"/>
              <w:rPr>
                <w:b/>
                <w:noProof/>
                <w:sz w:val="22"/>
              </w:rPr>
            </w:pPr>
            <w:r>
              <w:rPr>
                <w:b/>
                <w:noProof/>
                <w:sz w:val="22"/>
              </w:rPr>
              <w:t>2,408</w:t>
            </w:r>
          </w:p>
        </w:tc>
        <w:tc>
          <w:tcPr>
            <w:tcW w:w="360" w:type="dxa"/>
            <w:tcBorders>
              <w:bottom w:val="single" w:sz="12" w:space="0" w:color="auto"/>
              <w:right w:val="dashSmallGap" w:sz="4" w:space="0" w:color="auto"/>
            </w:tcBorders>
          </w:tcPr>
          <w:p>
            <w:pPr>
              <w:ind w:right="-29"/>
              <w:jc w:val="center"/>
              <w:rPr>
                <w:b/>
                <w:noProof/>
                <w:sz w:val="22"/>
              </w:rPr>
            </w:pPr>
          </w:p>
        </w:tc>
        <w:tc>
          <w:tcPr>
            <w:tcW w:w="720" w:type="dxa"/>
            <w:tcBorders>
              <w:left w:val="dashSmallGap" w:sz="4" w:space="0" w:color="auto"/>
              <w:bottom w:val="single" w:sz="12" w:space="0" w:color="auto"/>
            </w:tcBorders>
          </w:tcPr>
          <w:p>
            <w:pPr>
              <w:ind w:right="-29"/>
              <w:jc w:val="center"/>
              <w:rPr>
                <w:b/>
                <w:noProof/>
                <w:sz w:val="22"/>
              </w:rPr>
            </w:pPr>
            <w:r>
              <w:rPr>
                <w:b/>
                <w:noProof/>
                <w:sz w:val="22"/>
              </w:rPr>
              <w:t>2,408</w:t>
            </w:r>
          </w:p>
        </w:tc>
        <w:tc>
          <w:tcPr>
            <w:tcW w:w="360" w:type="dxa"/>
            <w:tcBorders>
              <w:bottom w:val="single" w:sz="12" w:space="0" w:color="auto"/>
              <w:right w:val="dashSmallGap" w:sz="4" w:space="0" w:color="auto"/>
            </w:tcBorders>
          </w:tcPr>
          <w:p>
            <w:pPr>
              <w:ind w:right="-29"/>
              <w:jc w:val="center"/>
              <w:rPr>
                <w:b/>
                <w:noProof/>
                <w:sz w:val="22"/>
              </w:rPr>
            </w:pPr>
          </w:p>
        </w:tc>
        <w:tc>
          <w:tcPr>
            <w:tcW w:w="840" w:type="dxa"/>
            <w:tcBorders>
              <w:left w:val="dashSmallGap" w:sz="4" w:space="0" w:color="auto"/>
              <w:bottom w:val="single" w:sz="12" w:space="0" w:color="auto"/>
            </w:tcBorders>
          </w:tcPr>
          <w:p>
            <w:pPr>
              <w:ind w:right="-29"/>
              <w:jc w:val="center"/>
              <w:rPr>
                <w:b/>
                <w:noProof/>
                <w:sz w:val="22"/>
              </w:rPr>
            </w:pPr>
            <w:r>
              <w:rPr>
                <w:b/>
                <w:noProof/>
                <w:sz w:val="22"/>
              </w:rPr>
              <w:t>7,758</w:t>
            </w:r>
          </w:p>
        </w:tc>
        <w:tc>
          <w:tcPr>
            <w:tcW w:w="360" w:type="dxa"/>
            <w:tcBorders>
              <w:bottom w:val="single" w:sz="12" w:space="0" w:color="auto"/>
              <w:right w:val="dashSmallGap" w:sz="4" w:space="0" w:color="auto"/>
            </w:tcBorders>
          </w:tcPr>
          <w:p>
            <w:pPr>
              <w:ind w:right="-29"/>
              <w:jc w:val="center"/>
              <w:rPr>
                <w:b/>
                <w:noProof/>
                <w:sz w:val="22"/>
              </w:rPr>
            </w:pPr>
          </w:p>
        </w:tc>
        <w:tc>
          <w:tcPr>
            <w:tcW w:w="840" w:type="dxa"/>
            <w:tcBorders>
              <w:left w:val="dashSmallGap" w:sz="4" w:space="0" w:color="auto"/>
              <w:bottom w:val="single" w:sz="12" w:space="0" w:color="auto"/>
            </w:tcBorders>
          </w:tcPr>
          <w:p>
            <w:pPr>
              <w:ind w:right="-29"/>
              <w:jc w:val="center"/>
              <w:rPr>
                <w:b/>
                <w:noProof/>
                <w:sz w:val="22"/>
              </w:rPr>
            </w:pPr>
            <w:r>
              <w:rPr>
                <w:b/>
                <w:noProof/>
                <w:sz w:val="22"/>
              </w:rPr>
              <w:t>7,758</w:t>
            </w:r>
          </w:p>
        </w:tc>
        <w:tc>
          <w:tcPr>
            <w:tcW w:w="360" w:type="dxa"/>
            <w:tcBorders>
              <w:bottom w:val="single" w:sz="12" w:space="0" w:color="auto"/>
              <w:right w:val="dashSmallGap" w:sz="4" w:space="0" w:color="auto"/>
            </w:tcBorders>
          </w:tcPr>
          <w:p>
            <w:pPr>
              <w:ind w:right="-29"/>
              <w:jc w:val="center"/>
              <w:rPr>
                <w:b/>
                <w:noProof/>
                <w:sz w:val="22"/>
              </w:rPr>
            </w:pPr>
          </w:p>
        </w:tc>
        <w:tc>
          <w:tcPr>
            <w:tcW w:w="840" w:type="dxa"/>
            <w:tcBorders>
              <w:left w:val="dashSmallGap" w:sz="4" w:space="0" w:color="auto"/>
              <w:bottom w:val="single" w:sz="12" w:space="0" w:color="auto"/>
            </w:tcBorders>
          </w:tcPr>
          <w:p>
            <w:pPr>
              <w:ind w:right="-29"/>
              <w:jc w:val="center"/>
              <w:rPr>
                <w:b/>
                <w:noProof/>
                <w:sz w:val="22"/>
              </w:rPr>
            </w:pPr>
            <w:r>
              <w:rPr>
                <w:b/>
                <w:noProof/>
                <w:sz w:val="22"/>
              </w:rPr>
              <w:t>2,408</w:t>
            </w:r>
          </w:p>
        </w:tc>
        <w:tc>
          <w:tcPr>
            <w:tcW w:w="360" w:type="dxa"/>
            <w:tcBorders>
              <w:bottom w:val="single" w:sz="12" w:space="0" w:color="auto"/>
              <w:right w:val="dashSmallGap" w:sz="4" w:space="0" w:color="auto"/>
            </w:tcBorders>
          </w:tcPr>
          <w:p>
            <w:pPr>
              <w:ind w:right="-29"/>
              <w:jc w:val="center"/>
              <w:rPr>
                <w:b/>
                <w:noProof/>
                <w:sz w:val="22"/>
              </w:rPr>
            </w:pPr>
          </w:p>
        </w:tc>
        <w:tc>
          <w:tcPr>
            <w:tcW w:w="1320" w:type="dxa"/>
            <w:tcBorders>
              <w:left w:val="dashSmallGap" w:sz="4" w:space="0" w:color="auto"/>
              <w:bottom w:val="single" w:sz="12" w:space="0" w:color="auto"/>
              <w:right w:val="single" w:sz="12" w:space="0" w:color="auto"/>
            </w:tcBorders>
          </w:tcPr>
          <w:p>
            <w:pPr>
              <w:jc w:val="center"/>
              <w:rPr>
                <w:b/>
                <w:noProof/>
                <w:sz w:val="22"/>
                <w:szCs w:val="18"/>
              </w:rPr>
            </w:pPr>
            <w:r>
              <w:rPr>
                <w:b/>
                <w:noProof/>
                <w:sz w:val="22"/>
              </w:rPr>
              <w:t>37,908</w:t>
            </w:r>
          </w:p>
        </w:tc>
      </w:tr>
    </w:tbl>
    <w:p>
      <w:pPr>
        <w:keepNext/>
        <w:rPr>
          <w:noProof/>
        </w:rPr>
      </w:pPr>
      <w:r>
        <w:rPr>
          <w:noProof/>
        </w:rPr>
        <w:t>These expenditures will cover the need to reinforce Europol information systems and infrastructure to accommodate the increase of queries. These costs include:</w:t>
      </w:r>
    </w:p>
    <w:p>
      <w:pPr>
        <w:spacing w:before="0" w:after="0"/>
        <w:jc w:val="left"/>
        <w:rPr>
          <w:noProof/>
        </w:rPr>
      </w:pPr>
      <w:r>
        <w:rPr>
          <w:noProof/>
        </w:rPr>
        <w:t xml:space="preserve">- upgrading the security and network infrastructure, hardware (servers, storage) and software (licences). These upgrades need to be finalised before the European search portal and ETIAS become operable in 2021, the costs have been distributed equally between 2020 and 2021. As from 2022, the annual maintenance rate 20% has been taken as basis to calculate the maintenance costs. In addition, the standard five-year cycle to replace outdated hardware and infrastructure has been taken into account. </w:t>
      </w:r>
    </w:p>
    <w:p>
      <w:pPr>
        <w:spacing w:before="0" w:after="0"/>
        <w:jc w:val="left"/>
        <w:rPr>
          <w:noProof/>
        </w:rPr>
      </w:pPr>
      <w:r>
        <w:rPr>
          <w:noProof/>
        </w:rPr>
        <w:t xml:space="preserve">- Contractor costs for development works to implement QUEST in basic protection level. </w:t>
      </w:r>
      <w:r>
        <w:rPr>
          <w:noProof/>
        </w:rPr>
        <w:br w:type="page"/>
      </w:r>
    </w:p>
    <w:p>
      <w:pPr>
        <w:rPr>
          <w:noProof/>
        </w:rPr>
      </w:pPr>
    </w:p>
    <w:p>
      <w:pPr>
        <w:pStyle w:val="ManualHeading4"/>
        <w:rPr>
          <w:noProof/>
        </w:rPr>
      </w:pPr>
      <w:r>
        <w:t>3.2.2.3.</w:t>
      </w:r>
      <w:r>
        <w:tab/>
      </w:r>
      <w:r>
        <w:rPr>
          <w:noProof/>
        </w:rPr>
        <w:t>Estimated impact on CEPOL's appropriations</w:t>
      </w:r>
    </w:p>
    <w:p>
      <w:pPr>
        <w:pStyle w:val="ListDash1"/>
        <w:rPr>
          <w:noProof/>
        </w:rPr>
      </w:pPr>
      <w:r>
        <w:rPr>
          <w:noProof/>
        </w:rPr>
        <w:sym w:font="Wingdings" w:char="F0A8"/>
      </w:r>
      <w:r>
        <w:rPr>
          <w:noProof/>
        </w:rPr>
        <w:tab/>
        <w:t xml:space="preserve">The proposal/initiative does not require the use of operational appropriations </w:t>
      </w:r>
    </w:p>
    <w:p>
      <w:pPr>
        <w:pStyle w:val="ListDash1"/>
        <w:rPr>
          <w:noProof/>
        </w:rPr>
      </w:pPr>
      <w:r>
        <w:rPr>
          <w:noProof/>
        </w:rPr>
        <w:sym w:font="Wingdings" w:char="F078"/>
      </w:r>
      <w:r>
        <w:rPr>
          <w:noProof/>
        </w:rPr>
        <w:tab/>
        <w:t>The proposal/initiative requires the use of operational appropriations, as explained below:</w:t>
      </w:r>
    </w:p>
    <w:p>
      <w:pPr>
        <w:jc w:val="left"/>
        <w:rPr>
          <w:noProof/>
          <w:sz w:val="20"/>
        </w:rPr>
      </w:pPr>
      <w:r>
        <w:rPr>
          <w:noProof/>
          <w:sz w:val="20"/>
        </w:rPr>
        <w:t>Commitment appropriations in EUR million (to three decimal places)</w:t>
      </w:r>
    </w:p>
    <w:p>
      <w:pPr>
        <w:jc w:val="left"/>
        <w:rPr>
          <w:noProof/>
          <w:sz w:val="20"/>
        </w:rPr>
      </w:pPr>
    </w:p>
    <w:tbl>
      <w:tblPr>
        <w:tblW w:w="149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22"/>
        <w:gridCol w:w="721"/>
        <w:gridCol w:w="659"/>
        <w:gridCol w:w="303"/>
        <w:gridCol w:w="867"/>
        <w:gridCol w:w="330"/>
        <w:gridCol w:w="840"/>
        <w:gridCol w:w="360"/>
        <w:gridCol w:w="840"/>
        <w:gridCol w:w="360"/>
        <w:gridCol w:w="840"/>
        <w:gridCol w:w="360"/>
        <w:gridCol w:w="672"/>
        <w:gridCol w:w="360"/>
        <w:gridCol w:w="720"/>
        <w:gridCol w:w="360"/>
        <w:gridCol w:w="840"/>
        <w:gridCol w:w="360"/>
        <w:gridCol w:w="840"/>
        <w:gridCol w:w="360"/>
        <w:gridCol w:w="840"/>
        <w:gridCol w:w="360"/>
        <w:gridCol w:w="1320"/>
      </w:tblGrid>
      <w:tr>
        <w:trPr>
          <w:jc w:val="center"/>
        </w:trPr>
        <w:tc>
          <w:tcPr>
            <w:tcW w:w="1422" w:type="dxa"/>
            <w:vMerge w:val="restart"/>
            <w:tcBorders>
              <w:top w:val="single" w:sz="12" w:space="0" w:color="auto"/>
              <w:left w:val="single" w:sz="12" w:space="0" w:color="auto"/>
            </w:tcBorders>
            <w:vAlign w:val="center"/>
          </w:tcPr>
          <w:p>
            <w:pPr>
              <w:ind w:right="-29"/>
              <w:jc w:val="center"/>
              <w:rPr>
                <w:b/>
                <w:noProof/>
                <w:sz w:val="18"/>
                <w:szCs w:val="18"/>
              </w:rPr>
            </w:pPr>
            <w:r>
              <w:rPr>
                <w:b/>
                <w:noProof/>
                <w:sz w:val="18"/>
              </w:rPr>
              <w:t xml:space="preserve">Indicate objectives and outputs </w:t>
            </w:r>
          </w:p>
          <w:p>
            <w:pPr>
              <w:ind w:right="-29"/>
              <w:jc w:val="center"/>
              <w:rPr>
                <w:b/>
                <w:noProof/>
                <w:sz w:val="18"/>
                <w:szCs w:val="18"/>
              </w:rPr>
            </w:pPr>
            <w:r>
              <w:rPr>
                <w:b/>
                <w:noProof/>
                <w:sz w:val="18"/>
                <w:szCs w:val="18"/>
              </w:rPr>
              <w:t>CEPOL</w:t>
            </w:r>
          </w:p>
          <w:p>
            <w:pPr>
              <w:ind w:right="-29"/>
              <w:jc w:val="center"/>
              <w:rPr>
                <w:noProof/>
                <w:sz w:val="18"/>
                <w:szCs w:val="18"/>
              </w:rPr>
            </w:pPr>
            <w:r>
              <w:rPr>
                <w:noProof/>
                <w:sz w:val="18"/>
              </w:rPr>
              <w:sym w:font="Wingdings" w:char="F0F2"/>
            </w:r>
          </w:p>
        </w:tc>
        <w:tc>
          <w:tcPr>
            <w:tcW w:w="721" w:type="dxa"/>
            <w:tcBorders>
              <w:top w:val="single" w:sz="12" w:space="0" w:color="auto"/>
            </w:tcBorders>
            <w:vAlign w:val="center"/>
          </w:tcPr>
          <w:p>
            <w:pPr>
              <w:ind w:right="-29"/>
              <w:jc w:val="center"/>
              <w:rPr>
                <w:noProof/>
                <w:sz w:val="18"/>
                <w:szCs w:val="18"/>
              </w:rPr>
            </w:pPr>
          </w:p>
        </w:tc>
        <w:tc>
          <w:tcPr>
            <w:tcW w:w="659" w:type="dxa"/>
            <w:tcBorders>
              <w:top w:val="single" w:sz="12" w:space="0" w:color="auto"/>
            </w:tcBorders>
            <w:vAlign w:val="center"/>
          </w:tcPr>
          <w:p>
            <w:pPr>
              <w:ind w:right="-29"/>
              <w:jc w:val="center"/>
              <w:rPr>
                <w:noProof/>
                <w:sz w:val="18"/>
                <w:szCs w:val="18"/>
              </w:rPr>
            </w:pPr>
          </w:p>
        </w:tc>
        <w:tc>
          <w:tcPr>
            <w:tcW w:w="1170" w:type="dxa"/>
            <w:gridSpan w:val="2"/>
            <w:tcBorders>
              <w:top w:val="single" w:sz="12" w:space="0" w:color="auto"/>
              <w:right w:val="single" w:sz="4" w:space="0" w:color="auto"/>
            </w:tcBorders>
            <w:vAlign w:val="center"/>
          </w:tcPr>
          <w:p>
            <w:pPr>
              <w:ind w:right="-29"/>
              <w:jc w:val="center"/>
              <w:rPr>
                <w:noProof/>
                <w:sz w:val="18"/>
                <w:szCs w:val="18"/>
              </w:rPr>
            </w:pPr>
            <w:r>
              <w:rPr>
                <w:noProof/>
                <w:sz w:val="18"/>
              </w:rPr>
              <w:t>Year</w:t>
            </w:r>
            <w:r>
              <w:rPr>
                <w:noProof/>
                <w:sz w:val="22"/>
              </w:rPr>
              <w:br/>
            </w:r>
            <w:r>
              <w:rPr>
                <w:b/>
                <w:noProof/>
                <w:sz w:val="18"/>
              </w:rPr>
              <w:t>2019</w:t>
            </w:r>
          </w:p>
        </w:tc>
        <w:tc>
          <w:tcPr>
            <w:tcW w:w="1170" w:type="dxa"/>
            <w:gridSpan w:val="2"/>
            <w:tcBorders>
              <w:top w:val="single" w:sz="12" w:space="0" w:color="auto"/>
              <w:left w:val="single" w:sz="4" w:space="0" w:color="auto"/>
            </w:tcBorders>
            <w:vAlign w:val="center"/>
          </w:tcPr>
          <w:p>
            <w:pPr>
              <w:ind w:right="-29"/>
              <w:jc w:val="center"/>
              <w:rPr>
                <w:noProof/>
                <w:sz w:val="18"/>
                <w:szCs w:val="18"/>
              </w:rPr>
            </w:pPr>
            <w:r>
              <w:rPr>
                <w:noProof/>
                <w:sz w:val="18"/>
              </w:rPr>
              <w:t>Year</w:t>
            </w:r>
            <w:r>
              <w:rPr>
                <w:noProof/>
                <w:sz w:val="22"/>
              </w:rPr>
              <w:br/>
            </w:r>
            <w:r>
              <w:rPr>
                <w:b/>
                <w:noProof/>
                <w:sz w:val="18"/>
              </w:rPr>
              <w:t>2020</w:t>
            </w:r>
          </w:p>
        </w:tc>
        <w:tc>
          <w:tcPr>
            <w:tcW w:w="1200" w:type="dxa"/>
            <w:gridSpan w:val="2"/>
            <w:tcBorders>
              <w:top w:val="single" w:sz="12" w:space="0" w:color="auto"/>
            </w:tcBorders>
            <w:vAlign w:val="center"/>
          </w:tcPr>
          <w:p>
            <w:pPr>
              <w:ind w:right="-29"/>
              <w:jc w:val="center"/>
              <w:rPr>
                <w:noProof/>
                <w:sz w:val="18"/>
                <w:szCs w:val="18"/>
              </w:rPr>
            </w:pPr>
            <w:r>
              <w:rPr>
                <w:noProof/>
                <w:sz w:val="18"/>
              </w:rPr>
              <w:t>Year</w:t>
            </w:r>
            <w:r>
              <w:rPr>
                <w:noProof/>
                <w:sz w:val="22"/>
              </w:rPr>
              <w:br/>
            </w:r>
            <w:r>
              <w:rPr>
                <w:b/>
                <w:noProof/>
                <w:sz w:val="18"/>
              </w:rPr>
              <w:t>2021</w:t>
            </w:r>
          </w:p>
        </w:tc>
        <w:tc>
          <w:tcPr>
            <w:tcW w:w="1200" w:type="dxa"/>
            <w:gridSpan w:val="2"/>
            <w:tcBorders>
              <w:top w:val="single" w:sz="12" w:space="0" w:color="auto"/>
            </w:tcBorders>
            <w:vAlign w:val="center"/>
          </w:tcPr>
          <w:p>
            <w:pPr>
              <w:ind w:right="-29"/>
              <w:jc w:val="center"/>
              <w:rPr>
                <w:noProof/>
                <w:sz w:val="18"/>
                <w:szCs w:val="18"/>
              </w:rPr>
            </w:pPr>
            <w:r>
              <w:rPr>
                <w:noProof/>
                <w:sz w:val="18"/>
              </w:rPr>
              <w:t>Year</w:t>
            </w:r>
            <w:r>
              <w:rPr>
                <w:noProof/>
                <w:sz w:val="22"/>
              </w:rPr>
              <w:br/>
            </w:r>
            <w:r>
              <w:rPr>
                <w:b/>
                <w:noProof/>
                <w:sz w:val="18"/>
              </w:rPr>
              <w:t>2022</w:t>
            </w:r>
          </w:p>
        </w:tc>
        <w:tc>
          <w:tcPr>
            <w:tcW w:w="1032" w:type="dxa"/>
            <w:gridSpan w:val="2"/>
            <w:tcBorders>
              <w:top w:val="single" w:sz="12" w:space="0" w:color="auto"/>
            </w:tcBorders>
            <w:vAlign w:val="center"/>
          </w:tcPr>
          <w:p>
            <w:pPr>
              <w:jc w:val="center"/>
              <w:rPr>
                <w:noProof/>
                <w:sz w:val="18"/>
                <w:szCs w:val="18"/>
              </w:rPr>
            </w:pPr>
            <w:r>
              <w:rPr>
                <w:noProof/>
                <w:sz w:val="18"/>
              </w:rPr>
              <w:t>Year</w:t>
            </w:r>
            <w:r>
              <w:rPr>
                <w:noProof/>
                <w:sz w:val="22"/>
              </w:rPr>
              <w:br/>
            </w:r>
            <w:r>
              <w:rPr>
                <w:b/>
                <w:noProof/>
                <w:sz w:val="18"/>
              </w:rPr>
              <w:t>2023</w:t>
            </w:r>
          </w:p>
        </w:tc>
        <w:tc>
          <w:tcPr>
            <w:tcW w:w="1080" w:type="dxa"/>
            <w:gridSpan w:val="2"/>
            <w:tcBorders>
              <w:top w:val="single" w:sz="12" w:space="0" w:color="auto"/>
            </w:tcBorders>
            <w:vAlign w:val="center"/>
          </w:tcPr>
          <w:p>
            <w:pPr>
              <w:jc w:val="center"/>
              <w:rPr>
                <w:noProof/>
                <w:sz w:val="18"/>
                <w:szCs w:val="18"/>
              </w:rPr>
            </w:pPr>
            <w:r>
              <w:rPr>
                <w:noProof/>
                <w:sz w:val="18"/>
              </w:rPr>
              <w:t>Year</w:t>
            </w:r>
            <w:r>
              <w:rPr>
                <w:noProof/>
                <w:sz w:val="22"/>
              </w:rPr>
              <w:br/>
            </w:r>
            <w:r>
              <w:rPr>
                <w:b/>
                <w:noProof/>
                <w:sz w:val="18"/>
              </w:rPr>
              <w:t>2024</w:t>
            </w:r>
          </w:p>
        </w:tc>
        <w:tc>
          <w:tcPr>
            <w:tcW w:w="1200" w:type="dxa"/>
            <w:gridSpan w:val="2"/>
            <w:tcBorders>
              <w:top w:val="single" w:sz="12" w:space="0" w:color="auto"/>
            </w:tcBorders>
            <w:vAlign w:val="center"/>
          </w:tcPr>
          <w:p>
            <w:pPr>
              <w:jc w:val="center"/>
              <w:rPr>
                <w:noProof/>
                <w:sz w:val="18"/>
                <w:szCs w:val="18"/>
              </w:rPr>
            </w:pPr>
            <w:r>
              <w:rPr>
                <w:noProof/>
                <w:sz w:val="18"/>
              </w:rPr>
              <w:t>Year</w:t>
            </w:r>
            <w:r>
              <w:rPr>
                <w:noProof/>
                <w:sz w:val="22"/>
              </w:rPr>
              <w:br/>
            </w:r>
            <w:r>
              <w:rPr>
                <w:b/>
                <w:noProof/>
                <w:sz w:val="18"/>
              </w:rPr>
              <w:t>2025</w:t>
            </w:r>
          </w:p>
        </w:tc>
        <w:tc>
          <w:tcPr>
            <w:tcW w:w="1200" w:type="dxa"/>
            <w:gridSpan w:val="2"/>
            <w:tcBorders>
              <w:top w:val="single" w:sz="12" w:space="0" w:color="auto"/>
            </w:tcBorders>
          </w:tcPr>
          <w:p>
            <w:pPr>
              <w:ind w:right="-29"/>
              <w:jc w:val="center"/>
              <w:rPr>
                <w:b/>
                <w:noProof/>
                <w:sz w:val="18"/>
              </w:rPr>
            </w:pPr>
            <w:r>
              <w:rPr>
                <w:noProof/>
                <w:sz w:val="18"/>
              </w:rPr>
              <w:t>Year</w:t>
            </w:r>
            <w:r>
              <w:rPr>
                <w:noProof/>
                <w:sz w:val="22"/>
              </w:rPr>
              <w:br/>
            </w:r>
            <w:r>
              <w:rPr>
                <w:b/>
                <w:noProof/>
                <w:sz w:val="18"/>
              </w:rPr>
              <w:t>2026</w:t>
            </w:r>
          </w:p>
        </w:tc>
        <w:tc>
          <w:tcPr>
            <w:tcW w:w="1200" w:type="dxa"/>
            <w:gridSpan w:val="2"/>
            <w:tcBorders>
              <w:top w:val="single" w:sz="12" w:space="0" w:color="auto"/>
              <w:right w:val="nil"/>
            </w:tcBorders>
          </w:tcPr>
          <w:p>
            <w:pPr>
              <w:ind w:right="-29"/>
              <w:jc w:val="center"/>
              <w:rPr>
                <w:b/>
                <w:noProof/>
                <w:sz w:val="18"/>
              </w:rPr>
            </w:pPr>
            <w:r>
              <w:rPr>
                <w:noProof/>
                <w:sz w:val="18"/>
              </w:rPr>
              <w:t>Year</w:t>
            </w:r>
            <w:r>
              <w:rPr>
                <w:noProof/>
                <w:sz w:val="22"/>
              </w:rPr>
              <w:br/>
            </w:r>
            <w:r>
              <w:rPr>
                <w:b/>
                <w:noProof/>
                <w:sz w:val="18"/>
              </w:rPr>
              <w:t>2027</w:t>
            </w:r>
          </w:p>
        </w:tc>
        <w:tc>
          <w:tcPr>
            <w:tcW w:w="1680" w:type="dxa"/>
            <w:gridSpan w:val="2"/>
            <w:tcBorders>
              <w:top w:val="single" w:sz="12" w:space="0" w:color="auto"/>
              <w:left w:val="single" w:sz="6" w:space="0" w:color="auto"/>
              <w:bottom w:val="single" w:sz="4" w:space="0" w:color="auto"/>
              <w:right w:val="single" w:sz="12" w:space="0" w:color="auto"/>
            </w:tcBorders>
            <w:vAlign w:val="center"/>
          </w:tcPr>
          <w:p>
            <w:pPr>
              <w:ind w:right="-29"/>
              <w:jc w:val="center"/>
              <w:rPr>
                <w:noProof/>
                <w:sz w:val="18"/>
                <w:szCs w:val="18"/>
              </w:rPr>
            </w:pPr>
            <w:r>
              <w:rPr>
                <w:b/>
                <w:noProof/>
                <w:sz w:val="18"/>
              </w:rPr>
              <w:t>TOTAL</w:t>
            </w:r>
          </w:p>
        </w:tc>
      </w:tr>
      <w:tr>
        <w:trPr>
          <w:gridAfter w:val="22"/>
          <w:wAfter w:w="13512" w:type="dxa"/>
          <w:trHeight w:val="465"/>
          <w:jc w:val="center"/>
        </w:trPr>
        <w:tc>
          <w:tcPr>
            <w:tcW w:w="1422" w:type="dxa"/>
            <w:vMerge/>
            <w:tcBorders>
              <w:left w:val="single" w:sz="12" w:space="0" w:color="auto"/>
            </w:tcBorders>
            <w:vAlign w:val="center"/>
          </w:tcPr>
          <w:p>
            <w:pPr>
              <w:ind w:right="-29"/>
              <w:jc w:val="center"/>
              <w:rPr>
                <w:noProof/>
                <w:sz w:val="18"/>
                <w:szCs w:val="18"/>
              </w:rPr>
            </w:pPr>
          </w:p>
        </w:tc>
      </w:tr>
      <w:tr>
        <w:trPr>
          <w:cantSplit/>
          <w:trHeight w:val="1134"/>
          <w:jc w:val="center"/>
        </w:trPr>
        <w:tc>
          <w:tcPr>
            <w:tcW w:w="1422" w:type="dxa"/>
            <w:vMerge/>
            <w:tcBorders>
              <w:left w:val="single" w:sz="12" w:space="0" w:color="auto"/>
            </w:tcBorders>
            <w:vAlign w:val="center"/>
          </w:tcPr>
          <w:p>
            <w:pPr>
              <w:rPr>
                <w:noProof/>
                <w:sz w:val="18"/>
                <w:szCs w:val="18"/>
              </w:rPr>
            </w:pPr>
          </w:p>
        </w:tc>
        <w:tc>
          <w:tcPr>
            <w:tcW w:w="721" w:type="dxa"/>
            <w:vAlign w:val="center"/>
          </w:tcPr>
          <w:p>
            <w:pPr>
              <w:jc w:val="center"/>
              <w:rPr>
                <w:noProof/>
                <w:sz w:val="18"/>
                <w:szCs w:val="18"/>
              </w:rPr>
            </w:pPr>
            <w:r>
              <w:rPr>
                <w:noProof/>
                <w:sz w:val="18"/>
              </w:rPr>
              <w:t>Type</w:t>
            </w:r>
            <w:r>
              <w:rPr>
                <w:rStyle w:val="FootnoteReference"/>
                <w:noProof/>
              </w:rPr>
              <w:footnoteReference w:id="93"/>
            </w:r>
          </w:p>
          <w:p>
            <w:pPr>
              <w:spacing w:before="0" w:after="0"/>
              <w:jc w:val="center"/>
              <w:rPr>
                <w:noProof/>
                <w:sz w:val="18"/>
                <w:szCs w:val="18"/>
              </w:rPr>
            </w:pPr>
          </w:p>
        </w:tc>
        <w:tc>
          <w:tcPr>
            <w:tcW w:w="659" w:type="dxa"/>
            <w:tcBorders>
              <w:right w:val="single" w:sz="4" w:space="0" w:color="auto"/>
            </w:tcBorders>
            <w:vAlign w:val="center"/>
          </w:tcPr>
          <w:p>
            <w:pPr>
              <w:jc w:val="center"/>
              <w:rPr>
                <w:noProof/>
                <w:sz w:val="18"/>
                <w:szCs w:val="18"/>
              </w:rPr>
            </w:pPr>
            <w:r>
              <w:rPr>
                <w:noProof/>
                <w:sz w:val="18"/>
              </w:rPr>
              <w:t>Average cost</w:t>
            </w:r>
          </w:p>
        </w:tc>
        <w:tc>
          <w:tcPr>
            <w:tcW w:w="303" w:type="dxa"/>
            <w:tcBorders>
              <w:top w:val="dotted" w:sz="4" w:space="0" w:color="auto"/>
              <w:left w:val="single" w:sz="4" w:space="0" w:color="auto"/>
              <w:bottom w:val="dotted" w:sz="4" w:space="0" w:color="auto"/>
              <w:right w:val="nil"/>
            </w:tcBorders>
            <w:shd w:val="pct10" w:color="auto" w:fill="auto"/>
            <w:textDirection w:val="btLr"/>
            <w:vAlign w:val="center"/>
          </w:tcPr>
          <w:p>
            <w:pPr>
              <w:ind w:left="113" w:right="113"/>
              <w:jc w:val="center"/>
              <w:rPr>
                <w:noProof/>
                <w:sz w:val="18"/>
              </w:rPr>
            </w:pPr>
            <w:r>
              <w:rPr>
                <w:noProof/>
                <w:sz w:val="18"/>
              </w:rPr>
              <w:t>No</w:t>
            </w:r>
          </w:p>
        </w:tc>
        <w:tc>
          <w:tcPr>
            <w:tcW w:w="867" w:type="dxa"/>
            <w:tcBorders>
              <w:left w:val="nil"/>
              <w:right w:val="single" w:sz="4" w:space="0" w:color="auto"/>
            </w:tcBorders>
            <w:shd w:val="pct10" w:color="auto" w:fill="auto"/>
            <w:vAlign w:val="center"/>
          </w:tcPr>
          <w:p>
            <w:pPr>
              <w:jc w:val="center"/>
              <w:rPr>
                <w:noProof/>
                <w:sz w:val="18"/>
              </w:rPr>
            </w:pPr>
            <w:r>
              <w:rPr>
                <w:noProof/>
                <w:sz w:val="18"/>
              </w:rPr>
              <w:t>Cost</w:t>
            </w:r>
          </w:p>
        </w:tc>
        <w:tc>
          <w:tcPr>
            <w:tcW w:w="330" w:type="dxa"/>
            <w:tcBorders>
              <w:left w:val="single" w:sz="4" w:space="0" w:color="auto"/>
              <w:right w:val="dashSmallGap" w:sz="4" w:space="0" w:color="auto"/>
            </w:tcBorders>
            <w:shd w:val="pct10" w:color="auto" w:fill="auto"/>
            <w:textDirection w:val="btLr"/>
            <w:vAlign w:val="center"/>
          </w:tcPr>
          <w:p>
            <w:pPr>
              <w:ind w:left="113" w:right="113"/>
              <w:jc w:val="center"/>
              <w:rPr>
                <w:noProof/>
                <w:sz w:val="18"/>
                <w:szCs w:val="18"/>
              </w:rPr>
            </w:pPr>
            <w:r>
              <w:rPr>
                <w:noProof/>
                <w:sz w:val="18"/>
              </w:rPr>
              <w:t>No</w:t>
            </w:r>
          </w:p>
        </w:tc>
        <w:tc>
          <w:tcPr>
            <w:tcW w:w="840" w:type="dxa"/>
            <w:tcBorders>
              <w:left w:val="dashSmallGap" w:sz="4" w:space="0" w:color="auto"/>
            </w:tcBorders>
            <w:shd w:val="pct10" w:color="auto" w:fill="auto"/>
            <w:vAlign w:val="center"/>
          </w:tcPr>
          <w:p>
            <w:pPr>
              <w:jc w:val="center"/>
              <w:rPr>
                <w:noProof/>
                <w:sz w:val="18"/>
                <w:szCs w:val="18"/>
              </w:rPr>
            </w:pPr>
            <w:r>
              <w:rPr>
                <w:noProof/>
                <w:sz w:val="18"/>
              </w:rPr>
              <w:t>Cost</w:t>
            </w:r>
          </w:p>
        </w:tc>
        <w:tc>
          <w:tcPr>
            <w:tcW w:w="360" w:type="dxa"/>
            <w:tcBorders>
              <w:right w:val="dashSmallGap" w:sz="4" w:space="0" w:color="auto"/>
            </w:tcBorders>
            <w:shd w:val="pct10" w:color="auto" w:fill="auto"/>
            <w:textDirection w:val="btLr"/>
            <w:vAlign w:val="center"/>
          </w:tcPr>
          <w:p>
            <w:pPr>
              <w:ind w:left="113" w:right="113"/>
              <w:jc w:val="center"/>
              <w:rPr>
                <w:noProof/>
                <w:sz w:val="18"/>
                <w:szCs w:val="18"/>
              </w:rPr>
            </w:pPr>
            <w:r>
              <w:rPr>
                <w:noProof/>
                <w:sz w:val="18"/>
              </w:rPr>
              <w:t>No</w:t>
            </w:r>
          </w:p>
        </w:tc>
        <w:tc>
          <w:tcPr>
            <w:tcW w:w="840" w:type="dxa"/>
            <w:tcBorders>
              <w:left w:val="dashSmallGap" w:sz="4" w:space="0" w:color="auto"/>
            </w:tcBorders>
            <w:shd w:val="pct10" w:color="auto" w:fill="auto"/>
            <w:vAlign w:val="center"/>
          </w:tcPr>
          <w:p>
            <w:pPr>
              <w:jc w:val="center"/>
              <w:rPr>
                <w:noProof/>
                <w:sz w:val="18"/>
                <w:szCs w:val="18"/>
              </w:rPr>
            </w:pPr>
            <w:r>
              <w:rPr>
                <w:noProof/>
                <w:sz w:val="18"/>
              </w:rPr>
              <w:t>Cost</w:t>
            </w:r>
          </w:p>
        </w:tc>
        <w:tc>
          <w:tcPr>
            <w:tcW w:w="360" w:type="dxa"/>
            <w:tcBorders>
              <w:right w:val="dashSmallGap" w:sz="4" w:space="0" w:color="auto"/>
            </w:tcBorders>
            <w:shd w:val="pct10" w:color="auto" w:fill="auto"/>
            <w:textDirection w:val="btLr"/>
            <w:vAlign w:val="center"/>
          </w:tcPr>
          <w:p>
            <w:pPr>
              <w:ind w:left="113" w:right="113"/>
              <w:jc w:val="center"/>
              <w:rPr>
                <w:noProof/>
                <w:sz w:val="18"/>
                <w:szCs w:val="18"/>
              </w:rPr>
            </w:pPr>
            <w:r>
              <w:rPr>
                <w:noProof/>
                <w:sz w:val="18"/>
              </w:rPr>
              <w:t>No</w:t>
            </w:r>
          </w:p>
        </w:tc>
        <w:tc>
          <w:tcPr>
            <w:tcW w:w="840" w:type="dxa"/>
            <w:tcBorders>
              <w:left w:val="dashSmallGap" w:sz="4" w:space="0" w:color="auto"/>
            </w:tcBorders>
            <w:shd w:val="pct10" w:color="auto" w:fill="auto"/>
            <w:vAlign w:val="center"/>
          </w:tcPr>
          <w:p>
            <w:pPr>
              <w:jc w:val="center"/>
              <w:rPr>
                <w:noProof/>
                <w:sz w:val="18"/>
                <w:szCs w:val="18"/>
              </w:rPr>
            </w:pPr>
            <w:r>
              <w:rPr>
                <w:noProof/>
                <w:sz w:val="18"/>
              </w:rPr>
              <w:t>Cost</w:t>
            </w:r>
          </w:p>
        </w:tc>
        <w:tc>
          <w:tcPr>
            <w:tcW w:w="360" w:type="dxa"/>
            <w:tcBorders>
              <w:right w:val="dashSmallGap" w:sz="4" w:space="0" w:color="auto"/>
            </w:tcBorders>
            <w:shd w:val="pct10" w:color="auto" w:fill="auto"/>
            <w:textDirection w:val="btLr"/>
            <w:vAlign w:val="center"/>
          </w:tcPr>
          <w:p>
            <w:pPr>
              <w:ind w:left="113" w:right="113"/>
              <w:jc w:val="center"/>
              <w:rPr>
                <w:noProof/>
                <w:sz w:val="18"/>
                <w:szCs w:val="18"/>
              </w:rPr>
            </w:pPr>
            <w:r>
              <w:rPr>
                <w:noProof/>
                <w:sz w:val="18"/>
              </w:rPr>
              <w:t>No</w:t>
            </w:r>
          </w:p>
        </w:tc>
        <w:tc>
          <w:tcPr>
            <w:tcW w:w="672" w:type="dxa"/>
            <w:tcBorders>
              <w:left w:val="dashSmallGap" w:sz="4" w:space="0" w:color="auto"/>
            </w:tcBorders>
            <w:shd w:val="pct10" w:color="auto" w:fill="auto"/>
            <w:vAlign w:val="center"/>
          </w:tcPr>
          <w:p>
            <w:pPr>
              <w:jc w:val="center"/>
              <w:rPr>
                <w:noProof/>
                <w:sz w:val="18"/>
                <w:szCs w:val="18"/>
              </w:rPr>
            </w:pPr>
            <w:r>
              <w:rPr>
                <w:noProof/>
                <w:sz w:val="18"/>
              </w:rPr>
              <w:t>Cost</w:t>
            </w:r>
          </w:p>
        </w:tc>
        <w:tc>
          <w:tcPr>
            <w:tcW w:w="360" w:type="dxa"/>
            <w:tcBorders>
              <w:right w:val="dashSmallGap" w:sz="4" w:space="0" w:color="auto"/>
            </w:tcBorders>
            <w:shd w:val="pct10" w:color="auto" w:fill="auto"/>
            <w:textDirection w:val="btLr"/>
            <w:vAlign w:val="center"/>
          </w:tcPr>
          <w:p>
            <w:pPr>
              <w:ind w:left="113" w:right="113"/>
              <w:jc w:val="center"/>
              <w:rPr>
                <w:noProof/>
                <w:sz w:val="18"/>
                <w:szCs w:val="18"/>
              </w:rPr>
            </w:pPr>
            <w:r>
              <w:rPr>
                <w:noProof/>
                <w:sz w:val="18"/>
              </w:rPr>
              <w:t>No</w:t>
            </w:r>
          </w:p>
        </w:tc>
        <w:tc>
          <w:tcPr>
            <w:tcW w:w="720" w:type="dxa"/>
            <w:tcBorders>
              <w:left w:val="dashSmallGap" w:sz="4" w:space="0" w:color="auto"/>
            </w:tcBorders>
            <w:shd w:val="pct10" w:color="auto" w:fill="auto"/>
            <w:vAlign w:val="center"/>
          </w:tcPr>
          <w:p>
            <w:pPr>
              <w:jc w:val="center"/>
              <w:rPr>
                <w:noProof/>
                <w:sz w:val="18"/>
                <w:szCs w:val="18"/>
              </w:rPr>
            </w:pPr>
            <w:r>
              <w:rPr>
                <w:noProof/>
                <w:sz w:val="18"/>
              </w:rPr>
              <w:t>Cost</w:t>
            </w:r>
          </w:p>
        </w:tc>
        <w:tc>
          <w:tcPr>
            <w:tcW w:w="360" w:type="dxa"/>
            <w:tcBorders>
              <w:right w:val="dashSmallGap" w:sz="4" w:space="0" w:color="auto"/>
            </w:tcBorders>
            <w:shd w:val="pct10" w:color="auto" w:fill="auto"/>
            <w:textDirection w:val="btLr"/>
            <w:vAlign w:val="center"/>
          </w:tcPr>
          <w:p>
            <w:pPr>
              <w:ind w:left="113" w:right="113"/>
              <w:jc w:val="center"/>
              <w:rPr>
                <w:noProof/>
                <w:sz w:val="18"/>
                <w:szCs w:val="18"/>
              </w:rPr>
            </w:pPr>
            <w:r>
              <w:rPr>
                <w:noProof/>
                <w:sz w:val="18"/>
              </w:rPr>
              <w:t>No</w:t>
            </w:r>
          </w:p>
        </w:tc>
        <w:tc>
          <w:tcPr>
            <w:tcW w:w="840" w:type="dxa"/>
            <w:tcBorders>
              <w:left w:val="dashSmallGap" w:sz="4" w:space="0" w:color="auto"/>
            </w:tcBorders>
            <w:shd w:val="pct10" w:color="auto" w:fill="auto"/>
            <w:vAlign w:val="center"/>
          </w:tcPr>
          <w:p>
            <w:pPr>
              <w:jc w:val="center"/>
              <w:rPr>
                <w:noProof/>
                <w:sz w:val="18"/>
                <w:szCs w:val="18"/>
              </w:rPr>
            </w:pPr>
            <w:r>
              <w:rPr>
                <w:noProof/>
                <w:sz w:val="18"/>
              </w:rPr>
              <w:t>Cost</w:t>
            </w:r>
          </w:p>
        </w:tc>
        <w:tc>
          <w:tcPr>
            <w:tcW w:w="360" w:type="dxa"/>
            <w:tcBorders>
              <w:right w:val="dashSmallGap" w:sz="4" w:space="0" w:color="auto"/>
            </w:tcBorders>
            <w:shd w:val="pct10" w:color="auto" w:fill="auto"/>
            <w:textDirection w:val="btLr"/>
            <w:vAlign w:val="center"/>
          </w:tcPr>
          <w:p>
            <w:pPr>
              <w:ind w:left="113" w:right="113"/>
              <w:jc w:val="center"/>
              <w:rPr>
                <w:noProof/>
                <w:sz w:val="18"/>
                <w:szCs w:val="18"/>
              </w:rPr>
            </w:pPr>
            <w:r>
              <w:rPr>
                <w:noProof/>
                <w:sz w:val="18"/>
              </w:rPr>
              <w:t>No</w:t>
            </w:r>
          </w:p>
        </w:tc>
        <w:tc>
          <w:tcPr>
            <w:tcW w:w="840" w:type="dxa"/>
            <w:tcBorders>
              <w:left w:val="dashSmallGap" w:sz="4" w:space="0" w:color="auto"/>
            </w:tcBorders>
            <w:shd w:val="pct10" w:color="auto" w:fill="auto"/>
            <w:vAlign w:val="center"/>
          </w:tcPr>
          <w:p>
            <w:pPr>
              <w:jc w:val="center"/>
              <w:rPr>
                <w:noProof/>
                <w:sz w:val="18"/>
                <w:szCs w:val="18"/>
              </w:rPr>
            </w:pPr>
            <w:r>
              <w:rPr>
                <w:noProof/>
                <w:sz w:val="18"/>
              </w:rPr>
              <w:t>Cost</w:t>
            </w:r>
          </w:p>
        </w:tc>
        <w:tc>
          <w:tcPr>
            <w:tcW w:w="360" w:type="dxa"/>
            <w:tcBorders>
              <w:right w:val="dashSmallGap" w:sz="4" w:space="0" w:color="auto"/>
            </w:tcBorders>
            <w:shd w:val="pct10" w:color="auto" w:fill="auto"/>
            <w:textDirection w:val="btLr"/>
            <w:vAlign w:val="center"/>
          </w:tcPr>
          <w:p>
            <w:pPr>
              <w:ind w:left="113" w:right="113"/>
              <w:jc w:val="center"/>
              <w:rPr>
                <w:noProof/>
                <w:sz w:val="18"/>
              </w:rPr>
            </w:pPr>
            <w:r>
              <w:rPr>
                <w:noProof/>
                <w:sz w:val="18"/>
              </w:rPr>
              <w:t>No</w:t>
            </w:r>
          </w:p>
        </w:tc>
        <w:tc>
          <w:tcPr>
            <w:tcW w:w="840" w:type="dxa"/>
            <w:tcBorders>
              <w:left w:val="dashSmallGap" w:sz="4" w:space="0" w:color="auto"/>
            </w:tcBorders>
            <w:shd w:val="pct10" w:color="auto" w:fill="auto"/>
            <w:vAlign w:val="center"/>
          </w:tcPr>
          <w:p>
            <w:pPr>
              <w:jc w:val="center"/>
              <w:rPr>
                <w:noProof/>
                <w:sz w:val="18"/>
              </w:rPr>
            </w:pPr>
            <w:r>
              <w:rPr>
                <w:noProof/>
                <w:sz w:val="18"/>
              </w:rPr>
              <w:t>Cost</w:t>
            </w:r>
          </w:p>
        </w:tc>
        <w:tc>
          <w:tcPr>
            <w:tcW w:w="360" w:type="dxa"/>
            <w:tcBorders>
              <w:right w:val="dashSmallGap" w:sz="4" w:space="0" w:color="auto"/>
            </w:tcBorders>
            <w:shd w:val="pct10" w:color="auto" w:fill="auto"/>
            <w:textDirection w:val="btLr"/>
            <w:vAlign w:val="center"/>
          </w:tcPr>
          <w:p>
            <w:pPr>
              <w:ind w:left="113" w:right="113"/>
              <w:jc w:val="center"/>
              <w:rPr>
                <w:noProof/>
                <w:sz w:val="18"/>
                <w:szCs w:val="18"/>
              </w:rPr>
            </w:pPr>
            <w:r>
              <w:rPr>
                <w:noProof/>
                <w:sz w:val="18"/>
              </w:rPr>
              <w:t>Total No</w:t>
            </w:r>
          </w:p>
        </w:tc>
        <w:tc>
          <w:tcPr>
            <w:tcW w:w="1320" w:type="dxa"/>
            <w:tcBorders>
              <w:left w:val="dashSmallGap" w:sz="4" w:space="0" w:color="auto"/>
              <w:right w:val="single" w:sz="12" w:space="0" w:color="auto"/>
            </w:tcBorders>
            <w:shd w:val="pct10" w:color="auto" w:fill="auto"/>
            <w:vAlign w:val="center"/>
          </w:tcPr>
          <w:p>
            <w:pPr>
              <w:jc w:val="center"/>
              <w:rPr>
                <w:noProof/>
                <w:sz w:val="18"/>
                <w:szCs w:val="18"/>
              </w:rPr>
            </w:pPr>
            <w:r>
              <w:rPr>
                <w:noProof/>
                <w:sz w:val="18"/>
              </w:rPr>
              <w:t>Total cost</w:t>
            </w:r>
          </w:p>
        </w:tc>
      </w:tr>
      <w:tr>
        <w:trPr>
          <w:jc w:val="center"/>
        </w:trPr>
        <w:tc>
          <w:tcPr>
            <w:tcW w:w="2802" w:type="dxa"/>
            <w:gridSpan w:val="3"/>
            <w:tcBorders>
              <w:left w:val="single" w:sz="12" w:space="0" w:color="auto"/>
            </w:tcBorders>
            <w:vAlign w:val="center"/>
          </w:tcPr>
          <w:p>
            <w:pPr>
              <w:spacing w:before="60" w:after="60"/>
              <w:ind w:right="-29"/>
              <w:jc w:val="center"/>
              <w:rPr>
                <w:noProof/>
                <w:sz w:val="18"/>
              </w:rPr>
            </w:pPr>
            <w:r>
              <w:rPr>
                <w:noProof/>
                <w:sz w:val="18"/>
              </w:rPr>
              <w:t>SPECIFIC OBJECTIVE No 1</w:t>
            </w:r>
            <w:r>
              <w:rPr>
                <w:rStyle w:val="FootnoteReference"/>
                <w:noProof/>
              </w:rPr>
              <w:footnoteReference w:id="94"/>
            </w:r>
          </w:p>
          <w:p>
            <w:pPr>
              <w:spacing w:before="60" w:after="60"/>
              <w:ind w:right="-29"/>
              <w:jc w:val="center"/>
              <w:rPr>
                <w:noProof/>
                <w:sz w:val="18"/>
                <w:szCs w:val="18"/>
              </w:rPr>
            </w:pPr>
            <w:r>
              <w:rPr>
                <w:noProof/>
                <w:sz w:val="18"/>
                <w:szCs w:val="18"/>
              </w:rPr>
              <w:t>Development and delivery of training courses</w:t>
            </w:r>
          </w:p>
        </w:tc>
        <w:tc>
          <w:tcPr>
            <w:tcW w:w="303" w:type="dxa"/>
            <w:tcBorders>
              <w:right w:val="nil"/>
            </w:tcBorders>
          </w:tcPr>
          <w:p>
            <w:pPr>
              <w:spacing w:before="60" w:after="60"/>
              <w:ind w:right="-29"/>
              <w:jc w:val="center"/>
              <w:rPr>
                <w:noProof/>
                <w:sz w:val="18"/>
                <w:szCs w:val="18"/>
              </w:rPr>
            </w:pPr>
          </w:p>
        </w:tc>
        <w:tc>
          <w:tcPr>
            <w:tcW w:w="867" w:type="dxa"/>
            <w:tcBorders>
              <w:left w:val="nil"/>
              <w:bottom w:val="single" w:sz="4" w:space="0" w:color="auto"/>
            </w:tcBorders>
          </w:tcPr>
          <w:p>
            <w:pPr>
              <w:spacing w:before="60" w:after="60"/>
              <w:ind w:right="-29"/>
              <w:jc w:val="center"/>
              <w:rPr>
                <w:noProof/>
                <w:sz w:val="18"/>
                <w:szCs w:val="18"/>
              </w:rPr>
            </w:pPr>
          </w:p>
        </w:tc>
        <w:tc>
          <w:tcPr>
            <w:tcW w:w="330" w:type="dxa"/>
            <w:tcBorders>
              <w:top w:val="nil"/>
              <w:left w:val="nil"/>
              <w:bottom w:val="nil"/>
              <w:right w:val="nil"/>
            </w:tcBorders>
          </w:tcPr>
          <w:p>
            <w:pPr>
              <w:spacing w:before="60" w:after="60"/>
              <w:ind w:right="-29"/>
              <w:jc w:val="center"/>
              <w:rPr>
                <w:noProof/>
                <w:sz w:val="18"/>
                <w:szCs w:val="18"/>
              </w:rPr>
            </w:pPr>
          </w:p>
        </w:tc>
        <w:tc>
          <w:tcPr>
            <w:tcW w:w="840" w:type="dxa"/>
            <w:tcBorders>
              <w:top w:val="nil"/>
              <w:left w:val="nil"/>
              <w:bottom w:val="nil"/>
              <w:right w:val="nil"/>
            </w:tcBorders>
          </w:tcPr>
          <w:p>
            <w:pPr>
              <w:spacing w:before="60" w:after="60"/>
              <w:ind w:right="-29"/>
              <w:jc w:val="center"/>
              <w:rPr>
                <w:noProof/>
                <w:sz w:val="18"/>
                <w:szCs w:val="18"/>
              </w:rPr>
            </w:pPr>
          </w:p>
        </w:tc>
        <w:tc>
          <w:tcPr>
            <w:tcW w:w="360" w:type="dxa"/>
            <w:tcBorders>
              <w:top w:val="nil"/>
              <w:left w:val="nil"/>
              <w:bottom w:val="nil"/>
              <w:right w:val="nil"/>
            </w:tcBorders>
          </w:tcPr>
          <w:p>
            <w:pPr>
              <w:spacing w:before="60" w:after="60"/>
              <w:ind w:right="-29"/>
              <w:jc w:val="center"/>
              <w:rPr>
                <w:noProof/>
                <w:sz w:val="18"/>
                <w:szCs w:val="18"/>
              </w:rPr>
            </w:pPr>
          </w:p>
        </w:tc>
        <w:tc>
          <w:tcPr>
            <w:tcW w:w="840" w:type="dxa"/>
            <w:tcBorders>
              <w:top w:val="nil"/>
              <w:left w:val="nil"/>
              <w:bottom w:val="nil"/>
              <w:right w:val="nil"/>
            </w:tcBorders>
          </w:tcPr>
          <w:p>
            <w:pPr>
              <w:spacing w:before="60" w:after="60"/>
              <w:ind w:right="-29"/>
              <w:jc w:val="center"/>
              <w:rPr>
                <w:noProof/>
                <w:sz w:val="18"/>
                <w:szCs w:val="18"/>
              </w:rPr>
            </w:pPr>
          </w:p>
        </w:tc>
        <w:tc>
          <w:tcPr>
            <w:tcW w:w="360" w:type="dxa"/>
            <w:tcBorders>
              <w:top w:val="nil"/>
              <w:left w:val="nil"/>
              <w:bottom w:val="nil"/>
              <w:right w:val="nil"/>
            </w:tcBorders>
          </w:tcPr>
          <w:p>
            <w:pPr>
              <w:spacing w:before="60" w:after="60"/>
              <w:ind w:right="-29"/>
              <w:jc w:val="center"/>
              <w:rPr>
                <w:noProof/>
                <w:sz w:val="18"/>
                <w:szCs w:val="18"/>
              </w:rPr>
            </w:pPr>
          </w:p>
        </w:tc>
        <w:tc>
          <w:tcPr>
            <w:tcW w:w="840" w:type="dxa"/>
            <w:tcBorders>
              <w:top w:val="nil"/>
              <w:left w:val="nil"/>
              <w:bottom w:val="nil"/>
              <w:right w:val="nil"/>
            </w:tcBorders>
          </w:tcPr>
          <w:p>
            <w:pPr>
              <w:spacing w:before="60" w:after="60"/>
              <w:ind w:right="-29"/>
              <w:jc w:val="center"/>
              <w:rPr>
                <w:noProof/>
                <w:sz w:val="18"/>
                <w:szCs w:val="18"/>
              </w:rPr>
            </w:pPr>
          </w:p>
        </w:tc>
        <w:tc>
          <w:tcPr>
            <w:tcW w:w="360" w:type="dxa"/>
            <w:tcBorders>
              <w:top w:val="nil"/>
              <w:left w:val="nil"/>
              <w:bottom w:val="nil"/>
              <w:right w:val="nil"/>
            </w:tcBorders>
          </w:tcPr>
          <w:p>
            <w:pPr>
              <w:spacing w:before="60" w:after="60"/>
              <w:ind w:right="-29"/>
              <w:jc w:val="center"/>
              <w:rPr>
                <w:noProof/>
                <w:sz w:val="18"/>
                <w:szCs w:val="18"/>
              </w:rPr>
            </w:pPr>
          </w:p>
        </w:tc>
        <w:tc>
          <w:tcPr>
            <w:tcW w:w="672" w:type="dxa"/>
            <w:tcBorders>
              <w:top w:val="nil"/>
              <w:left w:val="nil"/>
              <w:bottom w:val="nil"/>
              <w:right w:val="nil"/>
            </w:tcBorders>
          </w:tcPr>
          <w:p>
            <w:pPr>
              <w:spacing w:before="60" w:after="60"/>
              <w:ind w:right="-29"/>
              <w:jc w:val="center"/>
              <w:rPr>
                <w:noProof/>
                <w:sz w:val="18"/>
                <w:szCs w:val="18"/>
              </w:rPr>
            </w:pPr>
          </w:p>
        </w:tc>
        <w:tc>
          <w:tcPr>
            <w:tcW w:w="360" w:type="dxa"/>
            <w:tcBorders>
              <w:top w:val="nil"/>
              <w:left w:val="nil"/>
              <w:bottom w:val="nil"/>
              <w:right w:val="nil"/>
            </w:tcBorders>
          </w:tcPr>
          <w:p>
            <w:pPr>
              <w:spacing w:before="60" w:after="60"/>
              <w:ind w:right="-29"/>
              <w:jc w:val="center"/>
              <w:rPr>
                <w:noProof/>
                <w:sz w:val="18"/>
                <w:szCs w:val="18"/>
              </w:rPr>
            </w:pPr>
          </w:p>
        </w:tc>
        <w:tc>
          <w:tcPr>
            <w:tcW w:w="720" w:type="dxa"/>
            <w:tcBorders>
              <w:top w:val="nil"/>
              <w:left w:val="nil"/>
              <w:bottom w:val="nil"/>
              <w:right w:val="nil"/>
            </w:tcBorders>
          </w:tcPr>
          <w:p>
            <w:pPr>
              <w:spacing w:before="60" w:after="60"/>
              <w:ind w:right="-29"/>
              <w:jc w:val="center"/>
              <w:rPr>
                <w:noProof/>
                <w:sz w:val="18"/>
                <w:szCs w:val="18"/>
              </w:rPr>
            </w:pPr>
          </w:p>
        </w:tc>
        <w:tc>
          <w:tcPr>
            <w:tcW w:w="360" w:type="dxa"/>
            <w:tcBorders>
              <w:top w:val="nil"/>
              <w:left w:val="nil"/>
              <w:bottom w:val="nil"/>
              <w:right w:val="nil"/>
            </w:tcBorders>
          </w:tcPr>
          <w:p>
            <w:pPr>
              <w:spacing w:before="60" w:after="60"/>
              <w:ind w:right="-29"/>
              <w:jc w:val="center"/>
              <w:rPr>
                <w:noProof/>
                <w:sz w:val="18"/>
                <w:szCs w:val="18"/>
              </w:rPr>
            </w:pPr>
          </w:p>
        </w:tc>
        <w:tc>
          <w:tcPr>
            <w:tcW w:w="840" w:type="dxa"/>
            <w:tcBorders>
              <w:top w:val="nil"/>
              <w:left w:val="nil"/>
              <w:bottom w:val="nil"/>
              <w:right w:val="nil"/>
            </w:tcBorders>
          </w:tcPr>
          <w:p>
            <w:pPr>
              <w:spacing w:before="60" w:after="60"/>
              <w:ind w:right="-29"/>
              <w:jc w:val="center"/>
              <w:rPr>
                <w:noProof/>
                <w:sz w:val="18"/>
                <w:szCs w:val="18"/>
              </w:rPr>
            </w:pPr>
          </w:p>
        </w:tc>
        <w:tc>
          <w:tcPr>
            <w:tcW w:w="360" w:type="dxa"/>
            <w:tcBorders>
              <w:top w:val="nil"/>
              <w:left w:val="nil"/>
              <w:bottom w:val="nil"/>
              <w:right w:val="nil"/>
            </w:tcBorders>
          </w:tcPr>
          <w:p>
            <w:pPr>
              <w:spacing w:before="60" w:after="60"/>
              <w:ind w:right="-29"/>
              <w:jc w:val="center"/>
              <w:rPr>
                <w:noProof/>
                <w:sz w:val="18"/>
                <w:szCs w:val="18"/>
              </w:rPr>
            </w:pPr>
          </w:p>
        </w:tc>
        <w:tc>
          <w:tcPr>
            <w:tcW w:w="840" w:type="dxa"/>
            <w:tcBorders>
              <w:top w:val="nil"/>
              <w:left w:val="nil"/>
              <w:bottom w:val="nil"/>
              <w:right w:val="nil"/>
            </w:tcBorders>
          </w:tcPr>
          <w:p>
            <w:pPr>
              <w:spacing w:before="60" w:after="60"/>
              <w:ind w:right="-29"/>
              <w:jc w:val="center"/>
              <w:rPr>
                <w:noProof/>
                <w:sz w:val="18"/>
                <w:szCs w:val="18"/>
              </w:rPr>
            </w:pPr>
          </w:p>
        </w:tc>
        <w:tc>
          <w:tcPr>
            <w:tcW w:w="1200" w:type="dxa"/>
            <w:gridSpan w:val="2"/>
            <w:tcBorders>
              <w:top w:val="nil"/>
              <w:left w:val="nil"/>
              <w:bottom w:val="nil"/>
              <w:right w:val="nil"/>
            </w:tcBorders>
          </w:tcPr>
          <w:p>
            <w:pPr>
              <w:spacing w:before="60" w:after="60"/>
              <w:ind w:right="-29"/>
              <w:jc w:val="center"/>
              <w:rPr>
                <w:noProof/>
                <w:sz w:val="18"/>
                <w:szCs w:val="18"/>
              </w:rPr>
            </w:pPr>
          </w:p>
        </w:tc>
        <w:tc>
          <w:tcPr>
            <w:tcW w:w="360" w:type="dxa"/>
            <w:tcBorders>
              <w:top w:val="nil"/>
              <w:left w:val="nil"/>
              <w:bottom w:val="nil"/>
              <w:right w:val="nil"/>
            </w:tcBorders>
          </w:tcPr>
          <w:p>
            <w:pPr>
              <w:spacing w:before="60" w:after="60"/>
              <w:ind w:right="-29"/>
              <w:jc w:val="center"/>
              <w:rPr>
                <w:noProof/>
                <w:sz w:val="18"/>
                <w:szCs w:val="18"/>
              </w:rPr>
            </w:pPr>
          </w:p>
        </w:tc>
        <w:tc>
          <w:tcPr>
            <w:tcW w:w="1320" w:type="dxa"/>
            <w:tcBorders>
              <w:top w:val="nil"/>
              <w:left w:val="nil"/>
              <w:bottom w:val="single" w:sz="4" w:space="0" w:color="auto"/>
              <w:right w:val="single" w:sz="12" w:space="0" w:color="auto"/>
            </w:tcBorders>
          </w:tcPr>
          <w:p>
            <w:pPr>
              <w:spacing w:before="60" w:after="60"/>
              <w:ind w:right="-29"/>
              <w:jc w:val="center"/>
              <w:rPr>
                <w:noProof/>
                <w:sz w:val="18"/>
                <w:szCs w:val="18"/>
              </w:rPr>
            </w:pPr>
          </w:p>
        </w:tc>
      </w:tr>
      <w:tr>
        <w:trPr>
          <w:trHeight w:hRule="exact" w:val="821"/>
          <w:jc w:val="center"/>
        </w:trPr>
        <w:tc>
          <w:tcPr>
            <w:tcW w:w="1422" w:type="dxa"/>
            <w:tcBorders>
              <w:left w:val="single" w:sz="12" w:space="0" w:color="auto"/>
            </w:tcBorders>
          </w:tcPr>
          <w:p>
            <w:pPr>
              <w:ind w:right="-29"/>
              <w:jc w:val="center"/>
              <w:rPr>
                <w:noProof/>
                <w:sz w:val="18"/>
                <w:szCs w:val="18"/>
              </w:rPr>
            </w:pPr>
            <w:r>
              <w:rPr>
                <w:noProof/>
                <w:sz w:val="18"/>
              </w:rPr>
              <w:t>Number of residential courses</w:t>
            </w:r>
          </w:p>
        </w:tc>
        <w:tc>
          <w:tcPr>
            <w:tcW w:w="1380" w:type="dxa"/>
            <w:gridSpan w:val="2"/>
          </w:tcPr>
          <w:p>
            <w:pPr>
              <w:ind w:right="-29"/>
              <w:jc w:val="center"/>
              <w:rPr>
                <w:noProof/>
                <w:sz w:val="18"/>
                <w:szCs w:val="18"/>
              </w:rPr>
            </w:pPr>
            <w:r>
              <w:rPr>
                <w:noProof/>
                <w:sz w:val="20"/>
              </w:rPr>
              <w:t xml:space="preserve">0,34 per course </w:t>
            </w:r>
          </w:p>
        </w:tc>
        <w:tc>
          <w:tcPr>
            <w:tcW w:w="303" w:type="dxa"/>
            <w:tcBorders>
              <w:right w:val="dashSmallGap" w:sz="4" w:space="0" w:color="auto"/>
            </w:tcBorders>
          </w:tcPr>
          <w:p>
            <w:pPr>
              <w:ind w:right="-29"/>
              <w:jc w:val="center"/>
              <w:rPr>
                <w:noProof/>
                <w:sz w:val="18"/>
                <w:szCs w:val="18"/>
              </w:rPr>
            </w:pPr>
            <w:r>
              <w:rPr>
                <w:noProof/>
                <w:sz w:val="18"/>
                <w:szCs w:val="18"/>
              </w:rPr>
              <w:t>0</w:t>
            </w:r>
          </w:p>
        </w:tc>
        <w:tc>
          <w:tcPr>
            <w:tcW w:w="867" w:type="dxa"/>
            <w:tcBorders>
              <w:left w:val="dashSmallGap" w:sz="4" w:space="0" w:color="auto"/>
              <w:bottom w:val="single" w:sz="4" w:space="0" w:color="auto"/>
            </w:tcBorders>
          </w:tcPr>
          <w:p>
            <w:pPr>
              <w:ind w:right="-29"/>
              <w:jc w:val="center"/>
              <w:rPr>
                <w:noProof/>
                <w:sz w:val="18"/>
                <w:szCs w:val="18"/>
              </w:rPr>
            </w:pPr>
          </w:p>
        </w:tc>
        <w:tc>
          <w:tcPr>
            <w:tcW w:w="330" w:type="dxa"/>
            <w:tcBorders>
              <w:right w:val="dashSmallGap" w:sz="4" w:space="0" w:color="auto"/>
            </w:tcBorders>
          </w:tcPr>
          <w:p>
            <w:pPr>
              <w:ind w:right="-29"/>
              <w:jc w:val="center"/>
              <w:rPr>
                <w:noProof/>
                <w:sz w:val="18"/>
                <w:szCs w:val="18"/>
              </w:rPr>
            </w:pPr>
            <w:r>
              <w:rPr>
                <w:noProof/>
                <w:sz w:val="18"/>
                <w:szCs w:val="18"/>
              </w:rPr>
              <w:t>1</w:t>
            </w:r>
          </w:p>
        </w:tc>
        <w:tc>
          <w:tcPr>
            <w:tcW w:w="840" w:type="dxa"/>
            <w:tcBorders>
              <w:left w:val="dashSmallGap" w:sz="4" w:space="0" w:color="auto"/>
            </w:tcBorders>
          </w:tcPr>
          <w:p>
            <w:pPr>
              <w:ind w:right="-29"/>
              <w:jc w:val="center"/>
              <w:rPr>
                <w:noProof/>
                <w:sz w:val="18"/>
                <w:szCs w:val="18"/>
              </w:rPr>
            </w:pPr>
            <w:r>
              <w:rPr>
                <w:noProof/>
                <w:sz w:val="18"/>
                <w:szCs w:val="18"/>
              </w:rPr>
              <w:t>0,040</w:t>
            </w:r>
          </w:p>
        </w:tc>
        <w:tc>
          <w:tcPr>
            <w:tcW w:w="360" w:type="dxa"/>
            <w:tcBorders>
              <w:right w:val="dashSmallGap" w:sz="4" w:space="0" w:color="auto"/>
            </w:tcBorders>
          </w:tcPr>
          <w:p>
            <w:pPr>
              <w:ind w:right="-29"/>
              <w:jc w:val="center"/>
              <w:rPr>
                <w:noProof/>
                <w:sz w:val="18"/>
                <w:szCs w:val="18"/>
              </w:rPr>
            </w:pPr>
            <w:r>
              <w:rPr>
                <w:noProof/>
                <w:sz w:val="18"/>
                <w:szCs w:val="18"/>
              </w:rPr>
              <w:t>4</w:t>
            </w:r>
          </w:p>
        </w:tc>
        <w:tc>
          <w:tcPr>
            <w:tcW w:w="840" w:type="dxa"/>
            <w:tcBorders>
              <w:left w:val="dashSmallGap" w:sz="4" w:space="0" w:color="auto"/>
            </w:tcBorders>
          </w:tcPr>
          <w:p>
            <w:pPr>
              <w:ind w:right="-29"/>
              <w:jc w:val="center"/>
              <w:rPr>
                <w:noProof/>
                <w:sz w:val="18"/>
                <w:szCs w:val="18"/>
              </w:rPr>
            </w:pPr>
            <w:r>
              <w:rPr>
                <w:noProof/>
                <w:sz w:val="18"/>
                <w:szCs w:val="18"/>
              </w:rPr>
              <w:t>0,136</w:t>
            </w:r>
          </w:p>
        </w:tc>
        <w:tc>
          <w:tcPr>
            <w:tcW w:w="360" w:type="dxa"/>
            <w:tcBorders>
              <w:right w:val="dashSmallGap" w:sz="4" w:space="0" w:color="auto"/>
            </w:tcBorders>
          </w:tcPr>
          <w:p>
            <w:pPr>
              <w:ind w:right="-29"/>
              <w:jc w:val="center"/>
              <w:rPr>
                <w:noProof/>
                <w:sz w:val="18"/>
                <w:szCs w:val="18"/>
              </w:rPr>
            </w:pPr>
            <w:r>
              <w:rPr>
                <w:noProof/>
                <w:sz w:val="18"/>
                <w:szCs w:val="18"/>
              </w:rPr>
              <w:t>8</w:t>
            </w:r>
          </w:p>
        </w:tc>
        <w:tc>
          <w:tcPr>
            <w:tcW w:w="840" w:type="dxa"/>
            <w:tcBorders>
              <w:left w:val="dashSmallGap" w:sz="4" w:space="0" w:color="auto"/>
            </w:tcBorders>
          </w:tcPr>
          <w:p>
            <w:pPr>
              <w:ind w:right="-29"/>
              <w:jc w:val="center"/>
              <w:rPr>
                <w:noProof/>
                <w:sz w:val="18"/>
                <w:szCs w:val="18"/>
              </w:rPr>
            </w:pPr>
            <w:r>
              <w:rPr>
                <w:noProof/>
                <w:sz w:val="18"/>
                <w:szCs w:val="18"/>
              </w:rPr>
              <w:t>0,272</w:t>
            </w:r>
          </w:p>
        </w:tc>
        <w:tc>
          <w:tcPr>
            <w:tcW w:w="360" w:type="dxa"/>
            <w:tcBorders>
              <w:right w:val="dashSmallGap" w:sz="4" w:space="0" w:color="auto"/>
            </w:tcBorders>
          </w:tcPr>
          <w:p>
            <w:pPr>
              <w:ind w:right="-29"/>
              <w:jc w:val="center"/>
              <w:rPr>
                <w:noProof/>
                <w:sz w:val="20"/>
              </w:rPr>
            </w:pPr>
            <w:r>
              <w:rPr>
                <w:noProof/>
                <w:sz w:val="20"/>
              </w:rPr>
              <w:t>2</w:t>
            </w:r>
          </w:p>
        </w:tc>
        <w:tc>
          <w:tcPr>
            <w:tcW w:w="672" w:type="dxa"/>
            <w:tcBorders>
              <w:left w:val="dashSmallGap" w:sz="4" w:space="0" w:color="auto"/>
            </w:tcBorders>
          </w:tcPr>
          <w:p>
            <w:pPr>
              <w:ind w:right="-29"/>
              <w:rPr>
                <w:noProof/>
                <w:sz w:val="20"/>
              </w:rPr>
            </w:pPr>
            <w:r>
              <w:rPr>
                <w:noProof/>
                <w:sz w:val="20"/>
              </w:rPr>
              <w:t>0,068</w:t>
            </w:r>
          </w:p>
        </w:tc>
        <w:tc>
          <w:tcPr>
            <w:tcW w:w="360" w:type="dxa"/>
            <w:tcBorders>
              <w:right w:val="dashSmallGap" w:sz="4" w:space="0" w:color="auto"/>
            </w:tcBorders>
          </w:tcPr>
          <w:p>
            <w:pPr>
              <w:ind w:right="-29"/>
              <w:jc w:val="center"/>
              <w:rPr>
                <w:noProof/>
                <w:sz w:val="18"/>
                <w:szCs w:val="18"/>
              </w:rPr>
            </w:pPr>
            <w:r>
              <w:rPr>
                <w:noProof/>
                <w:sz w:val="18"/>
                <w:szCs w:val="18"/>
              </w:rPr>
              <w:t>2</w:t>
            </w:r>
          </w:p>
        </w:tc>
        <w:tc>
          <w:tcPr>
            <w:tcW w:w="720" w:type="dxa"/>
            <w:tcBorders>
              <w:left w:val="dashSmallGap" w:sz="4" w:space="0" w:color="auto"/>
            </w:tcBorders>
          </w:tcPr>
          <w:p>
            <w:pPr>
              <w:ind w:right="-29"/>
              <w:jc w:val="center"/>
              <w:rPr>
                <w:noProof/>
                <w:sz w:val="18"/>
                <w:szCs w:val="18"/>
              </w:rPr>
            </w:pPr>
            <w:r>
              <w:rPr>
                <w:noProof/>
                <w:sz w:val="18"/>
                <w:szCs w:val="18"/>
              </w:rPr>
              <w:t>0,068</w:t>
            </w:r>
          </w:p>
        </w:tc>
        <w:tc>
          <w:tcPr>
            <w:tcW w:w="360" w:type="dxa"/>
            <w:tcBorders>
              <w:right w:val="dashSmallGap" w:sz="4" w:space="0" w:color="auto"/>
            </w:tcBorders>
          </w:tcPr>
          <w:p>
            <w:pPr>
              <w:ind w:right="-29"/>
              <w:jc w:val="center"/>
              <w:rPr>
                <w:noProof/>
                <w:sz w:val="18"/>
                <w:szCs w:val="18"/>
              </w:rPr>
            </w:pPr>
            <w:r>
              <w:rPr>
                <w:noProof/>
                <w:sz w:val="18"/>
                <w:szCs w:val="18"/>
              </w:rPr>
              <w:t>2</w:t>
            </w:r>
          </w:p>
        </w:tc>
        <w:tc>
          <w:tcPr>
            <w:tcW w:w="840" w:type="dxa"/>
            <w:tcBorders>
              <w:left w:val="dashSmallGap" w:sz="4" w:space="0" w:color="auto"/>
            </w:tcBorders>
          </w:tcPr>
          <w:p>
            <w:pPr>
              <w:ind w:right="-29"/>
              <w:jc w:val="center"/>
              <w:rPr>
                <w:noProof/>
                <w:sz w:val="18"/>
                <w:szCs w:val="18"/>
              </w:rPr>
            </w:pPr>
            <w:r>
              <w:rPr>
                <w:noProof/>
                <w:sz w:val="18"/>
                <w:szCs w:val="18"/>
              </w:rPr>
              <w:t>0,068</w:t>
            </w:r>
          </w:p>
        </w:tc>
        <w:tc>
          <w:tcPr>
            <w:tcW w:w="360" w:type="dxa"/>
            <w:tcBorders>
              <w:right w:val="dashSmallGap" w:sz="4" w:space="0" w:color="auto"/>
            </w:tcBorders>
          </w:tcPr>
          <w:p>
            <w:pPr>
              <w:ind w:right="-29"/>
              <w:jc w:val="center"/>
              <w:rPr>
                <w:noProof/>
                <w:sz w:val="18"/>
                <w:szCs w:val="18"/>
              </w:rPr>
            </w:pPr>
            <w:r>
              <w:rPr>
                <w:noProof/>
                <w:sz w:val="18"/>
                <w:szCs w:val="18"/>
              </w:rPr>
              <w:t>2</w:t>
            </w:r>
          </w:p>
        </w:tc>
        <w:tc>
          <w:tcPr>
            <w:tcW w:w="840" w:type="dxa"/>
            <w:tcBorders>
              <w:left w:val="dashSmallGap" w:sz="4" w:space="0" w:color="auto"/>
            </w:tcBorders>
          </w:tcPr>
          <w:p>
            <w:pPr>
              <w:ind w:right="-29"/>
              <w:jc w:val="center"/>
              <w:rPr>
                <w:noProof/>
                <w:sz w:val="18"/>
                <w:szCs w:val="18"/>
              </w:rPr>
            </w:pPr>
            <w:r>
              <w:rPr>
                <w:noProof/>
                <w:sz w:val="18"/>
                <w:szCs w:val="18"/>
              </w:rPr>
              <w:t>0,068</w:t>
            </w:r>
          </w:p>
        </w:tc>
        <w:tc>
          <w:tcPr>
            <w:tcW w:w="360" w:type="dxa"/>
            <w:tcBorders>
              <w:right w:val="dashSmallGap" w:sz="4" w:space="0" w:color="auto"/>
            </w:tcBorders>
          </w:tcPr>
          <w:p>
            <w:pPr>
              <w:ind w:right="-29"/>
              <w:jc w:val="center"/>
              <w:rPr>
                <w:noProof/>
                <w:sz w:val="18"/>
                <w:szCs w:val="18"/>
              </w:rPr>
            </w:pPr>
            <w:r>
              <w:rPr>
                <w:noProof/>
                <w:sz w:val="18"/>
                <w:szCs w:val="18"/>
              </w:rPr>
              <w:t>2</w:t>
            </w:r>
          </w:p>
        </w:tc>
        <w:tc>
          <w:tcPr>
            <w:tcW w:w="840" w:type="dxa"/>
            <w:tcBorders>
              <w:left w:val="dashSmallGap" w:sz="4" w:space="0" w:color="auto"/>
              <w:bottom w:val="single" w:sz="4" w:space="0" w:color="auto"/>
            </w:tcBorders>
          </w:tcPr>
          <w:p>
            <w:pPr>
              <w:ind w:right="-29"/>
              <w:jc w:val="center"/>
              <w:rPr>
                <w:noProof/>
                <w:sz w:val="18"/>
                <w:szCs w:val="18"/>
              </w:rPr>
            </w:pPr>
            <w:r>
              <w:rPr>
                <w:noProof/>
                <w:sz w:val="18"/>
                <w:szCs w:val="18"/>
              </w:rPr>
              <w:t>0,068</w:t>
            </w:r>
          </w:p>
        </w:tc>
        <w:tc>
          <w:tcPr>
            <w:tcW w:w="360" w:type="dxa"/>
            <w:tcBorders>
              <w:right w:val="dashSmallGap" w:sz="4" w:space="0" w:color="auto"/>
            </w:tcBorders>
          </w:tcPr>
          <w:p>
            <w:pPr>
              <w:ind w:right="-29"/>
              <w:jc w:val="center"/>
              <w:rPr>
                <w:noProof/>
                <w:sz w:val="18"/>
                <w:szCs w:val="18"/>
              </w:rPr>
            </w:pPr>
          </w:p>
        </w:tc>
        <w:tc>
          <w:tcPr>
            <w:tcW w:w="1320" w:type="dxa"/>
            <w:tcBorders>
              <w:left w:val="dashSmallGap" w:sz="4" w:space="0" w:color="auto"/>
              <w:bottom w:val="single" w:sz="4" w:space="0" w:color="auto"/>
              <w:right w:val="single" w:sz="12" w:space="0" w:color="auto"/>
            </w:tcBorders>
          </w:tcPr>
          <w:p>
            <w:pPr>
              <w:ind w:right="-29"/>
              <w:jc w:val="center"/>
              <w:rPr>
                <w:noProof/>
                <w:sz w:val="18"/>
                <w:szCs w:val="18"/>
              </w:rPr>
            </w:pPr>
            <w:r>
              <w:rPr>
                <w:noProof/>
                <w:sz w:val="20"/>
              </w:rPr>
              <w:t xml:space="preserve">0,788 </w:t>
            </w:r>
          </w:p>
        </w:tc>
      </w:tr>
      <w:tr>
        <w:trPr>
          <w:trHeight w:hRule="exact" w:val="705"/>
          <w:jc w:val="center"/>
        </w:trPr>
        <w:tc>
          <w:tcPr>
            <w:tcW w:w="1422" w:type="dxa"/>
            <w:tcBorders>
              <w:left w:val="single" w:sz="12" w:space="0" w:color="auto"/>
              <w:bottom w:val="single" w:sz="4" w:space="0" w:color="auto"/>
            </w:tcBorders>
          </w:tcPr>
          <w:p>
            <w:pPr>
              <w:ind w:right="-29"/>
              <w:jc w:val="center"/>
              <w:rPr>
                <w:noProof/>
                <w:sz w:val="18"/>
              </w:rPr>
            </w:pPr>
            <w:r>
              <w:rPr>
                <w:noProof/>
                <w:sz w:val="20"/>
              </w:rPr>
              <w:t>Online training</w:t>
            </w:r>
          </w:p>
        </w:tc>
        <w:tc>
          <w:tcPr>
            <w:tcW w:w="1380" w:type="dxa"/>
            <w:gridSpan w:val="2"/>
            <w:tcBorders>
              <w:bottom w:val="single" w:sz="4" w:space="0" w:color="auto"/>
            </w:tcBorders>
          </w:tcPr>
          <w:p>
            <w:pPr>
              <w:ind w:right="-29"/>
              <w:jc w:val="center"/>
              <w:rPr>
                <w:noProof/>
                <w:sz w:val="18"/>
                <w:szCs w:val="18"/>
              </w:rPr>
            </w:pPr>
            <w:r>
              <w:rPr>
                <w:noProof/>
                <w:sz w:val="18"/>
                <w:szCs w:val="18"/>
              </w:rPr>
              <w:t xml:space="preserve">0,02 </w:t>
            </w:r>
          </w:p>
        </w:tc>
        <w:tc>
          <w:tcPr>
            <w:tcW w:w="303" w:type="dxa"/>
            <w:tcBorders>
              <w:bottom w:val="single" w:sz="4" w:space="0" w:color="auto"/>
              <w:right w:val="dashSmallGap" w:sz="4" w:space="0" w:color="auto"/>
            </w:tcBorders>
          </w:tcPr>
          <w:p>
            <w:pPr>
              <w:ind w:right="-29"/>
              <w:jc w:val="center"/>
              <w:rPr>
                <w:noProof/>
                <w:sz w:val="18"/>
                <w:szCs w:val="18"/>
              </w:rPr>
            </w:pPr>
          </w:p>
        </w:tc>
        <w:tc>
          <w:tcPr>
            <w:tcW w:w="867" w:type="dxa"/>
            <w:tcBorders>
              <w:left w:val="dashSmallGap" w:sz="4" w:space="0" w:color="auto"/>
              <w:bottom w:val="single" w:sz="4" w:space="0" w:color="auto"/>
            </w:tcBorders>
          </w:tcPr>
          <w:p>
            <w:pPr>
              <w:ind w:right="-29"/>
              <w:jc w:val="center"/>
              <w:rPr>
                <w:noProof/>
                <w:sz w:val="18"/>
                <w:szCs w:val="18"/>
              </w:rPr>
            </w:pPr>
            <w:r>
              <w:rPr>
                <w:noProof/>
                <w:sz w:val="18"/>
                <w:szCs w:val="18"/>
              </w:rPr>
              <w:t>0</w:t>
            </w:r>
          </w:p>
        </w:tc>
        <w:tc>
          <w:tcPr>
            <w:tcW w:w="330" w:type="dxa"/>
            <w:tcBorders>
              <w:bottom w:val="single" w:sz="4" w:space="0" w:color="auto"/>
              <w:right w:val="dashSmallGap" w:sz="4" w:space="0" w:color="auto"/>
            </w:tcBorders>
          </w:tcPr>
          <w:p>
            <w:pPr>
              <w:ind w:right="-29"/>
              <w:jc w:val="center"/>
              <w:rPr>
                <w:noProof/>
                <w:sz w:val="18"/>
                <w:szCs w:val="18"/>
              </w:rPr>
            </w:pPr>
          </w:p>
        </w:tc>
        <w:tc>
          <w:tcPr>
            <w:tcW w:w="840" w:type="dxa"/>
            <w:tcBorders>
              <w:left w:val="dashSmallGap" w:sz="4" w:space="0" w:color="auto"/>
              <w:bottom w:val="single" w:sz="4" w:space="0" w:color="auto"/>
            </w:tcBorders>
          </w:tcPr>
          <w:p>
            <w:pPr>
              <w:ind w:right="-29"/>
              <w:jc w:val="center"/>
              <w:rPr>
                <w:noProof/>
                <w:sz w:val="18"/>
                <w:szCs w:val="18"/>
              </w:rPr>
            </w:pPr>
          </w:p>
        </w:tc>
        <w:tc>
          <w:tcPr>
            <w:tcW w:w="360" w:type="dxa"/>
            <w:tcBorders>
              <w:bottom w:val="single" w:sz="4" w:space="0" w:color="auto"/>
              <w:right w:val="dashSmallGap" w:sz="4" w:space="0" w:color="auto"/>
            </w:tcBorders>
          </w:tcPr>
          <w:p>
            <w:pPr>
              <w:ind w:right="-29"/>
              <w:jc w:val="center"/>
              <w:rPr>
                <w:noProof/>
                <w:sz w:val="18"/>
                <w:szCs w:val="18"/>
              </w:rPr>
            </w:pPr>
          </w:p>
        </w:tc>
        <w:tc>
          <w:tcPr>
            <w:tcW w:w="840" w:type="dxa"/>
            <w:tcBorders>
              <w:left w:val="dashSmallGap" w:sz="4" w:space="0" w:color="auto"/>
              <w:bottom w:val="single" w:sz="4" w:space="0" w:color="auto"/>
            </w:tcBorders>
          </w:tcPr>
          <w:p>
            <w:pPr>
              <w:ind w:right="-29"/>
              <w:jc w:val="center"/>
              <w:rPr>
                <w:noProof/>
                <w:sz w:val="18"/>
                <w:szCs w:val="18"/>
              </w:rPr>
            </w:pPr>
            <w:r>
              <w:rPr>
                <w:noProof/>
                <w:sz w:val="18"/>
                <w:szCs w:val="18"/>
              </w:rPr>
              <w:t>0,040</w:t>
            </w:r>
          </w:p>
        </w:tc>
        <w:tc>
          <w:tcPr>
            <w:tcW w:w="360" w:type="dxa"/>
            <w:tcBorders>
              <w:bottom w:val="single" w:sz="4" w:space="0" w:color="auto"/>
              <w:right w:val="dashSmallGap" w:sz="4" w:space="0" w:color="auto"/>
            </w:tcBorders>
          </w:tcPr>
          <w:p>
            <w:pPr>
              <w:ind w:right="-29"/>
              <w:jc w:val="center"/>
              <w:rPr>
                <w:noProof/>
                <w:sz w:val="18"/>
                <w:szCs w:val="18"/>
              </w:rPr>
            </w:pPr>
          </w:p>
        </w:tc>
        <w:tc>
          <w:tcPr>
            <w:tcW w:w="840" w:type="dxa"/>
            <w:tcBorders>
              <w:left w:val="dashSmallGap" w:sz="4" w:space="0" w:color="auto"/>
              <w:bottom w:val="single" w:sz="4" w:space="0" w:color="auto"/>
            </w:tcBorders>
          </w:tcPr>
          <w:p>
            <w:pPr>
              <w:ind w:right="-29"/>
              <w:jc w:val="center"/>
              <w:rPr>
                <w:noProof/>
                <w:sz w:val="18"/>
                <w:szCs w:val="18"/>
              </w:rPr>
            </w:pPr>
            <w:r>
              <w:rPr>
                <w:noProof/>
                <w:sz w:val="18"/>
                <w:szCs w:val="18"/>
              </w:rPr>
              <w:t>0,002</w:t>
            </w:r>
          </w:p>
        </w:tc>
        <w:tc>
          <w:tcPr>
            <w:tcW w:w="360" w:type="dxa"/>
            <w:tcBorders>
              <w:bottom w:val="single" w:sz="4" w:space="0" w:color="auto"/>
              <w:right w:val="dashSmallGap" w:sz="4" w:space="0" w:color="auto"/>
            </w:tcBorders>
          </w:tcPr>
          <w:p>
            <w:pPr>
              <w:ind w:right="-29"/>
              <w:jc w:val="center"/>
              <w:rPr>
                <w:noProof/>
                <w:sz w:val="18"/>
                <w:szCs w:val="18"/>
              </w:rPr>
            </w:pPr>
          </w:p>
        </w:tc>
        <w:tc>
          <w:tcPr>
            <w:tcW w:w="672" w:type="dxa"/>
            <w:tcBorders>
              <w:left w:val="dashSmallGap" w:sz="4" w:space="0" w:color="auto"/>
              <w:bottom w:val="single" w:sz="4" w:space="0" w:color="auto"/>
            </w:tcBorders>
          </w:tcPr>
          <w:p>
            <w:pPr>
              <w:ind w:right="-29"/>
              <w:jc w:val="center"/>
              <w:rPr>
                <w:noProof/>
                <w:sz w:val="18"/>
                <w:szCs w:val="18"/>
              </w:rPr>
            </w:pPr>
            <w:r>
              <w:rPr>
                <w:noProof/>
                <w:sz w:val="18"/>
                <w:szCs w:val="18"/>
              </w:rPr>
              <w:t>0,002</w:t>
            </w:r>
          </w:p>
        </w:tc>
        <w:tc>
          <w:tcPr>
            <w:tcW w:w="360" w:type="dxa"/>
            <w:tcBorders>
              <w:bottom w:val="single" w:sz="4" w:space="0" w:color="auto"/>
              <w:right w:val="dashSmallGap" w:sz="4" w:space="0" w:color="auto"/>
            </w:tcBorders>
          </w:tcPr>
          <w:p>
            <w:pPr>
              <w:ind w:right="-29"/>
              <w:jc w:val="center"/>
              <w:rPr>
                <w:noProof/>
                <w:sz w:val="18"/>
                <w:szCs w:val="18"/>
              </w:rPr>
            </w:pPr>
          </w:p>
        </w:tc>
        <w:tc>
          <w:tcPr>
            <w:tcW w:w="720" w:type="dxa"/>
            <w:tcBorders>
              <w:left w:val="dashSmallGap" w:sz="4" w:space="0" w:color="auto"/>
              <w:bottom w:val="single" w:sz="4" w:space="0" w:color="auto"/>
            </w:tcBorders>
          </w:tcPr>
          <w:p>
            <w:pPr>
              <w:ind w:right="-29"/>
              <w:jc w:val="center"/>
              <w:rPr>
                <w:noProof/>
                <w:sz w:val="18"/>
                <w:szCs w:val="18"/>
              </w:rPr>
            </w:pPr>
            <w:r>
              <w:rPr>
                <w:noProof/>
                <w:sz w:val="18"/>
                <w:szCs w:val="18"/>
              </w:rPr>
              <w:t>0,002</w:t>
            </w:r>
          </w:p>
        </w:tc>
        <w:tc>
          <w:tcPr>
            <w:tcW w:w="360" w:type="dxa"/>
            <w:tcBorders>
              <w:bottom w:val="single" w:sz="4" w:space="0" w:color="auto"/>
              <w:right w:val="dashSmallGap" w:sz="4" w:space="0" w:color="auto"/>
            </w:tcBorders>
          </w:tcPr>
          <w:p>
            <w:pPr>
              <w:ind w:right="-29"/>
              <w:jc w:val="center"/>
              <w:rPr>
                <w:noProof/>
                <w:sz w:val="18"/>
                <w:szCs w:val="18"/>
              </w:rPr>
            </w:pPr>
          </w:p>
        </w:tc>
        <w:tc>
          <w:tcPr>
            <w:tcW w:w="840" w:type="dxa"/>
            <w:tcBorders>
              <w:left w:val="dashSmallGap" w:sz="4" w:space="0" w:color="auto"/>
              <w:bottom w:val="single" w:sz="4" w:space="0" w:color="auto"/>
            </w:tcBorders>
          </w:tcPr>
          <w:p>
            <w:pPr>
              <w:ind w:right="-29"/>
              <w:jc w:val="center"/>
              <w:rPr>
                <w:noProof/>
                <w:sz w:val="18"/>
                <w:szCs w:val="18"/>
              </w:rPr>
            </w:pPr>
            <w:r>
              <w:rPr>
                <w:noProof/>
                <w:sz w:val="18"/>
                <w:szCs w:val="18"/>
              </w:rPr>
              <w:t>0,002</w:t>
            </w:r>
          </w:p>
        </w:tc>
        <w:tc>
          <w:tcPr>
            <w:tcW w:w="360" w:type="dxa"/>
            <w:tcBorders>
              <w:bottom w:val="single" w:sz="4" w:space="0" w:color="auto"/>
              <w:right w:val="dashSmallGap" w:sz="4" w:space="0" w:color="auto"/>
            </w:tcBorders>
          </w:tcPr>
          <w:p>
            <w:pPr>
              <w:ind w:right="-29"/>
              <w:jc w:val="center"/>
              <w:rPr>
                <w:noProof/>
                <w:sz w:val="18"/>
                <w:szCs w:val="18"/>
              </w:rPr>
            </w:pPr>
          </w:p>
        </w:tc>
        <w:tc>
          <w:tcPr>
            <w:tcW w:w="840" w:type="dxa"/>
            <w:tcBorders>
              <w:left w:val="dashSmallGap" w:sz="4" w:space="0" w:color="auto"/>
              <w:bottom w:val="single" w:sz="4" w:space="0" w:color="auto"/>
            </w:tcBorders>
          </w:tcPr>
          <w:p>
            <w:pPr>
              <w:ind w:right="-29"/>
              <w:jc w:val="center"/>
              <w:rPr>
                <w:noProof/>
                <w:sz w:val="18"/>
                <w:szCs w:val="18"/>
              </w:rPr>
            </w:pPr>
            <w:r>
              <w:rPr>
                <w:noProof/>
                <w:sz w:val="18"/>
                <w:szCs w:val="18"/>
              </w:rPr>
              <w:t>0,002</w:t>
            </w:r>
          </w:p>
        </w:tc>
        <w:tc>
          <w:tcPr>
            <w:tcW w:w="360" w:type="dxa"/>
            <w:tcBorders>
              <w:bottom w:val="single" w:sz="4" w:space="0" w:color="auto"/>
              <w:right w:val="dashSmallGap" w:sz="4" w:space="0" w:color="auto"/>
            </w:tcBorders>
          </w:tcPr>
          <w:p>
            <w:pPr>
              <w:ind w:right="-29"/>
              <w:jc w:val="center"/>
              <w:rPr>
                <w:noProof/>
                <w:sz w:val="18"/>
                <w:szCs w:val="18"/>
              </w:rPr>
            </w:pPr>
          </w:p>
        </w:tc>
        <w:tc>
          <w:tcPr>
            <w:tcW w:w="840" w:type="dxa"/>
            <w:tcBorders>
              <w:left w:val="dashSmallGap" w:sz="4" w:space="0" w:color="auto"/>
              <w:bottom w:val="single" w:sz="4" w:space="0" w:color="auto"/>
            </w:tcBorders>
          </w:tcPr>
          <w:p>
            <w:pPr>
              <w:ind w:right="-29"/>
              <w:jc w:val="center"/>
              <w:rPr>
                <w:noProof/>
                <w:sz w:val="18"/>
                <w:szCs w:val="18"/>
              </w:rPr>
            </w:pPr>
            <w:r>
              <w:rPr>
                <w:noProof/>
                <w:sz w:val="18"/>
                <w:szCs w:val="18"/>
              </w:rPr>
              <w:t>0,002</w:t>
            </w:r>
          </w:p>
        </w:tc>
        <w:tc>
          <w:tcPr>
            <w:tcW w:w="360" w:type="dxa"/>
            <w:tcBorders>
              <w:bottom w:val="single" w:sz="4" w:space="0" w:color="auto"/>
              <w:right w:val="dashSmallGap" w:sz="4" w:space="0" w:color="auto"/>
            </w:tcBorders>
          </w:tcPr>
          <w:p>
            <w:pPr>
              <w:ind w:right="-29"/>
              <w:jc w:val="center"/>
              <w:rPr>
                <w:noProof/>
                <w:sz w:val="18"/>
                <w:szCs w:val="18"/>
              </w:rPr>
            </w:pPr>
          </w:p>
        </w:tc>
        <w:tc>
          <w:tcPr>
            <w:tcW w:w="1320" w:type="dxa"/>
            <w:tcBorders>
              <w:left w:val="dashSmallGap" w:sz="4" w:space="0" w:color="auto"/>
              <w:bottom w:val="single" w:sz="4" w:space="0" w:color="auto"/>
              <w:right w:val="single" w:sz="12" w:space="0" w:color="auto"/>
            </w:tcBorders>
          </w:tcPr>
          <w:p>
            <w:pPr>
              <w:ind w:right="-29"/>
              <w:jc w:val="center"/>
              <w:rPr>
                <w:noProof/>
                <w:sz w:val="18"/>
                <w:szCs w:val="18"/>
              </w:rPr>
            </w:pPr>
            <w:r>
              <w:rPr>
                <w:noProof/>
                <w:sz w:val="18"/>
                <w:szCs w:val="18"/>
              </w:rPr>
              <w:t>0,052</w:t>
            </w:r>
          </w:p>
        </w:tc>
      </w:tr>
      <w:tr>
        <w:trPr>
          <w:trHeight w:hRule="exact" w:val="705"/>
          <w:jc w:val="center"/>
        </w:trPr>
        <w:tc>
          <w:tcPr>
            <w:tcW w:w="2802" w:type="dxa"/>
            <w:gridSpan w:val="3"/>
            <w:tcBorders>
              <w:left w:val="single" w:sz="4" w:space="0" w:color="auto"/>
              <w:bottom w:val="single" w:sz="4" w:space="0" w:color="auto"/>
            </w:tcBorders>
            <w:vAlign w:val="center"/>
          </w:tcPr>
          <w:p>
            <w:pPr>
              <w:ind w:right="-29"/>
              <w:jc w:val="center"/>
              <w:rPr>
                <w:noProof/>
                <w:sz w:val="18"/>
                <w:szCs w:val="18"/>
              </w:rPr>
            </w:pPr>
            <w:r>
              <w:rPr>
                <w:noProof/>
                <w:sz w:val="18"/>
              </w:rPr>
              <w:t xml:space="preserve">Subtotal </w:t>
            </w:r>
          </w:p>
        </w:tc>
        <w:tc>
          <w:tcPr>
            <w:tcW w:w="303" w:type="dxa"/>
            <w:tcBorders>
              <w:bottom w:val="single" w:sz="4" w:space="0" w:color="auto"/>
              <w:right w:val="dashSmallGap" w:sz="4" w:space="0" w:color="auto"/>
            </w:tcBorders>
          </w:tcPr>
          <w:p>
            <w:pPr>
              <w:ind w:right="-29"/>
              <w:jc w:val="center"/>
              <w:rPr>
                <w:noProof/>
                <w:sz w:val="18"/>
                <w:szCs w:val="18"/>
              </w:rPr>
            </w:pPr>
          </w:p>
        </w:tc>
        <w:tc>
          <w:tcPr>
            <w:tcW w:w="867" w:type="dxa"/>
            <w:tcBorders>
              <w:left w:val="dashSmallGap" w:sz="4" w:space="0" w:color="auto"/>
              <w:bottom w:val="single" w:sz="4" w:space="0" w:color="auto"/>
            </w:tcBorders>
          </w:tcPr>
          <w:p>
            <w:pPr>
              <w:ind w:right="-29"/>
              <w:jc w:val="center"/>
              <w:rPr>
                <w:noProof/>
                <w:sz w:val="20"/>
              </w:rPr>
            </w:pPr>
            <w:r>
              <w:rPr>
                <w:b/>
                <w:noProof/>
                <w:sz w:val="20"/>
              </w:rPr>
              <w:t>0</w:t>
            </w:r>
          </w:p>
        </w:tc>
        <w:tc>
          <w:tcPr>
            <w:tcW w:w="330" w:type="dxa"/>
            <w:tcBorders>
              <w:bottom w:val="single" w:sz="4" w:space="0" w:color="auto"/>
              <w:right w:val="dashSmallGap" w:sz="4" w:space="0" w:color="auto"/>
            </w:tcBorders>
          </w:tcPr>
          <w:p>
            <w:pPr>
              <w:ind w:right="-29"/>
              <w:jc w:val="center"/>
              <w:rPr>
                <w:noProof/>
                <w:sz w:val="20"/>
              </w:rPr>
            </w:pPr>
          </w:p>
        </w:tc>
        <w:tc>
          <w:tcPr>
            <w:tcW w:w="840" w:type="dxa"/>
            <w:tcBorders>
              <w:left w:val="dashSmallGap" w:sz="4" w:space="0" w:color="auto"/>
              <w:bottom w:val="single" w:sz="4" w:space="0" w:color="auto"/>
            </w:tcBorders>
          </w:tcPr>
          <w:p>
            <w:pPr>
              <w:ind w:right="-29"/>
              <w:jc w:val="center"/>
              <w:rPr>
                <w:noProof/>
                <w:sz w:val="20"/>
              </w:rPr>
            </w:pPr>
            <w:r>
              <w:rPr>
                <w:b/>
                <w:noProof/>
                <w:sz w:val="20"/>
              </w:rPr>
              <w:t>0,040</w:t>
            </w:r>
          </w:p>
        </w:tc>
        <w:tc>
          <w:tcPr>
            <w:tcW w:w="360" w:type="dxa"/>
            <w:tcBorders>
              <w:bottom w:val="single" w:sz="4" w:space="0" w:color="auto"/>
              <w:right w:val="dashSmallGap" w:sz="4" w:space="0" w:color="auto"/>
            </w:tcBorders>
          </w:tcPr>
          <w:p>
            <w:pPr>
              <w:ind w:right="-29"/>
              <w:jc w:val="center"/>
              <w:rPr>
                <w:noProof/>
                <w:sz w:val="20"/>
              </w:rPr>
            </w:pPr>
          </w:p>
        </w:tc>
        <w:tc>
          <w:tcPr>
            <w:tcW w:w="840" w:type="dxa"/>
            <w:tcBorders>
              <w:left w:val="dashSmallGap" w:sz="4" w:space="0" w:color="auto"/>
              <w:bottom w:val="single" w:sz="4" w:space="0" w:color="auto"/>
            </w:tcBorders>
          </w:tcPr>
          <w:p>
            <w:pPr>
              <w:ind w:right="-29"/>
              <w:jc w:val="center"/>
              <w:rPr>
                <w:noProof/>
                <w:sz w:val="20"/>
              </w:rPr>
            </w:pPr>
            <w:r>
              <w:rPr>
                <w:b/>
                <w:noProof/>
                <w:sz w:val="20"/>
              </w:rPr>
              <w:t>0,176</w:t>
            </w:r>
          </w:p>
        </w:tc>
        <w:tc>
          <w:tcPr>
            <w:tcW w:w="360" w:type="dxa"/>
            <w:tcBorders>
              <w:bottom w:val="single" w:sz="4" w:space="0" w:color="auto"/>
              <w:right w:val="dashSmallGap" w:sz="4" w:space="0" w:color="auto"/>
            </w:tcBorders>
          </w:tcPr>
          <w:p>
            <w:pPr>
              <w:ind w:right="-29"/>
              <w:jc w:val="center"/>
              <w:rPr>
                <w:noProof/>
                <w:sz w:val="20"/>
              </w:rPr>
            </w:pPr>
          </w:p>
        </w:tc>
        <w:tc>
          <w:tcPr>
            <w:tcW w:w="840" w:type="dxa"/>
            <w:tcBorders>
              <w:left w:val="dashSmallGap" w:sz="4" w:space="0" w:color="auto"/>
              <w:bottom w:val="single" w:sz="4" w:space="0" w:color="auto"/>
            </w:tcBorders>
          </w:tcPr>
          <w:p>
            <w:pPr>
              <w:ind w:right="-29"/>
              <w:jc w:val="center"/>
              <w:rPr>
                <w:noProof/>
                <w:sz w:val="20"/>
              </w:rPr>
            </w:pPr>
            <w:r>
              <w:rPr>
                <w:b/>
                <w:noProof/>
                <w:sz w:val="20"/>
              </w:rPr>
              <w:t>0,274</w:t>
            </w:r>
          </w:p>
        </w:tc>
        <w:tc>
          <w:tcPr>
            <w:tcW w:w="360" w:type="dxa"/>
            <w:tcBorders>
              <w:bottom w:val="single" w:sz="4" w:space="0" w:color="auto"/>
              <w:right w:val="dashSmallGap" w:sz="4" w:space="0" w:color="auto"/>
            </w:tcBorders>
          </w:tcPr>
          <w:p>
            <w:pPr>
              <w:ind w:right="-29"/>
              <w:jc w:val="center"/>
              <w:rPr>
                <w:noProof/>
                <w:sz w:val="20"/>
              </w:rPr>
            </w:pPr>
          </w:p>
        </w:tc>
        <w:tc>
          <w:tcPr>
            <w:tcW w:w="672" w:type="dxa"/>
            <w:tcBorders>
              <w:left w:val="dashSmallGap" w:sz="4" w:space="0" w:color="auto"/>
              <w:bottom w:val="single" w:sz="4" w:space="0" w:color="auto"/>
            </w:tcBorders>
          </w:tcPr>
          <w:p>
            <w:pPr>
              <w:ind w:right="-29"/>
              <w:jc w:val="center"/>
              <w:rPr>
                <w:noProof/>
                <w:sz w:val="20"/>
              </w:rPr>
            </w:pPr>
            <w:r>
              <w:rPr>
                <w:b/>
                <w:noProof/>
                <w:sz w:val="20"/>
              </w:rPr>
              <w:t>0,070</w:t>
            </w:r>
          </w:p>
        </w:tc>
        <w:tc>
          <w:tcPr>
            <w:tcW w:w="360" w:type="dxa"/>
            <w:tcBorders>
              <w:bottom w:val="single" w:sz="4" w:space="0" w:color="auto"/>
              <w:right w:val="dashSmallGap" w:sz="4" w:space="0" w:color="auto"/>
            </w:tcBorders>
          </w:tcPr>
          <w:p>
            <w:pPr>
              <w:ind w:right="-29"/>
              <w:jc w:val="center"/>
              <w:rPr>
                <w:noProof/>
                <w:sz w:val="20"/>
              </w:rPr>
            </w:pPr>
          </w:p>
        </w:tc>
        <w:tc>
          <w:tcPr>
            <w:tcW w:w="720" w:type="dxa"/>
            <w:tcBorders>
              <w:left w:val="dashSmallGap" w:sz="4" w:space="0" w:color="auto"/>
              <w:bottom w:val="single" w:sz="4" w:space="0" w:color="auto"/>
            </w:tcBorders>
          </w:tcPr>
          <w:p>
            <w:pPr>
              <w:ind w:right="-29"/>
              <w:jc w:val="center"/>
              <w:rPr>
                <w:noProof/>
                <w:sz w:val="20"/>
              </w:rPr>
            </w:pPr>
            <w:r>
              <w:rPr>
                <w:b/>
                <w:noProof/>
                <w:sz w:val="20"/>
              </w:rPr>
              <w:t>0,070</w:t>
            </w:r>
          </w:p>
        </w:tc>
        <w:tc>
          <w:tcPr>
            <w:tcW w:w="360" w:type="dxa"/>
            <w:tcBorders>
              <w:bottom w:val="single" w:sz="4" w:space="0" w:color="auto"/>
              <w:right w:val="dashSmallGap" w:sz="4" w:space="0" w:color="auto"/>
            </w:tcBorders>
          </w:tcPr>
          <w:p>
            <w:pPr>
              <w:ind w:right="-29"/>
              <w:jc w:val="center"/>
              <w:rPr>
                <w:noProof/>
                <w:sz w:val="20"/>
              </w:rPr>
            </w:pPr>
          </w:p>
        </w:tc>
        <w:tc>
          <w:tcPr>
            <w:tcW w:w="840" w:type="dxa"/>
            <w:tcBorders>
              <w:left w:val="dashSmallGap" w:sz="4" w:space="0" w:color="auto"/>
              <w:bottom w:val="single" w:sz="4" w:space="0" w:color="auto"/>
            </w:tcBorders>
          </w:tcPr>
          <w:p>
            <w:pPr>
              <w:ind w:right="-29"/>
              <w:jc w:val="center"/>
              <w:rPr>
                <w:noProof/>
                <w:sz w:val="20"/>
              </w:rPr>
            </w:pPr>
            <w:r>
              <w:rPr>
                <w:b/>
                <w:noProof/>
                <w:sz w:val="20"/>
              </w:rPr>
              <w:t>0,070</w:t>
            </w:r>
          </w:p>
        </w:tc>
        <w:tc>
          <w:tcPr>
            <w:tcW w:w="360" w:type="dxa"/>
            <w:tcBorders>
              <w:bottom w:val="single" w:sz="4" w:space="0" w:color="auto"/>
              <w:right w:val="dashSmallGap" w:sz="4" w:space="0" w:color="auto"/>
            </w:tcBorders>
          </w:tcPr>
          <w:p>
            <w:pPr>
              <w:ind w:right="-29"/>
              <w:jc w:val="center"/>
              <w:rPr>
                <w:noProof/>
                <w:sz w:val="20"/>
              </w:rPr>
            </w:pPr>
          </w:p>
        </w:tc>
        <w:tc>
          <w:tcPr>
            <w:tcW w:w="840" w:type="dxa"/>
            <w:tcBorders>
              <w:left w:val="dashSmallGap" w:sz="4" w:space="0" w:color="auto"/>
              <w:bottom w:val="single" w:sz="4" w:space="0" w:color="auto"/>
            </w:tcBorders>
          </w:tcPr>
          <w:p>
            <w:pPr>
              <w:ind w:right="-29"/>
              <w:jc w:val="center"/>
              <w:rPr>
                <w:noProof/>
                <w:sz w:val="20"/>
              </w:rPr>
            </w:pPr>
            <w:r>
              <w:rPr>
                <w:b/>
                <w:noProof/>
                <w:sz w:val="20"/>
              </w:rPr>
              <w:t>0,070</w:t>
            </w:r>
          </w:p>
        </w:tc>
        <w:tc>
          <w:tcPr>
            <w:tcW w:w="360" w:type="dxa"/>
            <w:tcBorders>
              <w:bottom w:val="single" w:sz="4" w:space="0" w:color="auto"/>
              <w:right w:val="dashSmallGap" w:sz="4" w:space="0" w:color="auto"/>
            </w:tcBorders>
          </w:tcPr>
          <w:p>
            <w:pPr>
              <w:ind w:right="-29"/>
              <w:jc w:val="center"/>
              <w:rPr>
                <w:noProof/>
                <w:sz w:val="20"/>
              </w:rPr>
            </w:pPr>
          </w:p>
        </w:tc>
        <w:tc>
          <w:tcPr>
            <w:tcW w:w="840" w:type="dxa"/>
            <w:tcBorders>
              <w:left w:val="dashSmallGap" w:sz="4" w:space="0" w:color="auto"/>
              <w:bottom w:val="single" w:sz="4" w:space="0" w:color="auto"/>
            </w:tcBorders>
          </w:tcPr>
          <w:p>
            <w:pPr>
              <w:ind w:right="-29"/>
              <w:jc w:val="center"/>
              <w:rPr>
                <w:noProof/>
                <w:sz w:val="20"/>
              </w:rPr>
            </w:pPr>
            <w:r>
              <w:rPr>
                <w:b/>
                <w:noProof/>
                <w:sz w:val="20"/>
              </w:rPr>
              <w:t>0,070</w:t>
            </w:r>
          </w:p>
        </w:tc>
        <w:tc>
          <w:tcPr>
            <w:tcW w:w="360" w:type="dxa"/>
            <w:tcBorders>
              <w:bottom w:val="single" w:sz="4" w:space="0" w:color="auto"/>
              <w:right w:val="dashSmallGap" w:sz="4" w:space="0" w:color="auto"/>
            </w:tcBorders>
          </w:tcPr>
          <w:p>
            <w:pPr>
              <w:ind w:right="-29"/>
              <w:jc w:val="center"/>
              <w:rPr>
                <w:noProof/>
                <w:sz w:val="20"/>
              </w:rPr>
            </w:pPr>
          </w:p>
        </w:tc>
        <w:tc>
          <w:tcPr>
            <w:tcW w:w="1320" w:type="dxa"/>
            <w:tcBorders>
              <w:left w:val="dashSmallGap" w:sz="4" w:space="0" w:color="auto"/>
              <w:bottom w:val="single" w:sz="4" w:space="0" w:color="auto"/>
              <w:right w:val="single" w:sz="4" w:space="0" w:color="auto"/>
            </w:tcBorders>
          </w:tcPr>
          <w:p>
            <w:pPr>
              <w:jc w:val="center"/>
              <w:rPr>
                <w:rFonts w:ascii="Calibri" w:hAnsi="Calibri"/>
                <w:b/>
                <w:noProof/>
                <w:color w:val="000000"/>
                <w:sz w:val="20"/>
              </w:rPr>
            </w:pPr>
            <w:r>
              <w:rPr>
                <w:rFonts w:ascii="Calibri" w:hAnsi="Calibri"/>
                <w:b/>
                <w:noProof/>
                <w:color w:val="000000"/>
                <w:sz w:val="20"/>
              </w:rPr>
              <w:t>0,840</w:t>
            </w:r>
          </w:p>
          <w:p>
            <w:pPr>
              <w:ind w:right="-29"/>
              <w:jc w:val="center"/>
              <w:rPr>
                <w:noProof/>
                <w:sz w:val="20"/>
              </w:rPr>
            </w:pPr>
          </w:p>
        </w:tc>
      </w:tr>
    </w:tbl>
    <w:p>
      <w:pPr>
        <w:rPr>
          <w:noProof/>
        </w:rPr>
      </w:pPr>
    </w:p>
    <w:p>
      <w:pPr>
        <w:rPr>
          <w:noProof/>
        </w:rPr>
      </w:pPr>
      <w:r>
        <w:rPr>
          <w:noProof/>
        </w:rPr>
        <w:t>To ensure uniform implementation and use of the interoperability solutions, the training will be organised both centrally at EU level by CEPOL and by Member States. The expenditure for training at EU level includes:</w:t>
      </w:r>
    </w:p>
    <w:p>
      <w:pPr>
        <w:rPr>
          <w:noProof/>
        </w:rPr>
      </w:pPr>
      <w:r>
        <w:rPr>
          <w:noProof/>
        </w:rPr>
        <w:t>- development of common curriculum to be used by Member States when implementing national training;</w:t>
      </w:r>
    </w:p>
    <w:p>
      <w:pPr>
        <w:rPr>
          <w:noProof/>
        </w:rPr>
      </w:pPr>
      <w:r>
        <w:rPr>
          <w:noProof/>
        </w:rPr>
        <w:t>- residential activities to train the trainers. In the two years, immediately after the interoperability solutions become operational, the training is expected to be implemented on a larger scale and later maintained by two residential training courses per year.</w:t>
      </w:r>
    </w:p>
    <w:p>
      <w:pPr>
        <w:rPr>
          <w:noProof/>
        </w:rPr>
      </w:pPr>
      <w:r>
        <w:rPr>
          <w:noProof/>
        </w:rPr>
        <w:t>- online course to complement the residential activities at EU level and in Member States.</w:t>
      </w:r>
    </w:p>
    <w:p>
      <w:pPr>
        <w:rPr>
          <w:noProof/>
        </w:rPr>
      </w:pPr>
    </w:p>
    <w:p>
      <w:pPr>
        <w:spacing w:before="0" w:after="200" w:line="276" w:lineRule="auto"/>
        <w:jc w:val="left"/>
        <w:rPr>
          <w:noProof/>
        </w:rPr>
      </w:pPr>
      <w:r>
        <w:rPr>
          <w:noProof/>
        </w:rPr>
        <w:br w:type="page"/>
      </w:r>
    </w:p>
    <w:p>
      <w:pPr>
        <w:rPr>
          <w:noProof/>
        </w:rPr>
      </w:pPr>
    </w:p>
    <w:p>
      <w:pPr>
        <w:pStyle w:val="ManualHeading4"/>
        <w:rPr>
          <w:noProof/>
        </w:rPr>
      </w:pPr>
      <w:r>
        <w:t>3.2.2.4.</w:t>
      </w:r>
      <w:r>
        <w:tab/>
      </w:r>
      <w:r>
        <w:rPr>
          <w:noProof/>
        </w:rPr>
        <w:t>Estimated impact on eu-LISA's appropriations</w:t>
      </w:r>
    </w:p>
    <w:p>
      <w:pPr>
        <w:pStyle w:val="ListDash1"/>
        <w:rPr>
          <w:noProof/>
        </w:rPr>
      </w:pPr>
      <w:r>
        <w:rPr>
          <w:noProof/>
        </w:rPr>
        <w:sym w:font="Wingdings" w:char="F0A8"/>
      </w:r>
      <w:r>
        <w:rPr>
          <w:noProof/>
        </w:rPr>
        <w:tab/>
        <w:t xml:space="preserve">The proposal/initiative does not require the use of operational appropriations </w:t>
      </w:r>
    </w:p>
    <w:p>
      <w:pPr>
        <w:pStyle w:val="ListDash1"/>
        <w:rPr>
          <w:noProof/>
        </w:rPr>
      </w:pPr>
      <w:r>
        <w:rPr>
          <w:noProof/>
        </w:rPr>
        <w:sym w:font="Wingdings" w:char="F078"/>
      </w:r>
      <w:r>
        <w:rPr>
          <w:noProof/>
        </w:rPr>
        <w:tab/>
        <w:t>The proposal/initiative requires the use of operational appropriations, as explained below:</w:t>
      </w:r>
    </w:p>
    <w:p>
      <w:pPr>
        <w:jc w:val="right"/>
        <w:rPr>
          <w:noProof/>
          <w:sz w:val="20"/>
        </w:rPr>
      </w:pPr>
      <w:r>
        <w:rPr>
          <w:noProof/>
          <w:sz w:val="20"/>
        </w:rPr>
        <w:t>Commitment appropriations in EUR million (to three decimal places)</w:t>
      </w:r>
    </w:p>
    <w:tbl>
      <w:tblPr>
        <w:tblW w:w="14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22"/>
        <w:gridCol w:w="721"/>
        <w:gridCol w:w="659"/>
        <w:gridCol w:w="303"/>
        <w:gridCol w:w="867"/>
        <w:gridCol w:w="330"/>
        <w:gridCol w:w="840"/>
        <w:gridCol w:w="360"/>
        <w:gridCol w:w="963"/>
        <w:gridCol w:w="237"/>
        <w:gridCol w:w="840"/>
        <w:gridCol w:w="314"/>
        <w:gridCol w:w="718"/>
        <w:gridCol w:w="360"/>
        <w:gridCol w:w="720"/>
        <w:gridCol w:w="360"/>
        <w:gridCol w:w="840"/>
        <w:gridCol w:w="360"/>
        <w:gridCol w:w="840"/>
        <w:gridCol w:w="360"/>
        <w:gridCol w:w="840"/>
        <w:gridCol w:w="236"/>
        <w:gridCol w:w="865"/>
      </w:tblGrid>
      <w:tr>
        <w:trPr>
          <w:jc w:val="center"/>
        </w:trPr>
        <w:tc>
          <w:tcPr>
            <w:tcW w:w="1422" w:type="dxa"/>
            <w:vMerge w:val="restart"/>
            <w:tcBorders>
              <w:top w:val="single" w:sz="12" w:space="0" w:color="auto"/>
              <w:left w:val="single" w:sz="12" w:space="0" w:color="auto"/>
            </w:tcBorders>
            <w:vAlign w:val="center"/>
          </w:tcPr>
          <w:p>
            <w:pPr>
              <w:ind w:right="-29"/>
              <w:jc w:val="center"/>
              <w:rPr>
                <w:b/>
                <w:noProof/>
                <w:sz w:val="18"/>
                <w:szCs w:val="18"/>
              </w:rPr>
            </w:pPr>
            <w:r>
              <w:rPr>
                <w:b/>
                <w:noProof/>
                <w:sz w:val="18"/>
              </w:rPr>
              <w:t xml:space="preserve">Indicate objectives and outputs </w:t>
            </w:r>
          </w:p>
          <w:p>
            <w:pPr>
              <w:ind w:right="-29"/>
              <w:jc w:val="center"/>
              <w:rPr>
                <w:b/>
                <w:noProof/>
                <w:sz w:val="18"/>
                <w:szCs w:val="18"/>
              </w:rPr>
            </w:pPr>
            <w:r>
              <w:rPr>
                <w:b/>
                <w:noProof/>
                <w:sz w:val="18"/>
                <w:szCs w:val="18"/>
              </w:rPr>
              <w:t>Eu-LISA</w:t>
            </w:r>
          </w:p>
          <w:p>
            <w:pPr>
              <w:ind w:right="-29"/>
              <w:jc w:val="center"/>
              <w:rPr>
                <w:noProof/>
                <w:sz w:val="18"/>
                <w:szCs w:val="18"/>
              </w:rPr>
            </w:pPr>
            <w:r>
              <w:rPr>
                <w:noProof/>
                <w:sz w:val="18"/>
              </w:rPr>
              <w:sym w:font="Wingdings" w:char="F0F2"/>
            </w:r>
          </w:p>
        </w:tc>
        <w:tc>
          <w:tcPr>
            <w:tcW w:w="721" w:type="dxa"/>
            <w:tcBorders>
              <w:top w:val="single" w:sz="12" w:space="0" w:color="auto"/>
            </w:tcBorders>
            <w:vAlign w:val="center"/>
          </w:tcPr>
          <w:p>
            <w:pPr>
              <w:ind w:right="-29"/>
              <w:jc w:val="center"/>
              <w:rPr>
                <w:noProof/>
                <w:sz w:val="18"/>
                <w:szCs w:val="18"/>
              </w:rPr>
            </w:pPr>
          </w:p>
        </w:tc>
        <w:tc>
          <w:tcPr>
            <w:tcW w:w="659" w:type="dxa"/>
            <w:tcBorders>
              <w:top w:val="single" w:sz="12" w:space="0" w:color="auto"/>
            </w:tcBorders>
            <w:vAlign w:val="center"/>
          </w:tcPr>
          <w:p>
            <w:pPr>
              <w:ind w:right="-29"/>
              <w:jc w:val="center"/>
              <w:rPr>
                <w:noProof/>
                <w:sz w:val="18"/>
                <w:szCs w:val="18"/>
              </w:rPr>
            </w:pPr>
          </w:p>
        </w:tc>
        <w:tc>
          <w:tcPr>
            <w:tcW w:w="1170" w:type="dxa"/>
            <w:gridSpan w:val="2"/>
            <w:tcBorders>
              <w:top w:val="single" w:sz="12" w:space="0" w:color="auto"/>
              <w:right w:val="single" w:sz="4" w:space="0" w:color="auto"/>
            </w:tcBorders>
            <w:vAlign w:val="center"/>
          </w:tcPr>
          <w:p>
            <w:pPr>
              <w:ind w:right="-29"/>
              <w:jc w:val="center"/>
              <w:rPr>
                <w:noProof/>
                <w:sz w:val="18"/>
                <w:szCs w:val="18"/>
              </w:rPr>
            </w:pPr>
            <w:r>
              <w:rPr>
                <w:noProof/>
                <w:sz w:val="18"/>
              </w:rPr>
              <w:t>Year</w:t>
            </w:r>
            <w:r>
              <w:rPr>
                <w:noProof/>
                <w:sz w:val="22"/>
              </w:rPr>
              <w:br/>
            </w:r>
            <w:r>
              <w:rPr>
                <w:b/>
                <w:noProof/>
                <w:sz w:val="18"/>
              </w:rPr>
              <w:t>2019</w:t>
            </w:r>
          </w:p>
        </w:tc>
        <w:tc>
          <w:tcPr>
            <w:tcW w:w="1170" w:type="dxa"/>
            <w:gridSpan w:val="2"/>
            <w:tcBorders>
              <w:top w:val="single" w:sz="12" w:space="0" w:color="auto"/>
              <w:left w:val="single" w:sz="4" w:space="0" w:color="auto"/>
            </w:tcBorders>
            <w:vAlign w:val="center"/>
          </w:tcPr>
          <w:p>
            <w:pPr>
              <w:ind w:right="-29"/>
              <w:jc w:val="center"/>
              <w:rPr>
                <w:noProof/>
                <w:sz w:val="18"/>
                <w:szCs w:val="18"/>
              </w:rPr>
            </w:pPr>
            <w:r>
              <w:rPr>
                <w:noProof/>
                <w:sz w:val="18"/>
              </w:rPr>
              <w:t>Year</w:t>
            </w:r>
            <w:r>
              <w:rPr>
                <w:noProof/>
                <w:sz w:val="22"/>
              </w:rPr>
              <w:br/>
            </w:r>
            <w:r>
              <w:rPr>
                <w:b/>
                <w:noProof/>
                <w:sz w:val="18"/>
              </w:rPr>
              <w:t>2020</w:t>
            </w:r>
          </w:p>
        </w:tc>
        <w:tc>
          <w:tcPr>
            <w:tcW w:w="1323" w:type="dxa"/>
            <w:gridSpan w:val="2"/>
            <w:tcBorders>
              <w:top w:val="single" w:sz="12" w:space="0" w:color="auto"/>
            </w:tcBorders>
            <w:vAlign w:val="center"/>
          </w:tcPr>
          <w:p>
            <w:pPr>
              <w:ind w:right="-29"/>
              <w:jc w:val="center"/>
              <w:rPr>
                <w:noProof/>
                <w:sz w:val="18"/>
                <w:szCs w:val="18"/>
              </w:rPr>
            </w:pPr>
            <w:r>
              <w:rPr>
                <w:noProof/>
                <w:sz w:val="18"/>
              </w:rPr>
              <w:t>Year</w:t>
            </w:r>
            <w:r>
              <w:rPr>
                <w:noProof/>
                <w:sz w:val="22"/>
              </w:rPr>
              <w:br/>
            </w:r>
            <w:r>
              <w:rPr>
                <w:b/>
                <w:noProof/>
                <w:sz w:val="18"/>
              </w:rPr>
              <w:t>2021</w:t>
            </w:r>
          </w:p>
        </w:tc>
        <w:tc>
          <w:tcPr>
            <w:tcW w:w="1077" w:type="dxa"/>
            <w:gridSpan w:val="2"/>
            <w:tcBorders>
              <w:top w:val="single" w:sz="12" w:space="0" w:color="auto"/>
            </w:tcBorders>
            <w:vAlign w:val="center"/>
          </w:tcPr>
          <w:p>
            <w:pPr>
              <w:ind w:right="-29"/>
              <w:jc w:val="center"/>
              <w:rPr>
                <w:noProof/>
                <w:sz w:val="18"/>
                <w:szCs w:val="18"/>
              </w:rPr>
            </w:pPr>
            <w:r>
              <w:rPr>
                <w:noProof/>
                <w:sz w:val="18"/>
              </w:rPr>
              <w:t>Year</w:t>
            </w:r>
            <w:r>
              <w:rPr>
                <w:noProof/>
                <w:sz w:val="22"/>
              </w:rPr>
              <w:br/>
            </w:r>
            <w:r>
              <w:rPr>
                <w:b/>
                <w:noProof/>
                <w:sz w:val="18"/>
              </w:rPr>
              <w:t>2022</w:t>
            </w:r>
          </w:p>
        </w:tc>
        <w:tc>
          <w:tcPr>
            <w:tcW w:w="1032" w:type="dxa"/>
            <w:gridSpan w:val="2"/>
            <w:tcBorders>
              <w:top w:val="single" w:sz="12" w:space="0" w:color="auto"/>
            </w:tcBorders>
            <w:vAlign w:val="center"/>
          </w:tcPr>
          <w:p>
            <w:pPr>
              <w:jc w:val="center"/>
              <w:rPr>
                <w:noProof/>
                <w:sz w:val="18"/>
                <w:szCs w:val="18"/>
              </w:rPr>
            </w:pPr>
            <w:r>
              <w:rPr>
                <w:noProof/>
                <w:sz w:val="18"/>
              </w:rPr>
              <w:t>Year</w:t>
            </w:r>
            <w:r>
              <w:rPr>
                <w:noProof/>
                <w:sz w:val="22"/>
              </w:rPr>
              <w:br/>
            </w:r>
            <w:r>
              <w:rPr>
                <w:b/>
                <w:noProof/>
                <w:sz w:val="18"/>
              </w:rPr>
              <w:t>2023</w:t>
            </w:r>
          </w:p>
        </w:tc>
        <w:tc>
          <w:tcPr>
            <w:tcW w:w="1080" w:type="dxa"/>
            <w:gridSpan w:val="2"/>
            <w:tcBorders>
              <w:top w:val="single" w:sz="12" w:space="0" w:color="auto"/>
            </w:tcBorders>
            <w:vAlign w:val="center"/>
          </w:tcPr>
          <w:p>
            <w:pPr>
              <w:jc w:val="center"/>
              <w:rPr>
                <w:noProof/>
                <w:sz w:val="18"/>
                <w:szCs w:val="18"/>
              </w:rPr>
            </w:pPr>
            <w:r>
              <w:rPr>
                <w:noProof/>
                <w:sz w:val="18"/>
              </w:rPr>
              <w:t>Year</w:t>
            </w:r>
            <w:r>
              <w:rPr>
                <w:noProof/>
                <w:sz w:val="22"/>
              </w:rPr>
              <w:br/>
            </w:r>
            <w:r>
              <w:rPr>
                <w:b/>
                <w:noProof/>
                <w:sz w:val="18"/>
              </w:rPr>
              <w:t>2024</w:t>
            </w:r>
          </w:p>
        </w:tc>
        <w:tc>
          <w:tcPr>
            <w:tcW w:w="1200" w:type="dxa"/>
            <w:gridSpan w:val="2"/>
            <w:tcBorders>
              <w:top w:val="single" w:sz="12" w:space="0" w:color="auto"/>
            </w:tcBorders>
            <w:vAlign w:val="center"/>
          </w:tcPr>
          <w:p>
            <w:pPr>
              <w:jc w:val="center"/>
              <w:rPr>
                <w:noProof/>
                <w:sz w:val="18"/>
                <w:szCs w:val="18"/>
              </w:rPr>
            </w:pPr>
            <w:r>
              <w:rPr>
                <w:noProof/>
                <w:sz w:val="18"/>
              </w:rPr>
              <w:t>Year</w:t>
            </w:r>
            <w:r>
              <w:rPr>
                <w:noProof/>
                <w:sz w:val="22"/>
              </w:rPr>
              <w:br/>
            </w:r>
            <w:r>
              <w:rPr>
                <w:b/>
                <w:noProof/>
                <w:sz w:val="18"/>
              </w:rPr>
              <w:t>2025</w:t>
            </w:r>
          </w:p>
        </w:tc>
        <w:tc>
          <w:tcPr>
            <w:tcW w:w="1200" w:type="dxa"/>
            <w:gridSpan w:val="2"/>
            <w:tcBorders>
              <w:top w:val="single" w:sz="12" w:space="0" w:color="auto"/>
            </w:tcBorders>
          </w:tcPr>
          <w:p>
            <w:pPr>
              <w:ind w:right="-29"/>
              <w:jc w:val="center"/>
              <w:rPr>
                <w:b/>
                <w:noProof/>
                <w:sz w:val="18"/>
              </w:rPr>
            </w:pPr>
            <w:r>
              <w:rPr>
                <w:noProof/>
                <w:sz w:val="18"/>
              </w:rPr>
              <w:t>Year</w:t>
            </w:r>
            <w:r>
              <w:rPr>
                <w:noProof/>
                <w:sz w:val="22"/>
              </w:rPr>
              <w:br/>
            </w:r>
            <w:r>
              <w:rPr>
                <w:b/>
                <w:noProof/>
                <w:sz w:val="18"/>
              </w:rPr>
              <w:t>2026</w:t>
            </w:r>
          </w:p>
        </w:tc>
        <w:tc>
          <w:tcPr>
            <w:tcW w:w="1200" w:type="dxa"/>
            <w:gridSpan w:val="2"/>
            <w:tcBorders>
              <w:top w:val="single" w:sz="12" w:space="0" w:color="auto"/>
              <w:right w:val="nil"/>
            </w:tcBorders>
          </w:tcPr>
          <w:p>
            <w:pPr>
              <w:ind w:right="-29"/>
              <w:jc w:val="center"/>
              <w:rPr>
                <w:b/>
                <w:noProof/>
                <w:sz w:val="18"/>
              </w:rPr>
            </w:pPr>
            <w:r>
              <w:rPr>
                <w:noProof/>
                <w:sz w:val="18"/>
              </w:rPr>
              <w:t>Year</w:t>
            </w:r>
            <w:r>
              <w:rPr>
                <w:noProof/>
                <w:sz w:val="22"/>
              </w:rPr>
              <w:br/>
            </w:r>
            <w:r>
              <w:rPr>
                <w:b/>
                <w:noProof/>
                <w:sz w:val="18"/>
              </w:rPr>
              <w:t>2027</w:t>
            </w:r>
          </w:p>
        </w:tc>
        <w:tc>
          <w:tcPr>
            <w:tcW w:w="1101" w:type="dxa"/>
            <w:gridSpan w:val="2"/>
            <w:tcBorders>
              <w:top w:val="single" w:sz="12" w:space="0" w:color="auto"/>
              <w:left w:val="single" w:sz="6" w:space="0" w:color="auto"/>
              <w:bottom w:val="single" w:sz="4" w:space="0" w:color="auto"/>
              <w:right w:val="single" w:sz="12" w:space="0" w:color="auto"/>
            </w:tcBorders>
            <w:vAlign w:val="center"/>
          </w:tcPr>
          <w:p>
            <w:pPr>
              <w:ind w:right="-29"/>
              <w:jc w:val="center"/>
              <w:rPr>
                <w:noProof/>
                <w:sz w:val="18"/>
                <w:szCs w:val="18"/>
              </w:rPr>
            </w:pPr>
            <w:r>
              <w:rPr>
                <w:b/>
                <w:noProof/>
                <w:sz w:val="18"/>
              </w:rPr>
              <w:t>TOTAL</w:t>
            </w:r>
          </w:p>
        </w:tc>
      </w:tr>
      <w:tr>
        <w:trPr>
          <w:gridAfter w:val="22"/>
          <w:wAfter w:w="12933" w:type="dxa"/>
          <w:trHeight w:val="465"/>
          <w:jc w:val="center"/>
        </w:trPr>
        <w:tc>
          <w:tcPr>
            <w:tcW w:w="1422" w:type="dxa"/>
            <w:vMerge/>
            <w:tcBorders>
              <w:left w:val="single" w:sz="12" w:space="0" w:color="auto"/>
            </w:tcBorders>
            <w:vAlign w:val="center"/>
          </w:tcPr>
          <w:p>
            <w:pPr>
              <w:ind w:right="-29"/>
              <w:jc w:val="center"/>
              <w:rPr>
                <w:noProof/>
                <w:sz w:val="18"/>
                <w:szCs w:val="18"/>
              </w:rPr>
            </w:pPr>
          </w:p>
        </w:tc>
      </w:tr>
      <w:tr>
        <w:trPr>
          <w:cantSplit/>
          <w:trHeight w:val="1134"/>
          <w:jc w:val="center"/>
        </w:trPr>
        <w:tc>
          <w:tcPr>
            <w:tcW w:w="1422" w:type="dxa"/>
            <w:vMerge/>
            <w:tcBorders>
              <w:left w:val="single" w:sz="12" w:space="0" w:color="auto"/>
            </w:tcBorders>
            <w:vAlign w:val="center"/>
          </w:tcPr>
          <w:p>
            <w:pPr>
              <w:rPr>
                <w:noProof/>
                <w:sz w:val="18"/>
                <w:szCs w:val="18"/>
              </w:rPr>
            </w:pPr>
          </w:p>
        </w:tc>
        <w:tc>
          <w:tcPr>
            <w:tcW w:w="721" w:type="dxa"/>
            <w:vAlign w:val="center"/>
          </w:tcPr>
          <w:p>
            <w:pPr>
              <w:jc w:val="center"/>
              <w:rPr>
                <w:noProof/>
                <w:sz w:val="18"/>
                <w:szCs w:val="18"/>
              </w:rPr>
            </w:pPr>
            <w:r>
              <w:rPr>
                <w:noProof/>
                <w:sz w:val="18"/>
              </w:rPr>
              <w:t>Type</w:t>
            </w:r>
            <w:r>
              <w:rPr>
                <w:rStyle w:val="FootnoteReference"/>
                <w:noProof/>
              </w:rPr>
              <w:footnoteReference w:id="95"/>
            </w:r>
          </w:p>
          <w:p>
            <w:pPr>
              <w:spacing w:before="0" w:after="0"/>
              <w:jc w:val="center"/>
              <w:rPr>
                <w:noProof/>
                <w:sz w:val="18"/>
                <w:szCs w:val="18"/>
              </w:rPr>
            </w:pPr>
          </w:p>
        </w:tc>
        <w:tc>
          <w:tcPr>
            <w:tcW w:w="659" w:type="dxa"/>
            <w:tcBorders>
              <w:right w:val="single" w:sz="4" w:space="0" w:color="auto"/>
            </w:tcBorders>
            <w:vAlign w:val="center"/>
          </w:tcPr>
          <w:p>
            <w:pPr>
              <w:jc w:val="center"/>
              <w:rPr>
                <w:noProof/>
                <w:sz w:val="18"/>
                <w:szCs w:val="18"/>
              </w:rPr>
            </w:pPr>
            <w:r>
              <w:rPr>
                <w:noProof/>
                <w:sz w:val="18"/>
              </w:rPr>
              <w:t>Average cost</w:t>
            </w:r>
          </w:p>
        </w:tc>
        <w:tc>
          <w:tcPr>
            <w:tcW w:w="303" w:type="dxa"/>
            <w:tcBorders>
              <w:top w:val="dotted" w:sz="4" w:space="0" w:color="auto"/>
              <w:left w:val="single" w:sz="4" w:space="0" w:color="auto"/>
              <w:bottom w:val="dotted" w:sz="4" w:space="0" w:color="auto"/>
              <w:right w:val="nil"/>
            </w:tcBorders>
            <w:shd w:val="pct10" w:color="auto" w:fill="auto"/>
            <w:textDirection w:val="btLr"/>
            <w:vAlign w:val="center"/>
          </w:tcPr>
          <w:p>
            <w:pPr>
              <w:ind w:left="113" w:right="113"/>
              <w:jc w:val="center"/>
              <w:rPr>
                <w:noProof/>
                <w:sz w:val="18"/>
              </w:rPr>
            </w:pPr>
            <w:r>
              <w:rPr>
                <w:noProof/>
                <w:sz w:val="18"/>
              </w:rPr>
              <w:t>No</w:t>
            </w:r>
          </w:p>
        </w:tc>
        <w:tc>
          <w:tcPr>
            <w:tcW w:w="867" w:type="dxa"/>
            <w:tcBorders>
              <w:left w:val="nil"/>
              <w:right w:val="single" w:sz="4" w:space="0" w:color="auto"/>
            </w:tcBorders>
            <w:shd w:val="pct10" w:color="auto" w:fill="auto"/>
            <w:vAlign w:val="center"/>
          </w:tcPr>
          <w:p>
            <w:pPr>
              <w:jc w:val="center"/>
              <w:rPr>
                <w:noProof/>
                <w:sz w:val="18"/>
              </w:rPr>
            </w:pPr>
            <w:r>
              <w:rPr>
                <w:noProof/>
                <w:sz w:val="18"/>
              </w:rPr>
              <w:t>Cost</w:t>
            </w:r>
          </w:p>
        </w:tc>
        <w:tc>
          <w:tcPr>
            <w:tcW w:w="330" w:type="dxa"/>
            <w:tcBorders>
              <w:left w:val="single" w:sz="4" w:space="0" w:color="auto"/>
              <w:right w:val="dashSmallGap" w:sz="4" w:space="0" w:color="auto"/>
            </w:tcBorders>
            <w:shd w:val="pct10" w:color="auto" w:fill="auto"/>
            <w:textDirection w:val="btLr"/>
            <w:vAlign w:val="center"/>
          </w:tcPr>
          <w:p>
            <w:pPr>
              <w:ind w:left="113" w:right="113"/>
              <w:jc w:val="center"/>
              <w:rPr>
                <w:noProof/>
                <w:sz w:val="18"/>
                <w:szCs w:val="18"/>
              </w:rPr>
            </w:pPr>
            <w:r>
              <w:rPr>
                <w:noProof/>
                <w:sz w:val="18"/>
              </w:rPr>
              <w:t>No</w:t>
            </w:r>
          </w:p>
        </w:tc>
        <w:tc>
          <w:tcPr>
            <w:tcW w:w="840" w:type="dxa"/>
            <w:tcBorders>
              <w:left w:val="dashSmallGap" w:sz="4" w:space="0" w:color="auto"/>
            </w:tcBorders>
            <w:shd w:val="pct10" w:color="auto" w:fill="auto"/>
            <w:vAlign w:val="center"/>
          </w:tcPr>
          <w:p>
            <w:pPr>
              <w:jc w:val="center"/>
              <w:rPr>
                <w:noProof/>
                <w:sz w:val="18"/>
                <w:szCs w:val="18"/>
              </w:rPr>
            </w:pPr>
            <w:r>
              <w:rPr>
                <w:noProof/>
                <w:sz w:val="18"/>
              </w:rPr>
              <w:t>Cost</w:t>
            </w:r>
          </w:p>
        </w:tc>
        <w:tc>
          <w:tcPr>
            <w:tcW w:w="360" w:type="dxa"/>
            <w:tcBorders>
              <w:right w:val="dashSmallGap" w:sz="4" w:space="0" w:color="auto"/>
            </w:tcBorders>
            <w:shd w:val="pct10" w:color="auto" w:fill="auto"/>
            <w:textDirection w:val="btLr"/>
            <w:vAlign w:val="center"/>
          </w:tcPr>
          <w:p>
            <w:pPr>
              <w:ind w:left="113" w:right="113"/>
              <w:jc w:val="center"/>
              <w:rPr>
                <w:noProof/>
                <w:sz w:val="18"/>
                <w:szCs w:val="18"/>
              </w:rPr>
            </w:pPr>
            <w:r>
              <w:rPr>
                <w:noProof/>
                <w:sz w:val="18"/>
              </w:rPr>
              <w:t>No</w:t>
            </w:r>
          </w:p>
        </w:tc>
        <w:tc>
          <w:tcPr>
            <w:tcW w:w="963" w:type="dxa"/>
            <w:tcBorders>
              <w:left w:val="dashSmallGap" w:sz="4" w:space="0" w:color="auto"/>
            </w:tcBorders>
            <w:shd w:val="pct10" w:color="auto" w:fill="auto"/>
            <w:vAlign w:val="center"/>
          </w:tcPr>
          <w:p>
            <w:pPr>
              <w:jc w:val="center"/>
              <w:rPr>
                <w:noProof/>
                <w:sz w:val="18"/>
                <w:szCs w:val="18"/>
              </w:rPr>
            </w:pPr>
            <w:r>
              <w:rPr>
                <w:noProof/>
                <w:sz w:val="18"/>
              </w:rPr>
              <w:t>Cost</w:t>
            </w:r>
          </w:p>
        </w:tc>
        <w:tc>
          <w:tcPr>
            <w:tcW w:w="237" w:type="dxa"/>
            <w:tcBorders>
              <w:right w:val="dashSmallGap" w:sz="4" w:space="0" w:color="auto"/>
            </w:tcBorders>
            <w:shd w:val="pct10" w:color="auto" w:fill="auto"/>
            <w:textDirection w:val="btLr"/>
            <w:vAlign w:val="center"/>
          </w:tcPr>
          <w:p>
            <w:pPr>
              <w:ind w:left="113" w:right="113"/>
              <w:jc w:val="center"/>
              <w:rPr>
                <w:noProof/>
                <w:sz w:val="18"/>
                <w:szCs w:val="18"/>
              </w:rPr>
            </w:pPr>
            <w:r>
              <w:rPr>
                <w:noProof/>
                <w:sz w:val="18"/>
              </w:rPr>
              <w:t>No</w:t>
            </w:r>
          </w:p>
        </w:tc>
        <w:tc>
          <w:tcPr>
            <w:tcW w:w="840" w:type="dxa"/>
            <w:tcBorders>
              <w:left w:val="dashSmallGap" w:sz="4" w:space="0" w:color="auto"/>
            </w:tcBorders>
            <w:shd w:val="pct10" w:color="auto" w:fill="auto"/>
            <w:vAlign w:val="center"/>
          </w:tcPr>
          <w:p>
            <w:pPr>
              <w:jc w:val="center"/>
              <w:rPr>
                <w:noProof/>
                <w:sz w:val="18"/>
                <w:szCs w:val="18"/>
              </w:rPr>
            </w:pPr>
            <w:r>
              <w:rPr>
                <w:noProof/>
                <w:sz w:val="18"/>
              </w:rPr>
              <w:t>Cost</w:t>
            </w:r>
          </w:p>
        </w:tc>
        <w:tc>
          <w:tcPr>
            <w:tcW w:w="314" w:type="dxa"/>
            <w:tcBorders>
              <w:right w:val="dashSmallGap" w:sz="4" w:space="0" w:color="auto"/>
            </w:tcBorders>
            <w:shd w:val="pct10" w:color="auto" w:fill="auto"/>
            <w:textDirection w:val="btLr"/>
            <w:vAlign w:val="center"/>
          </w:tcPr>
          <w:p>
            <w:pPr>
              <w:ind w:left="113" w:right="113"/>
              <w:jc w:val="center"/>
              <w:rPr>
                <w:noProof/>
                <w:sz w:val="18"/>
                <w:szCs w:val="18"/>
              </w:rPr>
            </w:pPr>
            <w:r>
              <w:rPr>
                <w:noProof/>
                <w:sz w:val="18"/>
              </w:rPr>
              <w:t>No</w:t>
            </w:r>
          </w:p>
        </w:tc>
        <w:tc>
          <w:tcPr>
            <w:tcW w:w="718" w:type="dxa"/>
            <w:tcBorders>
              <w:left w:val="dashSmallGap" w:sz="4" w:space="0" w:color="auto"/>
            </w:tcBorders>
            <w:shd w:val="pct10" w:color="auto" w:fill="auto"/>
            <w:vAlign w:val="center"/>
          </w:tcPr>
          <w:p>
            <w:pPr>
              <w:jc w:val="center"/>
              <w:rPr>
                <w:noProof/>
                <w:sz w:val="18"/>
                <w:szCs w:val="18"/>
              </w:rPr>
            </w:pPr>
            <w:r>
              <w:rPr>
                <w:noProof/>
                <w:sz w:val="18"/>
              </w:rPr>
              <w:t>Cost</w:t>
            </w:r>
          </w:p>
        </w:tc>
        <w:tc>
          <w:tcPr>
            <w:tcW w:w="360" w:type="dxa"/>
            <w:tcBorders>
              <w:right w:val="dashSmallGap" w:sz="4" w:space="0" w:color="auto"/>
            </w:tcBorders>
            <w:shd w:val="pct10" w:color="auto" w:fill="auto"/>
            <w:textDirection w:val="btLr"/>
            <w:vAlign w:val="center"/>
          </w:tcPr>
          <w:p>
            <w:pPr>
              <w:ind w:left="113" w:right="113"/>
              <w:jc w:val="center"/>
              <w:rPr>
                <w:noProof/>
                <w:sz w:val="18"/>
                <w:szCs w:val="18"/>
              </w:rPr>
            </w:pPr>
            <w:r>
              <w:rPr>
                <w:noProof/>
                <w:sz w:val="18"/>
              </w:rPr>
              <w:t>No</w:t>
            </w:r>
          </w:p>
        </w:tc>
        <w:tc>
          <w:tcPr>
            <w:tcW w:w="720" w:type="dxa"/>
            <w:tcBorders>
              <w:left w:val="dashSmallGap" w:sz="4" w:space="0" w:color="auto"/>
            </w:tcBorders>
            <w:shd w:val="pct10" w:color="auto" w:fill="auto"/>
            <w:vAlign w:val="center"/>
          </w:tcPr>
          <w:p>
            <w:pPr>
              <w:jc w:val="center"/>
              <w:rPr>
                <w:noProof/>
                <w:sz w:val="18"/>
                <w:szCs w:val="18"/>
              </w:rPr>
            </w:pPr>
            <w:r>
              <w:rPr>
                <w:noProof/>
                <w:sz w:val="18"/>
              </w:rPr>
              <w:t>Cost</w:t>
            </w:r>
          </w:p>
        </w:tc>
        <w:tc>
          <w:tcPr>
            <w:tcW w:w="360" w:type="dxa"/>
            <w:tcBorders>
              <w:right w:val="dashSmallGap" w:sz="4" w:space="0" w:color="auto"/>
            </w:tcBorders>
            <w:shd w:val="pct10" w:color="auto" w:fill="auto"/>
            <w:textDirection w:val="btLr"/>
            <w:vAlign w:val="center"/>
          </w:tcPr>
          <w:p>
            <w:pPr>
              <w:ind w:left="113" w:right="113"/>
              <w:jc w:val="center"/>
              <w:rPr>
                <w:noProof/>
                <w:sz w:val="18"/>
                <w:szCs w:val="18"/>
              </w:rPr>
            </w:pPr>
            <w:r>
              <w:rPr>
                <w:noProof/>
                <w:sz w:val="18"/>
              </w:rPr>
              <w:t>No</w:t>
            </w:r>
          </w:p>
        </w:tc>
        <w:tc>
          <w:tcPr>
            <w:tcW w:w="840" w:type="dxa"/>
            <w:tcBorders>
              <w:left w:val="dashSmallGap" w:sz="4" w:space="0" w:color="auto"/>
            </w:tcBorders>
            <w:shd w:val="pct10" w:color="auto" w:fill="auto"/>
            <w:vAlign w:val="center"/>
          </w:tcPr>
          <w:p>
            <w:pPr>
              <w:jc w:val="center"/>
              <w:rPr>
                <w:noProof/>
                <w:sz w:val="18"/>
                <w:szCs w:val="18"/>
              </w:rPr>
            </w:pPr>
            <w:r>
              <w:rPr>
                <w:noProof/>
                <w:sz w:val="18"/>
              </w:rPr>
              <w:t>Cost</w:t>
            </w:r>
          </w:p>
        </w:tc>
        <w:tc>
          <w:tcPr>
            <w:tcW w:w="360" w:type="dxa"/>
            <w:tcBorders>
              <w:right w:val="dashSmallGap" w:sz="4" w:space="0" w:color="auto"/>
            </w:tcBorders>
            <w:shd w:val="pct10" w:color="auto" w:fill="auto"/>
            <w:textDirection w:val="btLr"/>
            <w:vAlign w:val="center"/>
          </w:tcPr>
          <w:p>
            <w:pPr>
              <w:ind w:left="113" w:right="113"/>
              <w:jc w:val="center"/>
              <w:rPr>
                <w:noProof/>
                <w:sz w:val="18"/>
                <w:szCs w:val="18"/>
              </w:rPr>
            </w:pPr>
            <w:r>
              <w:rPr>
                <w:noProof/>
                <w:sz w:val="18"/>
              </w:rPr>
              <w:t>No</w:t>
            </w:r>
          </w:p>
        </w:tc>
        <w:tc>
          <w:tcPr>
            <w:tcW w:w="840" w:type="dxa"/>
            <w:tcBorders>
              <w:left w:val="dashSmallGap" w:sz="4" w:space="0" w:color="auto"/>
            </w:tcBorders>
            <w:shd w:val="pct10" w:color="auto" w:fill="auto"/>
            <w:vAlign w:val="center"/>
          </w:tcPr>
          <w:p>
            <w:pPr>
              <w:jc w:val="center"/>
              <w:rPr>
                <w:noProof/>
                <w:sz w:val="18"/>
                <w:szCs w:val="18"/>
              </w:rPr>
            </w:pPr>
            <w:r>
              <w:rPr>
                <w:noProof/>
                <w:sz w:val="18"/>
              </w:rPr>
              <w:t>Cost</w:t>
            </w:r>
          </w:p>
        </w:tc>
        <w:tc>
          <w:tcPr>
            <w:tcW w:w="360" w:type="dxa"/>
            <w:tcBorders>
              <w:right w:val="dashSmallGap" w:sz="4" w:space="0" w:color="auto"/>
            </w:tcBorders>
            <w:shd w:val="pct10" w:color="auto" w:fill="auto"/>
            <w:textDirection w:val="btLr"/>
            <w:vAlign w:val="center"/>
          </w:tcPr>
          <w:p>
            <w:pPr>
              <w:ind w:left="113" w:right="113"/>
              <w:jc w:val="center"/>
              <w:rPr>
                <w:noProof/>
                <w:sz w:val="18"/>
              </w:rPr>
            </w:pPr>
            <w:r>
              <w:rPr>
                <w:noProof/>
                <w:sz w:val="18"/>
              </w:rPr>
              <w:t>No</w:t>
            </w:r>
          </w:p>
        </w:tc>
        <w:tc>
          <w:tcPr>
            <w:tcW w:w="840" w:type="dxa"/>
            <w:tcBorders>
              <w:left w:val="dashSmallGap" w:sz="4" w:space="0" w:color="auto"/>
            </w:tcBorders>
            <w:shd w:val="pct10" w:color="auto" w:fill="auto"/>
            <w:vAlign w:val="center"/>
          </w:tcPr>
          <w:p>
            <w:pPr>
              <w:jc w:val="center"/>
              <w:rPr>
                <w:noProof/>
                <w:sz w:val="18"/>
              </w:rPr>
            </w:pPr>
            <w:r>
              <w:rPr>
                <w:noProof/>
                <w:sz w:val="18"/>
              </w:rPr>
              <w:t>Cost</w:t>
            </w:r>
          </w:p>
        </w:tc>
        <w:tc>
          <w:tcPr>
            <w:tcW w:w="236" w:type="dxa"/>
            <w:tcBorders>
              <w:right w:val="dashSmallGap" w:sz="4" w:space="0" w:color="auto"/>
            </w:tcBorders>
            <w:shd w:val="pct10" w:color="auto" w:fill="auto"/>
            <w:textDirection w:val="btLr"/>
            <w:vAlign w:val="center"/>
          </w:tcPr>
          <w:p>
            <w:pPr>
              <w:ind w:left="113" w:right="113"/>
              <w:jc w:val="center"/>
              <w:rPr>
                <w:noProof/>
                <w:sz w:val="18"/>
                <w:szCs w:val="18"/>
              </w:rPr>
            </w:pPr>
            <w:r>
              <w:rPr>
                <w:noProof/>
                <w:sz w:val="18"/>
              </w:rPr>
              <w:t>Total No</w:t>
            </w:r>
          </w:p>
        </w:tc>
        <w:tc>
          <w:tcPr>
            <w:tcW w:w="865" w:type="dxa"/>
            <w:tcBorders>
              <w:left w:val="dashSmallGap" w:sz="4" w:space="0" w:color="auto"/>
              <w:right w:val="single" w:sz="12" w:space="0" w:color="auto"/>
            </w:tcBorders>
            <w:shd w:val="pct10" w:color="auto" w:fill="auto"/>
            <w:vAlign w:val="center"/>
          </w:tcPr>
          <w:p>
            <w:pPr>
              <w:jc w:val="center"/>
              <w:rPr>
                <w:noProof/>
                <w:sz w:val="18"/>
                <w:szCs w:val="18"/>
              </w:rPr>
            </w:pPr>
            <w:r>
              <w:rPr>
                <w:noProof/>
                <w:sz w:val="18"/>
              </w:rPr>
              <w:t>Total cost</w:t>
            </w:r>
          </w:p>
        </w:tc>
      </w:tr>
      <w:tr>
        <w:trPr>
          <w:jc w:val="center"/>
        </w:trPr>
        <w:tc>
          <w:tcPr>
            <w:tcW w:w="2802" w:type="dxa"/>
            <w:gridSpan w:val="3"/>
            <w:tcBorders>
              <w:left w:val="single" w:sz="12" w:space="0" w:color="auto"/>
            </w:tcBorders>
            <w:vAlign w:val="center"/>
          </w:tcPr>
          <w:p>
            <w:pPr>
              <w:spacing w:before="60" w:after="60"/>
              <w:ind w:right="-29"/>
              <w:jc w:val="center"/>
              <w:rPr>
                <w:noProof/>
                <w:sz w:val="18"/>
              </w:rPr>
            </w:pPr>
            <w:r>
              <w:rPr>
                <w:noProof/>
                <w:sz w:val="18"/>
              </w:rPr>
              <w:t>SPECIFIC OBJECTIVE No 1</w:t>
            </w:r>
            <w:r>
              <w:rPr>
                <w:rStyle w:val="FootnoteReference"/>
                <w:noProof/>
              </w:rPr>
              <w:footnoteReference w:id="96"/>
            </w:r>
          </w:p>
          <w:p>
            <w:pPr>
              <w:spacing w:before="60" w:after="60"/>
              <w:ind w:right="-29"/>
              <w:jc w:val="center"/>
              <w:rPr>
                <w:noProof/>
                <w:sz w:val="18"/>
                <w:szCs w:val="18"/>
              </w:rPr>
            </w:pPr>
            <w:r>
              <w:rPr>
                <w:noProof/>
                <w:sz w:val="18"/>
              </w:rPr>
              <w:t>Development of Interoperability Components</w:t>
            </w:r>
          </w:p>
        </w:tc>
        <w:tc>
          <w:tcPr>
            <w:tcW w:w="303" w:type="dxa"/>
            <w:tcBorders>
              <w:right w:val="nil"/>
            </w:tcBorders>
          </w:tcPr>
          <w:p>
            <w:pPr>
              <w:spacing w:before="60" w:after="60"/>
              <w:ind w:right="-29"/>
              <w:jc w:val="center"/>
              <w:rPr>
                <w:noProof/>
                <w:sz w:val="18"/>
                <w:szCs w:val="18"/>
              </w:rPr>
            </w:pPr>
          </w:p>
        </w:tc>
        <w:tc>
          <w:tcPr>
            <w:tcW w:w="867" w:type="dxa"/>
            <w:tcBorders>
              <w:left w:val="nil"/>
              <w:bottom w:val="single" w:sz="4" w:space="0" w:color="auto"/>
            </w:tcBorders>
          </w:tcPr>
          <w:p>
            <w:pPr>
              <w:spacing w:before="60" w:after="60"/>
              <w:ind w:right="-29"/>
              <w:jc w:val="center"/>
              <w:rPr>
                <w:noProof/>
                <w:sz w:val="18"/>
                <w:szCs w:val="18"/>
              </w:rPr>
            </w:pPr>
          </w:p>
        </w:tc>
        <w:tc>
          <w:tcPr>
            <w:tcW w:w="330" w:type="dxa"/>
            <w:tcBorders>
              <w:top w:val="nil"/>
              <w:left w:val="nil"/>
              <w:bottom w:val="nil"/>
              <w:right w:val="nil"/>
            </w:tcBorders>
          </w:tcPr>
          <w:p>
            <w:pPr>
              <w:spacing w:before="60" w:after="60"/>
              <w:ind w:right="-29"/>
              <w:jc w:val="center"/>
              <w:rPr>
                <w:noProof/>
                <w:sz w:val="18"/>
                <w:szCs w:val="18"/>
              </w:rPr>
            </w:pPr>
          </w:p>
        </w:tc>
        <w:tc>
          <w:tcPr>
            <w:tcW w:w="840" w:type="dxa"/>
            <w:tcBorders>
              <w:top w:val="nil"/>
              <w:left w:val="nil"/>
              <w:bottom w:val="nil"/>
              <w:right w:val="nil"/>
            </w:tcBorders>
          </w:tcPr>
          <w:p>
            <w:pPr>
              <w:spacing w:before="60" w:after="60"/>
              <w:ind w:right="-29"/>
              <w:jc w:val="center"/>
              <w:rPr>
                <w:noProof/>
                <w:sz w:val="18"/>
                <w:szCs w:val="18"/>
              </w:rPr>
            </w:pPr>
          </w:p>
        </w:tc>
        <w:tc>
          <w:tcPr>
            <w:tcW w:w="360" w:type="dxa"/>
            <w:tcBorders>
              <w:top w:val="nil"/>
              <w:left w:val="nil"/>
              <w:bottom w:val="nil"/>
              <w:right w:val="nil"/>
            </w:tcBorders>
          </w:tcPr>
          <w:p>
            <w:pPr>
              <w:spacing w:before="60" w:after="60"/>
              <w:ind w:right="-29"/>
              <w:jc w:val="center"/>
              <w:rPr>
                <w:noProof/>
                <w:sz w:val="18"/>
                <w:szCs w:val="18"/>
              </w:rPr>
            </w:pPr>
          </w:p>
        </w:tc>
        <w:tc>
          <w:tcPr>
            <w:tcW w:w="963" w:type="dxa"/>
            <w:tcBorders>
              <w:top w:val="nil"/>
              <w:left w:val="nil"/>
              <w:bottom w:val="nil"/>
              <w:right w:val="nil"/>
            </w:tcBorders>
          </w:tcPr>
          <w:p>
            <w:pPr>
              <w:spacing w:before="60" w:after="60"/>
              <w:ind w:right="-29"/>
              <w:jc w:val="center"/>
              <w:rPr>
                <w:noProof/>
                <w:sz w:val="18"/>
                <w:szCs w:val="18"/>
              </w:rPr>
            </w:pPr>
          </w:p>
        </w:tc>
        <w:tc>
          <w:tcPr>
            <w:tcW w:w="237" w:type="dxa"/>
            <w:tcBorders>
              <w:top w:val="nil"/>
              <w:left w:val="nil"/>
              <w:bottom w:val="nil"/>
              <w:right w:val="nil"/>
            </w:tcBorders>
          </w:tcPr>
          <w:p>
            <w:pPr>
              <w:spacing w:before="60" w:after="60"/>
              <w:ind w:right="-29"/>
              <w:jc w:val="center"/>
              <w:rPr>
                <w:noProof/>
                <w:sz w:val="18"/>
                <w:szCs w:val="18"/>
              </w:rPr>
            </w:pPr>
          </w:p>
        </w:tc>
        <w:tc>
          <w:tcPr>
            <w:tcW w:w="840" w:type="dxa"/>
            <w:tcBorders>
              <w:top w:val="nil"/>
              <w:left w:val="nil"/>
              <w:bottom w:val="nil"/>
              <w:right w:val="nil"/>
            </w:tcBorders>
          </w:tcPr>
          <w:p>
            <w:pPr>
              <w:spacing w:before="60" w:after="60"/>
              <w:ind w:right="-29"/>
              <w:jc w:val="center"/>
              <w:rPr>
                <w:noProof/>
                <w:sz w:val="18"/>
                <w:szCs w:val="18"/>
              </w:rPr>
            </w:pPr>
          </w:p>
        </w:tc>
        <w:tc>
          <w:tcPr>
            <w:tcW w:w="314" w:type="dxa"/>
            <w:tcBorders>
              <w:top w:val="nil"/>
              <w:left w:val="nil"/>
              <w:bottom w:val="nil"/>
              <w:right w:val="nil"/>
            </w:tcBorders>
          </w:tcPr>
          <w:p>
            <w:pPr>
              <w:spacing w:before="60" w:after="60"/>
              <w:ind w:right="-29"/>
              <w:jc w:val="center"/>
              <w:rPr>
                <w:noProof/>
                <w:sz w:val="18"/>
                <w:szCs w:val="18"/>
              </w:rPr>
            </w:pPr>
          </w:p>
        </w:tc>
        <w:tc>
          <w:tcPr>
            <w:tcW w:w="718" w:type="dxa"/>
            <w:tcBorders>
              <w:top w:val="nil"/>
              <w:left w:val="nil"/>
              <w:bottom w:val="nil"/>
              <w:right w:val="nil"/>
            </w:tcBorders>
          </w:tcPr>
          <w:p>
            <w:pPr>
              <w:spacing w:before="60" w:after="60"/>
              <w:ind w:right="-29"/>
              <w:jc w:val="center"/>
              <w:rPr>
                <w:noProof/>
                <w:sz w:val="18"/>
                <w:szCs w:val="18"/>
              </w:rPr>
            </w:pPr>
          </w:p>
        </w:tc>
        <w:tc>
          <w:tcPr>
            <w:tcW w:w="360" w:type="dxa"/>
            <w:tcBorders>
              <w:top w:val="nil"/>
              <w:left w:val="nil"/>
              <w:bottom w:val="nil"/>
              <w:right w:val="nil"/>
            </w:tcBorders>
          </w:tcPr>
          <w:p>
            <w:pPr>
              <w:spacing w:before="60" w:after="60"/>
              <w:ind w:right="-29"/>
              <w:jc w:val="center"/>
              <w:rPr>
                <w:noProof/>
                <w:sz w:val="18"/>
                <w:szCs w:val="18"/>
              </w:rPr>
            </w:pPr>
          </w:p>
        </w:tc>
        <w:tc>
          <w:tcPr>
            <w:tcW w:w="720" w:type="dxa"/>
            <w:tcBorders>
              <w:top w:val="nil"/>
              <w:left w:val="nil"/>
              <w:bottom w:val="nil"/>
              <w:right w:val="nil"/>
            </w:tcBorders>
          </w:tcPr>
          <w:p>
            <w:pPr>
              <w:spacing w:before="60" w:after="60"/>
              <w:ind w:right="-29"/>
              <w:jc w:val="center"/>
              <w:rPr>
                <w:noProof/>
                <w:sz w:val="18"/>
                <w:szCs w:val="18"/>
              </w:rPr>
            </w:pPr>
          </w:p>
        </w:tc>
        <w:tc>
          <w:tcPr>
            <w:tcW w:w="360" w:type="dxa"/>
            <w:tcBorders>
              <w:top w:val="nil"/>
              <w:left w:val="nil"/>
              <w:bottom w:val="nil"/>
              <w:right w:val="nil"/>
            </w:tcBorders>
          </w:tcPr>
          <w:p>
            <w:pPr>
              <w:spacing w:before="60" w:after="60"/>
              <w:ind w:right="-29"/>
              <w:jc w:val="center"/>
              <w:rPr>
                <w:noProof/>
                <w:sz w:val="18"/>
                <w:szCs w:val="18"/>
              </w:rPr>
            </w:pPr>
          </w:p>
        </w:tc>
        <w:tc>
          <w:tcPr>
            <w:tcW w:w="840" w:type="dxa"/>
            <w:tcBorders>
              <w:top w:val="nil"/>
              <w:left w:val="nil"/>
              <w:bottom w:val="nil"/>
              <w:right w:val="nil"/>
            </w:tcBorders>
          </w:tcPr>
          <w:p>
            <w:pPr>
              <w:spacing w:before="60" w:after="60"/>
              <w:ind w:right="-29"/>
              <w:jc w:val="center"/>
              <w:rPr>
                <w:noProof/>
                <w:sz w:val="18"/>
                <w:szCs w:val="18"/>
              </w:rPr>
            </w:pPr>
          </w:p>
        </w:tc>
        <w:tc>
          <w:tcPr>
            <w:tcW w:w="360" w:type="dxa"/>
            <w:tcBorders>
              <w:top w:val="nil"/>
              <w:left w:val="nil"/>
              <w:bottom w:val="nil"/>
              <w:right w:val="nil"/>
            </w:tcBorders>
          </w:tcPr>
          <w:p>
            <w:pPr>
              <w:spacing w:before="60" w:after="60"/>
              <w:ind w:right="-29"/>
              <w:jc w:val="center"/>
              <w:rPr>
                <w:noProof/>
                <w:sz w:val="18"/>
                <w:szCs w:val="18"/>
              </w:rPr>
            </w:pPr>
          </w:p>
        </w:tc>
        <w:tc>
          <w:tcPr>
            <w:tcW w:w="840" w:type="dxa"/>
            <w:tcBorders>
              <w:top w:val="nil"/>
              <w:left w:val="nil"/>
              <w:bottom w:val="nil"/>
              <w:right w:val="nil"/>
            </w:tcBorders>
          </w:tcPr>
          <w:p>
            <w:pPr>
              <w:spacing w:before="60" w:after="60"/>
              <w:ind w:right="-29"/>
              <w:jc w:val="center"/>
              <w:rPr>
                <w:noProof/>
                <w:sz w:val="18"/>
                <w:szCs w:val="18"/>
              </w:rPr>
            </w:pPr>
          </w:p>
        </w:tc>
        <w:tc>
          <w:tcPr>
            <w:tcW w:w="1200" w:type="dxa"/>
            <w:gridSpan w:val="2"/>
            <w:tcBorders>
              <w:top w:val="nil"/>
              <w:left w:val="nil"/>
              <w:bottom w:val="nil"/>
              <w:right w:val="nil"/>
            </w:tcBorders>
          </w:tcPr>
          <w:p>
            <w:pPr>
              <w:spacing w:before="60" w:after="60"/>
              <w:ind w:right="-29"/>
              <w:jc w:val="center"/>
              <w:rPr>
                <w:noProof/>
                <w:sz w:val="18"/>
                <w:szCs w:val="18"/>
              </w:rPr>
            </w:pPr>
          </w:p>
        </w:tc>
        <w:tc>
          <w:tcPr>
            <w:tcW w:w="236" w:type="dxa"/>
            <w:tcBorders>
              <w:top w:val="nil"/>
              <w:left w:val="nil"/>
              <w:bottom w:val="nil"/>
              <w:right w:val="nil"/>
            </w:tcBorders>
          </w:tcPr>
          <w:p>
            <w:pPr>
              <w:spacing w:before="60" w:after="60"/>
              <w:ind w:right="-29"/>
              <w:jc w:val="center"/>
              <w:rPr>
                <w:noProof/>
                <w:sz w:val="18"/>
                <w:szCs w:val="18"/>
              </w:rPr>
            </w:pPr>
          </w:p>
        </w:tc>
        <w:tc>
          <w:tcPr>
            <w:tcW w:w="865" w:type="dxa"/>
            <w:tcBorders>
              <w:top w:val="nil"/>
              <w:left w:val="nil"/>
              <w:bottom w:val="single" w:sz="4" w:space="0" w:color="auto"/>
              <w:right w:val="single" w:sz="12" w:space="0" w:color="auto"/>
            </w:tcBorders>
          </w:tcPr>
          <w:p>
            <w:pPr>
              <w:spacing w:before="60" w:after="60"/>
              <w:ind w:right="-29"/>
              <w:jc w:val="center"/>
              <w:rPr>
                <w:noProof/>
                <w:sz w:val="18"/>
                <w:szCs w:val="18"/>
              </w:rPr>
            </w:pPr>
          </w:p>
        </w:tc>
      </w:tr>
      <w:tr>
        <w:trPr>
          <w:trHeight w:hRule="exact" w:val="625"/>
          <w:jc w:val="center"/>
        </w:trPr>
        <w:tc>
          <w:tcPr>
            <w:tcW w:w="1422" w:type="dxa"/>
            <w:tcBorders>
              <w:left w:val="single" w:sz="12" w:space="0" w:color="auto"/>
            </w:tcBorders>
          </w:tcPr>
          <w:p>
            <w:pPr>
              <w:ind w:right="-29"/>
              <w:jc w:val="center"/>
              <w:rPr>
                <w:noProof/>
                <w:sz w:val="18"/>
                <w:szCs w:val="18"/>
              </w:rPr>
            </w:pPr>
            <w:r>
              <w:rPr>
                <w:noProof/>
                <w:sz w:val="18"/>
              </w:rPr>
              <w:t>Systems built</w:t>
            </w:r>
          </w:p>
        </w:tc>
        <w:tc>
          <w:tcPr>
            <w:tcW w:w="1380" w:type="dxa"/>
            <w:gridSpan w:val="2"/>
          </w:tcPr>
          <w:p>
            <w:pPr>
              <w:ind w:right="-29"/>
              <w:jc w:val="center"/>
              <w:rPr>
                <w:noProof/>
                <w:sz w:val="18"/>
                <w:szCs w:val="18"/>
              </w:rPr>
            </w:pPr>
            <w:r>
              <w:rPr>
                <w:noProof/>
              </w:rPr>
              <w:t xml:space="preserve">Contractor </w:t>
            </w:r>
          </w:p>
        </w:tc>
        <w:tc>
          <w:tcPr>
            <w:tcW w:w="303" w:type="dxa"/>
            <w:tcBorders>
              <w:right w:val="dashSmallGap" w:sz="4" w:space="0" w:color="auto"/>
            </w:tcBorders>
          </w:tcPr>
          <w:p>
            <w:pPr>
              <w:ind w:right="-29"/>
              <w:jc w:val="center"/>
              <w:rPr>
                <w:noProof/>
                <w:sz w:val="18"/>
                <w:szCs w:val="18"/>
              </w:rPr>
            </w:pPr>
          </w:p>
        </w:tc>
        <w:tc>
          <w:tcPr>
            <w:tcW w:w="867" w:type="dxa"/>
            <w:tcBorders>
              <w:left w:val="dashSmallGap" w:sz="4" w:space="0" w:color="auto"/>
              <w:bottom w:val="single" w:sz="4" w:space="0" w:color="auto"/>
            </w:tcBorders>
          </w:tcPr>
          <w:p>
            <w:pPr>
              <w:ind w:right="-29"/>
              <w:jc w:val="center"/>
              <w:rPr>
                <w:noProof/>
                <w:sz w:val="20"/>
                <w:szCs w:val="20"/>
              </w:rPr>
            </w:pPr>
            <w:r>
              <w:rPr>
                <w:noProof/>
                <w:sz w:val="20"/>
                <w:szCs w:val="20"/>
              </w:rPr>
              <w:t xml:space="preserve">1,800 </w:t>
            </w:r>
          </w:p>
        </w:tc>
        <w:tc>
          <w:tcPr>
            <w:tcW w:w="330" w:type="dxa"/>
            <w:tcBorders>
              <w:right w:val="dashSmallGap" w:sz="4" w:space="0" w:color="auto"/>
            </w:tcBorders>
          </w:tcPr>
          <w:p>
            <w:pPr>
              <w:ind w:right="-29"/>
              <w:jc w:val="center"/>
              <w:rPr>
                <w:noProof/>
                <w:sz w:val="20"/>
                <w:szCs w:val="20"/>
              </w:rPr>
            </w:pPr>
          </w:p>
        </w:tc>
        <w:tc>
          <w:tcPr>
            <w:tcW w:w="840" w:type="dxa"/>
            <w:tcBorders>
              <w:left w:val="dashSmallGap" w:sz="4" w:space="0" w:color="auto"/>
            </w:tcBorders>
          </w:tcPr>
          <w:p>
            <w:pPr>
              <w:ind w:right="-29"/>
              <w:jc w:val="center"/>
              <w:rPr>
                <w:noProof/>
                <w:sz w:val="20"/>
                <w:szCs w:val="20"/>
              </w:rPr>
            </w:pPr>
            <w:r>
              <w:rPr>
                <w:noProof/>
                <w:sz w:val="20"/>
                <w:szCs w:val="20"/>
              </w:rPr>
              <w:t xml:space="preserve">4,930 </w:t>
            </w:r>
          </w:p>
        </w:tc>
        <w:tc>
          <w:tcPr>
            <w:tcW w:w="360" w:type="dxa"/>
            <w:tcBorders>
              <w:right w:val="dashSmallGap" w:sz="4" w:space="0" w:color="auto"/>
            </w:tcBorders>
          </w:tcPr>
          <w:p>
            <w:pPr>
              <w:ind w:right="-29"/>
              <w:jc w:val="center"/>
              <w:rPr>
                <w:noProof/>
                <w:sz w:val="20"/>
                <w:szCs w:val="20"/>
              </w:rPr>
            </w:pPr>
          </w:p>
        </w:tc>
        <w:tc>
          <w:tcPr>
            <w:tcW w:w="963" w:type="dxa"/>
            <w:tcBorders>
              <w:left w:val="dashSmallGap" w:sz="4" w:space="0" w:color="auto"/>
            </w:tcBorders>
          </w:tcPr>
          <w:p>
            <w:pPr>
              <w:ind w:right="-29"/>
              <w:jc w:val="center"/>
              <w:rPr>
                <w:noProof/>
                <w:sz w:val="20"/>
                <w:szCs w:val="20"/>
              </w:rPr>
            </w:pPr>
            <w:r>
              <w:rPr>
                <w:noProof/>
                <w:sz w:val="20"/>
                <w:szCs w:val="20"/>
              </w:rPr>
              <w:t xml:space="preserve">8,324 </w:t>
            </w:r>
          </w:p>
        </w:tc>
        <w:tc>
          <w:tcPr>
            <w:tcW w:w="237" w:type="dxa"/>
            <w:tcBorders>
              <w:right w:val="dashSmallGap" w:sz="4" w:space="0" w:color="auto"/>
            </w:tcBorders>
          </w:tcPr>
          <w:p>
            <w:pPr>
              <w:ind w:right="-29"/>
              <w:jc w:val="center"/>
              <w:rPr>
                <w:noProof/>
                <w:sz w:val="20"/>
                <w:szCs w:val="20"/>
              </w:rPr>
            </w:pPr>
          </w:p>
        </w:tc>
        <w:tc>
          <w:tcPr>
            <w:tcW w:w="840" w:type="dxa"/>
            <w:tcBorders>
              <w:left w:val="dashSmallGap" w:sz="4" w:space="0" w:color="auto"/>
            </w:tcBorders>
          </w:tcPr>
          <w:p>
            <w:pPr>
              <w:tabs>
                <w:tab w:val="center" w:pos="326"/>
              </w:tabs>
              <w:ind w:right="-29"/>
              <w:rPr>
                <w:noProof/>
                <w:sz w:val="20"/>
                <w:szCs w:val="20"/>
              </w:rPr>
            </w:pPr>
            <w:r>
              <w:rPr>
                <w:noProof/>
                <w:sz w:val="20"/>
                <w:szCs w:val="20"/>
              </w:rPr>
              <w:t>4,340</w:t>
            </w:r>
          </w:p>
        </w:tc>
        <w:tc>
          <w:tcPr>
            <w:tcW w:w="314" w:type="dxa"/>
            <w:tcBorders>
              <w:right w:val="dashSmallGap" w:sz="4" w:space="0" w:color="auto"/>
            </w:tcBorders>
          </w:tcPr>
          <w:p>
            <w:pPr>
              <w:ind w:right="-29"/>
              <w:jc w:val="center"/>
              <w:rPr>
                <w:noProof/>
                <w:sz w:val="20"/>
                <w:szCs w:val="20"/>
              </w:rPr>
            </w:pPr>
          </w:p>
        </w:tc>
        <w:tc>
          <w:tcPr>
            <w:tcW w:w="718" w:type="dxa"/>
            <w:tcBorders>
              <w:left w:val="dashSmallGap" w:sz="4" w:space="0" w:color="auto"/>
            </w:tcBorders>
          </w:tcPr>
          <w:p>
            <w:pPr>
              <w:ind w:right="-29"/>
              <w:jc w:val="left"/>
              <w:rPr>
                <w:noProof/>
                <w:sz w:val="20"/>
                <w:szCs w:val="20"/>
              </w:rPr>
            </w:pPr>
            <w:r>
              <w:rPr>
                <w:noProof/>
                <w:sz w:val="20"/>
                <w:szCs w:val="20"/>
              </w:rPr>
              <w:t>1,073</w:t>
            </w:r>
          </w:p>
        </w:tc>
        <w:tc>
          <w:tcPr>
            <w:tcW w:w="360" w:type="dxa"/>
            <w:tcBorders>
              <w:right w:val="dashSmallGap" w:sz="4" w:space="0" w:color="auto"/>
            </w:tcBorders>
          </w:tcPr>
          <w:p>
            <w:pPr>
              <w:ind w:right="-29"/>
              <w:jc w:val="center"/>
              <w:rPr>
                <w:noProof/>
                <w:sz w:val="20"/>
                <w:szCs w:val="20"/>
              </w:rPr>
            </w:pPr>
          </w:p>
        </w:tc>
        <w:tc>
          <w:tcPr>
            <w:tcW w:w="720" w:type="dxa"/>
            <w:tcBorders>
              <w:left w:val="dashSmallGap" w:sz="4" w:space="0" w:color="auto"/>
            </w:tcBorders>
          </w:tcPr>
          <w:p>
            <w:pPr>
              <w:ind w:right="-29"/>
              <w:jc w:val="center"/>
              <w:rPr>
                <w:noProof/>
                <w:sz w:val="20"/>
                <w:szCs w:val="20"/>
              </w:rPr>
            </w:pPr>
            <w:r>
              <w:rPr>
                <w:noProof/>
                <w:sz w:val="20"/>
                <w:szCs w:val="20"/>
              </w:rPr>
              <w:t>1,000</w:t>
            </w:r>
          </w:p>
        </w:tc>
        <w:tc>
          <w:tcPr>
            <w:tcW w:w="360" w:type="dxa"/>
            <w:tcBorders>
              <w:right w:val="dashSmallGap" w:sz="4" w:space="0" w:color="auto"/>
            </w:tcBorders>
          </w:tcPr>
          <w:p>
            <w:pPr>
              <w:ind w:right="-29"/>
              <w:jc w:val="center"/>
              <w:rPr>
                <w:noProof/>
                <w:sz w:val="20"/>
                <w:szCs w:val="20"/>
              </w:rPr>
            </w:pPr>
          </w:p>
        </w:tc>
        <w:tc>
          <w:tcPr>
            <w:tcW w:w="840" w:type="dxa"/>
            <w:tcBorders>
              <w:left w:val="dashSmallGap" w:sz="4" w:space="0" w:color="auto"/>
            </w:tcBorders>
          </w:tcPr>
          <w:p>
            <w:pPr>
              <w:ind w:right="-29"/>
              <w:jc w:val="center"/>
              <w:rPr>
                <w:noProof/>
                <w:sz w:val="20"/>
                <w:szCs w:val="20"/>
              </w:rPr>
            </w:pPr>
            <w:r>
              <w:rPr>
                <w:noProof/>
                <w:sz w:val="20"/>
                <w:szCs w:val="20"/>
              </w:rPr>
              <w:t>0,100</w:t>
            </w:r>
          </w:p>
        </w:tc>
        <w:tc>
          <w:tcPr>
            <w:tcW w:w="360" w:type="dxa"/>
            <w:tcBorders>
              <w:right w:val="dashSmallGap" w:sz="4" w:space="0" w:color="auto"/>
            </w:tcBorders>
          </w:tcPr>
          <w:p>
            <w:pPr>
              <w:ind w:right="-29"/>
              <w:jc w:val="center"/>
              <w:rPr>
                <w:noProof/>
                <w:sz w:val="20"/>
                <w:szCs w:val="20"/>
              </w:rPr>
            </w:pPr>
          </w:p>
        </w:tc>
        <w:tc>
          <w:tcPr>
            <w:tcW w:w="840" w:type="dxa"/>
            <w:tcBorders>
              <w:left w:val="dashSmallGap" w:sz="4" w:space="0" w:color="auto"/>
            </w:tcBorders>
          </w:tcPr>
          <w:p>
            <w:pPr>
              <w:ind w:right="-29"/>
              <w:jc w:val="center"/>
              <w:rPr>
                <w:noProof/>
                <w:sz w:val="20"/>
                <w:szCs w:val="20"/>
              </w:rPr>
            </w:pPr>
            <w:r>
              <w:rPr>
                <w:noProof/>
                <w:sz w:val="20"/>
                <w:szCs w:val="20"/>
              </w:rPr>
              <w:t>0,020</w:t>
            </w:r>
          </w:p>
        </w:tc>
        <w:tc>
          <w:tcPr>
            <w:tcW w:w="360" w:type="dxa"/>
            <w:tcBorders>
              <w:right w:val="dashSmallGap" w:sz="4" w:space="0" w:color="auto"/>
            </w:tcBorders>
          </w:tcPr>
          <w:p>
            <w:pPr>
              <w:ind w:right="-29"/>
              <w:jc w:val="center"/>
              <w:rPr>
                <w:noProof/>
                <w:sz w:val="20"/>
                <w:szCs w:val="20"/>
              </w:rPr>
            </w:pPr>
          </w:p>
        </w:tc>
        <w:tc>
          <w:tcPr>
            <w:tcW w:w="840" w:type="dxa"/>
            <w:tcBorders>
              <w:left w:val="dashSmallGap" w:sz="4" w:space="0" w:color="auto"/>
              <w:bottom w:val="single" w:sz="4" w:space="0" w:color="auto"/>
            </w:tcBorders>
          </w:tcPr>
          <w:p>
            <w:pPr>
              <w:ind w:right="-29"/>
              <w:jc w:val="center"/>
              <w:rPr>
                <w:noProof/>
                <w:sz w:val="20"/>
                <w:szCs w:val="20"/>
              </w:rPr>
            </w:pPr>
            <w:r>
              <w:rPr>
                <w:noProof/>
                <w:sz w:val="20"/>
                <w:szCs w:val="20"/>
              </w:rPr>
              <w:t>0,020</w:t>
            </w:r>
          </w:p>
        </w:tc>
        <w:tc>
          <w:tcPr>
            <w:tcW w:w="236" w:type="dxa"/>
            <w:tcBorders>
              <w:right w:val="dashSmallGap" w:sz="4" w:space="0" w:color="auto"/>
            </w:tcBorders>
          </w:tcPr>
          <w:p>
            <w:pPr>
              <w:ind w:right="-29"/>
              <w:jc w:val="center"/>
              <w:rPr>
                <w:noProof/>
                <w:sz w:val="20"/>
                <w:szCs w:val="20"/>
              </w:rPr>
            </w:pPr>
          </w:p>
        </w:tc>
        <w:tc>
          <w:tcPr>
            <w:tcW w:w="865" w:type="dxa"/>
            <w:tcBorders>
              <w:left w:val="dashSmallGap" w:sz="4" w:space="0" w:color="auto"/>
              <w:bottom w:val="single" w:sz="4" w:space="0" w:color="auto"/>
              <w:right w:val="single" w:sz="12" w:space="0" w:color="auto"/>
            </w:tcBorders>
          </w:tcPr>
          <w:p>
            <w:pPr>
              <w:ind w:right="-29"/>
              <w:jc w:val="center"/>
              <w:rPr>
                <w:noProof/>
                <w:sz w:val="20"/>
                <w:szCs w:val="20"/>
              </w:rPr>
            </w:pPr>
            <w:r>
              <w:rPr>
                <w:noProof/>
                <w:sz w:val="20"/>
                <w:szCs w:val="20"/>
              </w:rPr>
              <w:t xml:space="preserve">21,607 </w:t>
            </w:r>
          </w:p>
        </w:tc>
      </w:tr>
      <w:tr>
        <w:trPr>
          <w:trHeight w:hRule="exact" w:val="705"/>
          <w:jc w:val="center"/>
        </w:trPr>
        <w:tc>
          <w:tcPr>
            <w:tcW w:w="1422" w:type="dxa"/>
            <w:tcBorders>
              <w:left w:val="single" w:sz="12" w:space="0" w:color="auto"/>
            </w:tcBorders>
          </w:tcPr>
          <w:p>
            <w:pPr>
              <w:ind w:right="-29"/>
              <w:jc w:val="center"/>
              <w:rPr>
                <w:noProof/>
                <w:sz w:val="18"/>
                <w:szCs w:val="18"/>
              </w:rPr>
            </w:pPr>
            <w:r>
              <w:rPr>
                <w:noProof/>
                <w:sz w:val="18"/>
              </w:rPr>
              <w:t>Software products</w:t>
            </w:r>
          </w:p>
        </w:tc>
        <w:tc>
          <w:tcPr>
            <w:tcW w:w="1380" w:type="dxa"/>
            <w:gridSpan w:val="2"/>
          </w:tcPr>
          <w:p>
            <w:pPr>
              <w:ind w:right="-29"/>
              <w:jc w:val="center"/>
              <w:rPr>
                <w:noProof/>
                <w:sz w:val="18"/>
                <w:szCs w:val="18"/>
              </w:rPr>
            </w:pPr>
            <w:r>
              <w:rPr>
                <w:noProof/>
              </w:rPr>
              <w:t xml:space="preserve">Software </w:t>
            </w:r>
          </w:p>
        </w:tc>
        <w:tc>
          <w:tcPr>
            <w:tcW w:w="303" w:type="dxa"/>
            <w:tcBorders>
              <w:right w:val="dashSmallGap" w:sz="4" w:space="0" w:color="auto"/>
            </w:tcBorders>
          </w:tcPr>
          <w:p>
            <w:pPr>
              <w:ind w:right="-29"/>
              <w:jc w:val="center"/>
              <w:rPr>
                <w:noProof/>
                <w:sz w:val="18"/>
                <w:szCs w:val="18"/>
              </w:rPr>
            </w:pPr>
          </w:p>
        </w:tc>
        <w:tc>
          <w:tcPr>
            <w:tcW w:w="867" w:type="dxa"/>
            <w:tcBorders>
              <w:left w:val="dashSmallGap" w:sz="4" w:space="0" w:color="auto"/>
              <w:bottom w:val="single" w:sz="4" w:space="0" w:color="auto"/>
            </w:tcBorders>
          </w:tcPr>
          <w:p>
            <w:pPr>
              <w:ind w:right="-29"/>
              <w:jc w:val="center"/>
              <w:rPr>
                <w:noProof/>
                <w:sz w:val="20"/>
                <w:szCs w:val="20"/>
              </w:rPr>
            </w:pPr>
            <w:r>
              <w:rPr>
                <w:noProof/>
                <w:sz w:val="20"/>
                <w:szCs w:val="20"/>
              </w:rPr>
              <w:t xml:space="preserve">0,320 </w:t>
            </w:r>
          </w:p>
        </w:tc>
        <w:tc>
          <w:tcPr>
            <w:tcW w:w="330" w:type="dxa"/>
            <w:tcBorders>
              <w:right w:val="dashSmallGap" w:sz="4" w:space="0" w:color="auto"/>
            </w:tcBorders>
          </w:tcPr>
          <w:p>
            <w:pPr>
              <w:ind w:right="-29"/>
              <w:jc w:val="center"/>
              <w:rPr>
                <w:noProof/>
                <w:sz w:val="20"/>
                <w:szCs w:val="20"/>
              </w:rPr>
            </w:pPr>
          </w:p>
        </w:tc>
        <w:tc>
          <w:tcPr>
            <w:tcW w:w="840" w:type="dxa"/>
            <w:tcBorders>
              <w:left w:val="dashSmallGap" w:sz="4" w:space="0" w:color="auto"/>
              <w:bottom w:val="single" w:sz="4" w:space="0" w:color="auto"/>
            </w:tcBorders>
          </w:tcPr>
          <w:p>
            <w:pPr>
              <w:ind w:right="-29"/>
              <w:jc w:val="center"/>
              <w:rPr>
                <w:noProof/>
                <w:sz w:val="20"/>
                <w:szCs w:val="20"/>
              </w:rPr>
            </w:pPr>
            <w:r>
              <w:rPr>
                <w:noProof/>
                <w:sz w:val="20"/>
                <w:szCs w:val="20"/>
              </w:rPr>
              <w:t xml:space="preserve">3,868 </w:t>
            </w:r>
          </w:p>
        </w:tc>
        <w:tc>
          <w:tcPr>
            <w:tcW w:w="360" w:type="dxa"/>
            <w:tcBorders>
              <w:right w:val="dashSmallGap" w:sz="4" w:space="0" w:color="auto"/>
            </w:tcBorders>
          </w:tcPr>
          <w:p>
            <w:pPr>
              <w:ind w:right="-29"/>
              <w:jc w:val="center"/>
              <w:rPr>
                <w:noProof/>
                <w:sz w:val="20"/>
                <w:szCs w:val="20"/>
              </w:rPr>
            </w:pPr>
          </w:p>
        </w:tc>
        <w:tc>
          <w:tcPr>
            <w:tcW w:w="963" w:type="dxa"/>
            <w:tcBorders>
              <w:left w:val="dashSmallGap" w:sz="4" w:space="0" w:color="auto"/>
              <w:bottom w:val="single" w:sz="4" w:space="0" w:color="auto"/>
            </w:tcBorders>
          </w:tcPr>
          <w:p>
            <w:pPr>
              <w:ind w:right="-29"/>
              <w:jc w:val="center"/>
              <w:rPr>
                <w:noProof/>
                <w:sz w:val="20"/>
                <w:szCs w:val="20"/>
              </w:rPr>
            </w:pPr>
            <w:r>
              <w:rPr>
                <w:noProof/>
                <w:sz w:val="20"/>
                <w:szCs w:val="20"/>
              </w:rPr>
              <w:t xml:space="preserve">15,029 </w:t>
            </w:r>
          </w:p>
        </w:tc>
        <w:tc>
          <w:tcPr>
            <w:tcW w:w="237" w:type="dxa"/>
            <w:tcBorders>
              <w:right w:val="dashSmallGap" w:sz="4" w:space="0" w:color="auto"/>
            </w:tcBorders>
          </w:tcPr>
          <w:p>
            <w:pPr>
              <w:ind w:right="-29"/>
              <w:jc w:val="center"/>
              <w:rPr>
                <w:noProof/>
                <w:sz w:val="20"/>
                <w:szCs w:val="20"/>
              </w:rPr>
            </w:pPr>
          </w:p>
        </w:tc>
        <w:tc>
          <w:tcPr>
            <w:tcW w:w="840" w:type="dxa"/>
            <w:tcBorders>
              <w:left w:val="dashSmallGap" w:sz="4" w:space="0" w:color="auto"/>
              <w:bottom w:val="single" w:sz="4" w:space="0" w:color="auto"/>
            </w:tcBorders>
          </w:tcPr>
          <w:p>
            <w:pPr>
              <w:ind w:right="-29"/>
              <w:jc w:val="center"/>
              <w:rPr>
                <w:noProof/>
                <w:sz w:val="20"/>
                <w:szCs w:val="20"/>
              </w:rPr>
            </w:pPr>
            <w:r>
              <w:rPr>
                <w:noProof/>
                <w:sz w:val="20"/>
                <w:szCs w:val="20"/>
              </w:rPr>
              <w:t xml:space="preserve">8,857 </w:t>
            </w:r>
          </w:p>
        </w:tc>
        <w:tc>
          <w:tcPr>
            <w:tcW w:w="314" w:type="dxa"/>
            <w:tcBorders>
              <w:right w:val="dashSmallGap" w:sz="4" w:space="0" w:color="auto"/>
            </w:tcBorders>
          </w:tcPr>
          <w:p>
            <w:pPr>
              <w:ind w:right="-29"/>
              <w:jc w:val="center"/>
              <w:rPr>
                <w:noProof/>
                <w:sz w:val="20"/>
                <w:szCs w:val="20"/>
              </w:rPr>
            </w:pPr>
          </w:p>
        </w:tc>
        <w:tc>
          <w:tcPr>
            <w:tcW w:w="718" w:type="dxa"/>
            <w:tcBorders>
              <w:left w:val="dashSmallGap" w:sz="4" w:space="0" w:color="auto"/>
              <w:bottom w:val="single" w:sz="4" w:space="0" w:color="auto"/>
            </w:tcBorders>
          </w:tcPr>
          <w:p>
            <w:pPr>
              <w:ind w:right="-29"/>
              <w:jc w:val="center"/>
              <w:rPr>
                <w:noProof/>
                <w:sz w:val="20"/>
                <w:szCs w:val="20"/>
              </w:rPr>
            </w:pPr>
            <w:r>
              <w:rPr>
                <w:noProof/>
                <w:sz w:val="20"/>
                <w:szCs w:val="20"/>
              </w:rPr>
              <w:t>3,068</w:t>
            </w:r>
          </w:p>
        </w:tc>
        <w:tc>
          <w:tcPr>
            <w:tcW w:w="360" w:type="dxa"/>
            <w:tcBorders>
              <w:right w:val="dashSmallGap" w:sz="4" w:space="0" w:color="auto"/>
            </w:tcBorders>
          </w:tcPr>
          <w:p>
            <w:pPr>
              <w:ind w:right="-29"/>
              <w:jc w:val="center"/>
              <w:rPr>
                <w:noProof/>
                <w:sz w:val="20"/>
                <w:szCs w:val="20"/>
              </w:rPr>
            </w:pPr>
          </w:p>
        </w:tc>
        <w:tc>
          <w:tcPr>
            <w:tcW w:w="720" w:type="dxa"/>
            <w:tcBorders>
              <w:left w:val="dashSmallGap" w:sz="4" w:space="0" w:color="auto"/>
              <w:bottom w:val="single" w:sz="4" w:space="0" w:color="auto"/>
            </w:tcBorders>
          </w:tcPr>
          <w:p>
            <w:pPr>
              <w:ind w:right="-29"/>
              <w:jc w:val="center"/>
              <w:rPr>
                <w:noProof/>
                <w:sz w:val="20"/>
                <w:szCs w:val="20"/>
              </w:rPr>
            </w:pPr>
            <w:r>
              <w:rPr>
                <w:noProof/>
                <w:sz w:val="20"/>
                <w:szCs w:val="20"/>
              </w:rPr>
              <w:t>0,265</w:t>
            </w:r>
          </w:p>
        </w:tc>
        <w:tc>
          <w:tcPr>
            <w:tcW w:w="360" w:type="dxa"/>
            <w:tcBorders>
              <w:right w:val="dashSmallGap" w:sz="4" w:space="0" w:color="auto"/>
            </w:tcBorders>
          </w:tcPr>
          <w:p>
            <w:pPr>
              <w:ind w:right="-29"/>
              <w:jc w:val="center"/>
              <w:rPr>
                <w:noProof/>
                <w:sz w:val="20"/>
                <w:szCs w:val="20"/>
              </w:rPr>
            </w:pPr>
          </w:p>
        </w:tc>
        <w:tc>
          <w:tcPr>
            <w:tcW w:w="840" w:type="dxa"/>
            <w:tcBorders>
              <w:left w:val="dashSmallGap" w:sz="4" w:space="0" w:color="auto"/>
              <w:bottom w:val="single" w:sz="4" w:space="0" w:color="auto"/>
            </w:tcBorders>
          </w:tcPr>
          <w:p>
            <w:pPr>
              <w:ind w:right="-29"/>
              <w:jc w:val="center"/>
              <w:rPr>
                <w:noProof/>
                <w:sz w:val="20"/>
                <w:szCs w:val="20"/>
              </w:rPr>
            </w:pPr>
            <w:r>
              <w:rPr>
                <w:noProof/>
                <w:sz w:val="20"/>
                <w:szCs w:val="20"/>
              </w:rPr>
              <w:t>0,265</w:t>
            </w:r>
          </w:p>
        </w:tc>
        <w:tc>
          <w:tcPr>
            <w:tcW w:w="360" w:type="dxa"/>
            <w:tcBorders>
              <w:right w:val="dashSmallGap" w:sz="4" w:space="0" w:color="auto"/>
            </w:tcBorders>
          </w:tcPr>
          <w:p>
            <w:pPr>
              <w:ind w:right="-29"/>
              <w:jc w:val="center"/>
              <w:rPr>
                <w:noProof/>
                <w:sz w:val="20"/>
                <w:szCs w:val="20"/>
              </w:rPr>
            </w:pPr>
          </w:p>
        </w:tc>
        <w:tc>
          <w:tcPr>
            <w:tcW w:w="840" w:type="dxa"/>
            <w:tcBorders>
              <w:left w:val="dashSmallGap" w:sz="4" w:space="0" w:color="auto"/>
              <w:bottom w:val="single" w:sz="4" w:space="0" w:color="auto"/>
            </w:tcBorders>
          </w:tcPr>
          <w:p>
            <w:pPr>
              <w:ind w:right="-29"/>
              <w:jc w:val="center"/>
              <w:rPr>
                <w:noProof/>
                <w:sz w:val="20"/>
                <w:szCs w:val="20"/>
              </w:rPr>
            </w:pPr>
            <w:r>
              <w:rPr>
                <w:noProof/>
                <w:sz w:val="20"/>
                <w:szCs w:val="20"/>
              </w:rPr>
              <w:t>0,265</w:t>
            </w:r>
          </w:p>
        </w:tc>
        <w:tc>
          <w:tcPr>
            <w:tcW w:w="360" w:type="dxa"/>
            <w:tcBorders>
              <w:right w:val="dashSmallGap" w:sz="4" w:space="0" w:color="auto"/>
            </w:tcBorders>
          </w:tcPr>
          <w:p>
            <w:pPr>
              <w:ind w:right="-29"/>
              <w:jc w:val="center"/>
              <w:rPr>
                <w:noProof/>
                <w:sz w:val="20"/>
                <w:szCs w:val="20"/>
              </w:rPr>
            </w:pPr>
          </w:p>
        </w:tc>
        <w:tc>
          <w:tcPr>
            <w:tcW w:w="840" w:type="dxa"/>
            <w:tcBorders>
              <w:left w:val="dashSmallGap" w:sz="4" w:space="0" w:color="auto"/>
              <w:bottom w:val="single" w:sz="4" w:space="0" w:color="auto"/>
            </w:tcBorders>
          </w:tcPr>
          <w:p>
            <w:pPr>
              <w:ind w:right="-29"/>
              <w:jc w:val="center"/>
              <w:rPr>
                <w:noProof/>
                <w:sz w:val="20"/>
                <w:szCs w:val="20"/>
              </w:rPr>
            </w:pPr>
            <w:r>
              <w:rPr>
                <w:noProof/>
                <w:sz w:val="20"/>
                <w:szCs w:val="20"/>
              </w:rPr>
              <w:t>0,265</w:t>
            </w:r>
          </w:p>
        </w:tc>
        <w:tc>
          <w:tcPr>
            <w:tcW w:w="236" w:type="dxa"/>
            <w:tcBorders>
              <w:right w:val="dashSmallGap" w:sz="4" w:space="0" w:color="auto"/>
            </w:tcBorders>
          </w:tcPr>
          <w:p>
            <w:pPr>
              <w:ind w:right="-29"/>
              <w:jc w:val="center"/>
              <w:rPr>
                <w:noProof/>
                <w:sz w:val="20"/>
                <w:szCs w:val="20"/>
              </w:rPr>
            </w:pPr>
          </w:p>
        </w:tc>
        <w:tc>
          <w:tcPr>
            <w:tcW w:w="865" w:type="dxa"/>
            <w:tcBorders>
              <w:left w:val="dashSmallGap" w:sz="4" w:space="0" w:color="auto"/>
              <w:bottom w:val="single" w:sz="4" w:space="0" w:color="auto"/>
              <w:right w:val="single" w:sz="12" w:space="0" w:color="auto"/>
            </w:tcBorders>
          </w:tcPr>
          <w:p>
            <w:pPr>
              <w:ind w:right="-29"/>
              <w:jc w:val="center"/>
              <w:rPr>
                <w:noProof/>
                <w:sz w:val="20"/>
                <w:szCs w:val="20"/>
              </w:rPr>
            </w:pPr>
            <w:r>
              <w:rPr>
                <w:noProof/>
                <w:sz w:val="20"/>
                <w:szCs w:val="20"/>
              </w:rPr>
              <w:t xml:space="preserve">32,202 </w:t>
            </w:r>
          </w:p>
        </w:tc>
      </w:tr>
      <w:tr>
        <w:trPr>
          <w:trHeight w:hRule="exact" w:val="701"/>
          <w:jc w:val="center"/>
        </w:trPr>
        <w:tc>
          <w:tcPr>
            <w:tcW w:w="1422" w:type="dxa"/>
            <w:tcBorders>
              <w:left w:val="single" w:sz="12" w:space="0" w:color="auto"/>
            </w:tcBorders>
          </w:tcPr>
          <w:p>
            <w:pPr>
              <w:ind w:right="-29"/>
              <w:jc w:val="center"/>
              <w:rPr>
                <w:noProof/>
                <w:sz w:val="18"/>
                <w:szCs w:val="18"/>
              </w:rPr>
            </w:pPr>
            <w:r>
              <w:rPr>
                <w:noProof/>
                <w:sz w:val="18"/>
              </w:rPr>
              <w:t xml:space="preserve">Hardware products </w:t>
            </w:r>
          </w:p>
        </w:tc>
        <w:tc>
          <w:tcPr>
            <w:tcW w:w="1380" w:type="dxa"/>
            <w:gridSpan w:val="2"/>
          </w:tcPr>
          <w:p>
            <w:pPr>
              <w:ind w:right="-29"/>
              <w:jc w:val="center"/>
              <w:rPr>
                <w:noProof/>
                <w:sz w:val="18"/>
                <w:szCs w:val="18"/>
              </w:rPr>
            </w:pPr>
            <w:r>
              <w:rPr>
                <w:noProof/>
              </w:rPr>
              <w:t xml:space="preserve">Hardware </w:t>
            </w:r>
          </w:p>
        </w:tc>
        <w:tc>
          <w:tcPr>
            <w:tcW w:w="303" w:type="dxa"/>
            <w:tcBorders>
              <w:right w:val="dashSmallGap" w:sz="4" w:space="0" w:color="auto"/>
            </w:tcBorders>
          </w:tcPr>
          <w:p>
            <w:pPr>
              <w:ind w:right="-29"/>
              <w:jc w:val="center"/>
              <w:rPr>
                <w:noProof/>
                <w:sz w:val="18"/>
                <w:szCs w:val="18"/>
              </w:rPr>
            </w:pPr>
          </w:p>
        </w:tc>
        <w:tc>
          <w:tcPr>
            <w:tcW w:w="867" w:type="dxa"/>
            <w:tcBorders>
              <w:left w:val="dashSmallGap" w:sz="4" w:space="0" w:color="auto"/>
              <w:bottom w:val="single" w:sz="4" w:space="0" w:color="auto"/>
            </w:tcBorders>
          </w:tcPr>
          <w:p>
            <w:pPr>
              <w:ind w:right="-29"/>
              <w:jc w:val="center"/>
              <w:rPr>
                <w:noProof/>
                <w:sz w:val="20"/>
                <w:szCs w:val="20"/>
              </w:rPr>
            </w:pPr>
            <w:r>
              <w:rPr>
                <w:noProof/>
                <w:sz w:val="20"/>
                <w:szCs w:val="20"/>
              </w:rPr>
              <w:t xml:space="preserve">0,250 </w:t>
            </w:r>
          </w:p>
        </w:tc>
        <w:tc>
          <w:tcPr>
            <w:tcW w:w="330" w:type="dxa"/>
            <w:tcBorders>
              <w:right w:val="dashSmallGap" w:sz="4" w:space="0" w:color="auto"/>
            </w:tcBorders>
          </w:tcPr>
          <w:p>
            <w:pPr>
              <w:ind w:right="-29"/>
              <w:jc w:val="center"/>
              <w:rPr>
                <w:noProof/>
                <w:sz w:val="20"/>
                <w:szCs w:val="20"/>
              </w:rPr>
            </w:pPr>
          </w:p>
        </w:tc>
        <w:tc>
          <w:tcPr>
            <w:tcW w:w="840" w:type="dxa"/>
            <w:tcBorders>
              <w:left w:val="dashSmallGap" w:sz="4" w:space="0" w:color="auto"/>
              <w:bottom w:val="single" w:sz="4" w:space="0" w:color="auto"/>
            </w:tcBorders>
          </w:tcPr>
          <w:p>
            <w:pPr>
              <w:ind w:right="-29"/>
              <w:jc w:val="center"/>
              <w:rPr>
                <w:noProof/>
                <w:sz w:val="20"/>
                <w:szCs w:val="20"/>
              </w:rPr>
            </w:pPr>
            <w:r>
              <w:rPr>
                <w:noProof/>
                <w:sz w:val="20"/>
                <w:szCs w:val="20"/>
              </w:rPr>
              <w:t xml:space="preserve">2,324 </w:t>
            </w:r>
          </w:p>
        </w:tc>
        <w:tc>
          <w:tcPr>
            <w:tcW w:w="360" w:type="dxa"/>
            <w:tcBorders>
              <w:right w:val="dashSmallGap" w:sz="4" w:space="0" w:color="auto"/>
            </w:tcBorders>
          </w:tcPr>
          <w:p>
            <w:pPr>
              <w:ind w:right="-29"/>
              <w:jc w:val="center"/>
              <w:rPr>
                <w:noProof/>
                <w:sz w:val="20"/>
                <w:szCs w:val="20"/>
              </w:rPr>
            </w:pPr>
          </w:p>
        </w:tc>
        <w:tc>
          <w:tcPr>
            <w:tcW w:w="963" w:type="dxa"/>
            <w:tcBorders>
              <w:top w:val="single" w:sz="4" w:space="0" w:color="auto"/>
              <w:left w:val="dashSmallGap" w:sz="4" w:space="0" w:color="auto"/>
              <w:bottom w:val="single" w:sz="4" w:space="0" w:color="auto"/>
              <w:right w:val="single" w:sz="4" w:space="0" w:color="auto"/>
            </w:tcBorders>
          </w:tcPr>
          <w:p>
            <w:pPr>
              <w:ind w:right="-29"/>
              <w:jc w:val="center"/>
              <w:rPr>
                <w:noProof/>
                <w:sz w:val="20"/>
                <w:szCs w:val="20"/>
              </w:rPr>
            </w:pPr>
            <w:r>
              <w:rPr>
                <w:noProof/>
                <w:sz w:val="20"/>
                <w:szCs w:val="20"/>
              </w:rPr>
              <w:t xml:space="preserve">5,496 </w:t>
            </w:r>
          </w:p>
        </w:tc>
        <w:tc>
          <w:tcPr>
            <w:tcW w:w="237" w:type="dxa"/>
            <w:tcBorders>
              <w:left w:val="single" w:sz="4" w:space="0" w:color="auto"/>
              <w:right w:val="dashSmallGap" w:sz="4" w:space="0" w:color="auto"/>
            </w:tcBorders>
          </w:tcPr>
          <w:p>
            <w:pPr>
              <w:ind w:right="-29"/>
              <w:jc w:val="center"/>
              <w:rPr>
                <w:noProof/>
                <w:sz w:val="20"/>
                <w:szCs w:val="20"/>
              </w:rPr>
            </w:pPr>
          </w:p>
        </w:tc>
        <w:tc>
          <w:tcPr>
            <w:tcW w:w="840" w:type="dxa"/>
            <w:tcBorders>
              <w:left w:val="dashSmallGap" w:sz="4" w:space="0" w:color="auto"/>
              <w:bottom w:val="single" w:sz="4" w:space="0" w:color="auto"/>
            </w:tcBorders>
          </w:tcPr>
          <w:p>
            <w:pPr>
              <w:ind w:right="-29"/>
              <w:jc w:val="center"/>
              <w:rPr>
                <w:noProof/>
                <w:sz w:val="20"/>
                <w:szCs w:val="20"/>
              </w:rPr>
            </w:pPr>
            <w:r>
              <w:rPr>
                <w:noProof/>
                <w:sz w:val="20"/>
                <w:szCs w:val="20"/>
              </w:rPr>
              <w:t xml:space="preserve">2,904 </w:t>
            </w:r>
          </w:p>
        </w:tc>
        <w:tc>
          <w:tcPr>
            <w:tcW w:w="314" w:type="dxa"/>
            <w:tcBorders>
              <w:right w:val="dashSmallGap" w:sz="4" w:space="0" w:color="auto"/>
            </w:tcBorders>
          </w:tcPr>
          <w:p>
            <w:pPr>
              <w:ind w:right="-29"/>
              <w:jc w:val="center"/>
              <w:rPr>
                <w:noProof/>
                <w:sz w:val="20"/>
                <w:szCs w:val="20"/>
              </w:rPr>
            </w:pPr>
          </w:p>
        </w:tc>
        <w:tc>
          <w:tcPr>
            <w:tcW w:w="718" w:type="dxa"/>
            <w:tcBorders>
              <w:left w:val="dashSmallGap" w:sz="4" w:space="0" w:color="auto"/>
              <w:bottom w:val="single" w:sz="4" w:space="0" w:color="auto"/>
            </w:tcBorders>
          </w:tcPr>
          <w:p>
            <w:pPr>
              <w:ind w:right="-29"/>
              <w:jc w:val="center"/>
              <w:rPr>
                <w:noProof/>
                <w:sz w:val="20"/>
                <w:szCs w:val="20"/>
              </w:rPr>
            </w:pPr>
            <w:r>
              <w:rPr>
                <w:noProof/>
                <w:sz w:val="20"/>
                <w:szCs w:val="20"/>
              </w:rPr>
              <w:t>2,660</w:t>
            </w:r>
          </w:p>
        </w:tc>
        <w:tc>
          <w:tcPr>
            <w:tcW w:w="360" w:type="dxa"/>
            <w:tcBorders>
              <w:right w:val="dashSmallGap" w:sz="4" w:space="0" w:color="auto"/>
            </w:tcBorders>
          </w:tcPr>
          <w:p>
            <w:pPr>
              <w:ind w:right="-29"/>
              <w:jc w:val="center"/>
              <w:rPr>
                <w:noProof/>
                <w:sz w:val="20"/>
                <w:szCs w:val="20"/>
              </w:rPr>
            </w:pPr>
          </w:p>
        </w:tc>
        <w:tc>
          <w:tcPr>
            <w:tcW w:w="720" w:type="dxa"/>
            <w:tcBorders>
              <w:left w:val="dashSmallGap" w:sz="4" w:space="0" w:color="auto"/>
              <w:bottom w:val="single" w:sz="4" w:space="0" w:color="auto"/>
            </w:tcBorders>
          </w:tcPr>
          <w:p>
            <w:pPr>
              <w:ind w:right="-29"/>
              <w:jc w:val="center"/>
              <w:rPr>
                <w:noProof/>
                <w:sz w:val="20"/>
                <w:szCs w:val="20"/>
              </w:rPr>
            </w:pPr>
            <w:r>
              <w:rPr>
                <w:noProof/>
                <w:sz w:val="20"/>
                <w:szCs w:val="20"/>
              </w:rPr>
              <w:t>0,500</w:t>
            </w:r>
          </w:p>
        </w:tc>
        <w:tc>
          <w:tcPr>
            <w:tcW w:w="360" w:type="dxa"/>
            <w:tcBorders>
              <w:right w:val="dashSmallGap" w:sz="4" w:space="0" w:color="auto"/>
            </w:tcBorders>
          </w:tcPr>
          <w:p>
            <w:pPr>
              <w:ind w:right="-29"/>
              <w:jc w:val="center"/>
              <w:rPr>
                <w:noProof/>
                <w:sz w:val="20"/>
                <w:szCs w:val="20"/>
              </w:rPr>
            </w:pPr>
          </w:p>
        </w:tc>
        <w:tc>
          <w:tcPr>
            <w:tcW w:w="840" w:type="dxa"/>
            <w:tcBorders>
              <w:left w:val="dashSmallGap" w:sz="4" w:space="0" w:color="auto"/>
              <w:bottom w:val="single" w:sz="4" w:space="0" w:color="auto"/>
            </w:tcBorders>
          </w:tcPr>
          <w:p>
            <w:pPr>
              <w:ind w:right="-29"/>
              <w:jc w:val="center"/>
              <w:rPr>
                <w:noProof/>
                <w:sz w:val="20"/>
                <w:szCs w:val="20"/>
              </w:rPr>
            </w:pPr>
            <w:r>
              <w:rPr>
                <w:noProof/>
                <w:sz w:val="20"/>
                <w:szCs w:val="20"/>
              </w:rPr>
              <w:t>0</w:t>
            </w:r>
          </w:p>
        </w:tc>
        <w:tc>
          <w:tcPr>
            <w:tcW w:w="360" w:type="dxa"/>
            <w:tcBorders>
              <w:right w:val="dashSmallGap" w:sz="4" w:space="0" w:color="auto"/>
            </w:tcBorders>
          </w:tcPr>
          <w:p>
            <w:pPr>
              <w:ind w:right="-29"/>
              <w:jc w:val="center"/>
              <w:rPr>
                <w:noProof/>
                <w:sz w:val="20"/>
                <w:szCs w:val="20"/>
              </w:rPr>
            </w:pPr>
          </w:p>
        </w:tc>
        <w:tc>
          <w:tcPr>
            <w:tcW w:w="840" w:type="dxa"/>
            <w:tcBorders>
              <w:left w:val="dashSmallGap" w:sz="4" w:space="0" w:color="auto"/>
              <w:bottom w:val="single" w:sz="4" w:space="0" w:color="auto"/>
            </w:tcBorders>
          </w:tcPr>
          <w:p>
            <w:pPr>
              <w:ind w:right="-29"/>
              <w:jc w:val="center"/>
              <w:rPr>
                <w:noProof/>
                <w:sz w:val="20"/>
                <w:szCs w:val="20"/>
              </w:rPr>
            </w:pPr>
            <w:r>
              <w:rPr>
                <w:noProof/>
                <w:sz w:val="20"/>
                <w:szCs w:val="20"/>
              </w:rPr>
              <w:t>0</w:t>
            </w:r>
          </w:p>
        </w:tc>
        <w:tc>
          <w:tcPr>
            <w:tcW w:w="360" w:type="dxa"/>
            <w:tcBorders>
              <w:right w:val="dashSmallGap" w:sz="4" w:space="0" w:color="auto"/>
            </w:tcBorders>
          </w:tcPr>
          <w:p>
            <w:pPr>
              <w:ind w:right="-29"/>
              <w:jc w:val="center"/>
              <w:rPr>
                <w:noProof/>
                <w:sz w:val="20"/>
                <w:szCs w:val="20"/>
              </w:rPr>
            </w:pPr>
          </w:p>
        </w:tc>
        <w:tc>
          <w:tcPr>
            <w:tcW w:w="840" w:type="dxa"/>
            <w:tcBorders>
              <w:left w:val="dashSmallGap" w:sz="4" w:space="0" w:color="auto"/>
              <w:bottom w:val="single" w:sz="4" w:space="0" w:color="auto"/>
            </w:tcBorders>
          </w:tcPr>
          <w:p>
            <w:pPr>
              <w:ind w:right="-29"/>
              <w:jc w:val="center"/>
              <w:rPr>
                <w:noProof/>
                <w:sz w:val="20"/>
                <w:szCs w:val="20"/>
              </w:rPr>
            </w:pPr>
            <w:r>
              <w:rPr>
                <w:noProof/>
                <w:sz w:val="20"/>
                <w:szCs w:val="20"/>
              </w:rPr>
              <w:t>0</w:t>
            </w:r>
          </w:p>
        </w:tc>
        <w:tc>
          <w:tcPr>
            <w:tcW w:w="236" w:type="dxa"/>
            <w:tcBorders>
              <w:right w:val="dashSmallGap" w:sz="4" w:space="0" w:color="auto"/>
            </w:tcBorders>
          </w:tcPr>
          <w:p>
            <w:pPr>
              <w:ind w:right="-29"/>
              <w:jc w:val="center"/>
              <w:rPr>
                <w:noProof/>
                <w:sz w:val="20"/>
                <w:szCs w:val="20"/>
              </w:rPr>
            </w:pPr>
          </w:p>
        </w:tc>
        <w:tc>
          <w:tcPr>
            <w:tcW w:w="865" w:type="dxa"/>
            <w:tcBorders>
              <w:left w:val="dashSmallGap" w:sz="4" w:space="0" w:color="auto"/>
              <w:bottom w:val="single" w:sz="4" w:space="0" w:color="auto"/>
              <w:right w:val="single" w:sz="12" w:space="0" w:color="auto"/>
            </w:tcBorders>
          </w:tcPr>
          <w:p>
            <w:pPr>
              <w:ind w:right="-29"/>
              <w:jc w:val="center"/>
              <w:rPr>
                <w:noProof/>
                <w:sz w:val="20"/>
                <w:szCs w:val="20"/>
              </w:rPr>
            </w:pPr>
            <w:r>
              <w:rPr>
                <w:noProof/>
                <w:sz w:val="20"/>
                <w:szCs w:val="20"/>
              </w:rPr>
              <w:t>14,133</w:t>
            </w:r>
          </w:p>
        </w:tc>
      </w:tr>
      <w:tr>
        <w:trPr>
          <w:trHeight w:hRule="exact" w:val="663"/>
          <w:jc w:val="center"/>
        </w:trPr>
        <w:tc>
          <w:tcPr>
            <w:tcW w:w="1422" w:type="dxa"/>
            <w:tcBorders>
              <w:left w:val="single" w:sz="12" w:space="0" w:color="auto"/>
            </w:tcBorders>
          </w:tcPr>
          <w:p>
            <w:pPr>
              <w:ind w:right="-29"/>
              <w:jc w:val="center"/>
              <w:rPr>
                <w:noProof/>
                <w:sz w:val="18"/>
              </w:rPr>
            </w:pPr>
            <w:r>
              <w:rPr>
                <w:noProof/>
                <w:sz w:val="18"/>
              </w:rPr>
              <w:t>IT training</w:t>
            </w:r>
          </w:p>
        </w:tc>
        <w:tc>
          <w:tcPr>
            <w:tcW w:w="1380" w:type="dxa"/>
            <w:gridSpan w:val="2"/>
          </w:tcPr>
          <w:p>
            <w:pPr>
              <w:ind w:right="-29"/>
              <w:jc w:val="center"/>
              <w:rPr>
                <w:noProof/>
                <w:sz w:val="18"/>
                <w:szCs w:val="18"/>
              </w:rPr>
            </w:pPr>
            <w:r>
              <w:rPr>
                <w:noProof/>
              </w:rPr>
              <w:t xml:space="preserve">Training &amp; other </w:t>
            </w:r>
          </w:p>
        </w:tc>
        <w:tc>
          <w:tcPr>
            <w:tcW w:w="303" w:type="dxa"/>
            <w:tcBorders>
              <w:right w:val="dashSmallGap" w:sz="4" w:space="0" w:color="auto"/>
            </w:tcBorders>
          </w:tcPr>
          <w:p>
            <w:pPr>
              <w:ind w:right="-29"/>
              <w:jc w:val="center"/>
              <w:rPr>
                <w:noProof/>
                <w:sz w:val="18"/>
                <w:szCs w:val="18"/>
              </w:rPr>
            </w:pPr>
          </w:p>
        </w:tc>
        <w:tc>
          <w:tcPr>
            <w:tcW w:w="867" w:type="dxa"/>
            <w:tcBorders>
              <w:left w:val="dashSmallGap" w:sz="4" w:space="0" w:color="auto"/>
              <w:bottom w:val="single" w:sz="4" w:space="0" w:color="auto"/>
            </w:tcBorders>
          </w:tcPr>
          <w:p>
            <w:pPr>
              <w:ind w:right="-29"/>
              <w:jc w:val="center"/>
              <w:rPr>
                <w:noProof/>
                <w:sz w:val="20"/>
                <w:szCs w:val="20"/>
              </w:rPr>
            </w:pPr>
            <w:r>
              <w:rPr>
                <w:noProof/>
                <w:sz w:val="20"/>
                <w:szCs w:val="20"/>
              </w:rPr>
              <w:t xml:space="preserve">0,020 </w:t>
            </w:r>
          </w:p>
        </w:tc>
        <w:tc>
          <w:tcPr>
            <w:tcW w:w="330" w:type="dxa"/>
            <w:tcBorders>
              <w:right w:val="dashSmallGap" w:sz="4" w:space="0" w:color="auto"/>
            </w:tcBorders>
          </w:tcPr>
          <w:p>
            <w:pPr>
              <w:ind w:right="-29"/>
              <w:jc w:val="center"/>
              <w:rPr>
                <w:noProof/>
                <w:sz w:val="20"/>
                <w:szCs w:val="20"/>
              </w:rPr>
            </w:pPr>
          </w:p>
        </w:tc>
        <w:tc>
          <w:tcPr>
            <w:tcW w:w="840" w:type="dxa"/>
            <w:tcBorders>
              <w:left w:val="dashSmallGap" w:sz="4" w:space="0" w:color="auto"/>
              <w:bottom w:val="single" w:sz="4" w:space="0" w:color="auto"/>
            </w:tcBorders>
          </w:tcPr>
          <w:p>
            <w:pPr>
              <w:ind w:right="-29"/>
              <w:jc w:val="center"/>
              <w:rPr>
                <w:noProof/>
                <w:sz w:val="20"/>
                <w:szCs w:val="20"/>
              </w:rPr>
            </w:pPr>
            <w:r>
              <w:rPr>
                <w:noProof/>
                <w:sz w:val="20"/>
                <w:szCs w:val="20"/>
              </w:rPr>
              <w:t xml:space="preserve">0,030 </w:t>
            </w:r>
          </w:p>
        </w:tc>
        <w:tc>
          <w:tcPr>
            <w:tcW w:w="360" w:type="dxa"/>
            <w:tcBorders>
              <w:right w:val="dashSmallGap" w:sz="4" w:space="0" w:color="auto"/>
            </w:tcBorders>
          </w:tcPr>
          <w:p>
            <w:pPr>
              <w:ind w:right="-29"/>
              <w:jc w:val="center"/>
              <w:rPr>
                <w:noProof/>
                <w:sz w:val="20"/>
                <w:szCs w:val="20"/>
              </w:rPr>
            </w:pPr>
          </w:p>
        </w:tc>
        <w:tc>
          <w:tcPr>
            <w:tcW w:w="963" w:type="dxa"/>
            <w:tcBorders>
              <w:top w:val="single" w:sz="4" w:space="0" w:color="auto"/>
              <w:left w:val="dashSmallGap" w:sz="4" w:space="0" w:color="auto"/>
              <w:bottom w:val="single" w:sz="4" w:space="0" w:color="auto"/>
            </w:tcBorders>
          </w:tcPr>
          <w:p>
            <w:pPr>
              <w:ind w:right="-29"/>
              <w:jc w:val="center"/>
              <w:rPr>
                <w:noProof/>
                <w:sz w:val="20"/>
                <w:szCs w:val="20"/>
              </w:rPr>
            </w:pPr>
            <w:r>
              <w:rPr>
                <w:noProof/>
                <w:sz w:val="20"/>
                <w:szCs w:val="20"/>
              </w:rPr>
              <w:t xml:space="preserve">0,030 </w:t>
            </w:r>
          </w:p>
        </w:tc>
        <w:tc>
          <w:tcPr>
            <w:tcW w:w="237" w:type="dxa"/>
            <w:tcBorders>
              <w:right w:val="dashSmallGap" w:sz="4" w:space="0" w:color="auto"/>
            </w:tcBorders>
          </w:tcPr>
          <w:p>
            <w:pPr>
              <w:ind w:right="-29"/>
              <w:jc w:val="center"/>
              <w:rPr>
                <w:noProof/>
                <w:sz w:val="20"/>
                <w:szCs w:val="20"/>
              </w:rPr>
            </w:pPr>
          </w:p>
        </w:tc>
        <w:tc>
          <w:tcPr>
            <w:tcW w:w="840" w:type="dxa"/>
            <w:tcBorders>
              <w:left w:val="dashSmallGap" w:sz="4" w:space="0" w:color="auto"/>
              <w:bottom w:val="single" w:sz="4" w:space="0" w:color="auto"/>
            </w:tcBorders>
          </w:tcPr>
          <w:p>
            <w:pPr>
              <w:ind w:right="-29"/>
              <w:jc w:val="center"/>
              <w:rPr>
                <w:noProof/>
                <w:sz w:val="20"/>
                <w:szCs w:val="20"/>
              </w:rPr>
            </w:pPr>
            <w:r>
              <w:rPr>
                <w:noProof/>
                <w:sz w:val="20"/>
                <w:szCs w:val="20"/>
              </w:rPr>
              <w:t xml:space="preserve">0,030 </w:t>
            </w:r>
          </w:p>
        </w:tc>
        <w:tc>
          <w:tcPr>
            <w:tcW w:w="314" w:type="dxa"/>
            <w:tcBorders>
              <w:right w:val="dashSmallGap" w:sz="4" w:space="0" w:color="auto"/>
            </w:tcBorders>
          </w:tcPr>
          <w:p>
            <w:pPr>
              <w:ind w:right="-29"/>
              <w:jc w:val="center"/>
              <w:rPr>
                <w:noProof/>
                <w:sz w:val="20"/>
                <w:szCs w:val="20"/>
              </w:rPr>
            </w:pPr>
          </w:p>
        </w:tc>
        <w:tc>
          <w:tcPr>
            <w:tcW w:w="718" w:type="dxa"/>
            <w:tcBorders>
              <w:left w:val="dashSmallGap" w:sz="4" w:space="0" w:color="auto"/>
              <w:bottom w:val="single" w:sz="4" w:space="0" w:color="auto"/>
            </w:tcBorders>
          </w:tcPr>
          <w:p>
            <w:pPr>
              <w:ind w:right="-29"/>
              <w:jc w:val="center"/>
              <w:rPr>
                <w:noProof/>
                <w:sz w:val="20"/>
                <w:szCs w:val="20"/>
              </w:rPr>
            </w:pPr>
            <w:r>
              <w:rPr>
                <w:noProof/>
                <w:sz w:val="20"/>
                <w:szCs w:val="20"/>
              </w:rPr>
              <w:t>0,030</w:t>
            </w:r>
          </w:p>
        </w:tc>
        <w:tc>
          <w:tcPr>
            <w:tcW w:w="360" w:type="dxa"/>
            <w:tcBorders>
              <w:right w:val="dashSmallGap" w:sz="4" w:space="0" w:color="auto"/>
            </w:tcBorders>
          </w:tcPr>
          <w:p>
            <w:pPr>
              <w:ind w:right="-29"/>
              <w:jc w:val="center"/>
              <w:rPr>
                <w:noProof/>
                <w:sz w:val="20"/>
                <w:szCs w:val="20"/>
              </w:rPr>
            </w:pPr>
          </w:p>
        </w:tc>
        <w:tc>
          <w:tcPr>
            <w:tcW w:w="720" w:type="dxa"/>
            <w:tcBorders>
              <w:left w:val="dashSmallGap" w:sz="4" w:space="0" w:color="auto"/>
              <w:bottom w:val="single" w:sz="4" w:space="0" w:color="auto"/>
            </w:tcBorders>
          </w:tcPr>
          <w:p>
            <w:pPr>
              <w:ind w:right="-29"/>
              <w:jc w:val="center"/>
              <w:rPr>
                <w:noProof/>
                <w:sz w:val="20"/>
                <w:szCs w:val="20"/>
              </w:rPr>
            </w:pPr>
            <w:r>
              <w:rPr>
                <w:noProof/>
                <w:sz w:val="20"/>
                <w:szCs w:val="20"/>
              </w:rPr>
              <w:t>0,050</w:t>
            </w:r>
          </w:p>
        </w:tc>
        <w:tc>
          <w:tcPr>
            <w:tcW w:w="360" w:type="dxa"/>
            <w:tcBorders>
              <w:right w:val="dashSmallGap" w:sz="4" w:space="0" w:color="auto"/>
            </w:tcBorders>
          </w:tcPr>
          <w:p>
            <w:pPr>
              <w:ind w:right="-29"/>
              <w:jc w:val="center"/>
              <w:rPr>
                <w:noProof/>
                <w:sz w:val="20"/>
                <w:szCs w:val="20"/>
              </w:rPr>
            </w:pPr>
          </w:p>
        </w:tc>
        <w:tc>
          <w:tcPr>
            <w:tcW w:w="840" w:type="dxa"/>
            <w:tcBorders>
              <w:left w:val="dashSmallGap" w:sz="4" w:space="0" w:color="auto"/>
              <w:bottom w:val="single" w:sz="4" w:space="0" w:color="auto"/>
            </w:tcBorders>
          </w:tcPr>
          <w:p>
            <w:pPr>
              <w:ind w:right="-29"/>
              <w:jc w:val="center"/>
              <w:rPr>
                <w:noProof/>
                <w:sz w:val="20"/>
                <w:szCs w:val="20"/>
              </w:rPr>
            </w:pPr>
            <w:r>
              <w:rPr>
                <w:noProof/>
                <w:sz w:val="20"/>
                <w:szCs w:val="20"/>
              </w:rPr>
              <w:t>0,050</w:t>
            </w:r>
          </w:p>
        </w:tc>
        <w:tc>
          <w:tcPr>
            <w:tcW w:w="360" w:type="dxa"/>
            <w:tcBorders>
              <w:right w:val="dashSmallGap" w:sz="4" w:space="0" w:color="auto"/>
            </w:tcBorders>
          </w:tcPr>
          <w:p>
            <w:pPr>
              <w:ind w:right="-29"/>
              <w:jc w:val="center"/>
              <w:rPr>
                <w:noProof/>
                <w:sz w:val="20"/>
                <w:szCs w:val="20"/>
              </w:rPr>
            </w:pPr>
          </w:p>
        </w:tc>
        <w:tc>
          <w:tcPr>
            <w:tcW w:w="840" w:type="dxa"/>
            <w:tcBorders>
              <w:left w:val="dashSmallGap" w:sz="4" w:space="0" w:color="auto"/>
              <w:bottom w:val="single" w:sz="4" w:space="0" w:color="auto"/>
            </w:tcBorders>
          </w:tcPr>
          <w:p>
            <w:pPr>
              <w:ind w:right="-29"/>
              <w:jc w:val="center"/>
              <w:rPr>
                <w:noProof/>
                <w:sz w:val="20"/>
                <w:szCs w:val="20"/>
              </w:rPr>
            </w:pPr>
            <w:r>
              <w:rPr>
                <w:noProof/>
                <w:sz w:val="20"/>
                <w:szCs w:val="20"/>
              </w:rPr>
              <w:t>0,050</w:t>
            </w:r>
          </w:p>
        </w:tc>
        <w:tc>
          <w:tcPr>
            <w:tcW w:w="360" w:type="dxa"/>
            <w:tcBorders>
              <w:right w:val="dashSmallGap" w:sz="4" w:space="0" w:color="auto"/>
            </w:tcBorders>
          </w:tcPr>
          <w:p>
            <w:pPr>
              <w:ind w:right="-29"/>
              <w:jc w:val="center"/>
              <w:rPr>
                <w:noProof/>
                <w:sz w:val="20"/>
                <w:szCs w:val="20"/>
              </w:rPr>
            </w:pPr>
          </w:p>
        </w:tc>
        <w:tc>
          <w:tcPr>
            <w:tcW w:w="840" w:type="dxa"/>
            <w:tcBorders>
              <w:left w:val="dashSmallGap" w:sz="4" w:space="0" w:color="auto"/>
              <w:bottom w:val="single" w:sz="4" w:space="0" w:color="auto"/>
            </w:tcBorders>
          </w:tcPr>
          <w:p>
            <w:pPr>
              <w:ind w:right="-29"/>
              <w:jc w:val="center"/>
              <w:rPr>
                <w:noProof/>
                <w:sz w:val="20"/>
                <w:szCs w:val="20"/>
              </w:rPr>
            </w:pPr>
            <w:r>
              <w:rPr>
                <w:noProof/>
                <w:sz w:val="20"/>
                <w:szCs w:val="20"/>
              </w:rPr>
              <w:t>0,050</w:t>
            </w:r>
          </w:p>
        </w:tc>
        <w:tc>
          <w:tcPr>
            <w:tcW w:w="236" w:type="dxa"/>
            <w:tcBorders>
              <w:right w:val="dashSmallGap" w:sz="4" w:space="0" w:color="auto"/>
            </w:tcBorders>
          </w:tcPr>
          <w:p>
            <w:pPr>
              <w:ind w:right="-29"/>
              <w:jc w:val="center"/>
              <w:rPr>
                <w:noProof/>
                <w:sz w:val="20"/>
                <w:szCs w:val="20"/>
              </w:rPr>
            </w:pPr>
          </w:p>
        </w:tc>
        <w:tc>
          <w:tcPr>
            <w:tcW w:w="865" w:type="dxa"/>
            <w:tcBorders>
              <w:left w:val="dashSmallGap" w:sz="4" w:space="0" w:color="auto"/>
              <w:bottom w:val="single" w:sz="4" w:space="0" w:color="auto"/>
              <w:right w:val="single" w:sz="12" w:space="0" w:color="auto"/>
            </w:tcBorders>
          </w:tcPr>
          <w:p>
            <w:pPr>
              <w:ind w:right="-29"/>
              <w:jc w:val="center"/>
              <w:rPr>
                <w:noProof/>
                <w:sz w:val="20"/>
                <w:szCs w:val="20"/>
              </w:rPr>
            </w:pPr>
            <w:r>
              <w:rPr>
                <w:noProof/>
                <w:sz w:val="20"/>
                <w:szCs w:val="20"/>
              </w:rPr>
              <w:t xml:space="preserve">0,340  </w:t>
            </w:r>
          </w:p>
        </w:tc>
      </w:tr>
      <w:tr>
        <w:trPr>
          <w:jc w:val="center"/>
        </w:trPr>
        <w:tc>
          <w:tcPr>
            <w:tcW w:w="2802" w:type="dxa"/>
            <w:gridSpan w:val="3"/>
            <w:tcBorders>
              <w:left w:val="single" w:sz="12" w:space="0" w:color="auto"/>
              <w:bottom w:val="single" w:sz="12" w:space="0" w:color="auto"/>
            </w:tcBorders>
            <w:vAlign w:val="center"/>
          </w:tcPr>
          <w:p>
            <w:pPr>
              <w:ind w:right="-29"/>
              <w:jc w:val="center"/>
              <w:rPr>
                <w:noProof/>
                <w:sz w:val="18"/>
                <w:szCs w:val="18"/>
              </w:rPr>
            </w:pPr>
            <w:r>
              <w:rPr>
                <w:noProof/>
                <w:sz w:val="18"/>
              </w:rPr>
              <w:t>Subtotal for specific objective No 1</w:t>
            </w:r>
          </w:p>
        </w:tc>
        <w:tc>
          <w:tcPr>
            <w:tcW w:w="303" w:type="dxa"/>
            <w:tcBorders>
              <w:bottom w:val="single" w:sz="12" w:space="0" w:color="auto"/>
              <w:right w:val="dashSmallGap" w:sz="4" w:space="0" w:color="auto"/>
            </w:tcBorders>
          </w:tcPr>
          <w:p>
            <w:pPr>
              <w:ind w:right="-29"/>
              <w:jc w:val="center"/>
              <w:rPr>
                <w:noProof/>
                <w:sz w:val="18"/>
                <w:szCs w:val="18"/>
              </w:rPr>
            </w:pPr>
          </w:p>
        </w:tc>
        <w:tc>
          <w:tcPr>
            <w:tcW w:w="867" w:type="dxa"/>
            <w:tcBorders>
              <w:left w:val="dashSmallGap" w:sz="4" w:space="0" w:color="auto"/>
              <w:bottom w:val="single" w:sz="12" w:space="0" w:color="auto"/>
            </w:tcBorders>
          </w:tcPr>
          <w:p>
            <w:pPr>
              <w:ind w:right="-29"/>
              <w:jc w:val="center"/>
              <w:rPr>
                <w:b/>
                <w:noProof/>
                <w:sz w:val="22"/>
                <w:szCs w:val="18"/>
              </w:rPr>
            </w:pPr>
            <w:r>
              <w:rPr>
                <w:b/>
                <w:noProof/>
                <w:sz w:val="22"/>
                <w:szCs w:val="18"/>
              </w:rPr>
              <w:t xml:space="preserve">2,390 </w:t>
            </w:r>
          </w:p>
        </w:tc>
        <w:tc>
          <w:tcPr>
            <w:tcW w:w="330" w:type="dxa"/>
            <w:tcBorders>
              <w:bottom w:val="single" w:sz="12" w:space="0" w:color="auto"/>
              <w:right w:val="dashSmallGap" w:sz="4" w:space="0" w:color="auto"/>
            </w:tcBorders>
          </w:tcPr>
          <w:p>
            <w:pPr>
              <w:ind w:right="-29"/>
              <w:jc w:val="center"/>
              <w:rPr>
                <w:noProof/>
                <w:sz w:val="22"/>
                <w:szCs w:val="18"/>
              </w:rPr>
            </w:pPr>
          </w:p>
        </w:tc>
        <w:tc>
          <w:tcPr>
            <w:tcW w:w="840" w:type="dxa"/>
            <w:tcBorders>
              <w:left w:val="dashSmallGap" w:sz="4" w:space="0" w:color="auto"/>
              <w:bottom w:val="single" w:sz="12" w:space="0" w:color="auto"/>
            </w:tcBorders>
          </w:tcPr>
          <w:p>
            <w:pPr>
              <w:jc w:val="center"/>
              <w:rPr>
                <w:rFonts w:ascii="Calibri" w:hAnsi="Calibri"/>
                <w:b/>
                <w:bCs/>
                <w:noProof/>
                <w:color w:val="000000"/>
                <w:sz w:val="22"/>
              </w:rPr>
            </w:pPr>
            <w:r>
              <w:rPr>
                <w:rFonts w:ascii="Calibri" w:hAnsi="Calibri"/>
                <w:b/>
                <w:bCs/>
                <w:noProof/>
                <w:color w:val="000000"/>
                <w:sz w:val="22"/>
              </w:rPr>
              <w:t xml:space="preserve">11,151 </w:t>
            </w:r>
          </w:p>
          <w:p>
            <w:pPr>
              <w:ind w:right="-29"/>
              <w:jc w:val="center"/>
              <w:rPr>
                <w:b/>
                <w:noProof/>
                <w:sz w:val="22"/>
                <w:szCs w:val="18"/>
              </w:rPr>
            </w:pPr>
          </w:p>
        </w:tc>
        <w:tc>
          <w:tcPr>
            <w:tcW w:w="360" w:type="dxa"/>
            <w:tcBorders>
              <w:bottom w:val="single" w:sz="12" w:space="0" w:color="auto"/>
              <w:right w:val="dashSmallGap" w:sz="4" w:space="0" w:color="auto"/>
            </w:tcBorders>
          </w:tcPr>
          <w:p>
            <w:pPr>
              <w:ind w:right="-29"/>
              <w:jc w:val="center"/>
              <w:rPr>
                <w:noProof/>
                <w:sz w:val="22"/>
                <w:szCs w:val="18"/>
              </w:rPr>
            </w:pPr>
          </w:p>
        </w:tc>
        <w:tc>
          <w:tcPr>
            <w:tcW w:w="963" w:type="dxa"/>
            <w:tcBorders>
              <w:left w:val="dashSmallGap" w:sz="4" w:space="0" w:color="auto"/>
              <w:bottom w:val="single" w:sz="12" w:space="0" w:color="auto"/>
            </w:tcBorders>
          </w:tcPr>
          <w:p>
            <w:pPr>
              <w:jc w:val="center"/>
              <w:rPr>
                <w:rFonts w:ascii="Calibri" w:hAnsi="Calibri"/>
                <w:b/>
                <w:bCs/>
                <w:noProof/>
                <w:color w:val="000000"/>
                <w:sz w:val="22"/>
              </w:rPr>
            </w:pPr>
            <w:r>
              <w:rPr>
                <w:rFonts w:ascii="Calibri" w:hAnsi="Calibri"/>
                <w:b/>
                <w:bCs/>
                <w:noProof/>
                <w:color w:val="000000"/>
                <w:sz w:val="22"/>
              </w:rPr>
              <w:t>28,879</w:t>
            </w:r>
          </w:p>
          <w:p>
            <w:pPr>
              <w:ind w:right="-29"/>
              <w:jc w:val="center"/>
              <w:rPr>
                <w:b/>
                <w:noProof/>
                <w:sz w:val="22"/>
                <w:szCs w:val="18"/>
              </w:rPr>
            </w:pPr>
          </w:p>
        </w:tc>
        <w:tc>
          <w:tcPr>
            <w:tcW w:w="237" w:type="dxa"/>
            <w:tcBorders>
              <w:bottom w:val="single" w:sz="12" w:space="0" w:color="auto"/>
              <w:right w:val="dashSmallGap" w:sz="4" w:space="0" w:color="auto"/>
            </w:tcBorders>
          </w:tcPr>
          <w:p>
            <w:pPr>
              <w:ind w:right="-29"/>
              <w:jc w:val="center"/>
              <w:rPr>
                <w:noProof/>
                <w:sz w:val="22"/>
                <w:szCs w:val="18"/>
              </w:rPr>
            </w:pPr>
          </w:p>
        </w:tc>
        <w:tc>
          <w:tcPr>
            <w:tcW w:w="840" w:type="dxa"/>
            <w:tcBorders>
              <w:left w:val="dashSmallGap" w:sz="4" w:space="0" w:color="auto"/>
              <w:bottom w:val="single" w:sz="12" w:space="0" w:color="auto"/>
            </w:tcBorders>
          </w:tcPr>
          <w:p>
            <w:pPr>
              <w:jc w:val="center"/>
              <w:rPr>
                <w:rFonts w:ascii="Calibri" w:hAnsi="Calibri"/>
                <w:b/>
                <w:bCs/>
                <w:noProof/>
                <w:color w:val="000000"/>
                <w:sz w:val="22"/>
              </w:rPr>
            </w:pPr>
            <w:r>
              <w:rPr>
                <w:rFonts w:ascii="Calibri" w:hAnsi="Calibri"/>
                <w:b/>
                <w:bCs/>
                <w:noProof/>
                <w:color w:val="000000"/>
                <w:sz w:val="22"/>
              </w:rPr>
              <w:t>16,131</w:t>
            </w:r>
          </w:p>
          <w:p>
            <w:pPr>
              <w:ind w:right="-29"/>
              <w:jc w:val="center"/>
              <w:rPr>
                <w:b/>
                <w:noProof/>
                <w:sz w:val="22"/>
                <w:szCs w:val="18"/>
              </w:rPr>
            </w:pPr>
          </w:p>
        </w:tc>
        <w:tc>
          <w:tcPr>
            <w:tcW w:w="314" w:type="dxa"/>
            <w:tcBorders>
              <w:bottom w:val="single" w:sz="12" w:space="0" w:color="auto"/>
              <w:right w:val="dashSmallGap" w:sz="4" w:space="0" w:color="auto"/>
            </w:tcBorders>
          </w:tcPr>
          <w:p>
            <w:pPr>
              <w:ind w:right="-29"/>
              <w:jc w:val="center"/>
              <w:rPr>
                <w:noProof/>
                <w:sz w:val="22"/>
                <w:szCs w:val="18"/>
              </w:rPr>
            </w:pPr>
          </w:p>
        </w:tc>
        <w:tc>
          <w:tcPr>
            <w:tcW w:w="718" w:type="dxa"/>
            <w:tcBorders>
              <w:left w:val="dashSmallGap" w:sz="4" w:space="0" w:color="auto"/>
              <w:bottom w:val="single" w:sz="12" w:space="0" w:color="auto"/>
            </w:tcBorders>
          </w:tcPr>
          <w:p>
            <w:pPr>
              <w:ind w:right="-29"/>
              <w:rPr>
                <w:b/>
                <w:noProof/>
                <w:sz w:val="22"/>
              </w:rPr>
            </w:pPr>
            <w:r>
              <w:rPr>
                <w:b/>
                <w:noProof/>
                <w:sz w:val="22"/>
              </w:rPr>
              <w:t>6,830</w:t>
            </w:r>
          </w:p>
        </w:tc>
        <w:tc>
          <w:tcPr>
            <w:tcW w:w="360" w:type="dxa"/>
            <w:tcBorders>
              <w:bottom w:val="single" w:sz="12" w:space="0" w:color="auto"/>
              <w:right w:val="dashSmallGap" w:sz="4" w:space="0" w:color="auto"/>
            </w:tcBorders>
          </w:tcPr>
          <w:p>
            <w:pPr>
              <w:ind w:right="-29"/>
              <w:jc w:val="center"/>
              <w:rPr>
                <w:b/>
                <w:noProof/>
                <w:sz w:val="22"/>
              </w:rPr>
            </w:pPr>
          </w:p>
        </w:tc>
        <w:tc>
          <w:tcPr>
            <w:tcW w:w="720" w:type="dxa"/>
            <w:tcBorders>
              <w:left w:val="dashSmallGap" w:sz="4" w:space="0" w:color="auto"/>
              <w:bottom w:val="single" w:sz="12" w:space="0" w:color="auto"/>
            </w:tcBorders>
          </w:tcPr>
          <w:p>
            <w:pPr>
              <w:ind w:right="-29"/>
              <w:jc w:val="center"/>
              <w:rPr>
                <w:b/>
                <w:noProof/>
                <w:sz w:val="22"/>
              </w:rPr>
            </w:pPr>
            <w:r>
              <w:rPr>
                <w:b/>
                <w:noProof/>
                <w:sz w:val="22"/>
              </w:rPr>
              <w:t>1,815</w:t>
            </w:r>
          </w:p>
        </w:tc>
        <w:tc>
          <w:tcPr>
            <w:tcW w:w="360" w:type="dxa"/>
            <w:tcBorders>
              <w:bottom w:val="single" w:sz="12" w:space="0" w:color="auto"/>
              <w:right w:val="dashSmallGap" w:sz="4" w:space="0" w:color="auto"/>
            </w:tcBorders>
          </w:tcPr>
          <w:p>
            <w:pPr>
              <w:ind w:right="-29"/>
              <w:jc w:val="center"/>
              <w:rPr>
                <w:b/>
                <w:noProof/>
                <w:sz w:val="22"/>
              </w:rPr>
            </w:pPr>
          </w:p>
        </w:tc>
        <w:tc>
          <w:tcPr>
            <w:tcW w:w="840" w:type="dxa"/>
            <w:tcBorders>
              <w:left w:val="dashSmallGap" w:sz="4" w:space="0" w:color="auto"/>
              <w:bottom w:val="single" w:sz="12" w:space="0" w:color="auto"/>
            </w:tcBorders>
          </w:tcPr>
          <w:p>
            <w:pPr>
              <w:ind w:right="-29"/>
              <w:jc w:val="center"/>
              <w:rPr>
                <w:b/>
                <w:noProof/>
                <w:sz w:val="22"/>
              </w:rPr>
            </w:pPr>
            <w:r>
              <w:rPr>
                <w:b/>
                <w:noProof/>
                <w:sz w:val="22"/>
              </w:rPr>
              <w:t>0,415</w:t>
            </w:r>
          </w:p>
        </w:tc>
        <w:tc>
          <w:tcPr>
            <w:tcW w:w="360" w:type="dxa"/>
            <w:tcBorders>
              <w:bottom w:val="single" w:sz="12" w:space="0" w:color="auto"/>
              <w:right w:val="dashSmallGap" w:sz="4" w:space="0" w:color="auto"/>
            </w:tcBorders>
          </w:tcPr>
          <w:p>
            <w:pPr>
              <w:ind w:right="-29"/>
              <w:jc w:val="center"/>
              <w:rPr>
                <w:b/>
                <w:noProof/>
                <w:sz w:val="22"/>
              </w:rPr>
            </w:pPr>
          </w:p>
        </w:tc>
        <w:tc>
          <w:tcPr>
            <w:tcW w:w="840" w:type="dxa"/>
            <w:tcBorders>
              <w:left w:val="dashSmallGap" w:sz="4" w:space="0" w:color="auto"/>
              <w:bottom w:val="single" w:sz="12" w:space="0" w:color="auto"/>
            </w:tcBorders>
          </w:tcPr>
          <w:p>
            <w:pPr>
              <w:ind w:right="-29"/>
              <w:jc w:val="center"/>
              <w:rPr>
                <w:b/>
                <w:noProof/>
                <w:sz w:val="22"/>
              </w:rPr>
            </w:pPr>
            <w:r>
              <w:rPr>
                <w:b/>
                <w:noProof/>
                <w:sz w:val="22"/>
              </w:rPr>
              <w:t>0,335</w:t>
            </w:r>
          </w:p>
        </w:tc>
        <w:tc>
          <w:tcPr>
            <w:tcW w:w="360" w:type="dxa"/>
            <w:tcBorders>
              <w:bottom w:val="single" w:sz="12" w:space="0" w:color="auto"/>
              <w:right w:val="dashSmallGap" w:sz="4" w:space="0" w:color="auto"/>
            </w:tcBorders>
          </w:tcPr>
          <w:p>
            <w:pPr>
              <w:ind w:right="-29"/>
              <w:jc w:val="center"/>
              <w:rPr>
                <w:b/>
                <w:noProof/>
                <w:sz w:val="22"/>
              </w:rPr>
            </w:pPr>
          </w:p>
        </w:tc>
        <w:tc>
          <w:tcPr>
            <w:tcW w:w="840" w:type="dxa"/>
            <w:tcBorders>
              <w:left w:val="dashSmallGap" w:sz="4" w:space="0" w:color="auto"/>
              <w:bottom w:val="single" w:sz="12" w:space="0" w:color="auto"/>
            </w:tcBorders>
          </w:tcPr>
          <w:p>
            <w:pPr>
              <w:ind w:right="-29"/>
              <w:jc w:val="center"/>
              <w:rPr>
                <w:b/>
                <w:noProof/>
                <w:sz w:val="22"/>
              </w:rPr>
            </w:pPr>
            <w:r>
              <w:rPr>
                <w:b/>
                <w:noProof/>
                <w:sz w:val="22"/>
              </w:rPr>
              <w:t>0,335</w:t>
            </w:r>
          </w:p>
        </w:tc>
        <w:tc>
          <w:tcPr>
            <w:tcW w:w="236" w:type="dxa"/>
            <w:tcBorders>
              <w:bottom w:val="single" w:sz="12" w:space="0" w:color="auto"/>
              <w:right w:val="dashSmallGap" w:sz="4" w:space="0" w:color="auto"/>
            </w:tcBorders>
          </w:tcPr>
          <w:p>
            <w:pPr>
              <w:ind w:right="-29"/>
              <w:jc w:val="center"/>
              <w:rPr>
                <w:noProof/>
                <w:sz w:val="22"/>
                <w:szCs w:val="18"/>
              </w:rPr>
            </w:pPr>
          </w:p>
        </w:tc>
        <w:tc>
          <w:tcPr>
            <w:tcW w:w="865" w:type="dxa"/>
            <w:tcBorders>
              <w:left w:val="dashSmallGap" w:sz="4" w:space="0" w:color="auto"/>
              <w:bottom w:val="single" w:sz="12" w:space="0" w:color="auto"/>
              <w:right w:val="single" w:sz="12" w:space="0" w:color="auto"/>
            </w:tcBorders>
          </w:tcPr>
          <w:p>
            <w:pPr>
              <w:jc w:val="center"/>
              <w:rPr>
                <w:rFonts w:ascii="Calibri" w:hAnsi="Calibri"/>
                <w:b/>
                <w:bCs/>
                <w:noProof/>
                <w:color w:val="000000"/>
                <w:sz w:val="22"/>
              </w:rPr>
            </w:pPr>
            <w:r>
              <w:rPr>
                <w:rFonts w:ascii="Calibri" w:hAnsi="Calibri"/>
                <w:b/>
                <w:bCs/>
                <w:noProof/>
                <w:color w:val="000000"/>
                <w:sz w:val="22"/>
              </w:rPr>
              <w:t>68,281</w:t>
            </w:r>
          </w:p>
          <w:p>
            <w:pPr>
              <w:ind w:right="-29"/>
              <w:jc w:val="center"/>
              <w:rPr>
                <w:b/>
                <w:noProof/>
                <w:sz w:val="22"/>
                <w:szCs w:val="18"/>
              </w:rPr>
            </w:pPr>
          </w:p>
        </w:tc>
      </w:tr>
    </w:tbl>
    <w:p>
      <w:pPr>
        <w:rPr>
          <w:noProof/>
        </w:rPr>
      </w:pPr>
    </w:p>
    <w:p>
      <w:pPr>
        <w:pStyle w:val="ListDash"/>
        <w:rPr>
          <w:noProof/>
        </w:rPr>
      </w:pPr>
      <w:r>
        <w:rPr>
          <w:noProof/>
        </w:rPr>
        <w:t>This objective only includes the costs for delivering the four interoperability components and the CRRS.</w:t>
      </w:r>
    </w:p>
    <w:p>
      <w:pPr>
        <w:pStyle w:val="ListDash"/>
        <w:rPr>
          <w:noProof/>
        </w:rPr>
      </w:pPr>
      <w:r>
        <w:rPr>
          <w:noProof/>
        </w:rPr>
        <w:t>The costs for the shared BMS have been estimated taking into account the assumption that the EES that is about to be developed will serve as the core system for the development. Therefore, it is planned to reuse the biometric software licences (€36 million) included for EES.</w:t>
      </w:r>
    </w:p>
    <w:p>
      <w:pPr>
        <w:pStyle w:val="ListDash"/>
        <w:rPr>
          <w:noProof/>
        </w:rPr>
      </w:pPr>
      <w:r>
        <w:rPr>
          <w:noProof/>
        </w:rPr>
        <w:t xml:space="preserve">In this budget, the shared BMS is budget-wise treated as a further extension of the BMS for the EES. Therefore the current financial sheet includes the marginal cost for software licences (€ 6,8 million) for adding the approximately 20 million biometric data sets contained in the SIS AFIS (AFIS is the automated fingerprint identification system = the 'BMS' of SIS), the Eurodac AFIS and the future ECRIS-TCN (European Criminal Records Information System for third-country nationals) to the BMS delivered for EES. The costs for integrating the different systems (SIS, Eurodac, ECRIS-TCN) to the shared BMS are included in this financial sheet.  </w:t>
      </w:r>
    </w:p>
    <w:p>
      <w:pPr>
        <w:pStyle w:val="ListDash"/>
        <w:rPr>
          <w:noProof/>
        </w:rPr>
      </w:pPr>
      <w:r>
        <w:rPr>
          <w:noProof/>
        </w:rPr>
        <w:t>As part of the work over 2019 and 2020, eu-LISA will be asked to work out the precise technical solution that cannot be defined at the time of submitting the legal proposal and to estimate the cost consequences for implementing the preferred technical solution. This may require a change to the cost estimate provided here.</w:t>
      </w:r>
    </w:p>
    <w:p>
      <w:pPr>
        <w:pStyle w:val="ListDash"/>
        <w:rPr>
          <w:noProof/>
        </w:rPr>
      </w:pPr>
      <w:r>
        <w:rPr>
          <w:noProof/>
        </w:rPr>
        <w:t>All components are delivered by the end of 2023, which explains why the contractor expenses reduce to close to zero by that time. Only a residual amount for recurrent update of the CRSS remains.</w:t>
      </w:r>
    </w:p>
    <w:p>
      <w:pPr>
        <w:pStyle w:val="ListDash"/>
        <w:rPr>
          <w:noProof/>
        </w:rPr>
      </w:pPr>
      <w:r>
        <w:rPr>
          <w:noProof/>
        </w:rPr>
        <w:t>Over the period 2019 to 2021, the expenses on software increase substantially as the software licence costs are incurred for the different environments needed for production, pre-production and testing and this both on central site and the back-up site. In addition, some specific and indispensable software components are priced according to the number 'referenced objects' (say the volume of data). As the database will ultimately contain about 220 million identities, the software price is proportionate to this value.</w:t>
      </w:r>
    </w:p>
    <w:p>
      <w:pPr>
        <w:keepNext/>
        <w:rPr>
          <w:noProof/>
        </w:rPr>
      </w:pPr>
    </w:p>
    <w:tbl>
      <w:tblPr>
        <w:tblW w:w="143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22"/>
        <w:gridCol w:w="721"/>
        <w:gridCol w:w="659"/>
        <w:gridCol w:w="393"/>
        <w:gridCol w:w="777"/>
        <w:gridCol w:w="303"/>
        <w:gridCol w:w="867"/>
        <w:gridCol w:w="333"/>
        <w:gridCol w:w="867"/>
        <w:gridCol w:w="333"/>
        <w:gridCol w:w="867"/>
        <w:gridCol w:w="333"/>
        <w:gridCol w:w="699"/>
        <w:gridCol w:w="381"/>
        <w:gridCol w:w="699"/>
        <w:gridCol w:w="381"/>
        <w:gridCol w:w="819"/>
        <w:gridCol w:w="360"/>
        <w:gridCol w:w="840"/>
        <w:gridCol w:w="360"/>
        <w:gridCol w:w="840"/>
        <w:gridCol w:w="261"/>
        <w:gridCol w:w="879"/>
      </w:tblGrid>
      <w:tr>
        <w:trPr>
          <w:jc w:val="center"/>
        </w:trPr>
        <w:tc>
          <w:tcPr>
            <w:tcW w:w="1422" w:type="dxa"/>
            <w:vMerge w:val="restart"/>
            <w:tcBorders>
              <w:top w:val="single" w:sz="12" w:space="0" w:color="auto"/>
              <w:left w:val="single" w:sz="12" w:space="0" w:color="auto"/>
            </w:tcBorders>
            <w:vAlign w:val="center"/>
          </w:tcPr>
          <w:p>
            <w:pPr>
              <w:keepNext/>
              <w:ind w:right="-29"/>
              <w:jc w:val="center"/>
              <w:rPr>
                <w:b/>
                <w:noProof/>
                <w:sz w:val="18"/>
                <w:szCs w:val="18"/>
              </w:rPr>
            </w:pPr>
            <w:r>
              <w:rPr>
                <w:b/>
                <w:noProof/>
                <w:sz w:val="18"/>
              </w:rPr>
              <w:t xml:space="preserve">Indicate objectives and outputs </w:t>
            </w:r>
          </w:p>
          <w:p>
            <w:pPr>
              <w:keepNext/>
              <w:ind w:right="-29"/>
              <w:jc w:val="center"/>
              <w:rPr>
                <w:b/>
                <w:noProof/>
                <w:sz w:val="18"/>
                <w:szCs w:val="18"/>
              </w:rPr>
            </w:pPr>
            <w:r>
              <w:rPr>
                <w:b/>
                <w:noProof/>
                <w:sz w:val="18"/>
                <w:szCs w:val="18"/>
              </w:rPr>
              <w:t>Eu-LISA</w:t>
            </w:r>
          </w:p>
          <w:p>
            <w:pPr>
              <w:keepNext/>
              <w:ind w:right="-29"/>
              <w:jc w:val="center"/>
              <w:rPr>
                <w:noProof/>
                <w:sz w:val="18"/>
                <w:szCs w:val="18"/>
              </w:rPr>
            </w:pPr>
            <w:r>
              <w:rPr>
                <w:noProof/>
                <w:sz w:val="18"/>
              </w:rPr>
              <w:sym w:font="Wingdings" w:char="F0F2"/>
            </w:r>
          </w:p>
        </w:tc>
        <w:tc>
          <w:tcPr>
            <w:tcW w:w="721" w:type="dxa"/>
            <w:tcBorders>
              <w:top w:val="single" w:sz="12" w:space="0" w:color="auto"/>
            </w:tcBorders>
            <w:vAlign w:val="center"/>
          </w:tcPr>
          <w:p>
            <w:pPr>
              <w:keepNext/>
              <w:ind w:right="-29"/>
              <w:jc w:val="center"/>
              <w:rPr>
                <w:noProof/>
                <w:sz w:val="18"/>
                <w:szCs w:val="18"/>
              </w:rPr>
            </w:pPr>
          </w:p>
        </w:tc>
        <w:tc>
          <w:tcPr>
            <w:tcW w:w="659" w:type="dxa"/>
            <w:tcBorders>
              <w:top w:val="single" w:sz="12" w:space="0" w:color="auto"/>
            </w:tcBorders>
            <w:vAlign w:val="center"/>
          </w:tcPr>
          <w:p>
            <w:pPr>
              <w:keepNext/>
              <w:ind w:right="-29"/>
              <w:jc w:val="center"/>
              <w:rPr>
                <w:noProof/>
                <w:sz w:val="18"/>
                <w:szCs w:val="18"/>
              </w:rPr>
            </w:pPr>
          </w:p>
        </w:tc>
        <w:tc>
          <w:tcPr>
            <w:tcW w:w="1170" w:type="dxa"/>
            <w:gridSpan w:val="2"/>
            <w:tcBorders>
              <w:top w:val="single" w:sz="12" w:space="0" w:color="auto"/>
              <w:right w:val="single" w:sz="4" w:space="0" w:color="auto"/>
            </w:tcBorders>
            <w:vAlign w:val="center"/>
          </w:tcPr>
          <w:p>
            <w:pPr>
              <w:keepNext/>
              <w:ind w:right="-29"/>
              <w:jc w:val="center"/>
              <w:rPr>
                <w:noProof/>
                <w:sz w:val="18"/>
                <w:szCs w:val="18"/>
              </w:rPr>
            </w:pPr>
            <w:r>
              <w:rPr>
                <w:noProof/>
                <w:sz w:val="18"/>
              </w:rPr>
              <w:t>Year</w:t>
            </w:r>
            <w:r>
              <w:rPr>
                <w:noProof/>
                <w:sz w:val="22"/>
              </w:rPr>
              <w:br/>
            </w:r>
            <w:r>
              <w:rPr>
                <w:b/>
                <w:noProof/>
                <w:sz w:val="18"/>
              </w:rPr>
              <w:t>2019</w:t>
            </w:r>
          </w:p>
        </w:tc>
        <w:tc>
          <w:tcPr>
            <w:tcW w:w="1170" w:type="dxa"/>
            <w:gridSpan w:val="2"/>
            <w:tcBorders>
              <w:top w:val="single" w:sz="12" w:space="0" w:color="auto"/>
              <w:left w:val="single" w:sz="4" w:space="0" w:color="auto"/>
            </w:tcBorders>
            <w:vAlign w:val="center"/>
          </w:tcPr>
          <w:p>
            <w:pPr>
              <w:keepNext/>
              <w:ind w:right="-29"/>
              <w:jc w:val="center"/>
              <w:rPr>
                <w:noProof/>
                <w:sz w:val="18"/>
                <w:szCs w:val="18"/>
              </w:rPr>
            </w:pPr>
            <w:r>
              <w:rPr>
                <w:noProof/>
                <w:sz w:val="18"/>
              </w:rPr>
              <w:t>Year</w:t>
            </w:r>
            <w:r>
              <w:rPr>
                <w:noProof/>
                <w:sz w:val="22"/>
              </w:rPr>
              <w:br/>
            </w:r>
            <w:r>
              <w:rPr>
                <w:b/>
                <w:noProof/>
                <w:sz w:val="18"/>
              </w:rPr>
              <w:t>2020</w:t>
            </w:r>
          </w:p>
        </w:tc>
        <w:tc>
          <w:tcPr>
            <w:tcW w:w="1200" w:type="dxa"/>
            <w:gridSpan w:val="2"/>
            <w:tcBorders>
              <w:top w:val="single" w:sz="12" w:space="0" w:color="auto"/>
            </w:tcBorders>
            <w:vAlign w:val="center"/>
          </w:tcPr>
          <w:p>
            <w:pPr>
              <w:keepNext/>
              <w:ind w:right="-29"/>
              <w:jc w:val="center"/>
              <w:rPr>
                <w:noProof/>
                <w:sz w:val="18"/>
                <w:szCs w:val="18"/>
              </w:rPr>
            </w:pPr>
            <w:r>
              <w:rPr>
                <w:noProof/>
                <w:sz w:val="18"/>
              </w:rPr>
              <w:t>Year</w:t>
            </w:r>
            <w:r>
              <w:rPr>
                <w:noProof/>
                <w:sz w:val="22"/>
              </w:rPr>
              <w:br/>
            </w:r>
            <w:r>
              <w:rPr>
                <w:b/>
                <w:noProof/>
                <w:sz w:val="18"/>
              </w:rPr>
              <w:t>2021</w:t>
            </w:r>
          </w:p>
        </w:tc>
        <w:tc>
          <w:tcPr>
            <w:tcW w:w="1200" w:type="dxa"/>
            <w:gridSpan w:val="2"/>
            <w:tcBorders>
              <w:top w:val="single" w:sz="12" w:space="0" w:color="auto"/>
            </w:tcBorders>
            <w:vAlign w:val="center"/>
          </w:tcPr>
          <w:p>
            <w:pPr>
              <w:keepNext/>
              <w:ind w:right="-29"/>
              <w:jc w:val="center"/>
              <w:rPr>
                <w:noProof/>
                <w:sz w:val="18"/>
                <w:szCs w:val="18"/>
              </w:rPr>
            </w:pPr>
            <w:r>
              <w:rPr>
                <w:noProof/>
                <w:sz w:val="18"/>
              </w:rPr>
              <w:t>Year</w:t>
            </w:r>
            <w:r>
              <w:rPr>
                <w:noProof/>
                <w:sz w:val="22"/>
              </w:rPr>
              <w:br/>
            </w:r>
            <w:r>
              <w:rPr>
                <w:b/>
                <w:noProof/>
                <w:sz w:val="18"/>
              </w:rPr>
              <w:t>2022</w:t>
            </w:r>
          </w:p>
        </w:tc>
        <w:tc>
          <w:tcPr>
            <w:tcW w:w="1032" w:type="dxa"/>
            <w:gridSpan w:val="2"/>
            <w:tcBorders>
              <w:top w:val="single" w:sz="12" w:space="0" w:color="auto"/>
            </w:tcBorders>
            <w:vAlign w:val="center"/>
          </w:tcPr>
          <w:p>
            <w:pPr>
              <w:keepNext/>
              <w:jc w:val="center"/>
              <w:rPr>
                <w:noProof/>
                <w:sz w:val="18"/>
                <w:szCs w:val="18"/>
              </w:rPr>
            </w:pPr>
            <w:r>
              <w:rPr>
                <w:noProof/>
                <w:sz w:val="18"/>
              </w:rPr>
              <w:t>Year</w:t>
            </w:r>
            <w:r>
              <w:rPr>
                <w:noProof/>
                <w:sz w:val="22"/>
              </w:rPr>
              <w:br/>
            </w:r>
            <w:r>
              <w:rPr>
                <w:b/>
                <w:noProof/>
                <w:sz w:val="18"/>
              </w:rPr>
              <w:t>2023</w:t>
            </w:r>
          </w:p>
        </w:tc>
        <w:tc>
          <w:tcPr>
            <w:tcW w:w="1080" w:type="dxa"/>
            <w:gridSpan w:val="2"/>
            <w:tcBorders>
              <w:top w:val="single" w:sz="12" w:space="0" w:color="auto"/>
            </w:tcBorders>
            <w:vAlign w:val="center"/>
          </w:tcPr>
          <w:p>
            <w:pPr>
              <w:keepNext/>
              <w:jc w:val="center"/>
              <w:rPr>
                <w:noProof/>
                <w:sz w:val="18"/>
                <w:szCs w:val="18"/>
              </w:rPr>
            </w:pPr>
            <w:r>
              <w:rPr>
                <w:noProof/>
                <w:sz w:val="18"/>
              </w:rPr>
              <w:t>Year</w:t>
            </w:r>
            <w:r>
              <w:rPr>
                <w:noProof/>
                <w:sz w:val="22"/>
              </w:rPr>
              <w:br/>
            </w:r>
            <w:r>
              <w:rPr>
                <w:b/>
                <w:noProof/>
                <w:sz w:val="18"/>
              </w:rPr>
              <w:t>2024</w:t>
            </w:r>
          </w:p>
        </w:tc>
        <w:tc>
          <w:tcPr>
            <w:tcW w:w="1200" w:type="dxa"/>
            <w:gridSpan w:val="2"/>
            <w:tcBorders>
              <w:top w:val="single" w:sz="12" w:space="0" w:color="auto"/>
            </w:tcBorders>
            <w:vAlign w:val="center"/>
          </w:tcPr>
          <w:p>
            <w:pPr>
              <w:keepNext/>
              <w:jc w:val="center"/>
              <w:rPr>
                <w:noProof/>
                <w:sz w:val="18"/>
                <w:szCs w:val="18"/>
              </w:rPr>
            </w:pPr>
            <w:r>
              <w:rPr>
                <w:noProof/>
                <w:sz w:val="18"/>
              </w:rPr>
              <w:t>Year</w:t>
            </w:r>
            <w:r>
              <w:rPr>
                <w:noProof/>
                <w:sz w:val="22"/>
              </w:rPr>
              <w:br/>
            </w:r>
            <w:r>
              <w:rPr>
                <w:b/>
                <w:noProof/>
                <w:sz w:val="18"/>
              </w:rPr>
              <w:t>2025</w:t>
            </w:r>
          </w:p>
        </w:tc>
        <w:tc>
          <w:tcPr>
            <w:tcW w:w="1200" w:type="dxa"/>
            <w:gridSpan w:val="2"/>
            <w:tcBorders>
              <w:top w:val="single" w:sz="12" w:space="0" w:color="auto"/>
            </w:tcBorders>
          </w:tcPr>
          <w:p>
            <w:pPr>
              <w:keepNext/>
              <w:ind w:right="-29"/>
              <w:jc w:val="center"/>
              <w:rPr>
                <w:b/>
                <w:noProof/>
                <w:sz w:val="18"/>
              </w:rPr>
            </w:pPr>
            <w:r>
              <w:rPr>
                <w:noProof/>
                <w:sz w:val="18"/>
              </w:rPr>
              <w:t>Year</w:t>
            </w:r>
            <w:r>
              <w:rPr>
                <w:noProof/>
                <w:sz w:val="22"/>
              </w:rPr>
              <w:br/>
            </w:r>
            <w:r>
              <w:rPr>
                <w:b/>
                <w:noProof/>
                <w:sz w:val="18"/>
              </w:rPr>
              <w:t>2026</w:t>
            </w:r>
          </w:p>
        </w:tc>
        <w:tc>
          <w:tcPr>
            <w:tcW w:w="1200" w:type="dxa"/>
            <w:gridSpan w:val="2"/>
            <w:tcBorders>
              <w:top w:val="single" w:sz="12" w:space="0" w:color="auto"/>
              <w:right w:val="nil"/>
            </w:tcBorders>
          </w:tcPr>
          <w:p>
            <w:pPr>
              <w:keepNext/>
              <w:ind w:right="-29"/>
              <w:jc w:val="center"/>
              <w:rPr>
                <w:b/>
                <w:noProof/>
                <w:sz w:val="18"/>
              </w:rPr>
            </w:pPr>
            <w:r>
              <w:rPr>
                <w:noProof/>
                <w:sz w:val="18"/>
              </w:rPr>
              <w:t>Year</w:t>
            </w:r>
            <w:r>
              <w:rPr>
                <w:noProof/>
                <w:sz w:val="22"/>
              </w:rPr>
              <w:br/>
            </w:r>
            <w:r>
              <w:rPr>
                <w:b/>
                <w:noProof/>
                <w:sz w:val="18"/>
              </w:rPr>
              <w:t>2027</w:t>
            </w:r>
          </w:p>
        </w:tc>
        <w:tc>
          <w:tcPr>
            <w:tcW w:w="1140" w:type="dxa"/>
            <w:gridSpan w:val="2"/>
            <w:tcBorders>
              <w:top w:val="single" w:sz="12" w:space="0" w:color="auto"/>
              <w:left w:val="single" w:sz="6" w:space="0" w:color="auto"/>
              <w:bottom w:val="single" w:sz="4" w:space="0" w:color="auto"/>
              <w:right w:val="single" w:sz="12" w:space="0" w:color="auto"/>
            </w:tcBorders>
            <w:vAlign w:val="center"/>
          </w:tcPr>
          <w:p>
            <w:pPr>
              <w:keepNext/>
              <w:ind w:right="-29"/>
              <w:jc w:val="center"/>
              <w:rPr>
                <w:noProof/>
                <w:sz w:val="18"/>
                <w:szCs w:val="18"/>
              </w:rPr>
            </w:pPr>
            <w:r>
              <w:rPr>
                <w:b/>
                <w:noProof/>
                <w:sz w:val="18"/>
              </w:rPr>
              <w:t>TOTAL</w:t>
            </w:r>
          </w:p>
        </w:tc>
      </w:tr>
      <w:tr>
        <w:trPr>
          <w:gridAfter w:val="22"/>
          <w:wAfter w:w="12972" w:type="dxa"/>
          <w:trHeight w:val="465"/>
          <w:jc w:val="center"/>
        </w:trPr>
        <w:tc>
          <w:tcPr>
            <w:tcW w:w="1422" w:type="dxa"/>
            <w:vMerge/>
            <w:tcBorders>
              <w:left w:val="single" w:sz="12" w:space="0" w:color="auto"/>
            </w:tcBorders>
            <w:vAlign w:val="center"/>
          </w:tcPr>
          <w:p>
            <w:pPr>
              <w:keepNext/>
              <w:ind w:right="-29"/>
              <w:jc w:val="center"/>
              <w:rPr>
                <w:noProof/>
                <w:sz w:val="18"/>
                <w:szCs w:val="18"/>
              </w:rPr>
            </w:pPr>
          </w:p>
        </w:tc>
      </w:tr>
      <w:tr>
        <w:trPr>
          <w:cantSplit/>
          <w:trHeight w:val="1134"/>
          <w:jc w:val="center"/>
        </w:trPr>
        <w:tc>
          <w:tcPr>
            <w:tcW w:w="1422" w:type="dxa"/>
            <w:vMerge/>
            <w:tcBorders>
              <w:left w:val="single" w:sz="12" w:space="0" w:color="auto"/>
            </w:tcBorders>
            <w:vAlign w:val="center"/>
          </w:tcPr>
          <w:p>
            <w:pPr>
              <w:keepNext/>
              <w:rPr>
                <w:noProof/>
                <w:sz w:val="18"/>
                <w:szCs w:val="18"/>
              </w:rPr>
            </w:pPr>
          </w:p>
        </w:tc>
        <w:tc>
          <w:tcPr>
            <w:tcW w:w="721" w:type="dxa"/>
            <w:vAlign w:val="center"/>
          </w:tcPr>
          <w:p>
            <w:pPr>
              <w:keepNext/>
              <w:jc w:val="center"/>
              <w:rPr>
                <w:noProof/>
                <w:sz w:val="18"/>
                <w:szCs w:val="18"/>
              </w:rPr>
            </w:pPr>
            <w:r>
              <w:rPr>
                <w:noProof/>
                <w:sz w:val="18"/>
              </w:rPr>
              <w:t>Type</w:t>
            </w:r>
            <w:r>
              <w:rPr>
                <w:rStyle w:val="FootnoteReference"/>
                <w:noProof/>
              </w:rPr>
              <w:footnoteReference w:id="97"/>
            </w:r>
          </w:p>
          <w:p>
            <w:pPr>
              <w:keepNext/>
              <w:spacing w:before="0" w:after="0"/>
              <w:jc w:val="center"/>
              <w:rPr>
                <w:noProof/>
                <w:sz w:val="18"/>
                <w:szCs w:val="18"/>
              </w:rPr>
            </w:pPr>
          </w:p>
        </w:tc>
        <w:tc>
          <w:tcPr>
            <w:tcW w:w="659" w:type="dxa"/>
            <w:tcBorders>
              <w:right w:val="single" w:sz="4" w:space="0" w:color="auto"/>
            </w:tcBorders>
            <w:vAlign w:val="center"/>
          </w:tcPr>
          <w:p>
            <w:pPr>
              <w:keepNext/>
              <w:jc w:val="center"/>
              <w:rPr>
                <w:noProof/>
                <w:sz w:val="18"/>
                <w:szCs w:val="18"/>
              </w:rPr>
            </w:pPr>
            <w:r>
              <w:rPr>
                <w:noProof/>
                <w:sz w:val="18"/>
              </w:rPr>
              <w:t>Average cost</w:t>
            </w:r>
          </w:p>
        </w:tc>
        <w:tc>
          <w:tcPr>
            <w:tcW w:w="393" w:type="dxa"/>
            <w:tcBorders>
              <w:top w:val="dotted" w:sz="4" w:space="0" w:color="auto"/>
              <w:left w:val="single" w:sz="4" w:space="0" w:color="auto"/>
              <w:bottom w:val="dotted" w:sz="4" w:space="0" w:color="auto"/>
              <w:right w:val="nil"/>
            </w:tcBorders>
            <w:shd w:val="pct10" w:color="auto" w:fill="auto"/>
            <w:textDirection w:val="btLr"/>
            <w:vAlign w:val="center"/>
          </w:tcPr>
          <w:p>
            <w:pPr>
              <w:keepNext/>
              <w:ind w:left="113" w:right="113"/>
              <w:jc w:val="center"/>
              <w:rPr>
                <w:noProof/>
                <w:sz w:val="18"/>
              </w:rPr>
            </w:pPr>
            <w:r>
              <w:rPr>
                <w:noProof/>
                <w:sz w:val="18"/>
              </w:rPr>
              <w:t>No</w:t>
            </w:r>
          </w:p>
        </w:tc>
        <w:tc>
          <w:tcPr>
            <w:tcW w:w="777" w:type="dxa"/>
            <w:tcBorders>
              <w:left w:val="nil"/>
              <w:right w:val="single" w:sz="4" w:space="0" w:color="auto"/>
            </w:tcBorders>
            <w:shd w:val="pct10" w:color="auto" w:fill="auto"/>
            <w:vAlign w:val="center"/>
          </w:tcPr>
          <w:p>
            <w:pPr>
              <w:keepNext/>
              <w:jc w:val="center"/>
              <w:rPr>
                <w:noProof/>
                <w:sz w:val="18"/>
              </w:rPr>
            </w:pPr>
            <w:r>
              <w:rPr>
                <w:noProof/>
                <w:sz w:val="18"/>
              </w:rPr>
              <w:t>Cost</w:t>
            </w:r>
          </w:p>
        </w:tc>
        <w:tc>
          <w:tcPr>
            <w:tcW w:w="303" w:type="dxa"/>
            <w:tcBorders>
              <w:left w:val="single" w:sz="4" w:space="0" w:color="auto"/>
              <w:right w:val="dashSmallGap" w:sz="4" w:space="0" w:color="auto"/>
            </w:tcBorders>
            <w:shd w:val="pct10" w:color="auto" w:fill="auto"/>
            <w:textDirection w:val="btLr"/>
            <w:vAlign w:val="center"/>
          </w:tcPr>
          <w:p>
            <w:pPr>
              <w:keepNext/>
              <w:ind w:left="113" w:right="113"/>
              <w:jc w:val="center"/>
              <w:rPr>
                <w:noProof/>
                <w:sz w:val="18"/>
                <w:szCs w:val="18"/>
              </w:rPr>
            </w:pPr>
            <w:r>
              <w:rPr>
                <w:noProof/>
                <w:sz w:val="18"/>
              </w:rPr>
              <w:t>No</w:t>
            </w:r>
          </w:p>
        </w:tc>
        <w:tc>
          <w:tcPr>
            <w:tcW w:w="867" w:type="dxa"/>
            <w:tcBorders>
              <w:left w:val="dashSmallGap" w:sz="4" w:space="0" w:color="auto"/>
            </w:tcBorders>
            <w:shd w:val="pct10" w:color="auto" w:fill="auto"/>
            <w:vAlign w:val="center"/>
          </w:tcPr>
          <w:p>
            <w:pPr>
              <w:keepNext/>
              <w:jc w:val="center"/>
              <w:rPr>
                <w:noProof/>
                <w:sz w:val="18"/>
                <w:szCs w:val="18"/>
              </w:rPr>
            </w:pPr>
            <w:r>
              <w:rPr>
                <w:noProof/>
                <w:sz w:val="18"/>
              </w:rPr>
              <w:t>Cost</w:t>
            </w:r>
          </w:p>
        </w:tc>
        <w:tc>
          <w:tcPr>
            <w:tcW w:w="333" w:type="dxa"/>
            <w:tcBorders>
              <w:right w:val="dashSmallGap" w:sz="4" w:space="0" w:color="auto"/>
            </w:tcBorders>
            <w:shd w:val="pct10" w:color="auto" w:fill="auto"/>
            <w:textDirection w:val="btLr"/>
            <w:vAlign w:val="center"/>
          </w:tcPr>
          <w:p>
            <w:pPr>
              <w:keepNext/>
              <w:ind w:left="113" w:right="113"/>
              <w:jc w:val="center"/>
              <w:rPr>
                <w:noProof/>
                <w:sz w:val="18"/>
                <w:szCs w:val="18"/>
              </w:rPr>
            </w:pPr>
            <w:r>
              <w:rPr>
                <w:noProof/>
                <w:sz w:val="18"/>
              </w:rPr>
              <w:t>No</w:t>
            </w:r>
          </w:p>
        </w:tc>
        <w:tc>
          <w:tcPr>
            <w:tcW w:w="867" w:type="dxa"/>
            <w:tcBorders>
              <w:left w:val="dashSmallGap" w:sz="4" w:space="0" w:color="auto"/>
            </w:tcBorders>
            <w:shd w:val="pct10" w:color="auto" w:fill="auto"/>
            <w:vAlign w:val="center"/>
          </w:tcPr>
          <w:p>
            <w:pPr>
              <w:keepNext/>
              <w:jc w:val="center"/>
              <w:rPr>
                <w:noProof/>
                <w:sz w:val="18"/>
                <w:szCs w:val="18"/>
              </w:rPr>
            </w:pPr>
            <w:r>
              <w:rPr>
                <w:noProof/>
                <w:sz w:val="18"/>
              </w:rPr>
              <w:t>Cost</w:t>
            </w:r>
          </w:p>
        </w:tc>
        <w:tc>
          <w:tcPr>
            <w:tcW w:w="333" w:type="dxa"/>
            <w:tcBorders>
              <w:right w:val="dashSmallGap" w:sz="4" w:space="0" w:color="auto"/>
            </w:tcBorders>
            <w:shd w:val="pct10" w:color="auto" w:fill="auto"/>
            <w:textDirection w:val="btLr"/>
            <w:vAlign w:val="center"/>
          </w:tcPr>
          <w:p>
            <w:pPr>
              <w:keepNext/>
              <w:ind w:left="113" w:right="113"/>
              <w:jc w:val="center"/>
              <w:rPr>
                <w:noProof/>
                <w:sz w:val="18"/>
                <w:szCs w:val="18"/>
              </w:rPr>
            </w:pPr>
            <w:r>
              <w:rPr>
                <w:noProof/>
                <w:sz w:val="18"/>
              </w:rPr>
              <w:t>No</w:t>
            </w:r>
          </w:p>
        </w:tc>
        <w:tc>
          <w:tcPr>
            <w:tcW w:w="867" w:type="dxa"/>
            <w:tcBorders>
              <w:left w:val="dashSmallGap" w:sz="4" w:space="0" w:color="auto"/>
            </w:tcBorders>
            <w:shd w:val="pct10" w:color="auto" w:fill="auto"/>
            <w:vAlign w:val="center"/>
          </w:tcPr>
          <w:p>
            <w:pPr>
              <w:keepNext/>
              <w:jc w:val="center"/>
              <w:rPr>
                <w:noProof/>
                <w:sz w:val="18"/>
                <w:szCs w:val="18"/>
              </w:rPr>
            </w:pPr>
            <w:r>
              <w:rPr>
                <w:noProof/>
                <w:sz w:val="18"/>
              </w:rPr>
              <w:t>Cost</w:t>
            </w:r>
          </w:p>
        </w:tc>
        <w:tc>
          <w:tcPr>
            <w:tcW w:w="333" w:type="dxa"/>
            <w:tcBorders>
              <w:right w:val="dashSmallGap" w:sz="4" w:space="0" w:color="auto"/>
            </w:tcBorders>
            <w:shd w:val="pct10" w:color="auto" w:fill="auto"/>
            <w:textDirection w:val="btLr"/>
            <w:vAlign w:val="center"/>
          </w:tcPr>
          <w:p>
            <w:pPr>
              <w:keepNext/>
              <w:ind w:left="113" w:right="113"/>
              <w:jc w:val="center"/>
              <w:rPr>
                <w:noProof/>
                <w:sz w:val="18"/>
                <w:szCs w:val="18"/>
              </w:rPr>
            </w:pPr>
            <w:r>
              <w:rPr>
                <w:noProof/>
                <w:sz w:val="18"/>
              </w:rPr>
              <w:t>No</w:t>
            </w:r>
          </w:p>
        </w:tc>
        <w:tc>
          <w:tcPr>
            <w:tcW w:w="699" w:type="dxa"/>
            <w:tcBorders>
              <w:left w:val="dashSmallGap" w:sz="4" w:space="0" w:color="auto"/>
            </w:tcBorders>
            <w:shd w:val="pct10" w:color="auto" w:fill="auto"/>
            <w:vAlign w:val="center"/>
          </w:tcPr>
          <w:p>
            <w:pPr>
              <w:keepNext/>
              <w:jc w:val="center"/>
              <w:rPr>
                <w:noProof/>
                <w:sz w:val="18"/>
                <w:szCs w:val="18"/>
              </w:rPr>
            </w:pPr>
            <w:r>
              <w:rPr>
                <w:noProof/>
                <w:sz w:val="18"/>
              </w:rPr>
              <w:t>Cost</w:t>
            </w:r>
          </w:p>
        </w:tc>
        <w:tc>
          <w:tcPr>
            <w:tcW w:w="381" w:type="dxa"/>
            <w:tcBorders>
              <w:right w:val="dashSmallGap" w:sz="4" w:space="0" w:color="auto"/>
            </w:tcBorders>
            <w:shd w:val="pct10" w:color="auto" w:fill="auto"/>
            <w:textDirection w:val="btLr"/>
            <w:vAlign w:val="center"/>
          </w:tcPr>
          <w:p>
            <w:pPr>
              <w:keepNext/>
              <w:ind w:left="113" w:right="113"/>
              <w:jc w:val="center"/>
              <w:rPr>
                <w:noProof/>
                <w:sz w:val="18"/>
                <w:szCs w:val="18"/>
              </w:rPr>
            </w:pPr>
            <w:r>
              <w:rPr>
                <w:noProof/>
                <w:sz w:val="18"/>
              </w:rPr>
              <w:t>No</w:t>
            </w:r>
          </w:p>
        </w:tc>
        <w:tc>
          <w:tcPr>
            <w:tcW w:w="699" w:type="dxa"/>
            <w:tcBorders>
              <w:left w:val="dashSmallGap" w:sz="4" w:space="0" w:color="auto"/>
            </w:tcBorders>
            <w:shd w:val="pct10" w:color="auto" w:fill="auto"/>
            <w:vAlign w:val="center"/>
          </w:tcPr>
          <w:p>
            <w:pPr>
              <w:keepNext/>
              <w:jc w:val="center"/>
              <w:rPr>
                <w:noProof/>
                <w:sz w:val="18"/>
                <w:szCs w:val="18"/>
              </w:rPr>
            </w:pPr>
            <w:r>
              <w:rPr>
                <w:noProof/>
                <w:sz w:val="18"/>
              </w:rPr>
              <w:t>Cost</w:t>
            </w:r>
          </w:p>
        </w:tc>
        <w:tc>
          <w:tcPr>
            <w:tcW w:w="381" w:type="dxa"/>
            <w:tcBorders>
              <w:right w:val="dashSmallGap" w:sz="4" w:space="0" w:color="auto"/>
            </w:tcBorders>
            <w:shd w:val="pct10" w:color="auto" w:fill="auto"/>
            <w:textDirection w:val="btLr"/>
            <w:vAlign w:val="center"/>
          </w:tcPr>
          <w:p>
            <w:pPr>
              <w:keepNext/>
              <w:ind w:left="113" w:right="113"/>
              <w:jc w:val="center"/>
              <w:rPr>
                <w:noProof/>
                <w:sz w:val="18"/>
                <w:szCs w:val="18"/>
              </w:rPr>
            </w:pPr>
            <w:r>
              <w:rPr>
                <w:noProof/>
                <w:sz w:val="18"/>
              </w:rPr>
              <w:t>No</w:t>
            </w:r>
          </w:p>
        </w:tc>
        <w:tc>
          <w:tcPr>
            <w:tcW w:w="819" w:type="dxa"/>
            <w:tcBorders>
              <w:left w:val="dashSmallGap" w:sz="4" w:space="0" w:color="auto"/>
            </w:tcBorders>
            <w:shd w:val="pct10" w:color="auto" w:fill="auto"/>
            <w:vAlign w:val="center"/>
          </w:tcPr>
          <w:p>
            <w:pPr>
              <w:keepNext/>
              <w:jc w:val="center"/>
              <w:rPr>
                <w:noProof/>
                <w:sz w:val="18"/>
                <w:szCs w:val="18"/>
              </w:rPr>
            </w:pPr>
            <w:r>
              <w:rPr>
                <w:noProof/>
                <w:sz w:val="18"/>
              </w:rPr>
              <w:t>Cost</w:t>
            </w:r>
          </w:p>
        </w:tc>
        <w:tc>
          <w:tcPr>
            <w:tcW w:w="360" w:type="dxa"/>
            <w:tcBorders>
              <w:right w:val="dashSmallGap" w:sz="4" w:space="0" w:color="auto"/>
            </w:tcBorders>
            <w:shd w:val="pct10" w:color="auto" w:fill="auto"/>
            <w:textDirection w:val="btLr"/>
            <w:vAlign w:val="center"/>
          </w:tcPr>
          <w:p>
            <w:pPr>
              <w:keepNext/>
              <w:ind w:left="113" w:right="113"/>
              <w:jc w:val="center"/>
              <w:rPr>
                <w:noProof/>
                <w:sz w:val="18"/>
                <w:szCs w:val="18"/>
              </w:rPr>
            </w:pPr>
            <w:r>
              <w:rPr>
                <w:noProof/>
                <w:sz w:val="18"/>
              </w:rPr>
              <w:t>No</w:t>
            </w:r>
          </w:p>
        </w:tc>
        <w:tc>
          <w:tcPr>
            <w:tcW w:w="840" w:type="dxa"/>
            <w:tcBorders>
              <w:left w:val="dashSmallGap" w:sz="4" w:space="0" w:color="auto"/>
            </w:tcBorders>
            <w:shd w:val="pct10" w:color="auto" w:fill="auto"/>
            <w:vAlign w:val="center"/>
          </w:tcPr>
          <w:p>
            <w:pPr>
              <w:keepNext/>
              <w:jc w:val="center"/>
              <w:rPr>
                <w:noProof/>
                <w:sz w:val="18"/>
                <w:szCs w:val="18"/>
              </w:rPr>
            </w:pPr>
            <w:r>
              <w:rPr>
                <w:noProof/>
                <w:sz w:val="18"/>
              </w:rPr>
              <w:t>Cost</w:t>
            </w:r>
          </w:p>
        </w:tc>
        <w:tc>
          <w:tcPr>
            <w:tcW w:w="360" w:type="dxa"/>
            <w:tcBorders>
              <w:right w:val="dashSmallGap" w:sz="4" w:space="0" w:color="auto"/>
            </w:tcBorders>
            <w:shd w:val="pct10" w:color="auto" w:fill="auto"/>
            <w:textDirection w:val="btLr"/>
            <w:vAlign w:val="center"/>
          </w:tcPr>
          <w:p>
            <w:pPr>
              <w:keepNext/>
              <w:ind w:left="113" w:right="113"/>
              <w:jc w:val="center"/>
              <w:rPr>
                <w:noProof/>
                <w:sz w:val="18"/>
              </w:rPr>
            </w:pPr>
            <w:r>
              <w:rPr>
                <w:noProof/>
                <w:sz w:val="18"/>
              </w:rPr>
              <w:t>No</w:t>
            </w:r>
          </w:p>
        </w:tc>
        <w:tc>
          <w:tcPr>
            <w:tcW w:w="840" w:type="dxa"/>
            <w:tcBorders>
              <w:left w:val="dashSmallGap" w:sz="4" w:space="0" w:color="auto"/>
            </w:tcBorders>
            <w:shd w:val="pct10" w:color="auto" w:fill="auto"/>
            <w:vAlign w:val="center"/>
          </w:tcPr>
          <w:p>
            <w:pPr>
              <w:keepNext/>
              <w:jc w:val="center"/>
              <w:rPr>
                <w:noProof/>
                <w:sz w:val="18"/>
              </w:rPr>
            </w:pPr>
            <w:r>
              <w:rPr>
                <w:noProof/>
                <w:sz w:val="18"/>
              </w:rPr>
              <w:t>Cost</w:t>
            </w:r>
          </w:p>
        </w:tc>
        <w:tc>
          <w:tcPr>
            <w:tcW w:w="261" w:type="dxa"/>
            <w:tcBorders>
              <w:right w:val="dashSmallGap" w:sz="4" w:space="0" w:color="auto"/>
            </w:tcBorders>
            <w:shd w:val="pct10" w:color="auto" w:fill="auto"/>
            <w:textDirection w:val="btLr"/>
            <w:vAlign w:val="center"/>
          </w:tcPr>
          <w:p>
            <w:pPr>
              <w:keepNext/>
              <w:ind w:left="113" w:right="113"/>
              <w:jc w:val="center"/>
              <w:rPr>
                <w:noProof/>
                <w:sz w:val="18"/>
                <w:szCs w:val="18"/>
              </w:rPr>
            </w:pPr>
            <w:r>
              <w:rPr>
                <w:noProof/>
                <w:sz w:val="18"/>
              </w:rPr>
              <w:t>Total No</w:t>
            </w:r>
          </w:p>
        </w:tc>
        <w:tc>
          <w:tcPr>
            <w:tcW w:w="879" w:type="dxa"/>
            <w:tcBorders>
              <w:left w:val="dashSmallGap" w:sz="4" w:space="0" w:color="auto"/>
              <w:right w:val="single" w:sz="12" w:space="0" w:color="auto"/>
            </w:tcBorders>
            <w:shd w:val="pct10" w:color="auto" w:fill="auto"/>
            <w:vAlign w:val="center"/>
          </w:tcPr>
          <w:p>
            <w:pPr>
              <w:keepNext/>
              <w:jc w:val="center"/>
              <w:rPr>
                <w:noProof/>
                <w:sz w:val="18"/>
                <w:szCs w:val="18"/>
              </w:rPr>
            </w:pPr>
            <w:r>
              <w:rPr>
                <w:noProof/>
                <w:sz w:val="18"/>
              </w:rPr>
              <w:t>Total cost</w:t>
            </w:r>
          </w:p>
        </w:tc>
      </w:tr>
      <w:tr>
        <w:trPr>
          <w:jc w:val="center"/>
        </w:trPr>
        <w:tc>
          <w:tcPr>
            <w:tcW w:w="2802" w:type="dxa"/>
            <w:gridSpan w:val="3"/>
            <w:tcBorders>
              <w:left w:val="single" w:sz="12" w:space="0" w:color="auto"/>
            </w:tcBorders>
            <w:vAlign w:val="center"/>
          </w:tcPr>
          <w:p>
            <w:pPr>
              <w:keepNext/>
              <w:spacing w:before="60" w:after="60"/>
              <w:ind w:right="-29"/>
              <w:jc w:val="center"/>
              <w:rPr>
                <w:noProof/>
                <w:sz w:val="18"/>
              </w:rPr>
            </w:pPr>
            <w:r>
              <w:rPr>
                <w:noProof/>
                <w:sz w:val="18"/>
              </w:rPr>
              <w:t>SPECIFIC OBJECTIVE No 2</w:t>
            </w:r>
          </w:p>
          <w:p>
            <w:pPr>
              <w:keepNext/>
              <w:spacing w:before="60" w:after="60"/>
              <w:ind w:right="-29"/>
              <w:jc w:val="center"/>
              <w:rPr>
                <w:noProof/>
                <w:sz w:val="18"/>
                <w:szCs w:val="18"/>
              </w:rPr>
            </w:pPr>
            <w:r>
              <w:rPr>
                <w:noProof/>
                <w:sz w:val="18"/>
              </w:rPr>
              <w:t>Maintenance and operations of Interoperability Components</w:t>
            </w:r>
          </w:p>
        </w:tc>
        <w:tc>
          <w:tcPr>
            <w:tcW w:w="393" w:type="dxa"/>
            <w:tcBorders>
              <w:bottom w:val="single" w:sz="4" w:space="0" w:color="auto"/>
              <w:right w:val="nil"/>
            </w:tcBorders>
          </w:tcPr>
          <w:p>
            <w:pPr>
              <w:keepNext/>
              <w:spacing w:before="60" w:after="60"/>
              <w:ind w:right="-29"/>
              <w:jc w:val="center"/>
              <w:rPr>
                <w:noProof/>
                <w:sz w:val="18"/>
                <w:szCs w:val="18"/>
              </w:rPr>
            </w:pPr>
          </w:p>
        </w:tc>
        <w:tc>
          <w:tcPr>
            <w:tcW w:w="777" w:type="dxa"/>
            <w:tcBorders>
              <w:left w:val="nil"/>
              <w:bottom w:val="single" w:sz="4" w:space="0" w:color="auto"/>
            </w:tcBorders>
          </w:tcPr>
          <w:p>
            <w:pPr>
              <w:keepNext/>
              <w:spacing w:before="60" w:after="60"/>
              <w:ind w:right="-29"/>
              <w:jc w:val="center"/>
              <w:rPr>
                <w:noProof/>
                <w:sz w:val="18"/>
                <w:szCs w:val="18"/>
              </w:rPr>
            </w:pPr>
          </w:p>
        </w:tc>
        <w:tc>
          <w:tcPr>
            <w:tcW w:w="303" w:type="dxa"/>
            <w:tcBorders>
              <w:top w:val="nil"/>
              <w:left w:val="nil"/>
              <w:bottom w:val="nil"/>
              <w:right w:val="nil"/>
            </w:tcBorders>
          </w:tcPr>
          <w:p>
            <w:pPr>
              <w:keepNext/>
              <w:spacing w:before="60" w:after="60"/>
              <w:ind w:right="-29"/>
              <w:jc w:val="center"/>
              <w:rPr>
                <w:noProof/>
                <w:sz w:val="18"/>
                <w:szCs w:val="18"/>
              </w:rPr>
            </w:pPr>
          </w:p>
        </w:tc>
        <w:tc>
          <w:tcPr>
            <w:tcW w:w="867" w:type="dxa"/>
            <w:tcBorders>
              <w:top w:val="nil"/>
              <w:left w:val="nil"/>
              <w:bottom w:val="nil"/>
              <w:right w:val="nil"/>
            </w:tcBorders>
          </w:tcPr>
          <w:p>
            <w:pPr>
              <w:keepNext/>
              <w:spacing w:before="60" w:after="60"/>
              <w:ind w:right="-29"/>
              <w:jc w:val="center"/>
              <w:rPr>
                <w:noProof/>
                <w:sz w:val="18"/>
                <w:szCs w:val="18"/>
              </w:rPr>
            </w:pPr>
          </w:p>
        </w:tc>
        <w:tc>
          <w:tcPr>
            <w:tcW w:w="333" w:type="dxa"/>
            <w:tcBorders>
              <w:top w:val="nil"/>
              <w:left w:val="nil"/>
              <w:bottom w:val="nil"/>
              <w:right w:val="nil"/>
            </w:tcBorders>
          </w:tcPr>
          <w:p>
            <w:pPr>
              <w:keepNext/>
              <w:spacing w:before="60" w:after="60"/>
              <w:ind w:right="-29"/>
              <w:jc w:val="center"/>
              <w:rPr>
                <w:noProof/>
                <w:sz w:val="18"/>
                <w:szCs w:val="18"/>
              </w:rPr>
            </w:pPr>
          </w:p>
        </w:tc>
        <w:tc>
          <w:tcPr>
            <w:tcW w:w="867" w:type="dxa"/>
            <w:tcBorders>
              <w:top w:val="nil"/>
              <w:left w:val="nil"/>
              <w:bottom w:val="nil"/>
              <w:right w:val="nil"/>
            </w:tcBorders>
          </w:tcPr>
          <w:p>
            <w:pPr>
              <w:keepNext/>
              <w:spacing w:before="60" w:after="60"/>
              <w:ind w:right="-29"/>
              <w:jc w:val="center"/>
              <w:rPr>
                <w:noProof/>
                <w:sz w:val="18"/>
                <w:szCs w:val="18"/>
              </w:rPr>
            </w:pPr>
          </w:p>
        </w:tc>
        <w:tc>
          <w:tcPr>
            <w:tcW w:w="333" w:type="dxa"/>
            <w:tcBorders>
              <w:top w:val="nil"/>
              <w:left w:val="nil"/>
              <w:bottom w:val="nil"/>
              <w:right w:val="nil"/>
            </w:tcBorders>
          </w:tcPr>
          <w:p>
            <w:pPr>
              <w:keepNext/>
              <w:spacing w:before="60" w:after="60"/>
              <w:ind w:right="-29"/>
              <w:jc w:val="center"/>
              <w:rPr>
                <w:noProof/>
                <w:sz w:val="18"/>
                <w:szCs w:val="18"/>
              </w:rPr>
            </w:pPr>
          </w:p>
        </w:tc>
        <w:tc>
          <w:tcPr>
            <w:tcW w:w="867" w:type="dxa"/>
            <w:tcBorders>
              <w:top w:val="nil"/>
              <w:left w:val="nil"/>
              <w:bottom w:val="nil"/>
              <w:right w:val="nil"/>
            </w:tcBorders>
          </w:tcPr>
          <w:p>
            <w:pPr>
              <w:keepNext/>
              <w:spacing w:before="60" w:after="60"/>
              <w:ind w:right="-29"/>
              <w:jc w:val="center"/>
              <w:rPr>
                <w:noProof/>
                <w:sz w:val="18"/>
                <w:szCs w:val="18"/>
              </w:rPr>
            </w:pPr>
          </w:p>
        </w:tc>
        <w:tc>
          <w:tcPr>
            <w:tcW w:w="333" w:type="dxa"/>
            <w:tcBorders>
              <w:top w:val="nil"/>
              <w:left w:val="nil"/>
              <w:bottom w:val="nil"/>
              <w:right w:val="nil"/>
            </w:tcBorders>
          </w:tcPr>
          <w:p>
            <w:pPr>
              <w:keepNext/>
              <w:spacing w:before="60" w:after="60"/>
              <w:ind w:right="-29"/>
              <w:jc w:val="center"/>
              <w:rPr>
                <w:noProof/>
                <w:sz w:val="18"/>
                <w:szCs w:val="18"/>
              </w:rPr>
            </w:pPr>
          </w:p>
        </w:tc>
        <w:tc>
          <w:tcPr>
            <w:tcW w:w="699" w:type="dxa"/>
            <w:tcBorders>
              <w:top w:val="nil"/>
              <w:left w:val="nil"/>
              <w:bottom w:val="nil"/>
              <w:right w:val="nil"/>
            </w:tcBorders>
          </w:tcPr>
          <w:p>
            <w:pPr>
              <w:keepNext/>
              <w:spacing w:before="60" w:after="60"/>
              <w:ind w:right="-29"/>
              <w:jc w:val="center"/>
              <w:rPr>
                <w:noProof/>
                <w:sz w:val="18"/>
                <w:szCs w:val="18"/>
              </w:rPr>
            </w:pPr>
          </w:p>
        </w:tc>
        <w:tc>
          <w:tcPr>
            <w:tcW w:w="381" w:type="dxa"/>
            <w:tcBorders>
              <w:top w:val="nil"/>
              <w:left w:val="nil"/>
              <w:bottom w:val="nil"/>
              <w:right w:val="nil"/>
            </w:tcBorders>
          </w:tcPr>
          <w:p>
            <w:pPr>
              <w:keepNext/>
              <w:spacing w:before="60" w:after="60"/>
              <w:ind w:right="-29"/>
              <w:jc w:val="center"/>
              <w:rPr>
                <w:noProof/>
                <w:sz w:val="18"/>
                <w:szCs w:val="18"/>
              </w:rPr>
            </w:pPr>
          </w:p>
        </w:tc>
        <w:tc>
          <w:tcPr>
            <w:tcW w:w="699" w:type="dxa"/>
            <w:tcBorders>
              <w:top w:val="nil"/>
              <w:left w:val="nil"/>
              <w:bottom w:val="nil"/>
              <w:right w:val="nil"/>
            </w:tcBorders>
          </w:tcPr>
          <w:p>
            <w:pPr>
              <w:keepNext/>
              <w:spacing w:before="60" w:after="60"/>
              <w:ind w:right="-29"/>
              <w:jc w:val="center"/>
              <w:rPr>
                <w:noProof/>
                <w:sz w:val="18"/>
                <w:szCs w:val="18"/>
              </w:rPr>
            </w:pPr>
          </w:p>
        </w:tc>
        <w:tc>
          <w:tcPr>
            <w:tcW w:w="381" w:type="dxa"/>
            <w:tcBorders>
              <w:top w:val="nil"/>
              <w:left w:val="nil"/>
              <w:bottom w:val="nil"/>
              <w:right w:val="nil"/>
            </w:tcBorders>
          </w:tcPr>
          <w:p>
            <w:pPr>
              <w:keepNext/>
              <w:spacing w:before="60" w:after="60"/>
              <w:ind w:right="-29"/>
              <w:jc w:val="center"/>
              <w:rPr>
                <w:noProof/>
                <w:sz w:val="18"/>
                <w:szCs w:val="18"/>
              </w:rPr>
            </w:pPr>
          </w:p>
        </w:tc>
        <w:tc>
          <w:tcPr>
            <w:tcW w:w="819" w:type="dxa"/>
            <w:tcBorders>
              <w:top w:val="nil"/>
              <w:left w:val="nil"/>
              <w:bottom w:val="nil"/>
              <w:right w:val="nil"/>
            </w:tcBorders>
          </w:tcPr>
          <w:p>
            <w:pPr>
              <w:keepNext/>
              <w:spacing w:before="60" w:after="60"/>
              <w:ind w:right="-29"/>
              <w:jc w:val="center"/>
              <w:rPr>
                <w:noProof/>
                <w:sz w:val="18"/>
                <w:szCs w:val="18"/>
              </w:rPr>
            </w:pPr>
          </w:p>
        </w:tc>
        <w:tc>
          <w:tcPr>
            <w:tcW w:w="360" w:type="dxa"/>
            <w:tcBorders>
              <w:top w:val="nil"/>
              <w:left w:val="nil"/>
              <w:bottom w:val="nil"/>
              <w:right w:val="nil"/>
            </w:tcBorders>
          </w:tcPr>
          <w:p>
            <w:pPr>
              <w:keepNext/>
              <w:spacing w:before="60" w:after="60"/>
              <w:ind w:right="-29"/>
              <w:jc w:val="center"/>
              <w:rPr>
                <w:noProof/>
                <w:sz w:val="18"/>
                <w:szCs w:val="18"/>
              </w:rPr>
            </w:pPr>
          </w:p>
        </w:tc>
        <w:tc>
          <w:tcPr>
            <w:tcW w:w="840" w:type="dxa"/>
            <w:tcBorders>
              <w:top w:val="nil"/>
              <w:left w:val="nil"/>
              <w:bottom w:val="nil"/>
              <w:right w:val="nil"/>
            </w:tcBorders>
          </w:tcPr>
          <w:p>
            <w:pPr>
              <w:keepNext/>
              <w:spacing w:before="60" w:after="60"/>
              <w:ind w:right="-29"/>
              <w:jc w:val="center"/>
              <w:rPr>
                <w:noProof/>
                <w:sz w:val="18"/>
                <w:szCs w:val="18"/>
              </w:rPr>
            </w:pPr>
          </w:p>
        </w:tc>
        <w:tc>
          <w:tcPr>
            <w:tcW w:w="1200" w:type="dxa"/>
            <w:gridSpan w:val="2"/>
            <w:tcBorders>
              <w:top w:val="nil"/>
              <w:left w:val="nil"/>
              <w:bottom w:val="nil"/>
              <w:right w:val="nil"/>
            </w:tcBorders>
          </w:tcPr>
          <w:p>
            <w:pPr>
              <w:keepNext/>
              <w:spacing w:before="60" w:after="60"/>
              <w:ind w:right="-29"/>
              <w:jc w:val="center"/>
              <w:rPr>
                <w:noProof/>
                <w:sz w:val="18"/>
                <w:szCs w:val="18"/>
              </w:rPr>
            </w:pPr>
          </w:p>
        </w:tc>
        <w:tc>
          <w:tcPr>
            <w:tcW w:w="261" w:type="dxa"/>
            <w:tcBorders>
              <w:top w:val="nil"/>
              <w:left w:val="nil"/>
              <w:bottom w:val="nil"/>
              <w:right w:val="nil"/>
            </w:tcBorders>
          </w:tcPr>
          <w:p>
            <w:pPr>
              <w:keepNext/>
              <w:spacing w:before="60" w:after="60"/>
              <w:ind w:right="-29"/>
              <w:jc w:val="center"/>
              <w:rPr>
                <w:noProof/>
                <w:sz w:val="18"/>
                <w:szCs w:val="18"/>
              </w:rPr>
            </w:pPr>
          </w:p>
        </w:tc>
        <w:tc>
          <w:tcPr>
            <w:tcW w:w="879" w:type="dxa"/>
            <w:tcBorders>
              <w:top w:val="nil"/>
              <w:left w:val="nil"/>
              <w:bottom w:val="single" w:sz="4" w:space="0" w:color="auto"/>
              <w:right w:val="single" w:sz="12" w:space="0" w:color="auto"/>
            </w:tcBorders>
          </w:tcPr>
          <w:p>
            <w:pPr>
              <w:keepNext/>
              <w:spacing w:before="60" w:after="60"/>
              <w:ind w:right="-29"/>
              <w:jc w:val="center"/>
              <w:rPr>
                <w:noProof/>
                <w:sz w:val="18"/>
                <w:szCs w:val="18"/>
              </w:rPr>
            </w:pPr>
          </w:p>
        </w:tc>
      </w:tr>
      <w:tr>
        <w:trPr>
          <w:trHeight w:hRule="exact" w:val="745"/>
          <w:jc w:val="center"/>
        </w:trPr>
        <w:tc>
          <w:tcPr>
            <w:tcW w:w="1422" w:type="dxa"/>
            <w:tcBorders>
              <w:left w:val="single" w:sz="12" w:space="0" w:color="auto"/>
            </w:tcBorders>
          </w:tcPr>
          <w:p>
            <w:pPr>
              <w:ind w:right="-29"/>
              <w:jc w:val="center"/>
              <w:rPr>
                <w:noProof/>
                <w:sz w:val="18"/>
                <w:szCs w:val="18"/>
              </w:rPr>
            </w:pPr>
            <w:r>
              <w:rPr>
                <w:noProof/>
                <w:sz w:val="18"/>
              </w:rPr>
              <w:t>Systems kept operational</w:t>
            </w:r>
          </w:p>
        </w:tc>
        <w:tc>
          <w:tcPr>
            <w:tcW w:w="1380" w:type="dxa"/>
            <w:gridSpan w:val="2"/>
          </w:tcPr>
          <w:p>
            <w:pPr>
              <w:ind w:right="-29"/>
              <w:jc w:val="center"/>
              <w:rPr>
                <w:noProof/>
                <w:sz w:val="18"/>
                <w:szCs w:val="18"/>
              </w:rPr>
            </w:pPr>
            <w:r>
              <w:rPr>
                <w:noProof/>
                <w:sz w:val="18"/>
                <w:szCs w:val="18"/>
              </w:rPr>
              <w:t>Contractor</w:t>
            </w:r>
          </w:p>
        </w:tc>
        <w:tc>
          <w:tcPr>
            <w:tcW w:w="393" w:type="dxa"/>
            <w:tcBorders>
              <w:right w:val="dashSmallGap" w:sz="4" w:space="0" w:color="auto"/>
            </w:tcBorders>
          </w:tcPr>
          <w:p>
            <w:pPr>
              <w:ind w:right="-29"/>
              <w:jc w:val="center"/>
              <w:rPr>
                <w:noProof/>
                <w:sz w:val="18"/>
                <w:szCs w:val="18"/>
              </w:rPr>
            </w:pPr>
          </w:p>
        </w:tc>
        <w:tc>
          <w:tcPr>
            <w:tcW w:w="777" w:type="dxa"/>
            <w:tcBorders>
              <w:left w:val="dashSmallGap" w:sz="4" w:space="0" w:color="auto"/>
            </w:tcBorders>
          </w:tcPr>
          <w:p>
            <w:pPr>
              <w:ind w:right="-29"/>
              <w:jc w:val="center"/>
              <w:rPr>
                <w:noProof/>
                <w:sz w:val="18"/>
                <w:szCs w:val="18"/>
              </w:rPr>
            </w:pPr>
            <w:r>
              <w:rPr>
                <w:noProof/>
                <w:sz w:val="18"/>
                <w:szCs w:val="18"/>
              </w:rPr>
              <w:t>0</w:t>
            </w:r>
          </w:p>
        </w:tc>
        <w:tc>
          <w:tcPr>
            <w:tcW w:w="303" w:type="dxa"/>
            <w:tcBorders>
              <w:right w:val="dashSmallGap" w:sz="4" w:space="0" w:color="auto"/>
            </w:tcBorders>
          </w:tcPr>
          <w:p>
            <w:pPr>
              <w:ind w:right="-29"/>
              <w:jc w:val="center"/>
              <w:rPr>
                <w:noProof/>
                <w:sz w:val="18"/>
                <w:szCs w:val="18"/>
              </w:rPr>
            </w:pPr>
          </w:p>
        </w:tc>
        <w:tc>
          <w:tcPr>
            <w:tcW w:w="867" w:type="dxa"/>
            <w:tcBorders>
              <w:left w:val="dashSmallGap" w:sz="4" w:space="0" w:color="auto"/>
            </w:tcBorders>
          </w:tcPr>
          <w:p>
            <w:pPr>
              <w:ind w:right="-29"/>
              <w:jc w:val="center"/>
              <w:rPr>
                <w:noProof/>
                <w:sz w:val="18"/>
                <w:szCs w:val="18"/>
              </w:rPr>
            </w:pPr>
            <w:r>
              <w:rPr>
                <w:noProof/>
                <w:sz w:val="18"/>
                <w:szCs w:val="18"/>
              </w:rPr>
              <w:t>0</w:t>
            </w:r>
          </w:p>
        </w:tc>
        <w:tc>
          <w:tcPr>
            <w:tcW w:w="333" w:type="dxa"/>
            <w:tcBorders>
              <w:right w:val="dashSmallGap" w:sz="4" w:space="0" w:color="auto"/>
            </w:tcBorders>
          </w:tcPr>
          <w:p>
            <w:pPr>
              <w:ind w:right="-29"/>
              <w:jc w:val="center"/>
              <w:rPr>
                <w:noProof/>
                <w:sz w:val="18"/>
                <w:szCs w:val="18"/>
              </w:rPr>
            </w:pPr>
          </w:p>
        </w:tc>
        <w:tc>
          <w:tcPr>
            <w:tcW w:w="867" w:type="dxa"/>
            <w:tcBorders>
              <w:left w:val="dashSmallGap" w:sz="4" w:space="0" w:color="auto"/>
            </w:tcBorders>
          </w:tcPr>
          <w:p>
            <w:pPr>
              <w:ind w:right="-29"/>
              <w:jc w:val="center"/>
              <w:rPr>
                <w:noProof/>
                <w:sz w:val="18"/>
                <w:szCs w:val="18"/>
              </w:rPr>
            </w:pPr>
            <w:r>
              <w:rPr>
                <w:noProof/>
                <w:sz w:val="18"/>
                <w:szCs w:val="18"/>
              </w:rPr>
              <w:t>0</w:t>
            </w:r>
          </w:p>
        </w:tc>
        <w:tc>
          <w:tcPr>
            <w:tcW w:w="333" w:type="dxa"/>
            <w:tcBorders>
              <w:right w:val="dashSmallGap" w:sz="4" w:space="0" w:color="auto"/>
            </w:tcBorders>
          </w:tcPr>
          <w:p>
            <w:pPr>
              <w:ind w:right="-29"/>
              <w:rPr>
                <w:noProof/>
                <w:sz w:val="18"/>
                <w:szCs w:val="18"/>
              </w:rPr>
            </w:pPr>
          </w:p>
        </w:tc>
        <w:tc>
          <w:tcPr>
            <w:tcW w:w="867" w:type="dxa"/>
            <w:tcBorders>
              <w:left w:val="dashSmallGap" w:sz="4" w:space="0" w:color="auto"/>
            </w:tcBorders>
          </w:tcPr>
          <w:p>
            <w:pPr>
              <w:ind w:right="-29"/>
              <w:rPr>
                <w:noProof/>
                <w:sz w:val="18"/>
                <w:szCs w:val="18"/>
              </w:rPr>
            </w:pPr>
            <w:r>
              <w:rPr>
                <w:noProof/>
                <w:sz w:val="18"/>
                <w:szCs w:val="18"/>
              </w:rPr>
              <w:t>1,430</w:t>
            </w:r>
          </w:p>
        </w:tc>
        <w:tc>
          <w:tcPr>
            <w:tcW w:w="333" w:type="dxa"/>
            <w:tcBorders>
              <w:right w:val="dashSmallGap" w:sz="4" w:space="0" w:color="auto"/>
            </w:tcBorders>
          </w:tcPr>
          <w:p>
            <w:pPr>
              <w:ind w:right="-29"/>
              <w:rPr>
                <w:noProof/>
                <w:sz w:val="18"/>
                <w:szCs w:val="18"/>
              </w:rPr>
            </w:pPr>
          </w:p>
        </w:tc>
        <w:tc>
          <w:tcPr>
            <w:tcW w:w="699" w:type="dxa"/>
            <w:tcBorders>
              <w:left w:val="dashSmallGap" w:sz="4" w:space="0" w:color="auto"/>
            </w:tcBorders>
          </w:tcPr>
          <w:p>
            <w:pPr>
              <w:ind w:right="-29"/>
              <w:rPr>
                <w:noProof/>
                <w:sz w:val="18"/>
                <w:szCs w:val="18"/>
              </w:rPr>
            </w:pPr>
            <w:r>
              <w:rPr>
                <w:noProof/>
                <w:sz w:val="18"/>
                <w:szCs w:val="18"/>
              </w:rPr>
              <w:t>2,919</w:t>
            </w:r>
          </w:p>
        </w:tc>
        <w:tc>
          <w:tcPr>
            <w:tcW w:w="381" w:type="dxa"/>
            <w:tcBorders>
              <w:right w:val="dashSmallGap" w:sz="4" w:space="0" w:color="auto"/>
            </w:tcBorders>
          </w:tcPr>
          <w:p>
            <w:pPr>
              <w:ind w:right="-29"/>
              <w:rPr>
                <w:noProof/>
                <w:sz w:val="18"/>
                <w:szCs w:val="18"/>
              </w:rPr>
            </w:pPr>
          </w:p>
        </w:tc>
        <w:tc>
          <w:tcPr>
            <w:tcW w:w="699" w:type="dxa"/>
            <w:tcBorders>
              <w:left w:val="dashSmallGap" w:sz="4" w:space="0" w:color="auto"/>
            </w:tcBorders>
          </w:tcPr>
          <w:p>
            <w:pPr>
              <w:ind w:right="-29"/>
              <w:rPr>
                <w:noProof/>
                <w:sz w:val="18"/>
                <w:szCs w:val="18"/>
              </w:rPr>
            </w:pPr>
            <w:r>
              <w:rPr>
                <w:noProof/>
                <w:sz w:val="18"/>
                <w:szCs w:val="18"/>
              </w:rPr>
              <w:t>2,788</w:t>
            </w:r>
          </w:p>
        </w:tc>
        <w:tc>
          <w:tcPr>
            <w:tcW w:w="381" w:type="dxa"/>
            <w:tcBorders>
              <w:right w:val="dashSmallGap" w:sz="4" w:space="0" w:color="auto"/>
            </w:tcBorders>
          </w:tcPr>
          <w:p>
            <w:pPr>
              <w:ind w:right="-29"/>
              <w:jc w:val="center"/>
              <w:rPr>
                <w:noProof/>
                <w:sz w:val="18"/>
                <w:szCs w:val="18"/>
              </w:rPr>
            </w:pPr>
          </w:p>
        </w:tc>
        <w:tc>
          <w:tcPr>
            <w:tcW w:w="819" w:type="dxa"/>
            <w:tcBorders>
              <w:left w:val="dashSmallGap" w:sz="4" w:space="0" w:color="auto"/>
            </w:tcBorders>
          </w:tcPr>
          <w:p>
            <w:pPr>
              <w:ind w:right="-29"/>
              <w:jc w:val="center"/>
              <w:rPr>
                <w:noProof/>
                <w:sz w:val="18"/>
                <w:szCs w:val="18"/>
              </w:rPr>
            </w:pPr>
            <w:r>
              <w:rPr>
                <w:noProof/>
                <w:sz w:val="18"/>
                <w:szCs w:val="18"/>
              </w:rPr>
              <w:t>2,788</w:t>
            </w:r>
          </w:p>
        </w:tc>
        <w:tc>
          <w:tcPr>
            <w:tcW w:w="360" w:type="dxa"/>
            <w:tcBorders>
              <w:right w:val="dashSmallGap" w:sz="4" w:space="0" w:color="auto"/>
            </w:tcBorders>
          </w:tcPr>
          <w:p>
            <w:pPr>
              <w:ind w:right="-29"/>
              <w:jc w:val="center"/>
              <w:rPr>
                <w:noProof/>
                <w:sz w:val="18"/>
                <w:szCs w:val="18"/>
              </w:rPr>
            </w:pPr>
          </w:p>
        </w:tc>
        <w:tc>
          <w:tcPr>
            <w:tcW w:w="840" w:type="dxa"/>
            <w:tcBorders>
              <w:left w:val="dashSmallGap" w:sz="4" w:space="0" w:color="auto"/>
            </w:tcBorders>
          </w:tcPr>
          <w:p>
            <w:pPr>
              <w:ind w:right="-29"/>
              <w:jc w:val="center"/>
              <w:rPr>
                <w:noProof/>
                <w:sz w:val="18"/>
                <w:szCs w:val="18"/>
              </w:rPr>
            </w:pPr>
            <w:r>
              <w:rPr>
                <w:noProof/>
                <w:sz w:val="18"/>
                <w:szCs w:val="18"/>
              </w:rPr>
              <w:t>2,788</w:t>
            </w:r>
          </w:p>
        </w:tc>
        <w:tc>
          <w:tcPr>
            <w:tcW w:w="360" w:type="dxa"/>
            <w:tcBorders>
              <w:right w:val="dashSmallGap" w:sz="4" w:space="0" w:color="auto"/>
            </w:tcBorders>
          </w:tcPr>
          <w:p>
            <w:pPr>
              <w:ind w:right="-29"/>
              <w:jc w:val="center"/>
              <w:rPr>
                <w:noProof/>
                <w:sz w:val="18"/>
                <w:szCs w:val="18"/>
              </w:rPr>
            </w:pPr>
          </w:p>
        </w:tc>
        <w:tc>
          <w:tcPr>
            <w:tcW w:w="840" w:type="dxa"/>
            <w:tcBorders>
              <w:left w:val="dashSmallGap" w:sz="4" w:space="0" w:color="auto"/>
              <w:bottom w:val="single" w:sz="4" w:space="0" w:color="auto"/>
            </w:tcBorders>
          </w:tcPr>
          <w:p>
            <w:pPr>
              <w:ind w:right="-29"/>
              <w:jc w:val="center"/>
              <w:rPr>
                <w:noProof/>
                <w:sz w:val="18"/>
                <w:szCs w:val="18"/>
              </w:rPr>
            </w:pPr>
            <w:r>
              <w:rPr>
                <w:noProof/>
                <w:sz w:val="18"/>
                <w:szCs w:val="18"/>
              </w:rPr>
              <w:t>2,788</w:t>
            </w:r>
          </w:p>
        </w:tc>
        <w:tc>
          <w:tcPr>
            <w:tcW w:w="261" w:type="dxa"/>
            <w:tcBorders>
              <w:right w:val="dashSmallGap" w:sz="4" w:space="0" w:color="auto"/>
            </w:tcBorders>
          </w:tcPr>
          <w:p>
            <w:pPr>
              <w:ind w:right="-29"/>
              <w:jc w:val="center"/>
              <w:rPr>
                <w:noProof/>
                <w:sz w:val="18"/>
                <w:szCs w:val="18"/>
              </w:rPr>
            </w:pPr>
          </w:p>
        </w:tc>
        <w:tc>
          <w:tcPr>
            <w:tcW w:w="879" w:type="dxa"/>
            <w:tcBorders>
              <w:left w:val="dashSmallGap" w:sz="4" w:space="0" w:color="auto"/>
              <w:bottom w:val="single" w:sz="4" w:space="0" w:color="auto"/>
              <w:right w:val="single" w:sz="12" w:space="0" w:color="auto"/>
            </w:tcBorders>
          </w:tcPr>
          <w:p>
            <w:pPr>
              <w:ind w:right="-29"/>
              <w:jc w:val="center"/>
              <w:rPr>
                <w:noProof/>
                <w:sz w:val="18"/>
                <w:szCs w:val="18"/>
              </w:rPr>
            </w:pPr>
            <w:r>
              <w:rPr>
                <w:noProof/>
                <w:sz w:val="18"/>
                <w:szCs w:val="18"/>
              </w:rPr>
              <w:t>15,501</w:t>
            </w:r>
          </w:p>
          <w:p>
            <w:pPr>
              <w:ind w:right="-29"/>
              <w:jc w:val="center"/>
              <w:rPr>
                <w:noProof/>
                <w:sz w:val="18"/>
                <w:szCs w:val="18"/>
              </w:rPr>
            </w:pPr>
          </w:p>
        </w:tc>
      </w:tr>
      <w:tr>
        <w:trPr>
          <w:trHeight w:hRule="exact" w:val="557"/>
          <w:jc w:val="center"/>
        </w:trPr>
        <w:tc>
          <w:tcPr>
            <w:tcW w:w="1422" w:type="dxa"/>
            <w:tcBorders>
              <w:left w:val="single" w:sz="12" w:space="0" w:color="auto"/>
            </w:tcBorders>
          </w:tcPr>
          <w:p>
            <w:pPr>
              <w:ind w:right="-29"/>
              <w:jc w:val="center"/>
              <w:rPr>
                <w:noProof/>
                <w:sz w:val="18"/>
                <w:szCs w:val="18"/>
              </w:rPr>
            </w:pPr>
            <w:r>
              <w:rPr>
                <w:noProof/>
                <w:sz w:val="18"/>
              </w:rPr>
              <w:t>Software products</w:t>
            </w:r>
          </w:p>
        </w:tc>
        <w:tc>
          <w:tcPr>
            <w:tcW w:w="1380" w:type="dxa"/>
            <w:gridSpan w:val="2"/>
          </w:tcPr>
          <w:p>
            <w:pPr>
              <w:ind w:right="-29"/>
              <w:jc w:val="center"/>
              <w:rPr>
                <w:noProof/>
                <w:sz w:val="18"/>
                <w:szCs w:val="18"/>
              </w:rPr>
            </w:pPr>
            <w:r>
              <w:rPr>
                <w:noProof/>
                <w:sz w:val="18"/>
                <w:szCs w:val="18"/>
              </w:rPr>
              <w:t>Software</w:t>
            </w:r>
          </w:p>
        </w:tc>
        <w:tc>
          <w:tcPr>
            <w:tcW w:w="393" w:type="dxa"/>
            <w:tcBorders>
              <w:right w:val="dashSmallGap" w:sz="4" w:space="0" w:color="auto"/>
            </w:tcBorders>
          </w:tcPr>
          <w:p>
            <w:pPr>
              <w:ind w:right="-29"/>
              <w:jc w:val="center"/>
              <w:rPr>
                <w:noProof/>
                <w:sz w:val="18"/>
                <w:szCs w:val="18"/>
              </w:rPr>
            </w:pPr>
          </w:p>
        </w:tc>
        <w:tc>
          <w:tcPr>
            <w:tcW w:w="777" w:type="dxa"/>
            <w:tcBorders>
              <w:left w:val="dashSmallGap" w:sz="4" w:space="0" w:color="auto"/>
              <w:bottom w:val="single" w:sz="4" w:space="0" w:color="auto"/>
            </w:tcBorders>
          </w:tcPr>
          <w:p>
            <w:pPr>
              <w:ind w:right="-29"/>
              <w:jc w:val="center"/>
              <w:rPr>
                <w:noProof/>
                <w:sz w:val="18"/>
                <w:szCs w:val="18"/>
              </w:rPr>
            </w:pPr>
            <w:r>
              <w:rPr>
                <w:noProof/>
                <w:sz w:val="18"/>
                <w:szCs w:val="18"/>
              </w:rPr>
              <w:t>0</w:t>
            </w:r>
          </w:p>
        </w:tc>
        <w:tc>
          <w:tcPr>
            <w:tcW w:w="303" w:type="dxa"/>
            <w:tcBorders>
              <w:right w:val="dashSmallGap" w:sz="4" w:space="0" w:color="auto"/>
            </w:tcBorders>
          </w:tcPr>
          <w:p>
            <w:pPr>
              <w:ind w:right="-29"/>
              <w:jc w:val="center"/>
              <w:rPr>
                <w:noProof/>
                <w:sz w:val="18"/>
                <w:szCs w:val="18"/>
              </w:rPr>
            </w:pPr>
          </w:p>
        </w:tc>
        <w:tc>
          <w:tcPr>
            <w:tcW w:w="867" w:type="dxa"/>
            <w:tcBorders>
              <w:left w:val="dashSmallGap" w:sz="4" w:space="0" w:color="auto"/>
              <w:bottom w:val="single" w:sz="4" w:space="0" w:color="auto"/>
            </w:tcBorders>
          </w:tcPr>
          <w:p>
            <w:pPr>
              <w:ind w:right="-29"/>
              <w:jc w:val="center"/>
              <w:rPr>
                <w:noProof/>
                <w:sz w:val="18"/>
                <w:szCs w:val="18"/>
              </w:rPr>
            </w:pPr>
            <w:r>
              <w:rPr>
                <w:noProof/>
                <w:sz w:val="18"/>
                <w:szCs w:val="18"/>
              </w:rPr>
              <w:t>0,265</w:t>
            </w:r>
          </w:p>
        </w:tc>
        <w:tc>
          <w:tcPr>
            <w:tcW w:w="333" w:type="dxa"/>
            <w:tcBorders>
              <w:right w:val="dashSmallGap" w:sz="4" w:space="0" w:color="auto"/>
            </w:tcBorders>
          </w:tcPr>
          <w:p>
            <w:pPr>
              <w:ind w:right="-29"/>
              <w:jc w:val="center"/>
              <w:rPr>
                <w:noProof/>
                <w:sz w:val="18"/>
                <w:szCs w:val="18"/>
              </w:rPr>
            </w:pPr>
          </w:p>
        </w:tc>
        <w:tc>
          <w:tcPr>
            <w:tcW w:w="867" w:type="dxa"/>
            <w:tcBorders>
              <w:left w:val="dashSmallGap" w:sz="4" w:space="0" w:color="auto"/>
              <w:bottom w:val="single" w:sz="4" w:space="0" w:color="auto"/>
            </w:tcBorders>
          </w:tcPr>
          <w:p>
            <w:pPr>
              <w:ind w:right="-29"/>
              <w:jc w:val="center"/>
              <w:rPr>
                <w:noProof/>
                <w:sz w:val="18"/>
                <w:szCs w:val="18"/>
              </w:rPr>
            </w:pPr>
            <w:r>
              <w:rPr>
                <w:noProof/>
                <w:sz w:val="18"/>
                <w:szCs w:val="18"/>
              </w:rPr>
              <w:t>0,265</w:t>
            </w:r>
          </w:p>
        </w:tc>
        <w:tc>
          <w:tcPr>
            <w:tcW w:w="333" w:type="dxa"/>
            <w:tcBorders>
              <w:right w:val="dashSmallGap" w:sz="4" w:space="0" w:color="auto"/>
            </w:tcBorders>
          </w:tcPr>
          <w:p>
            <w:pPr>
              <w:ind w:right="-29"/>
              <w:jc w:val="center"/>
              <w:rPr>
                <w:noProof/>
                <w:sz w:val="18"/>
                <w:szCs w:val="18"/>
              </w:rPr>
            </w:pPr>
          </w:p>
        </w:tc>
        <w:tc>
          <w:tcPr>
            <w:tcW w:w="867" w:type="dxa"/>
            <w:tcBorders>
              <w:left w:val="dashSmallGap" w:sz="4" w:space="0" w:color="auto"/>
              <w:bottom w:val="single" w:sz="4" w:space="0" w:color="auto"/>
            </w:tcBorders>
          </w:tcPr>
          <w:p>
            <w:pPr>
              <w:ind w:right="-29"/>
              <w:jc w:val="center"/>
              <w:rPr>
                <w:noProof/>
                <w:sz w:val="18"/>
                <w:szCs w:val="18"/>
              </w:rPr>
            </w:pPr>
            <w:r>
              <w:rPr>
                <w:noProof/>
                <w:sz w:val="18"/>
                <w:szCs w:val="18"/>
              </w:rPr>
              <w:t>1,541</w:t>
            </w:r>
          </w:p>
        </w:tc>
        <w:tc>
          <w:tcPr>
            <w:tcW w:w="333" w:type="dxa"/>
            <w:tcBorders>
              <w:right w:val="dashSmallGap" w:sz="4" w:space="0" w:color="auto"/>
            </w:tcBorders>
          </w:tcPr>
          <w:p>
            <w:pPr>
              <w:ind w:right="-29"/>
              <w:jc w:val="center"/>
              <w:rPr>
                <w:noProof/>
                <w:sz w:val="18"/>
                <w:szCs w:val="18"/>
              </w:rPr>
            </w:pPr>
          </w:p>
        </w:tc>
        <w:tc>
          <w:tcPr>
            <w:tcW w:w="699" w:type="dxa"/>
            <w:tcBorders>
              <w:left w:val="dashSmallGap" w:sz="4" w:space="0" w:color="auto"/>
              <w:bottom w:val="single" w:sz="4" w:space="0" w:color="auto"/>
            </w:tcBorders>
          </w:tcPr>
          <w:p>
            <w:pPr>
              <w:ind w:right="-29"/>
              <w:jc w:val="center"/>
              <w:rPr>
                <w:noProof/>
                <w:sz w:val="18"/>
                <w:szCs w:val="18"/>
              </w:rPr>
            </w:pPr>
            <w:r>
              <w:rPr>
                <w:noProof/>
                <w:sz w:val="18"/>
                <w:szCs w:val="18"/>
              </w:rPr>
              <w:t>5,344</w:t>
            </w:r>
          </w:p>
        </w:tc>
        <w:tc>
          <w:tcPr>
            <w:tcW w:w="381" w:type="dxa"/>
            <w:tcBorders>
              <w:right w:val="dashSmallGap" w:sz="4" w:space="0" w:color="auto"/>
            </w:tcBorders>
          </w:tcPr>
          <w:p>
            <w:pPr>
              <w:ind w:right="-29"/>
              <w:jc w:val="center"/>
              <w:rPr>
                <w:noProof/>
                <w:sz w:val="18"/>
                <w:szCs w:val="18"/>
              </w:rPr>
            </w:pPr>
          </w:p>
        </w:tc>
        <w:tc>
          <w:tcPr>
            <w:tcW w:w="699" w:type="dxa"/>
            <w:tcBorders>
              <w:left w:val="dashSmallGap" w:sz="4" w:space="0" w:color="auto"/>
              <w:bottom w:val="single" w:sz="4" w:space="0" w:color="auto"/>
            </w:tcBorders>
          </w:tcPr>
          <w:p>
            <w:pPr>
              <w:ind w:right="-29"/>
              <w:jc w:val="center"/>
              <w:rPr>
                <w:noProof/>
                <w:sz w:val="18"/>
                <w:szCs w:val="18"/>
              </w:rPr>
            </w:pPr>
            <w:r>
              <w:rPr>
                <w:noProof/>
                <w:sz w:val="18"/>
                <w:szCs w:val="18"/>
              </w:rPr>
              <w:t>5,904</w:t>
            </w:r>
          </w:p>
        </w:tc>
        <w:tc>
          <w:tcPr>
            <w:tcW w:w="381" w:type="dxa"/>
            <w:tcBorders>
              <w:right w:val="dashSmallGap" w:sz="4" w:space="0" w:color="auto"/>
            </w:tcBorders>
          </w:tcPr>
          <w:p>
            <w:pPr>
              <w:ind w:right="-29"/>
              <w:jc w:val="center"/>
              <w:rPr>
                <w:noProof/>
                <w:sz w:val="18"/>
                <w:szCs w:val="18"/>
              </w:rPr>
            </w:pPr>
          </w:p>
        </w:tc>
        <w:tc>
          <w:tcPr>
            <w:tcW w:w="819" w:type="dxa"/>
            <w:tcBorders>
              <w:left w:val="dashSmallGap" w:sz="4" w:space="0" w:color="auto"/>
              <w:bottom w:val="single" w:sz="4" w:space="0" w:color="auto"/>
            </w:tcBorders>
          </w:tcPr>
          <w:p>
            <w:pPr>
              <w:ind w:right="-29"/>
              <w:jc w:val="center"/>
              <w:rPr>
                <w:noProof/>
                <w:sz w:val="18"/>
                <w:szCs w:val="18"/>
              </w:rPr>
            </w:pPr>
            <w:r>
              <w:rPr>
                <w:noProof/>
                <w:sz w:val="18"/>
                <w:szCs w:val="18"/>
              </w:rPr>
              <w:t>5,904</w:t>
            </w:r>
          </w:p>
        </w:tc>
        <w:tc>
          <w:tcPr>
            <w:tcW w:w="360" w:type="dxa"/>
            <w:tcBorders>
              <w:right w:val="dashSmallGap" w:sz="4" w:space="0" w:color="auto"/>
            </w:tcBorders>
          </w:tcPr>
          <w:p>
            <w:pPr>
              <w:ind w:right="-29"/>
              <w:jc w:val="center"/>
              <w:rPr>
                <w:noProof/>
                <w:sz w:val="18"/>
                <w:szCs w:val="18"/>
              </w:rPr>
            </w:pPr>
          </w:p>
        </w:tc>
        <w:tc>
          <w:tcPr>
            <w:tcW w:w="840" w:type="dxa"/>
            <w:tcBorders>
              <w:left w:val="dashSmallGap" w:sz="4" w:space="0" w:color="auto"/>
              <w:bottom w:val="single" w:sz="4" w:space="0" w:color="auto"/>
            </w:tcBorders>
          </w:tcPr>
          <w:p>
            <w:pPr>
              <w:ind w:right="-29"/>
              <w:jc w:val="center"/>
              <w:rPr>
                <w:noProof/>
                <w:sz w:val="18"/>
                <w:szCs w:val="18"/>
              </w:rPr>
            </w:pPr>
            <w:r>
              <w:rPr>
                <w:noProof/>
                <w:sz w:val="18"/>
                <w:szCs w:val="18"/>
              </w:rPr>
              <w:t>5,904</w:t>
            </w:r>
          </w:p>
        </w:tc>
        <w:tc>
          <w:tcPr>
            <w:tcW w:w="360" w:type="dxa"/>
            <w:tcBorders>
              <w:right w:val="dashSmallGap" w:sz="4" w:space="0" w:color="auto"/>
            </w:tcBorders>
          </w:tcPr>
          <w:p>
            <w:pPr>
              <w:ind w:right="-29"/>
              <w:jc w:val="center"/>
              <w:rPr>
                <w:noProof/>
                <w:sz w:val="18"/>
                <w:szCs w:val="18"/>
              </w:rPr>
            </w:pPr>
          </w:p>
        </w:tc>
        <w:tc>
          <w:tcPr>
            <w:tcW w:w="840" w:type="dxa"/>
            <w:tcBorders>
              <w:left w:val="dashSmallGap" w:sz="4" w:space="0" w:color="auto"/>
              <w:bottom w:val="single" w:sz="4" w:space="0" w:color="auto"/>
            </w:tcBorders>
          </w:tcPr>
          <w:p>
            <w:pPr>
              <w:ind w:right="-29"/>
              <w:jc w:val="center"/>
              <w:rPr>
                <w:noProof/>
                <w:sz w:val="18"/>
                <w:szCs w:val="18"/>
              </w:rPr>
            </w:pPr>
            <w:r>
              <w:rPr>
                <w:noProof/>
                <w:sz w:val="18"/>
                <w:szCs w:val="18"/>
              </w:rPr>
              <w:t>5,904</w:t>
            </w:r>
          </w:p>
        </w:tc>
        <w:tc>
          <w:tcPr>
            <w:tcW w:w="261" w:type="dxa"/>
            <w:tcBorders>
              <w:right w:val="dashSmallGap" w:sz="4" w:space="0" w:color="auto"/>
            </w:tcBorders>
          </w:tcPr>
          <w:p>
            <w:pPr>
              <w:ind w:right="-29"/>
              <w:jc w:val="center"/>
              <w:rPr>
                <w:noProof/>
                <w:sz w:val="18"/>
                <w:szCs w:val="18"/>
              </w:rPr>
            </w:pPr>
          </w:p>
        </w:tc>
        <w:tc>
          <w:tcPr>
            <w:tcW w:w="879" w:type="dxa"/>
            <w:tcBorders>
              <w:left w:val="dashSmallGap" w:sz="4" w:space="0" w:color="auto"/>
              <w:bottom w:val="single" w:sz="4" w:space="0" w:color="auto"/>
              <w:right w:val="single" w:sz="12" w:space="0" w:color="auto"/>
            </w:tcBorders>
          </w:tcPr>
          <w:p>
            <w:pPr>
              <w:ind w:right="-29"/>
              <w:jc w:val="center"/>
              <w:rPr>
                <w:noProof/>
                <w:sz w:val="18"/>
                <w:szCs w:val="18"/>
              </w:rPr>
            </w:pPr>
            <w:r>
              <w:rPr>
                <w:noProof/>
                <w:sz w:val="18"/>
                <w:szCs w:val="18"/>
              </w:rPr>
              <w:t>31,032</w:t>
            </w:r>
          </w:p>
        </w:tc>
      </w:tr>
      <w:tr>
        <w:trPr>
          <w:trHeight w:hRule="exact" w:val="707"/>
          <w:jc w:val="center"/>
        </w:trPr>
        <w:tc>
          <w:tcPr>
            <w:tcW w:w="1422" w:type="dxa"/>
            <w:tcBorders>
              <w:left w:val="single" w:sz="12" w:space="0" w:color="auto"/>
            </w:tcBorders>
          </w:tcPr>
          <w:p>
            <w:pPr>
              <w:ind w:right="-29"/>
              <w:jc w:val="center"/>
              <w:rPr>
                <w:noProof/>
                <w:sz w:val="18"/>
                <w:szCs w:val="18"/>
              </w:rPr>
            </w:pPr>
            <w:r>
              <w:rPr>
                <w:noProof/>
                <w:sz w:val="18"/>
              </w:rPr>
              <w:t xml:space="preserve">Hardware products </w:t>
            </w:r>
          </w:p>
        </w:tc>
        <w:tc>
          <w:tcPr>
            <w:tcW w:w="1380" w:type="dxa"/>
            <w:gridSpan w:val="2"/>
          </w:tcPr>
          <w:p>
            <w:pPr>
              <w:ind w:right="-29"/>
              <w:jc w:val="center"/>
              <w:rPr>
                <w:noProof/>
                <w:sz w:val="18"/>
                <w:szCs w:val="18"/>
              </w:rPr>
            </w:pPr>
            <w:r>
              <w:rPr>
                <w:noProof/>
                <w:sz w:val="18"/>
                <w:szCs w:val="18"/>
              </w:rPr>
              <w:t>Hardware</w:t>
            </w:r>
          </w:p>
        </w:tc>
        <w:tc>
          <w:tcPr>
            <w:tcW w:w="393" w:type="dxa"/>
            <w:tcBorders>
              <w:right w:val="dashSmallGap" w:sz="4" w:space="0" w:color="auto"/>
            </w:tcBorders>
          </w:tcPr>
          <w:p>
            <w:pPr>
              <w:ind w:right="-29"/>
              <w:jc w:val="center"/>
              <w:rPr>
                <w:noProof/>
                <w:sz w:val="18"/>
                <w:szCs w:val="18"/>
              </w:rPr>
            </w:pPr>
          </w:p>
        </w:tc>
        <w:tc>
          <w:tcPr>
            <w:tcW w:w="777" w:type="dxa"/>
            <w:tcBorders>
              <w:left w:val="dashSmallGap" w:sz="4" w:space="0" w:color="auto"/>
              <w:bottom w:val="single" w:sz="4" w:space="0" w:color="auto"/>
            </w:tcBorders>
          </w:tcPr>
          <w:p>
            <w:pPr>
              <w:ind w:right="-29"/>
              <w:jc w:val="center"/>
              <w:rPr>
                <w:noProof/>
                <w:sz w:val="18"/>
                <w:szCs w:val="18"/>
              </w:rPr>
            </w:pPr>
            <w:r>
              <w:rPr>
                <w:noProof/>
                <w:sz w:val="18"/>
                <w:szCs w:val="18"/>
              </w:rPr>
              <w:t>0</w:t>
            </w:r>
          </w:p>
        </w:tc>
        <w:tc>
          <w:tcPr>
            <w:tcW w:w="303" w:type="dxa"/>
            <w:tcBorders>
              <w:right w:val="dashSmallGap" w:sz="4" w:space="0" w:color="auto"/>
            </w:tcBorders>
          </w:tcPr>
          <w:p>
            <w:pPr>
              <w:ind w:right="-29"/>
              <w:jc w:val="center"/>
              <w:rPr>
                <w:noProof/>
                <w:sz w:val="18"/>
                <w:szCs w:val="18"/>
              </w:rPr>
            </w:pPr>
          </w:p>
        </w:tc>
        <w:tc>
          <w:tcPr>
            <w:tcW w:w="867" w:type="dxa"/>
            <w:tcBorders>
              <w:left w:val="dashSmallGap" w:sz="4" w:space="0" w:color="auto"/>
              <w:bottom w:val="single" w:sz="4" w:space="0" w:color="auto"/>
            </w:tcBorders>
          </w:tcPr>
          <w:p>
            <w:pPr>
              <w:ind w:right="-29"/>
              <w:jc w:val="center"/>
              <w:rPr>
                <w:noProof/>
                <w:sz w:val="18"/>
                <w:szCs w:val="18"/>
              </w:rPr>
            </w:pPr>
            <w:r>
              <w:rPr>
                <w:noProof/>
                <w:sz w:val="18"/>
                <w:szCs w:val="18"/>
              </w:rPr>
              <w:t>0,060</w:t>
            </w:r>
          </w:p>
        </w:tc>
        <w:tc>
          <w:tcPr>
            <w:tcW w:w="333" w:type="dxa"/>
            <w:tcBorders>
              <w:right w:val="dashSmallGap" w:sz="4" w:space="0" w:color="auto"/>
            </w:tcBorders>
          </w:tcPr>
          <w:p>
            <w:pPr>
              <w:ind w:right="-29"/>
              <w:jc w:val="center"/>
              <w:rPr>
                <w:noProof/>
                <w:sz w:val="18"/>
                <w:szCs w:val="18"/>
              </w:rPr>
            </w:pPr>
          </w:p>
        </w:tc>
        <w:tc>
          <w:tcPr>
            <w:tcW w:w="867" w:type="dxa"/>
            <w:tcBorders>
              <w:top w:val="single" w:sz="4" w:space="0" w:color="auto"/>
              <w:left w:val="dashSmallGap" w:sz="4" w:space="0" w:color="auto"/>
              <w:bottom w:val="single" w:sz="4" w:space="0" w:color="auto"/>
              <w:right w:val="single" w:sz="4" w:space="0" w:color="auto"/>
            </w:tcBorders>
          </w:tcPr>
          <w:p>
            <w:pPr>
              <w:ind w:right="-29"/>
              <w:jc w:val="center"/>
              <w:rPr>
                <w:noProof/>
                <w:sz w:val="18"/>
                <w:szCs w:val="18"/>
              </w:rPr>
            </w:pPr>
            <w:r>
              <w:rPr>
                <w:noProof/>
                <w:sz w:val="18"/>
                <w:szCs w:val="18"/>
              </w:rPr>
              <w:t>0,060</w:t>
            </w:r>
          </w:p>
        </w:tc>
        <w:tc>
          <w:tcPr>
            <w:tcW w:w="333" w:type="dxa"/>
            <w:tcBorders>
              <w:left w:val="single" w:sz="4" w:space="0" w:color="auto"/>
              <w:right w:val="dashSmallGap" w:sz="4" w:space="0" w:color="auto"/>
            </w:tcBorders>
          </w:tcPr>
          <w:p>
            <w:pPr>
              <w:ind w:right="-29"/>
              <w:jc w:val="center"/>
              <w:rPr>
                <w:noProof/>
                <w:sz w:val="18"/>
                <w:szCs w:val="18"/>
              </w:rPr>
            </w:pPr>
          </w:p>
        </w:tc>
        <w:tc>
          <w:tcPr>
            <w:tcW w:w="867" w:type="dxa"/>
            <w:tcBorders>
              <w:left w:val="dashSmallGap" w:sz="4" w:space="0" w:color="auto"/>
              <w:bottom w:val="single" w:sz="4" w:space="0" w:color="auto"/>
            </w:tcBorders>
          </w:tcPr>
          <w:p>
            <w:pPr>
              <w:ind w:right="-29"/>
              <w:jc w:val="center"/>
              <w:rPr>
                <w:noProof/>
                <w:sz w:val="18"/>
                <w:szCs w:val="18"/>
              </w:rPr>
            </w:pPr>
            <w:r>
              <w:rPr>
                <w:noProof/>
                <w:sz w:val="18"/>
                <w:szCs w:val="18"/>
              </w:rPr>
              <w:t>0,596</w:t>
            </w:r>
          </w:p>
        </w:tc>
        <w:tc>
          <w:tcPr>
            <w:tcW w:w="333" w:type="dxa"/>
            <w:tcBorders>
              <w:right w:val="dashSmallGap" w:sz="4" w:space="0" w:color="auto"/>
            </w:tcBorders>
          </w:tcPr>
          <w:p>
            <w:pPr>
              <w:ind w:right="-29"/>
              <w:jc w:val="center"/>
              <w:rPr>
                <w:noProof/>
                <w:sz w:val="18"/>
                <w:szCs w:val="18"/>
              </w:rPr>
            </w:pPr>
          </w:p>
        </w:tc>
        <w:tc>
          <w:tcPr>
            <w:tcW w:w="699" w:type="dxa"/>
            <w:tcBorders>
              <w:left w:val="dashSmallGap" w:sz="4" w:space="0" w:color="auto"/>
              <w:bottom w:val="single" w:sz="4" w:space="0" w:color="auto"/>
            </w:tcBorders>
          </w:tcPr>
          <w:p>
            <w:pPr>
              <w:ind w:right="-29"/>
              <w:jc w:val="center"/>
              <w:rPr>
                <w:noProof/>
                <w:sz w:val="18"/>
                <w:szCs w:val="18"/>
              </w:rPr>
            </w:pPr>
            <w:r>
              <w:rPr>
                <w:noProof/>
                <w:sz w:val="18"/>
                <w:szCs w:val="18"/>
              </w:rPr>
              <w:t>1,741</w:t>
            </w:r>
          </w:p>
        </w:tc>
        <w:tc>
          <w:tcPr>
            <w:tcW w:w="381" w:type="dxa"/>
            <w:tcBorders>
              <w:right w:val="dashSmallGap" w:sz="4" w:space="0" w:color="auto"/>
            </w:tcBorders>
          </w:tcPr>
          <w:p>
            <w:pPr>
              <w:ind w:right="-29"/>
              <w:jc w:val="center"/>
              <w:rPr>
                <w:noProof/>
                <w:sz w:val="18"/>
                <w:szCs w:val="18"/>
              </w:rPr>
            </w:pPr>
          </w:p>
        </w:tc>
        <w:tc>
          <w:tcPr>
            <w:tcW w:w="699" w:type="dxa"/>
            <w:tcBorders>
              <w:left w:val="dashSmallGap" w:sz="4" w:space="0" w:color="auto"/>
              <w:bottom w:val="single" w:sz="4" w:space="0" w:color="auto"/>
            </w:tcBorders>
          </w:tcPr>
          <w:p>
            <w:pPr>
              <w:ind w:right="-29"/>
              <w:jc w:val="center"/>
              <w:rPr>
                <w:noProof/>
                <w:sz w:val="18"/>
                <w:szCs w:val="18"/>
              </w:rPr>
            </w:pPr>
            <w:r>
              <w:rPr>
                <w:noProof/>
                <w:sz w:val="18"/>
                <w:szCs w:val="18"/>
              </w:rPr>
              <w:t>1,741</w:t>
            </w:r>
          </w:p>
        </w:tc>
        <w:tc>
          <w:tcPr>
            <w:tcW w:w="381" w:type="dxa"/>
            <w:tcBorders>
              <w:right w:val="dashSmallGap" w:sz="4" w:space="0" w:color="auto"/>
            </w:tcBorders>
          </w:tcPr>
          <w:p>
            <w:pPr>
              <w:ind w:right="-29"/>
              <w:jc w:val="center"/>
              <w:rPr>
                <w:noProof/>
                <w:sz w:val="18"/>
                <w:szCs w:val="18"/>
              </w:rPr>
            </w:pPr>
          </w:p>
        </w:tc>
        <w:tc>
          <w:tcPr>
            <w:tcW w:w="819" w:type="dxa"/>
            <w:tcBorders>
              <w:left w:val="dashSmallGap" w:sz="4" w:space="0" w:color="auto"/>
              <w:bottom w:val="single" w:sz="4" w:space="0" w:color="auto"/>
            </w:tcBorders>
          </w:tcPr>
          <w:p>
            <w:pPr>
              <w:ind w:right="-29"/>
              <w:jc w:val="center"/>
              <w:rPr>
                <w:noProof/>
                <w:sz w:val="18"/>
                <w:szCs w:val="18"/>
              </w:rPr>
            </w:pPr>
            <w:r>
              <w:rPr>
                <w:noProof/>
                <w:sz w:val="18"/>
                <w:szCs w:val="18"/>
              </w:rPr>
              <w:t>1,741</w:t>
            </w:r>
          </w:p>
        </w:tc>
        <w:tc>
          <w:tcPr>
            <w:tcW w:w="360" w:type="dxa"/>
            <w:tcBorders>
              <w:right w:val="dashSmallGap" w:sz="4" w:space="0" w:color="auto"/>
            </w:tcBorders>
          </w:tcPr>
          <w:p>
            <w:pPr>
              <w:ind w:right="-29"/>
              <w:jc w:val="center"/>
              <w:rPr>
                <w:noProof/>
                <w:sz w:val="18"/>
                <w:szCs w:val="18"/>
              </w:rPr>
            </w:pPr>
          </w:p>
        </w:tc>
        <w:tc>
          <w:tcPr>
            <w:tcW w:w="840" w:type="dxa"/>
            <w:tcBorders>
              <w:left w:val="dashSmallGap" w:sz="4" w:space="0" w:color="auto"/>
              <w:bottom w:val="single" w:sz="4" w:space="0" w:color="auto"/>
            </w:tcBorders>
          </w:tcPr>
          <w:p>
            <w:pPr>
              <w:ind w:right="-29"/>
              <w:jc w:val="center"/>
              <w:rPr>
                <w:noProof/>
                <w:sz w:val="18"/>
                <w:szCs w:val="18"/>
              </w:rPr>
            </w:pPr>
            <w:r>
              <w:rPr>
                <w:noProof/>
                <w:sz w:val="18"/>
                <w:szCs w:val="18"/>
              </w:rPr>
              <w:t>1,741</w:t>
            </w:r>
          </w:p>
        </w:tc>
        <w:tc>
          <w:tcPr>
            <w:tcW w:w="360" w:type="dxa"/>
            <w:tcBorders>
              <w:right w:val="dashSmallGap" w:sz="4" w:space="0" w:color="auto"/>
            </w:tcBorders>
          </w:tcPr>
          <w:p>
            <w:pPr>
              <w:ind w:right="-29"/>
              <w:jc w:val="center"/>
              <w:rPr>
                <w:noProof/>
                <w:sz w:val="18"/>
                <w:szCs w:val="18"/>
              </w:rPr>
            </w:pPr>
          </w:p>
        </w:tc>
        <w:tc>
          <w:tcPr>
            <w:tcW w:w="840" w:type="dxa"/>
            <w:tcBorders>
              <w:left w:val="dashSmallGap" w:sz="4" w:space="0" w:color="auto"/>
              <w:bottom w:val="single" w:sz="4" w:space="0" w:color="auto"/>
            </w:tcBorders>
          </w:tcPr>
          <w:p>
            <w:pPr>
              <w:ind w:right="-29"/>
              <w:jc w:val="center"/>
              <w:rPr>
                <w:noProof/>
                <w:sz w:val="18"/>
                <w:szCs w:val="18"/>
              </w:rPr>
            </w:pPr>
            <w:r>
              <w:rPr>
                <w:noProof/>
                <w:sz w:val="18"/>
                <w:szCs w:val="18"/>
              </w:rPr>
              <w:t>1,741</w:t>
            </w:r>
          </w:p>
        </w:tc>
        <w:tc>
          <w:tcPr>
            <w:tcW w:w="261" w:type="dxa"/>
            <w:tcBorders>
              <w:right w:val="dashSmallGap" w:sz="4" w:space="0" w:color="auto"/>
            </w:tcBorders>
          </w:tcPr>
          <w:p>
            <w:pPr>
              <w:ind w:right="-29"/>
              <w:jc w:val="center"/>
              <w:rPr>
                <w:noProof/>
                <w:sz w:val="18"/>
                <w:szCs w:val="18"/>
              </w:rPr>
            </w:pPr>
          </w:p>
        </w:tc>
        <w:tc>
          <w:tcPr>
            <w:tcW w:w="879" w:type="dxa"/>
            <w:tcBorders>
              <w:left w:val="dashSmallGap" w:sz="4" w:space="0" w:color="auto"/>
              <w:bottom w:val="single" w:sz="4" w:space="0" w:color="auto"/>
              <w:right w:val="single" w:sz="12" w:space="0" w:color="auto"/>
            </w:tcBorders>
          </w:tcPr>
          <w:p>
            <w:pPr>
              <w:ind w:right="-29"/>
              <w:jc w:val="center"/>
              <w:rPr>
                <w:noProof/>
                <w:sz w:val="18"/>
                <w:szCs w:val="18"/>
              </w:rPr>
            </w:pPr>
            <w:r>
              <w:rPr>
                <w:noProof/>
                <w:sz w:val="18"/>
                <w:szCs w:val="18"/>
              </w:rPr>
              <w:t>9,423</w:t>
            </w:r>
          </w:p>
        </w:tc>
      </w:tr>
      <w:tr>
        <w:trPr>
          <w:trHeight w:hRule="exact" w:val="369"/>
          <w:jc w:val="center"/>
        </w:trPr>
        <w:tc>
          <w:tcPr>
            <w:tcW w:w="1422" w:type="dxa"/>
            <w:tcBorders>
              <w:left w:val="single" w:sz="12" w:space="0" w:color="auto"/>
            </w:tcBorders>
          </w:tcPr>
          <w:p>
            <w:pPr>
              <w:ind w:right="-29"/>
              <w:jc w:val="center"/>
              <w:rPr>
                <w:noProof/>
                <w:sz w:val="18"/>
              </w:rPr>
            </w:pPr>
            <w:r>
              <w:rPr>
                <w:noProof/>
                <w:sz w:val="18"/>
              </w:rPr>
              <w:t>IT training</w:t>
            </w:r>
          </w:p>
        </w:tc>
        <w:tc>
          <w:tcPr>
            <w:tcW w:w="1380" w:type="dxa"/>
            <w:gridSpan w:val="2"/>
          </w:tcPr>
          <w:p>
            <w:pPr>
              <w:ind w:right="-29"/>
              <w:jc w:val="center"/>
              <w:rPr>
                <w:noProof/>
                <w:sz w:val="18"/>
                <w:szCs w:val="18"/>
              </w:rPr>
            </w:pPr>
            <w:r>
              <w:rPr>
                <w:noProof/>
                <w:sz w:val="18"/>
                <w:szCs w:val="18"/>
              </w:rPr>
              <w:t xml:space="preserve">Training </w:t>
            </w:r>
          </w:p>
        </w:tc>
        <w:tc>
          <w:tcPr>
            <w:tcW w:w="393" w:type="dxa"/>
            <w:tcBorders>
              <w:right w:val="dashSmallGap" w:sz="4" w:space="0" w:color="auto"/>
            </w:tcBorders>
          </w:tcPr>
          <w:p>
            <w:pPr>
              <w:ind w:right="-29"/>
              <w:jc w:val="center"/>
              <w:rPr>
                <w:noProof/>
                <w:sz w:val="18"/>
                <w:szCs w:val="18"/>
              </w:rPr>
            </w:pPr>
          </w:p>
        </w:tc>
        <w:tc>
          <w:tcPr>
            <w:tcW w:w="777" w:type="dxa"/>
            <w:tcBorders>
              <w:left w:val="dashSmallGap" w:sz="4" w:space="0" w:color="auto"/>
              <w:bottom w:val="single" w:sz="4" w:space="0" w:color="auto"/>
            </w:tcBorders>
          </w:tcPr>
          <w:p>
            <w:pPr>
              <w:ind w:right="-29"/>
              <w:jc w:val="center"/>
              <w:rPr>
                <w:noProof/>
                <w:sz w:val="18"/>
                <w:szCs w:val="18"/>
              </w:rPr>
            </w:pPr>
            <w:r>
              <w:rPr>
                <w:noProof/>
                <w:sz w:val="18"/>
                <w:szCs w:val="18"/>
              </w:rPr>
              <w:t>0</w:t>
            </w:r>
          </w:p>
        </w:tc>
        <w:tc>
          <w:tcPr>
            <w:tcW w:w="303" w:type="dxa"/>
            <w:tcBorders>
              <w:right w:val="dashSmallGap" w:sz="4" w:space="0" w:color="auto"/>
            </w:tcBorders>
          </w:tcPr>
          <w:p>
            <w:pPr>
              <w:ind w:right="-29"/>
              <w:jc w:val="center"/>
              <w:rPr>
                <w:noProof/>
                <w:sz w:val="18"/>
                <w:szCs w:val="18"/>
              </w:rPr>
            </w:pPr>
          </w:p>
        </w:tc>
        <w:tc>
          <w:tcPr>
            <w:tcW w:w="867" w:type="dxa"/>
            <w:tcBorders>
              <w:left w:val="dashSmallGap" w:sz="4" w:space="0" w:color="auto"/>
              <w:bottom w:val="single" w:sz="4" w:space="0" w:color="auto"/>
            </w:tcBorders>
          </w:tcPr>
          <w:p>
            <w:pPr>
              <w:ind w:right="-29"/>
              <w:jc w:val="center"/>
              <w:rPr>
                <w:noProof/>
                <w:sz w:val="18"/>
                <w:szCs w:val="18"/>
              </w:rPr>
            </w:pPr>
            <w:r>
              <w:rPr>
                <w:noProof/>
                <w:sz w:val="18"/>
                <w:szCs w:val="18"/>
              </w:rPr>
              <w:t>0</w:t>
            </w:r>
          </w:p>
        </w:tc>
        <w:tc>
          <w:tcPr>
            <w:tcW w:w="333" w:type="dxa"/>
            <w:tcBorders>
              <w:right w:val="dashSmallGap" w:sz="4" w:space="0" w:color="auto"/>
            </w:tcBorders>
          </w:tcPr>
          <w:p>
            <w:pPr>
              <w:ind w:right="-29"/>
              <w:jc w:val="center"/>
              <w:rPr>
                <w:noProof/>
                <w:sz w:val="18"/>
                <w:szCs w:val="18"/>
              </w:rPr>
            </w:pPr>
          </w:p>
        </w:tc>
        <w:tc>
          <w:tcPr>
            <w:tcW w:w="867" w:type="dxa"/>
            <w:tcBorders>
              <w:left w:val="dashSmallGap" w:sz="4" w:space="0" w:color="auto"/>
              <w:bottom w:val="single" w:sz="4" w:space="0" w:color="auto"/>
            </w:tcBorders>
          </w:tcPr>
          <w:p>
            <w:pPr>
              <w:ind w:right="-29"/>
              <w:jc w:val="center"/>
              <w:rPr>
                <w:noProof/>
                <w:sz w:val="18"/>
                <w:szCs w:val="18"/>
              </w:rPr>
            </w:pPr>
            <w:r>
              <w:rPr>
                <w:noProof/>
                <w:sz w:val="18"/>
                <w:szCs w:val="18"/>
              </w:rPr>
              <w:t>0</w:t>
            </w:r>
          </w:p>
        </w:tc>
        <w:tc>
          <w:tcPr>
            <w:tcW w:w="333" w:type="dxa"/>
            <w:tcBorders>
              <w:right w:val="dashSmallGap" w:sz="4" w:space="0" w:color="auto"/>
            </w:tcBorders>
          </w:tcPr>
          <w:p>
            <w:pPr>
              <w:ind w:right="-29"/>
              <w:jc w:val="center"/>
              <w:rPr>
                <w:noProof/>
                <w:sz w:val="18"/>
                <w:szCs w:val="18"/>
              </w:rPr>
            </w:pPr>
          </w:p>
        </w:tc>
        <w:tc>
          <w:tcPr>
            <w:tcW w:w="867" w:type="dxa"/>
            <w:tcBorders>
              <w:left w:val="dashSmallGap" w:sz="4" w:space="0" w:color="auto"/>
              <w:bottom w:val="single" w:sz="4" w:space="0" w:color="auto"/>
            </w:tcBorders>
          </w:tcPr>
          <w:p>
            <w:pPr>
              <w:ind w:right="-29"/>
              <w:jc w:val="center"/>
              <w:rPr>
                <w:noProof/>
                <w:sz w:val="18"/>
                <w:szCs w:val="18"/>
              </w:rPr>
            </w:pPr>
            <w:r>
              <w:rPr>
                <w:noProof/>
                <w:sz w:val="18"/>
                <w:szCs w:val="18"/>
              </w:rPr>
              <w:t>0</w:t>
            </w:r>
          </w:p>
        </w:tc>
        <w:tc>
          <w:tcPr>
            <w:tcW w:w="333" w:type="dxa"/>
            <w:tcBorders>
              <w:right w:val="dashSmallGap" w:sz="4" w:space="0" w:color="auto"/>
            </w:tcBorders>
          </w:tcPr>
          <w:p>
            <w:pPr>
              <w:ind w:right="-29"/>
              <w:jc w:val="center"/>
              <w:rPr>
                <w:noProof/>
                <w:sz w:val="18"/>
                <w:szCs w:val="18"/>
              </w:rPr>
            </w:pPr>
          </w:p>
        </w:tc>
        <w:tc>
          <w:tcPr>
            <w:tcW w:w="699" w:type="dxa"/>
            <w:tcBorders>
              <w:left w:val="dashSmallGap" w:sz="4" w:space="0" w:color="auto"/>
              <w:bottom w:val="single" w:sz="4" w:space="0" w:color="auto"/>
            </w:tcBorders>
          </w:tcPr>
          <w:p>
            <w:pPr>
              <w:ind w:right="-29"/>
              <w:jc w:val="center"/>
              <w:rPr>
                <w:noProof/>
                <w:sz w:val="18"/>
                <w:szCs w:val="18"/>
              </w:rPr>
            </w:pPr>
            <w:r>
              <w:rPr>
                <w:noProof/>
                <w:sz w:val="18"/>
                <w:szCs w:val="18"/>
              </w:rPr>
              <w:t>0,030</w:t>
            </w:r>
          </w:p>
        </w:tc>
        <w:tc>
          <w:tcPr>
            <w:tcW w:w="381" w:type="dxa"/>
            <w:tcBorders>
              <w:right w:val="dashSmallGap" w:sz="4" w:space="0" w:color="auto"/>
            </w:tcBorders>
          </w:tcPr>
          <w:p>
            <w:pPr>
              <w:ind w:right="-29"/>
              <w:jc w:val="center"/>
              <w:rPr>
                <w:noProof/>
                <w:sz w:val="18"/>
                <w:szCs w:val="18"/>
              </w:rPr>
            </w:pPr>
          </w:p>
        </w:tc>
        <w:tc>
          <w:tcPr>
            <w:tcW w:w="699" w:type="dxa"/>
            <w:tcBorders>
              <w:left w:val="dashSmallGap" w:sz="4" w:space="0" w:color="auto"/>
              <w:bottom w:val="single" w:sz="4" w:space="0" w:color="auto"/>
            </w:tcBorders>
          </w:tcPr>
          <w:p>
            <w:pPr>
              <w:ind w:right="-29"/>
              <w:jc w:val="center"/>
              <w:rPr>
                <w:noProof/>
                <w:sz w:val="18"/>
                <w:szCs w:val="18"/>
              </w:rPr>
            </w:pPr>
            <w:r>
              <w:rPr>
                <w:noProof/>
                <w:sz w:val="18"/>
                <w:szCs w:val="18"/>
              </w:rPr>
              <w:t>0,030</w:t>
            </w:r>
          </w:p>
        </w:tc>
        <w:tc>
          <w:tcPr>
            <w:tcW w:w="381" w:type="dxa"/>
            <w:tcBorders>
              <w:right w:val="dashSmallGap" w:sz="4" w:space="0" w:color="auto"/>
            </w:tcBorders>
          </w:tcPr>
          <w:p>
            <w:pPr>
              <w:ind w:right="-29"/>
              <w:jc w:val="center"/>
              <w:rPr>
                <w:noProof/>
                <w:sz w:val="18"/>
                <w:szCs w:val="18"/>
              </w:rPr>
            </w:pPr>
          </w:p>
        </w:tc>
        <w:tc>
          <w:tcPr>
            <w:tcW w:w="819" w:type="dxa"/>
            <w:tcBorders>
              <w:left w:val="dashSmallGap" w:sz="4" w:space="0" w:color="auto"/>
              <w:bottom w:val="single" w:sz="4" w:space="0" w:color="auto"/>
            </w:tcBorders>
          </w:tcPr>
          <w:p>
            <w:pPr>
              <w:ind w:right="-29"/>
              <w:jc w:val="center"/>
              <w:rPr>
                <w:noProof/>
                <w:sz w:val="18"/>
                <w:szCs w:val="18"/>
              </w:rPr>
            </w:pPr>
            <w:r>
              <w:rPr>
                <w:noProof/>
                <w:sz w:val="18"/>
                <w:szCs w:val="18"/>
              </w:rPr>
              <w:t>0,030</w:t>
            </w:r>
          </w:p>
        </w:tc>
        <w:tc>
          <w:tcPr>
            <w:tcW w:w="360" w:type="dxa"/>
            <w:tcBorders>
              <w:right w:val="dashSmallGap" w:sz="4" w:space="0" w:color="auto"/>
            </w:tcBorders>
          </w:tcPr>
          <w:p>
            <w:pPr>
              <w:ind w:right="-29"/>
              <w:jc w:val="center"/>
              <w:rPr>
                <w:noProof/>
                <w:sz w:val="18"/>
                <w:szCs w:val="18"/>
              </w:rPr>
            </w:pPr>
          </w:p>
        </w:tc>
        <w:tc>
          <w:tcPr>
            <w:tcW w:w="840" w:type="dxa"/>
            <w:tcBorders>
              <w:left w:val="dashSmallGap" w:sz="4" w:space="0" w:color="auto"/>
              <w:bottom w:val="single" w:sz="4" w:space="0" w:color="auto"/>
            </w:tcBorders>
          </w:tcPr>
          <w:p>
            <w:pPr>
              <w:ind w:right="-29"/>
              <w:jc w:val="center"/>
              <w:rPr>
                <w:noProof/>
                <w:sz w:val="18"/>
                <w:szCs w:val="18"/>
              </w:rPr>
            </w:pPr>
            <w:r>
              <w:rPr>
                <w:noProof/>
                <w:sz w:val="18"/>
                <w:szCs w:val="18"/>
              </w:rPr>
              <w:t>0,030</w:t>
            </w:r>
          </w:p>
        </w:tc>
        <w:tc>
          <w:tcPr>
            <w:tcW w:w="360" w:type="dxa"/>
            <w:tcBorders>
              <w:right w:val="dashSmallGap" w:sz="4" w:space="0" w:color="auto"/>
            </w:tcBorders>
          </w:tcPr>
          <w:p>
            <w:pPr>
              <w:ind w:right="-29"/>
              <w:jc w:val="center"/>
              <w:rPr>
                <w:noProof/>
                <w:sz w:val="18"/>
                <w:szCs w:val="18"/>
              </w:rPr>
            </w:pPr>
          </w:p>
        </w:tc>
        <w:tc>
          <w:tcPr>
            <w:tcW w:w="840" w:type="dxa"/>
            <w:tcBorders>
              <w:left w:val="dashSmallGap" w:sz="4" w:space="0" w:color="auto"/>
              <w:bottom w:val="single" w:sz="4" w:space="0" w:color="auto"/>
            </w:tcBorders>
          </w:tcPr>
          <w:p>
            <w:pPr>
              <w:ind w:right="-29"/>
              <w:jc w:val="center"/>
              <w:rPr>
                <w:noProof/>
                <w:sz w:val="18"/>
                <w:szCs w:val="18"/>
              </w:rPr>
            </w:pPr>
            <w:r>
              <w:rPr>
                <w:noProof/>
                <w:sz w:val="18"/>
                <w:szCs w:val="18"/>
              </w:rPr>
              <w:t>0,030</w:t>
            </w:r>
          </w:p>
        </w:tc>
        <w:tc>
          <w:tcPr>
            <w:tcW w:w="261" w:type="dxa"/>
            <w:tcBorders>
              <w:right w:val="dashSmallGap" w:sz="4" w:space="0" w:color="auto"/>
            </w:tcBorders>
          </w:tcPr>
          <w:p>
            <w:pPr>
              <w:ind w:right="-29"/>
              <w:jc w:val="center"/>
              <w:rPr>
                <w:noProof/>
                <w:sz w:val="18"/>
                <w:szCs w:val="18"/>
              </w:rPr>
            </w:pPr>
          </w:p>
        </w:tc>
        <w:tc>
          <w:tcPr>
            <w:tcW w:w="879" w:type="dxa"/>
            <w:tcBorders>
              <w:left w:val="dashSmallGap" w:sz="4" w:space="0" w:color="auto"/>
              <w:bottom w:val="single" w:sz="4" w:space="0" w:color="auto"/>
              <w:right w:val="single" w:sz="12" w:space="0" w:color="auto"/>
            </w:tcBorders>
          </w:tcPr>
          <w:p>
            <w:pPr>
              <w:ind w:right="-29"/>
              <w:jc w:val="center"/>
              <w:rPr>
                <w:noProof/>
                <w:sz w:val="18"/>
                <w:szCs w:val="18"/>
              </w:rPr>
            </w:pPr>
            <w:r>
              <w:rPr>
                <w:noProof/>
                <w:sz w:val="18"/>
                <w:szCs w:val="18"/>
              </w:rPr>
              <w:t>0,150</w:t>
            </w:r>
          </w:p>
        </w:tc>
      </w:tr>
      <w:tr>
        <w:trPr>
          <w:jc w:val="center"/>
        </w:trPr>
        <w:tc>
          <w:tcPr>
            <w:tcW w:w="2802" w:type="dxa"/>
            <w:gridSpan w:val="3"/>
            <w:tcBorders>
              <w:left w:val="single" w:sz="12" w:space="0" w:color="auto"/>
              <w:bottom w:val="single" w:sz="12" w:space="0" w:color="auto"/>
            </w:tcBorders>
            <w:vAlign w:val="center"/>
          </w:tcPr>
          <w:p>
            <w:pPr>
              <w:ind w:right="-29"/>
              <w:jc w:val="center"/>
              <w:rPr>
                <w:noProof/>
                <w:sz w:val="18"/>
                <w:szCs w:val="18"/>
              </w:rPr>
            </w:pPr>
            <w:r>
              <w:rPr>
                <w:noProof/>
                <w:sz w:val="18"/>
              </w:rPr>
              <w:t>Subtotal for specific objective No 2</w:t>
            </w:r>
          </w:p>
        </w:tc>
        <w:tc>
          <w:tcPr>
            <w:tcW w:w="393" w:type="dxa"/>
            <w:tcBorders>
              <w:bottom w:val="single" w:sz="12" w:space="0" w:color="auto"/>
              <w:right w:val="dashSmallGap" w:sz="4" w:space="0" w:color="auto"/>
            </w:tcBorders>
          </w:tcPr>
          <w:p>
            <w:pPr>
              <w:ind w:right="-29"/>
              <w:jc w:val="center"/>
              <w:rPr>
                <w:noProof/>
                <w:sz w:val="18"/>
                <w:szCs w:val="18"/>
              </w:rPr>
            </w:pPr>
          </w:p>
        </w:tc>
        <w:tc>
          <w:tcPr>
            <w:tcW w:w="777" w:type="dxa"/>
            <w:tcBorders>
              <w:left w:val="dashSmallGap" w:sz="4" w:space="0" w:color="auto"/>
              <w:bottom w:val="single" w:sz="12" w:space="0" w:color="auto"/>
            </w:tcBorders>
          </w:tcPr>
          <w:p>
            <w:pPr>
              <w:ind w:right="-29"/>
              <w:jc w:val="center"/>
              <w:rPr>
                <w:b/>
                <w:noProof/>
                <w:sz w:val="18"/>
                <w:szCs w:val="18"/>
              </w:rPr>
            </w:pPr>
            <w:r>
              <w:rPr>
                <w:b/>
                <w:noProof/>
                <w:sz w:val="18"/>
                <w:szCs w:val="18"/>
              </w:rPr>
              <w:t>0</w:t>
            </w:r>
          </w:p>
        </w:tc>
        <w:tc>
          <w:tcPr>
            <w:tcW w:w="303" w:type="dxa"/>
            <w:tcBorders>
              <w:bottom w:val="single" w:sz="12" w:space="0" w:color="auto"/>
              <w:right w:val="dashSmallGap" w:sz="4" w:space="0" w:color="auto"/>
            </w:tcBorders>
          </w:tcPr>
          <w:p>
            <w:pPr>
              <w:ind w:right="-29"/>
              <w:jc w:val="center"/>
              <w:rPr>
                <w:noProof/>
                <w:sz w:val="18"/>
                <w:szCs w:val="18"/>
              </w:rPr>
            </w:pPr>
          </w:p>
        </w:tc>
        <w:tc>
          <w:tcPr>
            <w:tcW w:w="867" w:type="dxa"/>
            <w:tcBorders>
              <w:left w:val="dashSmallGap" w:sz="4" w:space="0" w:color="auto"/>
              <w:bottom w:val="single" w:sz="12" w:space="0" w:color="auto"/>
            </w:tcBorders>
          </w:tcPr>
          <w:p>
            <w:pPr>
              <w:ind w:right="-29"/>
              <w:jc w:val="center"/>
              <w:rPr>
                <w:b/>
                <w:noProof/>
                <w:sz w:val="18"/>
                <w:szCs w:val="18"/>
              </w:rPr>
            </w:pPr>
            <w:r>
              <w:rPr>
                <w:b/>
                <w:noProof/>
                <w:sz w:val="18"/>
                <w:szCs w:val="18"/>
              </w:rPr>
              <w:t>0,325</w:t>
            </w:r>
          </w:p>
        </w:tc>
        <w:tc>
          <w:tcPr>
            <w:tcW w:w="333" w:type="dxa"/>
            <w:tcBorders>
              <w:bottom w:val="single" w:sz="12" w:space="0" w:color="auto"/>
              <w:right w:val="dashSmallGap" w:sz="4" w:space="0" w:color="auto"/>
            </w:tcBorders>
          </w:tcPr>
          <w:p>
            <w:pPr>
              <w:ind w:right="-29"/>
              <w:jc w:val="center"/>
              <w:rPr>
                <w:noProof/>
                <w:sz w:val="18"/>
                <w:szCs w:val="18"/>
              </w:rPr>
            </w:pPr>
          </w:p>
        </w:tc>
        <w:tc>
          <w:tcPr>
            <w:tcW w:w="867" w:type="dxa"/>
            <w:tcBorders>
              <w:left w:val="dashSmallGap" w:sz="4" w:space="0" w:color="auto"/>
              <w:bottom w:val="single" w:sz="12" w:space="0" w:color="auto"/>
            </w:tcBorders>
          </w:tcPr>
          <w:p>
            <w:pPr>
              <w:ind w:right="-29"/>
              <w:jc w:val="center"/>
              <w:rPr>
                <w:b/>
                <w:noProof/>
                <w:sz w:val="18"/>
                <w:szCs w:val="18"/>
              </w:rPr>
            </w:pPr>
            <w:r>
              <w:rPr>
                <w:b/>
                <w:noProof/>
                <w:sz w:val="18"/>
                <w:szCs w:val="18"/>
              </w:rPr>
              <w:t>0,325</w:t>
            </w:r>
          </w:p>
        </w:tc>
        <w:tc>
          <w:tcPr>
            <w:tcW w:w="333" w:type="dxa"/>
            <w:tcBorders>
              <w:bottom w:val="single" w:sz="12" w:space="0" w:color="auto"/>
              <w:right w:val="dashSmallGap" w:sz="4" w:space="0" w:color="auto"/>
            </w:tcBorders>
          </w:tcPr>
          <w:p>
            <w:pPr>
              <w:ind w:right="-29"/>
              <w:jc w:val="center"/>
              <w:rPr>
                <w:noProof/>
                <w:sz w:val="18"/>
                <w:szCs w:val="18"/>
              </w:rPr>
            </w:pPr>
          </w:p>
        </w:tc>
        <w:tc>
          <w:tcPr>
            <w:tcW w:w="867" w:type="dxa"/>
            <w:tcBorders>
              <w:left w:val="dashSmallGap" w:sz="4" w:space="0" w:color="auto"/>
              <w:bottom w:val="single" w:sz="12" w:space="0" w:color="auto"/>
            </w:tcBorders>
          </w:tcPr>
          <w:p>
            <w:pPr>
              <w:ind w:right="-29"/>
              <w:jc w:val="center"/>
              <w:rPr>
                <w:b/>
                <w:noProof/>
                <w:sz w:val="18"/>
                <w:szCs w:val="18"/>
              </w:rPr>
            </w:pPr>
            <w:r>
              <w:rPr>
                <w:b/>
                <w:noProof/>
                <w:sz w:val="18"/>
                <w:szCs w:val="18"/>
              </w:rPr>
              <w:t>3,567</w:t>
            </w:r>
          </w:p>
        </w:tc>
        <w:tc>
          <w:tcPr>
            <w:tcW w:w="333" w:type="dxa"/>
            <w:tcBorders>
              <w:bottom w:val="single" w:sz="12" w:space="0" w:color="auto"/>
              <w:right w:val="dashSmallGap" w:sz="4" w:space="0" w:color="auto"/>
            </w:tcBorders>
          </w:tcPr>
          <w:p>
            <w:pPr>
              <w:ind w:right="-29"/>
              <w:jc w:val="center"/>
              <w:rPr>
                <w:noProof/>
                <w:sz w:val="18"/>
                <w:szCs w:val="18"/>
              </w:rPr>
            </w:pPr>
          </w:p>
        </w:tc>
        <w:tc>
          <w:tcPr>
            <w:tcW w:w="699" w:type="dxa"/>
            <w:tcBorders>
              <w:left w:val="dashSmallGap" w:sz="4" w:space="0" w:color="auto"/>
              <w:bottom w:val="single" w:sz="12" w:space="0" w:color="auto"/>
            </w:tcBorders>
          </w:tcPr>
          <w:p>
            <w:pPr>
              <w:ind w:right="-29"/>
              <w:rPr>
                <w:b/>
                <w:noProof/>
                <w:sz w:val="18"/>
              </w:rPr>
            </w:pPr>
            <w:r>
              <w:rPr>
                <w:b/>
                <w:noProof/>
                <w:sz w:val="18"/>
                <w:szCs w:val="18"/>
              </w:rPr>
              <w:t>10,034</w:t>
            </w:r>
          </w:p>
        </w:tc>
        <w:tc>
          <w:tcPr>
            <w:tcW w:w="381" w:type="dxa"/>
            <w:tcBorders>
              <w:bottom w:val="single" w:sz="12" w:space="0" w:color="auto"/>
              <w:right w:val="dashSmallGap" w:sz="4" w:space="0" w:color="auto"/>
            </w:tcBorders>
          </w:tcPr>
          <w:p>
            <w:pPr>
              <w:ind w:right="-29"/>
              <w:jc w:val="center"/>
              <w:rPr>
                <w:noProof/>
                <w:sz w:val="18"/>
                <w:szCs w:val="18"/>
              </w:rPr>
            </w:pPr>
          </w:p>
        </w:tc>
        <w:tc>
          <w:tcPr>
            <w:tcW w:w="699" w:type="dxa"/>
            <w:tcBorders>
              <w:left w:val="dashSmallGap" w:sz="4" w:space="0" w:color="auto"/>
              <w:bottom w:val="single" w:sz="12" w:space="0" w:color="auto"/>
            </w:tcBorders>
          </w:tcPr>
          <w:p>
            <w:pPr>
              <w:ind w:right="-29"/>
              <w:jc w:val="center"/>
              <w:rPr>
                <w:b/>
                <w:noProof/>
                <w:sz w:val="18"/>
              </w:rPr>
            </w:pPr>
            <w:r>
              <w:rPr>
                <w:b/>
                <w:noProof/>
                <w:sz w:val="18"/>
                <w:szCs w:val="18"/>
              </w:rPr>
              <w:t>10,464</w:t>
            </w:r>
          </w:p>
        </w:tc>
        <w:tc>
          <w:tcPr>
            <w:tcW w:w="381" w:type="dxa"/>
            <w:tcBorders>
              <w:bottom w:val="single" w:sz="12" w:space="0" w:color="auto"/>
              <w:right w:val="dashSmallGap" w:sz="4" w:space="0" w:color="auto"/>
            </w:tcBorders>
          </w:tcPr>
          <w:p>
            <w:pPr>
              <w:ind w:right="-29"/>
              <w:jc w:val="center"/>
              <w:rPr>
                <w:noProof/>
                <w:sz w:val="18"/>
                <w:szCs w:val="18"/>
              </w:rPr>
            </w:pPr>
          </w:p>
        </w:tc>
        <w:tc>
          <w:tcPr>
            <w:tcW w:w="819" w:type="dxa"/>
            <w:tcBorders>
              <w:left w:val="dashSmallGap" w:sz="4" w:space="0" w:color="auto"/>
              <w:bottom w:val="single" w:sz="12" w:space="0" w:color="auto"/>
            </w:tcBorders>
          </w:tcPr>
          <w:p>
            <w:pPr>
              <w:ind w:right="-29"/>
              <w:jc w:val="center"/>
              <w:rPr>
                <w:b/>
                <w:noProof/>
                <w:sz w:val="18"/>
              </w:rPr>
            </w:pPr>
            <w:r>
              <w:rPr>
                <w:b/>
                <w:noProof/>
                <w:sz w:val="18"/>
                <w:szCs w:val="18"/>
              </w:rPr>
              <w:t>10,464</w:t>
            </w:r>
          </w:p>
        </w:tc>
        <w:tc>
          <w:tcPr>
            <w:tcW w:w="360" w:type="dxa"/>
            <w:tcBorders>
              <w:bottom w:val="single" w:sz="12" w:space="0" w:color="auto"/>
              <w:right w:val="dashSmallGap" w:sz="4" w:space="0" w:color="auto"/>
            </w:tcBorders>
          </w:tcPr>
          <w:p>
            <w:pPr>
              <w:ind w:right="-29"/>
              <w:jc w:val="center"/>
              <w:rPr>
                <w:noProof/>
                <w:sz w:val="18"/>
                <w:szCs w:val="18"/>
              </w:rPr>
            </w:pPr>
          </w:p>
        </w:tc>
        <w:tc>
          <w:tcPr>
            <w:tcW w:w="840" w:type="dxa"/>
            <w:tcBorders>
              <w:left w:val="dashSmallGap" w:sz="4" w:space="0" w:color="auto"/>
              <w:bottom w:val="single" w:sz="12" w:space="0" w:color="auto"/>
            </w:tcBorders>
          </w:tcPr>
          <w:p>
            <w:pPr>
              <w:ind w:right="-29"/>
              <w:jc w:val="center"/>
              <w:rPr>
                <w:noProof/>
                <w:sz w:val="18"/>
                <w:szCs w:val="18"/>
              </w:rPr>
            </w:pPr>
            <w:r>
              <w:rPr>
                <w:b/>
                <w:noProof/>
                <w:sz w:val="18"/>
                <w:szCs w:val="18"/>
              </w:rPr>
              <w:t>10,464</w:t>
            </w:r>
          </w:p>
        </w:tc>
        <w:tc>
          <w:tcPr>
            <w:tcW w:w="360" w:type="dxa"/>
            <w:tcBorders>
              <w:bottom w:val="single" w:sz="12" w:space="0" w:color="auto"/>
              <w:right w:val="dashSmallGap" w:sz="4" w:space="0" w:color="auto"/>
            </w:tcBorders>
          </w:tcPr>
          <w:p>
            <w:pPr>
              <w:ind w:right="-29"/>
              <w:jc w:val="center"/>
              <w:rPr>
                <w:noProof/>
                <w:sz w:val="18"/>
                <w:szCs w:val="18"/>
              </w:rPr>
            </w:pPr>
          </w:p>
        </w:tc>
        <w:tc>
          <w:tcPr>
            <w:tcW w:w="840" w:type="dxa"/>
            <w:tcBorders>
              <w:left w:val="dashSmallGap" w:sz="4" w:space="0" w:color="auto"/>
              <w:bottom w:val="single" w:sz="12" w:space="0" w:color="auto"/>
            </w:tcBorders>
          </w:tcPr>
          <w:p>
            <w:pPr>
              <w:ind w:right="-29"/>
              <w:jc w:val="center"/>
              <w:rPr>
                <w:noProof/>
                <w:sz w:val="18"/>
                <w:szCs w:val="18"/>
              </w:rPr>
            </w:pPr>
            <w:r>
              <w:rPr>
                <w:b/>
                <w:noProof/>
                <w:sz w:val="18"/>
                <w:szCs w:val="18"/>
              </w:rPr>
              <w:t>10,464</w:t>
            </w:r>
          </w:p>
        </w:tc>
        <w:tc>
          <w:tcPr>
            <w:tcW w:w="261" w:type="dxa"/>
            <w:tcBorders>
              <w:bottom w:val="single" w:sz="12" w:space="0" w:color="auto"/>
              <w:right w:val="dashSmallGap" w:sz="4" w:space="0" w:color="auto"/>
            </w:tcBorders>
          </w:tcPr>
          <w:p>
            <w:pPr>
              <w:ind w:right="-29"/>
              <w:jc w:val="center"/>
              <w:rPr>
                <w:noProof/>
                <w:sz w:val="18"/>
                <w:szCs w:val="18"/>
              </w:rPr>
            </w:pPr>
          </w:p>
        </w:tc>
        <w:tc>
          <w:tcPr>
            <w:tcW w:w="879" w:type="dxa"/>
            <w:tcBorders>
              <w:left w:val="dashSmallGap" w:sz="4" w:space="0" w:color="auto"/>
              <w:bottom w:val="single" w:sz="12" w:space="0" w:color="auto"/>
              <w:right w:val="single" w:sz="12" w:space="0" w:color="auto"/>
            </w:tcBorders>
          </w:tcPr>
          <w:p>
            <w:pPr>
              <w:ind w:right="-29"/>
              <w:jc w:val="center"/>
              <w:rPr>
                <w:b/>
                <w:noProof/>
                <w:sz w:val="18"/>
                <w:szCs w:val="18"/>
              </w:rPr>
            </w:pPr>
            <w:r>
              <w:rPr>
                <w:b/>
                <w:noProof/>
                <w:sz w:val="18"/>
                <w:szCs w:val="18"/>
              </w:rPr>
              <w:t>56,105</w:t>
            </w:r>
          </w:p>
        </w:tc>
      </w:tr>
    </w:tbl>
    <w:p>
      <w:pPr>
        <w:rPr>
          <w:noProof/>
        </w:rPr>
      </w:pPr>
    </w:p>
    <w:p>
      <w:pPr>
        <w:pStyle w:val="ListDash"/>
        <w:rPr>
          <w:noProof/>
        </w:rPr>
      </w:pPr>
      <w:r>
        <w:rPr>
          <w:noProof/>
        </w:rPr>
        <w:t xml:space="preserve">Maintenance starts as soon as some components are delivered. Therefore the budget for a maintenance contractor is included from the moment the ESP is delivered (in 2021). The maintenance budget increases as more components are delivered and then reaches a more or less constant value representing a percentage (between 15 and 22%) of the initial investment </w:t>
      </w:r>
    </w:p>
    <w:p>
      <w:pPr>
        <w:pStyle w:val="ListDash"/>
        <w:rPr>
          <w:noProof/>
        </w:rPr>
      </w:pPr>
      <w:r>
        <w:rPr>
          <w:noProof/>
        </w:rPr>
        <w:t>Maintenance for hardware and software starts from the year of entry into operations: the evolution of the costs is similar to that for contractor costs.</w:t>
      </w:r>
    </w:p>
    <w:p>
      <w:pPr>
        <w:keepNext/>
        <w:rPr>
          <w:noProof/>
        </w:rPr>
      </w:pPr>
    </w:p>
    <w:tbl>
      <w:tblPr>
        <w:tblW w:w="149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22"/>
        <w:gridCol w:w="721"/>
        <w:gridCol w:w="659"/>
        <w:gridCol w:w="303"/>
        <w:gridCol w:w="867"/>
        <w:gridCol w:w="330"/>
        <w:gridCol w:w="840"/>
        <w:gridCol w:w="360"/>
        <w:gridCol w:w="840"/>
        <w:gridCol w:w="360"/>
        <w:gridCol w:w="840"/>
        <w:gridCol w:w="360"/>
        <w:gridCol w:w="672"/>
        <w:gridCol w:w="360"/>
        <w:gridCol w:w="720"/>
        <w:gridCol w:w="360"/>
        <w:gridCol w:w="840"/>
        <w:gridCol w:w="360"/>
        <w:gridCol w:w="840"/>
        <w:gridCol w:w="360"/>
        <w:gridCol w:w="840"/>
        <w:gridCol w:w="360"/>
        <w:gridCol w:w="1320"/>
      </w:tblGrid>
      <w:tr>
        <w:trPr>
          <w:jc w:val="center"/>
        </w:trPr>
        <w:tc>
          <w:tcPr>
            <w:tcW w:w="1422" w:type="dxa"/>
            <w:vMerge w:val="restart"/>
            <w:tcBorders>
              <w:top w:val="single" w:sz="12" w:space="0" w:color="auto"/>
              <w:left w:val="single" w:sz="12" w:space="0" w:color="auto"/>
            </w:tcBorders>
            <w:vAlign w:val="center"/>
          </w:tcPr>
          <w:p>
            <w:pPr>
              <w:keepNext/>
              <w:ind w:right="-29"/>
              <w:jc w:val="center"/>
              <w:rPr>
                <w:b/>
                <w:noProof/>
                <w:sz w:val="18"/>
                <w:szCs w:val="18"/>
              </w:rPr>
            </w:pPr>
            <w:r>
              <w:rPr>
                <w:b/>
                <w:noProof/>
                <w:sz w:val="18"/>
              </w:rPr>
              <w:t xml:space="preserve">Indicate objectives and outputs </w:t>
            </w:r>
          </w:p>
          <w:p>
            <w:pPr>
              <w:keepNext/>
              <w:ind w:right="-29"/>
              <w:jc w:val="center"/>
              <w:rPr>
                <w:b/>
                <w:noProof/>
                <w:sz w:val="18"/>
                <w:szCs w:val="18"/>
              </w:rPr>
            </w:pPr>
            <w:r>
              <w:rPr>
                <w:b/>
                <w:noProof/>
                <w:sz w:val="18"/>
                <w:szCs w:val="18"/>
              </w:rPr>
              <w:t>Eu-LISA</w:t>
            </w:r>
          </w:p>
          <w:p>
            <w:pPr>
              <w:keepNext/>
              <w:ind w:right="-29"/>
              <w:jc w:val="center"/>
              <w:rPr>
                <w:noProof/>
                <w:sz w:val="18"/>
                <w:szCs w:val="18"/>
              </w:rPr>
            </w:pPr>
            <w:r>
              <w:rPr>
                <w:noProof/>
                <w:sz w:val="18"/>
              </w:rPr>
              <w:sym w:font="Wingdings" w:char="F0F2"/>
            </w:r>
          </w:p>
        </w:tc>
        <w:tc>
          <w:tcPr>
            <w:tcW w:w="721" w:type="dxa"/>
            <w:tcBorders>
              <w:top w:val="single" w:sz="12" w:space="0" w:color="auto"/>
            </w:tcBorders>
            <w:vAlign w:val="center"/>
          </w:tcPr>
          <w:p>
            <w:pPr>
              <w:keepNext/>
              <w:ind w:right="-29"/>
              <w:jc w:val="center"/>
              <w:rPr>
                <w:noProof/>
                <w:sz w:val="18"/>
                <w:szCs w:val="18"/>
              </w:rPr>
            </w:pPr>
          </w:p>
        </w:tc>
        <w:tc>
          <w:tcPr>
            <w:tcW w:w="659" w:type="dxa"/>
            <w:tcBorders>
              <w:top w:val="single" w:sz="12" w:space="0" w:color="auto"/>
            </w:tcBorders>
            <w:vAlign w:val="center"/>
          </w:tcPr>
          <w:p>
            <w:pPr>
              <w:keepNext/>
              <w:ind w:right="-29"/>
              <w:jc w:val="center"/>
              <w:rPr>
                <w:noProof/>
                <w:sz w:val="18"/>
                <w:szCs w:val="18"/>
              </w:rPr>
            </w:pPr>
          </w:p>
        </w:tc>
        <w:tc>
          <w:tcPr>
            <w:tcW w:w="1170" w:type="dxa"/>
            <w:gridSpan w:val="2"/>
            <w:tcBorders>
              <w:top w:val="single" w:sz="12" w:space="0" w:color="auto"/>
              <w:right w:val="single" w:sz="4" w:space="0" w:color="auto"/>
            </w:tcBorders>
            <w:vAlign w:val="center"/>
          </w:tcPr>
          <w:p>
            <w:pPr>
              <w:keepNext/>
              <w:ind w:right="-29"/>
              <w:jc w:val="center"/>
              <w:rPr>
                <w:noProof/>
                <w:sz w:val="18"/>
                <w:szCs w:val="18"/>
              </w:rPr>
            </w:pPr>
            <w:r>
              <w:rPr>
                <w:noProof/>
                <w:sz w:val="18"/>
              </w:rPr>
              <w:t>Year</w:t>
            </w:r>
            <w:r>
              <w:rPr>
                <w:noProof/>
                <w:sz w:val="22"/>
              </w:rPr>
              <w:br/>
            </w:r>
            <w:r>
              <w:rPr>
                <w:b/>
                <w:noProof/>
                <w:sz w:val="18"/>
              </w:rPr>
              <w:t>2019</w:t>
            </w:r>
          </w:p>
        </w:tc>
        <w:tc>
          <w:tcPr>
            <w:tcW w:w="1170" w:type="dxa"/>
            <w:gridSpan w:val="2"/>
            <w:tcBorders>
              <w:top w:val="single" w:sz="12" w:space="0" w:color="auto"/>
              <w:left w:val="single" w:sz="4" w:space="0" w:color="auto"/>
            </w:tcBorders>
            <w:vAlign w:val="center"/>
          </w:tcPr>
          <w:p>
            <w:pPr>
              <w:keepNext/>
              <w:ind w:right="-29"/>
              <w:jc w:val="center"/>
              <w:rPr>
                <w:noProof/>
                <w:sz w:val="18"/>
                <w:szCs w:val="18"/>
              </w:rPr>
            </w:pPr>
            <w:r>
              <w:rPr>
                <w:noProof/>
                <w:sz w:val="18"/>
              </w:rPr>
              <w:t>Year</w:t>
            </w:r>
            <w:r>
              <w:rPr>
                <w:noProof/>
                <w:sz w:val="22"/>
              </w:rPr>
              <w:br/>
            </w:r>
            <w:r>
              <w:rPr>
                <w:b/>
                <w:noProof/>
                <w:sz w:val="18"/>
              </w:rPr>
              <w:t>2020</w:t>
            </w:r>
          </w:p>
        </w:tc>
        <w:tc>
          <w:tcPr>
            <w:tcW w:w="1200" w:type="dxa"/>
            <w:gridSpan w:val="2"/>
            <w:tcBorders>
              <w:top w:val="single" w:sz="12" w:space="0" w:color="auto"/>
            </w:tcBorders>
            <w:vAlign w:val="center"/>
          </w:tcPr>
          <w:p>
            <w:pPr>
              <w:keepNext/>
              <w:ind w:right="-29"/>
              <w:jc w:val="center"/>
              <w:rPr>
                <w:noProof/>
                <w:sz w:val="18"/>
                <w:szCs w:val="18"/>
              </w:rPr>
            </w:pPr>
            <w:r>
              <w:rPr>
                <w:noProof/>
                <w:sz w:val="18"/>
              </w:rPr>
              <w:t>Year</w:t>
            </w:r>
            <w:r>
              <w:rPr>
                <w:noProof/>
                <w:sz w:val="22"/>
              </w:rPr>
              <w:br/>
            </w:r>
            <w:r>
              <w:rPr>
                <w:b/>
                <w:noProof/>
                <w:sz w:val="18"/>
              </w:rPr>
              <w:t>2021</w:t>
            </w:r>
          </w:p>
        </w:tc>
        <w:tc>
          <w:tcPr>
            <w:tcW w:w="1200" w:type="dxa"/>
            <w:gridSpan w:val="2"/>
            <w:tcBorders>
              <w:top w:val="single" w:sz="12" w:space="0" w:color="auto"/>
            </w:tcBorders>
            <w:vAlign w:val="center"/>
          </w:tcPr>
          <w:p>
            <w:pPr>
              <w:keepNext/>
              <w:ind w:right="-29"/>
              <w:jc w:val="center"/>
              <w:rPr>
                <w:noProof/>
                <w:sz w:val="18"/>
                <w:szCs w:val="18"/>
              </w:rPr>
            </w:pPr>
            <w:r>
              <w:rPr>
                <w:noProof/>
                <w:sz w:val="18"/>
              </w:rPr>
              <w:t>Year</w:t>
            </w:r>
            <w:r>
              <w:rPr>
                <w:noProof/>
                <w:sz w:val="22"/>
              </w:rPr>
              <w:br/>
            </w:r>
            <w:r>
              <w:rPr>
                <w:b/>
                <w:noProof/>
                <w:sz w:val="18"/>
              </w:rPr>
              <w:t>2022</w:t>
            </w:r>
          </w:p>
        </w:tc>
        <w:tc>
          <w:tcPr>
            <w:tcW w:w="1032" w:type="dxa"/>
            <w:gridSpan w:val="2"/>
            <w:tcBorders>
              <w:top w:val="single" w:sz="12" w:space="0" w:color="auto"/>
            </w:tcBorders>
            <w:vAlign w:val="center"/>
          </w:tcPr>
          <w:p>
            <w:pPr>
              <w:keepNext/>
              <w:jc w:val="center"/>
              <w:rPr>
                <w:noProof/>
                <w:sz w:val="18"/>
                <w:szCs w:val="18"/>
              </w:rPr>
            </w:pPr>
            <w:r>
              <w:rPr>
                <w:noProof/>
                <w:sz w:val="18"/>
              </w:rPr>
              <w:t>Year</w:t>
            </w:r>
            <w:r>
              <w:rPr>
                <w:noProof/>
                <w:sz w:val="22"/>
              </w:rPr>
              <w:br/>
            </w:r>
            <w:r>
              <w:rPr>
                <w:b/>
                <w:noProof/>
                <w:sz w:val="18"/>
              </w:rPr>
              <w:t>2023</w:t>
            </w:r>
          </w:p>
        </w:tc>
        <w:tc>
          <w:tcPr>
            <w:tcW w:w="1080" w:type="dxa"/>
            <w:gridSpan w:val="2"/>
            <w:tcBorders>
              <w:top w:val="single" w:sz="12" w:space="0" w:color="auto"/>
            </w:tcBorders>
            <w:vAlign w:val="center"/>
          </w:tcPr>
          <w:p>
            <w:pPr>
              <w:keepNext/>
              <w:jc w:val="center"/>
              <w:rPr>
                <w:noProof/>
                <w:sz w:val="18"/>
                <w:szCs w:val="18"/>
              </w:rPr>
            </w:pPr>
            <w:r>
              <w:rPr>
                <w:noProof/>
                <w:sz w:val="18"/>
              </w:rPr>
              <w:t>Year</w:t>
            </w:r>
            <w:r>
              <w:rPr>
                <w:noProof/>
                <w:sz w:val="22"/>
              </w:rPr>
              <w:br/>
            </w:r>
            <w:r>
              <w:rPr>
                <w:b/>
                <w:noProof/>
                <w:sz w:val="18"/>
              </w:rPr>
              <w:t>2024</w:t>
            </w:r>
          </w:p>
        </w:tc>
        <w:tc>
          <w:tcPr>
            <w:tcW w:w="1200" w:type="dxa"/>
            <w:gridSpan w:val="2"/>
            <w:tcBorders>
              <w:top w:val="single" w:sz="12" w:space="0" w:color="auto"/>
            </w:tcBorders>
            <w:vAlign w:val="center"/>
          </w:tcPr>
          <w:p>
            <w:pPr>
              <w:keepNext/>
              <w:jc w:val="center"/>
              <w:rPr>
                <w:noProof/>
                <w:sz w:val="18"/>
                <w:szCs w:val="18"/>
              </w:rPr>
            </w:pPr>
            <w:r>
              <w:rPr>
                <w:noProof/>
                <w:sz w:val="18"/>
              </w:rPr>
              <w:t>Year</w:t>
            </w:r>
            <w:r>
              <w:rPr>
                <w:noProof/>
                <w:sz w:val="22"/>
              </w:rPr>
              <w:br/>
            </w:r>
            <w:r>
              <w:rPr>
                <w:b/>
                <w:noProof/>
                <w:sz w:val="18"/>
              </w:rPr>
              <w:t>2025</w:t>
            </w:r>
          </w:p>
        </w:tc>
        <w:tc>
          <w:tcPr>
            <w:tcW w:w="1200" w:type="dxa"/>
            <w:gridSpan w:val="2"/>
            <w:tcBorders>
              <w:top w:val="single" w:sz="12" w:space="0" w:color="auto"/>
            </w:tcBorders>
          </w:tcPr>
          <w:p>
            <w:pPr>
              <w:keepNext/>
              <w:ind w:right="-29"/>
              <w:jc w:val="center"/>
              <w:rPr>
                <w:b/>
                <w:noProof/>
                <w:sz w:val="18"/>
              </w:rPr>
            </w:pPr>
            <w:r>
              <w:rPr>
                <w:noProof/>
                <w:sz w:val="18"/>
              </w:rPr>
              <w:t>Year</w:t>
            </w:r>
            <w:r>
              <w:rPr>
                <w:noProof/>
                <w:sz w:val="22"/>
              </w:rPr>
              <w:br/>
            </w:r>
            <w:r>
              <w:rPr>
                <w:b/>
                <w:noProof/>
                <w:sz w:val="18"/>
              </w:rPr>
              <w:t>2026</w:t>
            </w:r>
          </w:p>
        </w:tc>
        <w:tc>
          <w:tcPr>
            <w:tcW w:w="1200" w:type="dxa"/>
            <w:gridSpan w:val="2"/>
            <w:tcBorders>
              <w:top w:val="single" w:sz="12" w:space="0" w:color="auto"/>
              <w:right w:val="nil"/>
            </w:tcBorders>
          </w:tcPr>
          <w:p>
            <w:pPr>
              <w:keepNext/>
              <w:ind w:right="-29"/>
              <w:jc w:val="center"/>
              <w:rPr>
                <w:b/>
                <w:noProof/>
                <w:sz w:val="18"/>
              </w:rPr>
            </w:pPr>
            <w:r>
              <w:rPr>
                <w:noProof/>
                <w:sz w:val="18"/>
              </w:rPr>
              <w:t>Year</w:t>
            </w:r>
            <w:r>
              <w:rPr>
                <w:noProof/>
                <w:sz w:val="22"/>
              </w:rPr>
              <w:br/>
            </w:r>
            <w:r>
              <w:rPr>
                <w:b/>
                <w:noProof/>
                <w:sz w:val="18"/>
              </w:rPr>
              <w:t>2027</w:t>
            </w:r>
          </w:p>
        </w:tc>
        <w:tc>
          <w:tcPr>
            <w:tcW w:w="1680" w:type="dxa"/>
            <w:gridSpan w:val="2"/>
            <w:tcBorders>
              <w:top w:val="single" w:sz="12" w:space="0" w:color="auto"/>
              <w:left w:val="single" w:sz="6" w:space="0" w:color="auto"/>
              <w:bottom w:val="single" w:sz="4" w:space="0" w:color="auto"/>
              <w:right w:val="single" w:sz="12" w:space="0" w:color="auto"/>
            </w:tcBorders>
            <w:vAlign w:val="center"/>
          </w:tcPr>
          <w:p>
            <w:pPr>
              <w:keepNext/>
              <w:ind w:right="-29"/>
              <w:jc w:val="center"/>
              <w:rPr>
                <w:noProof/>
                <w:sz w:val="18"/>
                <w:szCs w:val="18"/>
              </w:rPr>
            </w:pPr>
            <w:r>
              <w:rPr>
                <w:b/>
                <w:noProof/>
                <w:sz w:val="18"/>
              </w:rPr>
              <w:t>TOTAL</w:t>
            </w:r>
          </w:p>
        </w:tc>
      </w:tr>
      <w:tr>
        <w:trPr>
          <w:gridAfter w:val="22"/>
          <w:wAfter w:w="13512" w:type="dxa"/>
          <w:trHeight w:val="465"/>
          <w:jc w:val="center"/>
        </w:trPr>
        <w:tc>
          <w:tcPr>
            <w:tcW w:w="1422" w:type="dxa"/>
            <w:vMerge/>
            <w:tcBorders>
              <w:left w:val="single" w:sz="12" w:space="0" w:color="auto"/>
            </w:tcBorders>
            <w:vAlign w:val="center"/>
          </w:tcPr>
          <w:p>
            <w:pPr>
              <w:keepNext/>
              <w:ind w:right="-29"/>
              <w:jc w:val="center"/>
              <w:rPr>
                <w:noProof/>
                <w:sz w:val="18"/>
                <w:szCs w:val="18"/>
              </w:rPr>
            </w:pPr>
          </w:p>
        </w:tc>
      </w:tr>
      <w:tr>
        <w:trPr>
          <w:cantSplit/>
          <w:trHeight w:val="1134"/>
          <w:jc w:val="center"/>
        </w:trPr>
        <w:tc>
          <w:tcPr>
            <w:tcW w:w="1422" w:type="dxa"/>
            <w:vMerge/>
            <w:tcBorders>
              <w:left w:val="single" w:sz="12" w:space="0" w:color="auto"/>
            </w:tcBorders>
            <w:vAlign w:val="center"/>
          </w:tcPr>
          <w:p>
            <w:pPr>
              <w:keepNext/>
              <w:rPr>
                <w:noProof/>
                <w:sz w:val="18"/>
                <w:szCs w:val="18"/>
              </w:rPr>
            </w:pPr>
          </w:p>
        </w:tc>
        <w:tc>
          <w:tcPr>
            <w:tcW w:w="721" w:type="dxa"/>
            <w:vAlign w:val="center"/>
          </w:tcPr>
          <w:p>
            <w:pPr>
              <w:keepNext/>
              <w:jc w:val="center"/>
              <w:rPr>
                <w:noProof/>
                <w:sz w:val="18"/>
                <w:szCs w:val="18"/>
              </w:rPr>
            </w:pPr>
            <w:r>
              <w:rPr>
                <w:noProof/>
                <w:sz w:val="18"/>
              </w:rPr>
              <w:t>Type</w:t>
            </w:r>
            <w:r>
              <w:rPr>
                <w:rStyle w:val="FootnoteReference"/>
                <w:noProof/>
              </w:rPr>
              <w:footnoteReference w:id="98"/>
            </w:r>
          </w:p>
          <w:p>
            <w:pPr>
              <w:keepNext/>
              <w:spacing w:before="0" w:after="0"/>
              <w:jc w:val="center"/>
              <w:rPr>
                <w:noProof/>
                <w:sz w:val="18"/>
                <w:szCs w:val="18"/>
              </w:rPr>
            </w:pPr>
          </w:p>
        </w:tc>
        <w:tc>
          <w:tcPr>
            <w:tcW w:w="659" w:type="dxa"/>
            <w:tcBorders>
              <w:right w:val="single" w:sz="4" w:space="0" w:color="auto"/>
            </w:tcBorders>
            <w:vAlign w:val="center"/>
          </w:tcPr>
          <w:p>
            <w:pPr>
              <w:keepNext/>
              <w:jc w:val="center"/>
              <w:rPr>
                <w:noProof/>
                <w:sz w:val="18"/>
                <w:szCs w:val="18"/>
              </w:rPr>
            </w:pPr>
            <w:r>
              <w:rPr>
                <w:noProof/>
                <w:sz w:val="18"/>
              </w:rPr>
              <w:t>Average cost</w:t>
            </w:r>
          </w:p>
        </w:tc>
        <w:tc>
          <w:tcPr>
            <w:tcW w:w="303" w:type="dxa"/>
            <w:tcBorders>
              <w:top w:val="dotted" w:sz="4" w:space="0" w:color="auto"/>
              <w:left w:val="single" w:sz="4" w:space="0" w:color="auto"/>
              <w:bottom w:val="dotted" w:sz="4" w:space="0" w:color="auto"/>
              <w:right w:val="nil"/>
            </w:tcBorders>
            <w:shd w:val="pct10" w:color="auto" w:fill="auto"/>
            <w:textDirection w:val="btLr"/>
            <w:vAlign w:val="center"/>
          </w:tcPr>
          <w:p>
            <w:pPr>
              <w:keepNext/>
              <w:ind w:left="113" w:right="113"/>
              <w:jc w:val="center"/>
              <w:rPr>
                <w:noProof/>
                <w:sz w:val="18"/>
              </w:rPr>
            </w:pPr>
            <w:r>
              <w:rPr>
                <w:noProof/>
                <w:sz w:val="18"/>
              </w:rPr>
              <w:t>No</w:t>
            </w:r>
          </w:p>
        </w:tc>
        <w:tc>
          <w:tcPr>
            <w:tcW w:w="867" w:type="dxa"/>
            <w:tcBorders>
              <w:left w:val="nil"/>
              <w:right w:val="single" w:sz="4" w:space="0" w:color="auto"/>
            </w:tcBorders>
            <w:shd w:val="pct10" w:color="auto" w:fill="auto"/>
            <w:vAlign w:val="center"/>
          </w:tcPr>
          <w:p>
            <w:pPr>
              <w:keepNext/>
              <w:jc w:val="center"/>
              <w:rPr>
                <w:noProof/>
                <w:sz w:val="18"/>
              </w:rPr>
            </w:pPr>
            <w:r>
              <w:rPr>
                <w:noProof/>
                <w:sz w:val="18"/>
              </w:rPr>
              <w:t>Cost</w:t>
            </w:r>
          </w:p>
        </w:tc>
        <w:tc>
          <w:tcPr>
            <w:tcW w:w="330" w:type="dxa"/>
            <w:tcBorders>
              <w:left w:val="single" w:sz="4" w:space="0" w:color="auto"/>
              <w:right w:val="dashSmallGap" w:sz="4" w:space="0" w:color="auto"/>
            </w:tcBorders>
            <w:shd w:val="pct10" w:color="auto" w:fill="auto"/>
            <w:textDirection w:val="btLr"/>
            <w:vAlign w:val="center"/>
          </w:tcPr>
          <w:p>
            <w:pPr>
              <w:keepNext/>
              <w:ind w:left="113" w:right="113"/>
              <w:jc w:val="center"/>
              <w:rPr>
                <w:noProof/>
                <w:sz w:val="18"/>
                <w:szCs w:val="18"/>
              </w:rPr>
            </w:pPr>
            <w:r>
              <w:rPr>
                <w:noProof/>
                <w:sz w:val="18"/>
              </w:rPr>
              <w:t>No</w:t>
            </w:r>
          </w:p>
        </w:tc>
        <w:tc>
          <w:tcPr>
            <w:tcW w:w="840" w:type="dxa"/>
            <w:tcBorders>
              <w:left w:val="dashSmallGap" w:sz="4" w:space="0" w:color="auto"/>
            </w:tcBorders>
            <w:shd w:val="pct10" w:color="auto" w:fill="auto"/>
            <w:vAlign w:val="center"/>
          </w:tcPr>
          <w:p>
            <w:pPr>
              <w:keepNext/>
              <w:jc w:val="center"/>
              <w:rPr>
                <w:noProof/>
                <w:sz w:val="18"/>
                <w:szCs w:val="18"/>
              </w:rPr>
            </w:pPr>
            <w:r>
              <w:rPr>
                <w:noProof/>
                <w:sz w:val="18"/>
              </w:rPr>
              <w:t>Cost</w:t>
            </w:r>
          </w:p>
        </w:tc>
        <w:tc>
          <w:tcPr>
            <w:tcW w:w="360" w:type="dxa"/>
            <w:tcBorders>
              <w:right w:val="dashSmallGap" w:sz="4" w:space="0" w:color="auto"/>
            </w:tcBorders>
            <w:shd w:val="pct10" w:color="auto" w:fill="auto"/>
            <w:textDirection w:val="btLr"/>
            <w:vAlign w:val="center"/>
          </w:tcPr>
          <w:p>
            <w:pPr>
              <w:keepNext/>
              <w:ind w:left="113" w:right="113"/>
              <w:jc w:val="center"/>
              <w:rPr>
                <w:noProof/>
                <w:sz w:val="18"/>
                <w:szCs w:val="18"/>
              </w:rPr>
            </w:pPr>
            <w:r>
              <w:rPr>
                <w:noProof/>
                <w:sz w:val="18"/>
              </w:rPr>
              <w:t>No</w:t>
            </w:r>
          </w:p>
        </w:tc>
        <w:tc>
          <w:tcPr>
            <w:tcW w:w="840" w:type="dxa"/>
            <w:tcBorders>
              <w:left w:val="dashSmallGap" w:sz="4" w:space="0" w:color="auto"/>
            </w:tcBorders>
            <w:shd w:val="pct10" w:color="auto" w:fill="auto"/>
            <w:vAlign w:val="center"/>
          </w:tcPr>
          <w:p>
            <w:pPr>
              <w:keepNext/>
              <w:jc w:val="center"/>
              <w:rPr>
                <w:noProof/>
                <w:sz w:val="18"/>
                <w:szCs w:val="18"/>
              </w:rPr>
            </w:pPr>
            <w:r>
              <w:rPr>
                <w:noProof/>
                <w:sz w:val="18"/>
              </w:rPr>
              <w:t>Cost</w:t>
            </w:r>
          </w:p>
        </w:tc>
        <w:tc>
          <w:tcPr>
            <w:tcW w:w="360" w:type="dxa"/>
            <w:tcBorders>
              <w:right w:val="dashSmallGap" w:sz="4" w:space="0" w:color="auto"/>
            </w:tcBorders>
            <w:shd w:val="pct10" w:color="auto" w:fill="auto"/>
            <w:textDirection w:val="btLr"/>
            <w:vAlign w:val="center"/>
          </w:tcPr>
          <w:p>
            <w:pPr>
              <w:keepNext/>
              <w:ind w:left="113" w:right="113"/>
              <w:jc w:val="center"/>
              <w:rPr>
                <w:noProof/>
                <w:sz w:val="18"/>
                <w:szCs w:val="18"/>
              </w:rPr>
            </w:pPr>
            <w:r>
              <w:rPr>
                <w:noProof/>
                <w:sz w:val="18"/>
              </w:rPr>
              <w:t>No</w:t>
            </w:r>
          </w:p>
        </w:tc>
        <w:tc>
          <w:tcPr>
            <w:tcW w:w="840" w:type="dxa"/>
            <w:tcBorders>
              <w:left w:val="dashSmallGap" w:sz="4" w:space="0" w:color="auto"/>
            </w:tcBorders>
            <w:shd w:val="pct10" w:color="auto" w:fill="auto"/>
            <w:vAlign w:val="center"/>
          </w:tcPr>
          <w:p>
            <w:pPr>
              <w:keepNext/>
              <w:jc w:val="center"/>
              <w:rPr>
                <w:noProof/>
                <w:sz w:val="18"/>
                <w:szCs w:val="18"/>
              </w:rPr>
            </w:pPr>
            <w:r>
              <w:rPr>
                <w:noProof/>
                <w:sz w:val="18"/>
              </w:rPr>
              <w:t>Cost</w:t>
            </w:r>
          </w:p>
        </w:tc>
        <w:tc>
          <w:tcPr>
            <w:tcW w:w="360" w:type="dxa"/>
            <w:tcBorders>
              <w:right w:val="dashSmallGap" w:sz="4" w:space="0" w:color="auto"/>
            </w:tcBorders>
            <w:shd w:val="pct10" w:color="auto" w:fill="auto"/>
            <w:textDirection w:val="btLr"/>
            <w:vAlign w:val="center"/>
          </w:tcPr>
          <w:p>
            <w:pPr>
              <w:keepNext/>
              <w:ind w:left="113" w:right="113"/>
              <w:jc w:val="center"/>
              <w:rPr>
                <w:noProof/>
                <w:sz w:val="18"/>
                <w:szCs w:val="18"/>
              </w:rPr>
            </w:pPr>
            <w:r>
              <w:rPr>
                <w:noProof/>
                <w:sz w:val="18"/>
              </w:rPr>
              <w:t>No</w:t>
            </w:r>
          </w:p>
        </w:tc>
        <w:tc>
          <w:tcPr>
            <w:tcW w:w="672" w:type="dxa"/>
            <w:tcBorders>
              <w:left w:val="dashSmallGap" w:sz="4" w:space="0" w:color="auto"/>
            </w:tcBorders>
            <w:shd w:val="pct10" w:color="auto" w:fill="auto"/>
            <w:vAlign w:val="center"/>
          </w:tcPr>
          <w:p>
            <w:pPr>
              <w:keepNext/>
              <w:jc w:val="center"/>
              <w:rPr>
                <w:noProof/>
                <w:sz w:val="18"/>
                <w:szCs w:val="18"/>
              </w:rPr>
            </w:pPr>
            <w:r>
              <w:rPr>
                <w:noProof/>
                <w:sz w:val="18"/>
              </w:rPr>
              <w:t>Cost</w:t>
            </w:r>
          </w:p>
        </w:tc>
        <w:tc>
          <w:tcPr>
            <w:tcW w:w="360" w:type="dxa"/>
            <w:tcBorders>
              <w:right w:val="dashSmallGap" w:sz="4" w:space="0" w:color="auto"/>
            </w:tcBorders>
            <w:shd w:val="pct10" w:color="auto" w:fill="auto"/>
            <w:textDirection w:val="btLr"/>
            <w:vAlign w:val="center"/>
          </w:tcPr>
          <w:p>
            <w:pPr>
              <w:keepNext/>
              <w:ind w:left="113" w:right="113"/>
              <w:jc w:val="center"/>
              <w:rPr>
                <w:noProof/>
                <w:sz w:val="18"/>
                <w:szCs w:val="18"/>
              </w:rPr>
            </w:pPr>
            <w:r>
              <w:rPr>
                <w:noProof/>
                <w:sz w:val="18"/>
              </w:rPr>
              <w:t>No</w:t>
            </w:r>
          </w:p>
        </w:tc>
        <w:tc>
          <w:tcPr>
            <w:tcW w:w="720" w:type="dxa"/>
            <w:tcBorders>
              <w:left w:val="dashSmallGap" w:sz="4" w:space="0" w:color="auto"/>
            </w:tcBorders>
            <w:shd w:val="pct10" w:color="auto" w:fill="auto"/>
            <w:vAlign w:val="center"/>
          </w:tcPr>
          <w:p>
            <w:pPr>
              <w:keepNext/>
              <w:jc w:val="center"/>
              <w:rPr>
                <w:noProof/>
                <w:sz w:val="18"/>
                <w:szCs w:val="18"/>
              </w:rPr>
            </w:pPr>
            <w:r>
              <w:rPr>
                <w:noProof/>
                <w:sz w:val="18"/>
              </w:rPr>
              <w:t>Cost</w:t>
            </w:r>
          </w:p>
        </w:tc>
        <w:tc>
          <w:tcPr>
            <w:tcW w:w="360" w:type="dxa"/>
            <w:tcBorders>
              <w:right w:val="dashSmallGap" w:sz="4" w:space="0" w:color="auto"/>
            </w:tcBorders>
            <w:shd w:val="pct10" w:color="auto" w:fill="auto"/>
            <w:textDirection w:val="btLr"/>
            <w:vAlign w:val="center"/>
          </w:tcPr>
          <w:p>
            <w:pPr>
              <w:keepNext/>
              <w:ind w:left="113" w:right="113"/>
              <w:jc w:val="center"/>
              <w:rPr>
                <w:noProof/>
                <w:sz w:val="18"/>
                <w:szCs w:val="18"/>
              </w:rPr>
            </w:pPr>
            <w:r>
              <w:rPr>
                <w:noProof/>
                <w:sz w:val="18"/>
              </w:rPr>
              <w:t>No</w:t>
            </w:r>
          </w:p>
        </w:tc>
        <w:tc>
          <w:tcPr>
            <w:tcW w:w="840" w:type="dxa"/>
            <w:tcBorders>
              <w:left w:val="dashSmallGap" w:sz="4" w:space="0" w:color="auto"/>
            </w:tcBorders>
            <w:shd w:val="pct10" w:color="auto" w:fill="auto"/>
            <w:vAlign w:val="center"/>
          </w:tcPr>
          <w:p>
            <w:pPr>
              <w:keepNext/>
              <w:jc w:val="center"/>
              <w:rPr>
                <w:noProof/>
                <w:sz w:val="18"/>
                <w:szCs w:val="18"/>
              </w:rPr>
            </w:pPr>
            <w:r>
              <w:rPr>
                <w:noProof/>
                <w:sz w:val="18"/>
              </w:rPr>
              <w:t>Cost</w:t>
            </w:r>
          </w:p>
        </w:tc>
        <w:tc>
          <w:tcPr>
            <w:tcW w:w="360" w:type="dxa"/>
            <w:tcBorders>
              <w:right w:val="dashSmallGap" w:sz="4" w:space="0" w:color="auto"/>
            </w:tcBorders>
            <w:shd w:val="pct10" w:color="auto" w:fill="auto"/>
            <w:textDirection w:val="btLr"/>
            <w:vAlign w:val="center"/>
          </w:tcPr>
          <w:p>
            <w:pPr>
              <w:keepNext/>
              <w:ind w:left="113" w:right="113"/>
              <w:jc w:val="center"/>
              <w:rPr>
                <w:noProof/>
                <w:sz w:val="18"/>
                <w:szCs w:val="18"/>
              </w:rPr>
            </w:pPr>
            <w:r>
              <w:rPr>
                <w:noProof/>
                <w:sz w:val="18"/>
              </w:rPr>
              <w:t>No</w:t>
            </w:r>
          </w:p>
        </w:tc>
        <w:tc>
          <w:tcPr>
            <w:tcW w:w="840" w:type="dxa"/>
            <w:tcBorders>
              <w:left w:val="dashSmallGap" w:sz="4" w:space="0" w:color="auto"/>
            </w:tcBorders>
            <w:shd w:val="pct10" w:color="auto" w:fill="auto"/>
            <w:vAlign w:val="center"/>
          </w:tcPr>
          <w:p>
            <w:pPr>
              <w:keepNext/>
              <w:jc w:val="center"/>
              <w:rPr>
                <w:noProof/>
                <w:sz w:val="18"/>
                <w:szCs w:val="18"/>
              </w:rPr>
            </w:pPr>
            <w:r>
              <w:rPr>
                <w:noProof/>
                <w:sz w:val="18"/>
              </w:rPr>
              <w:t>Cost</w:t>
            </w:r>
          </w:p>
        </w:tc>
        <w:tc>
          <w:tcPr>
            <w:tcW w:w="360" w:type="dxa"/>
            <w:tcBorders>
              <w:right w:val="dashSmallGap" w:sz="4" w:space="0" w:color="auto"/>
            </w:tcBorders>
            <w:shd w:val="pct10" w:color="auto" w:fill="auto"/>
            <w:textDirection w:val="btLr"/>
            <w:vAlign w:val="center"/>
          </w:tcPr>
          <w:p>
            <w:pPr>
              <w:keepNext/>
              <w:ind w:left="113" w:right="113"/>
              <w:jc w:val="center"/>
              <w:rPr>
                <w:noProof/>
                <w:sz w:val="18"/>
              </w:rPr>
            </w:pPr>
            <w:r>
              <w:rPr>
                <w:noProof/>
                <w:sz w:val="18"/>
              </w:rPr>
              <w:t>No</w:t>
            </w:r>
          </w:p>
        </w:tc>
        <w:tc>
          <w:tcPr>
            <w:tcW w:w="840" w:type="dxa"/>
            <w:tcBorders>
              <w:left w:val="dashSmallGap" w:sz="4" w:space="0" w:color="auto"/>
            </w:tcBorders>
            <w:shd w:val="pct10" w:color="auto" w:fill="auto"/>
            <w:vAlign w:val="center"/>
          </w:tcPr>
          <w:p>
            <w:pPr>
              <w:keepNext/>
              <w:jc w:val="center"/>
              <w:rPr>
                <w:noProof/>
                <w:sz w:val="18"/>
              </w:rPr>
            </w:pPr>
            <w:r>
              <w:rPr>
                <w:noProof/>
                <w:sz w:val="18"/>
              </w:rPr>
              <w:t>Cost</w:t>
            </w:r>
          </w:p>
        </w:tc>
        <w:tc>
          <w:tcPr>
            <w:tcW w:w="360" w:type="dxa"/>
            <w:tcBorders>
              <w:right w:val="dashSmallGap" w:sz="4" w:space="0" w:color="auto"/>
            </w:tcBorders>
            <w:shd w:val="pct10" w:color="auto" w:fill="auto"/>
            <w:textDirection w:val="btLr"/>
            <w:vAlign w:val="center"/>
          </w:tcPr>
          <w:p>
            <w:pPr>
              <w:keepNext/>
              <w:ind w:left="113" w:right="113"/>
              <w:jc w:val="center"/>
              <w:rPr>
                <w:noProof/>
                <w:sz w:val="18"/>
                <w:szCs w:val="18"/>
              </w:rPr>
            </w:pPr>
            <w:r>
              <w:rPr>
                <w:noProof/>
                <w:sz w:val="18"/>
              </w:rPr>
              <w:t>Total No</w:t>
            </w:r>
          </w:p>
        </w:tc>
        <w:tc>
          <w:tcPr>
            <w:tcW w:w="1320" w:type="dxa"/>
            <w:tcBorders>
              <w:left w:val="dashSmallGap" w:sz="4" w:space="0" w:color="auto"/>
              <w:right w:val="single" w:sz="12" w:space="0" w:color="auto"/>
            </w:tcBorders>
            <w:shd w:val="pct10" w:color="auto" w:fill="auto"/>
            <w:vAlign w:val="center"/>
          </w:tcPr>
          <w:p>
            <w:pPr>
              <w:keepNext/>
              <w:jc w:val="center"/>
              <w:rPr>
                <w:noProof/>
                <w:sz w:val="18"/>
                <w:szCs w:val="18"/>
              </w:rPr>
            </w:pPr>
            <w:r>
              <w:rPr>
                <w:noProof/>
                <w:sz w:val="18"/>
              </w:rPr>
              <w:t>Total cost</w:t>
            </w:r>
          </w:p>
        </w:tc>
      </w:tr>
      <w:tr>
        <w:trPr>
          <w:jc w:val="center"/>
        </w:trPr>
        <w:tc>
          <w:tcPr>
            <w:tcW w:w="2802" w:type="dxa"/>
            <w:gridSpan w:val="3"/>
            <w:tcBorders>
              <w:left w:val="single" w:sz="12" w:space="0" w:color="auto"/>
            </w:tcBorders>
            <w:vAlign w:val="center"/>
          </w:tcPr>
          <w:p>
            <w:pPr>
              <w:keepNext/>
              <w:spacing w:before="60" w:after="60"/>
              <w:ind w:right="-29"/>
              <w:jc w:val="center"/>
              <w:rPr>
                <w:noProof/>
                <w:sz w:val="18"/>
              </w:rPr>
            </w:pPr>
            <w:r>
              <w:rPr>
                <w:noProof/>
                <w:sz w:val="18"/>
              </w:rPr>
              <w:t>SPECIFIC OBJECTIVE No 3</w:t>
            </w:r>
            <w:r>
              <w:rPr>
                <w:rStyle w:val="FootnoteReference"/>
                <w:noProof/>
              </w:rPr>
              <w:footnoteReference w:id="99"/>
            </w:r>
          </w:p>
          <w:p>
            <w:pPr>
              <w:keepNext/>
              <w:spacing w:before="60" w:after="60"/>
              <w:ind w:right="-29"/>
              <w:jc w:val="center"/>
              <w:rPr>
                <w:noProof/>
                <w:sz w:val="18"/>
                <w:szCs w:val="18"/>
              </w:rPr>
            </w:pPr>
            <w:r>
              <w:rPr>
                <w:noProof/>
                <w:sz w:val="18"/>
              </w:rPr>
              <w:t>Data migration</w:t>
            </w:r>
          </w:p>
        </w:tc>
        <w:tc>
          <w:tcPr>
            <w:tcW w:w="303" w:type="dxa"/>
            <w:tcBorders>
              <w:right w:val="nil"/>
            </w:tcBorders>
          </w:tcPr>
          <w:p>
            <w:pPr>
              <w:keepNext/>
              <w:spacing w:before="60" w:after="60"/>
              <w:ind w:right="-29"/>
              <w:jc w:val="center"/>
              <w:rPr>
                <w:noProof/>
                <w:sz w:val="18"/>
                <w:szCs w:val="18"/>
              </w:rPr>
            </w:pPr>
          </w:p>
        </w:tc>
        <w:tc>
          <w:tcPr>
            <w:tcW w:w="867" w:type="dxa"/>
            <w:tcBorders>
              <w:left w:val="nil"/>
              <w:bottom w:val="single" w:sz="4" w:space="0" w:color="auto"/>
            </w:tcBorders>
          </w:tcPr>
          <w:p>
            <w:pPr>
              <w:keepNext/>
              <w:spacing w:before="60" w:after="60"/>
              <w:ind w:right="-29"/>
              <w:jc w:val="center"/>
              <w:rPr>
                <w:noProof/>
                <w:sz w:val="18"/>
                <w:szCs w:val="18"/>
              </w:rPr>
            </w:pPr>
          </w:p>
        </w:tc>
        <w:tc>
          <w:tcPr>
            <w:tcW w:w="330" w:type="dxa"/>
            <w:tcBorders>
              <w:top w:val="nil"/>
              <w:left w:val="nil"/>
              <w:bottom w:val="nil"/>
              <w:right w:val="nil"/>
            </w:tcBorders>
          </w:tcPr>
          <w:p>
            <w:pPr>
              <w:keepNext/>
              <w:spacing w:before="60" w:after="60"/>
              <w:ind w:right="-29"/>
              <w:jc w:val="center"/>
              <w:rPr>
                <w:noProof/>
                <w:sz w:val="18"/>
                <w:szCs w:val="18"/>
              </w:rPr>
            </w:pPr>
          </w:p>
        </w:tc>
        <w:tc>
          <w:tcPr>
            <w:tcW w:w="840" w:type="dxa"/>
            <w:tcBorders>
              <w:top w:val="nil"/>
              <w:left w:val="nil"/>
              <w:bottom w:val="nil"/>
              <w:right w:val="nil"/>
            </w:tcBorders>
          </w:tcPr>
          <w:p>
            <w:pPr>
              <w:keepNext/>
              <w:spacing w:before="60" w:after="60"/>
              <w:ind w:right="-29"/>
              <w:jc w:val="center"/>
              <w:rPr>
                <w:noProof/>
                <w:sz w:val="18"/>
                <w:szCs w:val="18"/>
              </w:rPr>
            </w:pPr>
          </w:p>
        </w:tc>
        <w:tc>
          <w:tcPr>
            <w:tcW w:w="360" w:type="dxa"/>
            <w:tcBorders>
              <w:top w:val="nil"/>
              <w:left w:val="nil"/>
              <w:bottom w:val="nil"/>
              <w:right w:val="nil"/>
            </w:tcBorders>
          </w:tcPr>
          <w:p>
            <w:pPr>
              <w:keepNext/>
              <w:spacing w:before="60" w:after="60"/>
              <w:ind w:right="-29"/>
              <w:jc w:val="center"/>
              <w:rPr>
                <w:noProof/>
                <w:sz w:val="18"/>
                <w:szCs w:val="18"/>
              </w:rPr>
            </w:pPr>
          </w:p>
        </w:tc>
        <w:tc>
          <w:tcPr>
            <w:tcW w:w="840" w:type="dxa"/>
            <w:tcBorders>
              <w:top w:val="nil"/>
              <w:left w:val="nil"/>
              <w:bottom w:val="nil"/>
              <w:right w:val="nil"/>
            </w:tcBorders>
          </w:tcPr>
          <w:p>
            <w:pPr>
              <w:keepNext/>
              <w:spacing w:before="60" w:after="60"/>
              <w:ind w:right="-29"/>
              <w:jc w:val="center"/>
              <w:rPr>
                <w:noProof/>
                <w:sz w:val="18"/>
                <w:szCs w:val="18"/>
              </w:rPr>
            </w:pPr>
          </w:p>
        </w:tc>
        <w:tc>
          <w:tcPr>
            <w:tcW w:w="360" w:type="dxa"/>
            <w:tcBorders>
              <w:top w:val="nil"/>
              <w:left w:val="nil"/>
              <w:bottom w:val="nil"/>
              <w:right w:val="nil"/>
            </w:tcBorders>
          </w:tcPr>
          <w:p>
            <w:pPr>
              <w:keepNext/>
              <w:spacing w:before="60" w:after="60"/>
              <w:ind w:right="-29"/>
              <w:jc w:val="center"/>
              <w:rPr>
                <w:noProof/>
                <w:sz w:val="18"/>
                <w:szCs w:val="18"/>
              </w:rPr>
            </w:pPr>
          </w:p>
        </w:tc>
        <w:tc>
          <w:tcPr>
            <w:tcW w:w="840" w:type="dxa"/>
            <w:tcBorders>
              <w:top w:val="nil"/>
              <w:left w:val="nil"/>
              <w:bottom w:val="nil"/>
              <w:right w:val="nil"/>
            </w:tcBorders>
          </w:tcPr>
          <w:p>
            <w:pPr>
              <w:keepNext/>
              <w:spacing w:before="60" w:after="60"/>
              <w:ind w:right="-29"/>
              <w:jc w:val="center"/>
              <w:rPr>
                <w:noProof/>
                <w:sz w:val="18"/>
                <w:szCs w:val="18"/>
              </w:rPr>
            </w:pPr>
          </w:p>
        </w:tc>
        <w:tc>
          <w:tcPr>
            <w:tcW w:w="360" w:type="dxa"/>
            <w:tcBorders>
              <w:top w:val="nil"/>
              <w:left w:val="nil"/>
              <w:bottom w:val="nil"/>
              <w:right w:val="nil"/>
            </w:tcBorders>
          </w:tcPr>
          <w:p>
            <w:pPr>
              <w:keepNext/>
              <w:spacing w:before="60" w:after="60"/>
              <w:ind w:right="-29"/>
              <w:jc w:val="center"/>
              <w:rPr>
                <w:noProof/>
                <w:sz w:val="18"/>
                <w:szCs w:val="18"/>
              </w:rPr>
            </w:pPr>
          </w:p>
        </w:tc>
        <w:tc>
          <w:tcPr>
            <w:tcW w:w="672" w:type="dxa"/>
            <w:tcBorders>
              <w:top w:val="nil"/>
              <w:left w:val="nil"/>
              <w:bottom w:val="nil"/>
              <w:right w:val="nil"/>
            </w:tcBorders>
          </w:tcPr>
          <w:p>
            <w:pPr>
              <w:keepNext/>
              <w:spacing w:before="60" w:after="60"/>
              <w:ind w:right="-29"/>
              <w:jc w:val="center"/>
              <w:rPr>
                <w:noProof/>
                <w:sz w:val="18"/>
                <w:szCs w:val="18"/>
              </w:rPr>
            </w:pPr>
          </w:p>
        </w:tc>
        <w:tc>
          <w:tcPr>
            <w:tcW w:w="360" w:type="dxa"/>
            <w:tcBorders>
              <w:top w:val="nil"/>
              <w:left w:val="nil"/>
              <w:bottom w:val="nil"/>
              <w:right w:val="nil"/>
            </w:tcBorders>
          </w:tcPr>
          <w:p>
            <w:pPr>
              <w:keepNext/>
              <w:spacing w:before="60" w:after="60"/>
              <w:ind w:right="-29"/>
              <w:jc w:val="center"/>
              <w:rPr>
                <w:noProof/>
                <w:sz w:val="18"/>
                <w:szCs w:val="18"/>
              </w:rPr>
            </w:pPr>
          </w:p>
        </w:tc>
        <w:tc>
          <w:tcPr>
            <w:tcW w:w="720" w:type="dxa"/>
            <w:tcBorders>
              <w:top w:val="nil"/>
              <w:left w:val="nil"/>
              <w:bottom w:val="nil"/>
              <w:right w:val="nil"/>
            </w:tcBorders>
          </w:tcPr>
          <w:p>
            <w:pPr>
              <w:keepNext/>
              <w:spacing w:before="60" w:after="60"/>
              <w:ind w:right="-29"/>
              <w:jc w:val="center"/>
              <w:rPr>
                <w:noProof/>
                <w:sz w:val="18"/>
                <w:szCs w:val="18"/>
              </w:rPr>
            </w:pPr>
          </w:p>
        </w:tc>
        <w:tc>
          <w:tcPr>
            <w:tcW w:w="360" w:type="dxa"/>
            <w:tcBorders>
              <w:top w:val="nil"/>
              <w:left w:val="nil"/>
              <w:bottom w:val="nil"/>
              <w:right w:val="nil"/>
            </w:tcBorders>
          </w:tcPr>
          <w:p>
            <w:pPr>
              <w:keepNext/>
              <w:spacing w:before="60" w:after="60"/>
              <w:ind w:right="-29"/>
              <w:jc w:val="center"/>
              <w:rPr>
                <w:noProof/>
                <w:sz w:val="18"/>
                <w:szCs w:val="18"/>
              </w:rPr>
            </w:pPr>
          </w:p>
        </w:tc>
        <w:tc>
          <w:tcPr>
            <w:tcW w:w="840" w:type="dxa"/>
            <w:tcBorders>
              <w:top w:val="nil"/>
              <w:left w:val="nil"/>
              <w:bottom w:val="nil"/>
              <w:right w:val="nil"/>
            </w:tcBorders>
          </w:tcPr>
          <w:p>
            <w:pPr>
              <w:keepNext/>
              <w:spacing w:before="60" w:after="60"/>
              <w:ind w:right="-29"/>
              <w:jc w:val="center"/>
              <w:rPr>
                <w:noProof/>
                <w:sz w:val="18"/>
                <w:szCs w:val="18"/>
              </w:rPr>
            </w:pPr>
          </w:p>
        </w:tc>
        <w:tc>
          <w:tcPr>
            <w:tcW w:w="360" w:type="dxa"/>
            <w:tcBorders>
              <w:top w:val="nil"/>
              <w:left w:val="nil"/>
              <w:bottom w:val="nil"/>
              <w:right w:val="nil"/>
            </w:tcBorders>
          </w:tcPr>
          <w:p>
            <w:pPr>
              <w:keepNext/>
              <w:spacing w:before="60" w:after="60"/>
              <w:ind w:right="-29"/>
              <w:jc w:val="center"/>
              <w:rPr>
                <w:noProof/>
                <w:sz w:val="18"/>
                <w:szCs w:val="18"/>
              </w:rPr>
            </w:pPr>
          </w:p>
        </w:tc>
        <w:tc>
          <w:tcPr>
            <w:tcW w:w="840" w:type="dxa"/>
            <w:tcBorders>
              <w:top w:val="nil"/>
              <w:left w:val="nil"/>
              <w:bottom w:val="nil"/>
              <w:right w:val="nil"/>
            </w:tcBorders>
          </w:tcPr>
          <w:p>
            <w:pPr>
              <w:keepNext/>
              <w:spacing w:before="60" w:after="60"/>
              <w:ind w:right="-29"/>
              <w:jc w:val="center"/>
              <w:rPr>
                <w:noProof/>
                <w:sz w:val="18"/>
                <w:szCs w:val="18"/>
              </w:rPr>
            </w:pPr>
          </w:p>
        </w:tc>
        <w:tc>
          <w:tcPr>
            <w:tcW w:w="1200" w:type="dxa"/>
            <w:gridSpan w:val="2"/>
            <w:tcBorders>
              <w:top w:val="nil"/>
              <w:left w:val="nil"/>
              <w:bottom w:val="nil"/>
              <w:right w:val="nil"/>
            </w:tcBorders>
          </w:tcPr>
          <w:p>
            <w:pPr>
              <w:keepNext/>
              <w:spacing w:before="60" w:after="60"/>
              <w:ind w:right="-29"/>
              <w:jc w:val="center"/>
              <w:rPr>
                <w:noProof/>
                <w:sz w:val="18"/>
                <w:szCs w:val="18"/>
              </w:rPr>
            </w:pPr>
          </w:p>
        </w:tc>
        <w:tc>
          <w:tcPr>
            <w:tcW w:w="360" w:type="dxa"/>
            <w:tcBorders>
              <w:top w:val="nil"/>
              <w:left w:val="nil"/>
              <w:bottom w:val="nil"/>
              <w:right w:val="nil"/>
            </w:tcBorders>
          </w:tcPr>
          <w:p>
            <w:pPr>
              <w:keepNext/>
              <w:spacing w:before="60" w:after="60"/>
              <w:ind w:right="-29"/>
              <w:jc w:val="center"/>
              <w:rPr>
                <w:noProof/>
                <w:sz w:val="18"/>
                <w:szCs w:val="18"/>
              </w:rPr>
            </w:pPr>
          </w:p>
        </w:tc>
        <w:tc>
          <w:tcPr>
            <w:tcW w:w="1320" w:type="dxa"/>
            <w:tcBorders>
              <w:top w:val="nil"/>
              <w:left w:val="nil"/>
              <w:bottom w:val="single" w:sz="4" w:space="0" w:color="auto"/>
              <w:right w:val="single" w:sz="12" w:space="0" w:color="auto"/>
            </w:tcBorders>
          </w:tcPr>
          <w:p>
            <w:pPr>
              <w:keepNext/>
              <w:spacing w:before="60" w:after="60"/>
              <w:ind w:right="-29"/>
              <w:jc w:val="center"/>
              <w:rPr>
                <w:noProof/>
                <w:sz w:val="18"/>
                <w:szCs w:val="18"/>
              </w:rPr>
            </w:pPr>
          </w:p>
        </w:tc>
      </w:tr>
      <w:tr>
        <w:trPr>
          <w:trHeight w:hRule="exact" w:val="604"/>
          <w:jc w:val="center"/>
        </w:trPr>
        <w:tc>
          <w:tcPr>
            <w:tcW w:w="1422" w:type="dxa"/>
            <w:tcBorders>
              <w:left w:val="single" w:sz="12" w:space="0" w:color="auto"/>
            </w:tcBorders>
          </w:tcPr>
          <w:p>
            <w:pPr>
              <w:ind w:right="-29"/>
              <w:jc w:val="center"/>
              <w:rPr>
                <w:noProof/>
                <w:sz w:val="18"/>
                <w:szCs w:val="18"/>
              </w:rPr>
            </w:pPr>
            <w:r>
              <w:rPr>
                <w:noProof/>
                <w:sz w:val="18"/>
              </w:rPr>
              <w:t>BMS legacy data migrated</w:t>
            </w:r>
          </w:p>
        </w:tc>
        <w:tc>
          <w:tcPr>
            <w:tcW w:w="1380" w:type="dxa"/>
            <w:gridSpan w:val="2"/>
          </w:tcPr>
          <w:p>
            <w:pPr>
              <w:ind w:right="-29"/>
              <w:jc w:val="center"/>
              <w:rPr>
                <w:noProof/>
                <w:sz w:val="18"/>
                <w:szCs w:val="18"/>
              </w:rPr>
            </w:pPr>
            <w:r>
              <w:rPr>
                <w:noProof/>
                <w:sz w:val="18"/>
                <w:szCs w:val="18"/>
              </w:rPr>
              <w:t>To shared BMS</w:t>
            </w:r>
          </w:p>
        </w:tc>
        <w:tc>
          <w:tcPr>
            <w:tcW w:w="303" w:type="dxa"/>
            <w:tcBorders>
              <w:right w:val="dashSmallGap" w:sz="4" w:space="0" w:color="auto"/>
            </w:tcBorders>
          </w:tcPr>
          <w:p>
            <w:pPr>
              <w:ind w:right="-29"/>
              <w:jc w:val="center"/>
              <w:rPr>
                <w:noProof/>
                <w:sz w:val="18"/>
                <w:szCs w:val="18"/>
              </w:rPr>
            </w:pPr>
          </w:p>
        </w:tc>
        <w:tc>
          <w:tcPr>
            <w:tcW w:w="867" w:type="dxa"/>
            <w:tcBorders>
              <w:left w:val="dashSmallGap" w:sz="4" w:space="0" w:color="auto"/>
              <w:bottom w:val="single" w:sz="4" w:space="0" w:color="auto"/>
            </w:tcBorders>
          </w:tcPr>
          <w:p>
            <w:pPr>
              <w:ind w:right="-29"/>
              <w:jc w:val="center"/>
              <w:rPr>
                <w:noProof/>
                <w:sz w:val="18"/>
                <w:szCs w:val="18"/>
              </w:rPr>
            </w:pPr>
            <w:r>
              <w:rPr>
                <w:noProof/>
                <w:sz w:val="18"/>
                <w:szCs w:val="18"/>
              </w:rPr>
              <w:t>0</w:t>
            </w:r>
          </w:p>
        </w:tc>
        <w:tc>
          <w:tcPr>
            <w:tcW w:w="330" w:type="dxa"/>
            <w:tcBorders>
              <w:right w:val="dashSmallGap" w:sz="4" w:space="0" w:color="auto"/>
            </w:tcBorders>
          </w:tcPr>
          <w:p>
            <w:pPr>
              <w:ind w:right="-29"/>
              <w:jc w:val="center"/>
              <w:rPr>
                <w:noProof/>
                <w:sz w:val="18"/>
                <w:szCs w:val="18"/>
              </w:rPr>
            </w:pPr>
          </w:p>
        </w:tc>
        <w:tc>
          <w:tcPr>
            <w:tcW w:w="840" w:type="dxa"/>
            <w:tcBorders>
              <w:left w:val="dashSmallGap" w:sz="4" w:space="0" w:color="auto"/>
            </w:tcBorders>
          </w:tcPr>
          <w:p>
            <w:pPr>
              <w:ind w:right="-29"/>
              <w:jc w:val="center"/>
              <w:rPr>
                <w:noProof/>
                <w:sz w:val="18"/>
                <w:szCs w:val="18"/>
              </w:rPr>
            </w:pPr>
            <w:r>
              <w:rPr>
                <w:noProof/>
                <w:sz w:val="18"/>
                <w:szCs w:val="18"/>
              </w:rPr>
              <w:t>0</w:t>
            </w:r>
          </w:p>
        </w:tc>
        <w:tc>
          <w:tcPr>
            <w:tcW w:w="360" w:type="dxa"/>
            <w:tcBorders>
              <w:right w:val="dashSmallGap" w:sz="4" w:space="0" w:color="auto"/>
            </w:tcBorders>
          </w:tcPr>
          <w:p>
            <w:pPr>
              <w:ind w:right="-29"/>
              <w:jc w:val="center"/>
              <w:rPr>
                <w:noProof/>
                <w:sz w:val="18"/>
                <w:szCs w:val="18"/>
              </w:rPr>
            </w:pPr>
          </w:p>
        </w:tc>
        <w:tc>
          <w:tcPr>
            <w:tcW w:w="840" w:type="dxa"/>
            <w:tcBorders>
              <w:left w:val="dashSmallGap" w:sz="4" w:space="0" w:color="auto"/>
            </w:tcBorders>
          </w:tcPr>
          <w:p>
            <w:pPr>
              <w:ind w:right="-29"/>
              <w:jc w:val="center"/>
              <w:rPr>
                <w:noProof/>
                <w:sz w:val="18"/>
                <w:szCs w:val="18"/>
              </w:rPr>
            </w:pPr>
            <w:r>
              <w:rPr>
                <w:noProof/>
                <w:sz w:val="18"/>
                <w:szCs w:val="18"/>
              </w:rPr>
              <w:t>0</w:t>
            </w:r>
          </w:p>
        </w:tc>
        <w:tc>
          <w:tcPr>
            <w:tcW w:w="360" w:type="dxa"/>
            <w:tcBorders>
              <w:right w:val="dashSmallGap" w:sz="4" w:space="0" w:color="auto"/>
            </w:tcBorders>
          </w:tcPr>
          <w:p>
            <w:pPr>
              <w:ind w:right="-29"/>
              <w:jc w:val="center"/>
              <w:rPr>
                <w:noProof/>
                <w:sz w:val="18"/>
                <w:szCs w:val="18"/>
              </w:rPr>
            </w:pPr>
          </w:p>
        </w:tc>
        <w:tc>
          <w:tcPr>
            <w:tcW w:w="840" w:type="dxa"/>
            <w:tcBorders>
              <w:left w:val="dashSmallGap" w:sz="4" w:space="0" w:color="auto"/>
            </w:tcBorders>
          </w:tcPr>
          <w:p>
            <w:pPr>
              <w:ind w:right="-29"/>
              <w:jc w:val="center"/>
              <w:rPr>
                <w:noProof/>
                <w:sz w:val="18"/>
                <w:szCs w:val="18"/>
              </w:rPr>
            </w:pPr>
            <w:r>
              <w:rPr>
                <w:noProof/>
                <w:sz w:val="18"/>
                <w:szCs w:val="18"/>
              </w:rPr>
              <w:t>7,000</w:t>
            </w:r>
          </w:p>
        </w:tc>
        <w:tc>
          <w:tcPr>
            <w:tcW w:w="360" w:type="dxa"/>
            <w:tcBorders>
              <w:right w:val="dashSmallGap" w:sz="4" w:space="0" w:color="auto"/>
            </w:tcBorders>
          </w:tcPr>
          <w:p>
            <w:pPr>
              <w:ind w:right="-29"/>
              <w:jc w:val="center"/>
              <w:rPr>
                <w:noProof/>
                <w:sz w:val="18"/>
                <w:szCs w:val="18"/>
              </w:rPr>
            </w:pPr>
          </w:p>
        </w:tc>
        <w:tc>
          <w:tcPr>
            <w:tcW w:w="672" w:type="dxa"/>
            <w:tcBorders>
              <w:left w:val="dashSmallGap" w:sz="4" w:space="0" w:color="auto"/>
            </w:tcBorders>
          </w:tcPr>
          <w:p>
            <w:pPr>
              <w:ind w:right="-29"/>
              <w:jc w:val="center"/>
              <w:rPr>
                <w:noProof/>
                <w:sz w:val="18"/>
                <w:szCs w:val="18"/>
              </w:rPr>
            </w:pPr>
            <w:r>
              <w:rPr>
                <w:noProof/>
                <w:sz w:val="18"/>
                <w:szCs w:val="18"/>
              </w:rPr>
              <w:t>3,000</w:t>
            </w:r>
          </w:p>
        </w:tc>
        <w:tc>
          <w:tcPr>
            <w:tcW w:w="360" w:type="dxa"/>
            <w:tcBorders>
              <w:right w:val="dashSmallGap" w:sz="4" w:space="0" w:color="auto"/>
            </w:tcBorders>
          </w:tcPr>
          <w:p>
            <w:pPr>
              <w:ind w:right="-29"/>
              <w:jc w:val="center"/>
              <w:rPr>
                <w:noProof/>
                <w:sz w:val="18"/>
                <w:szCs w:val="18"/>
              </w:rPr>
            </w:pPr>
          </w:p>
        </w:tc>
        <w:tc>
          <w:tcPr>
            <w:tcW w:w="720" w:type="dxa"/>
            <w:tcBorders>
              <w:left w:val="dashSmallGap" w:sz="4" w:space="0" w:color="auto"/>
            </w:tcBorders>
          </w:tcPr>
          <w:p>
            <w:pPr>
              <w:ind w:right="-29"/>
              <w:jc w:val="center"/>
              <w:rPr>
                <w:noProof/>
                <w:sz w:val="18"/>
                <w:szCs w:val="18"/>
              </w:rPr>
            </w:pPr>
            <w:r>
              <w:rPr>
                <w:noProof/>
                <w:sz w:val="18"/>
                <w:szCs w:val="18"/>
              </w:rPr>
              <w:t>0</w:t>
            </w:r>
          </w:p>
        </w:tc>
        <w:tc>
          <w:tcPr>
            <w:tcW w:w="360" w:type="dxa"/>
            <w:tcBorders>
              <w:right w:val="dashSmallGap" w:sz="4" w:space="0" w:color="auto"/>
            </w:tcBorders>
          </w:tcPr>
          <w:p>
            <w:pPr>
              <w:ind w:right="-29"/>
              <w:jc w:val="center"/>
              <w:rPr>
                <w:noProof/>
                <w:sz w:val="18"/>
                <w:szCs w:val="18"/>
              </w:rPr>
            </w:pPr>
          </w:p>
        </w:tc>
        <w:tc>
          <w:tcPr>
            <w:tcW w:w="840" w:type="dxa"/>
            <w:tcBorders>
              <w:left w:val="dashSmallGap" w:sz="4" w:space="0" w:color="auto"/>
            </w:tcBorders>
          </w:tcPr>
          <w:p>
            <w:pPr>
              <w:ind w:right="-29"/>
              <w:jc w:val="center"/>
              <w:rPr>
                <w:noProof/>
                <w:sz w:val="18"/>
                <w:szCs w:val="18"/>
              </w:rPr>
            </w:pPr>
            <w:r>
              <w:rPr>
                <w:noProof/>
                <w:sz w:val="18"/>
                <w:szCs w:val="18"/>
              </w:rPr>
              <w:t>0</w:t>
            </w:r>
          </w:p>
        </w:tc>
        <w:tc>
          <w:tcPr>
            <w:tcW w:w="360" w:type="dxa"/>
            <w:tcBorders>
              <w:right w:val="dashSmallGap" w:sz="4" w:space="0" w:color="auto"/>
            </w:tcBorders>
          </w:tcPr>
          <w:p>
            <w:pPr>
              <w:ind w:right="-29"/>
              <w:jc w:val="center"/>
              <w:rPr>
                <w:noProof/>
                <w:sz w:val="18"/>
                <w:szCs w:val="18"/>
              </w:rPr>
            </w:pPr>
          </w:p>
        </w:tc>
        <w:tc>
          <w:tcPr>
            <w:tcW w:w="840" w:type="dxa"/>
            <w:tcBorders>
              <w:left w:val="dashSmallGap" w:sz="4" w:space="0" w:color="auto"/>
            </w:tcBorders>
          </w:tcPr>
          <w:p>
            <w:pPr>
              <w:ind w:right="-29"/>
              <w:jc w:val="center"/>
              <w:rPr>
                <w:noProof/>
                <w:sz w:val="18"/>
                <w:szCs w:val="18"/>
              </w:rPr>
            </w:pPr>
            <w:r>
              <w:rPr>
                <w:noProof/>
                <w:sz w:val="18"/>
                <w:szCs w:val="18"/>
              </w:rPr>
              <w:t>0</w:t>
            </w:r>
          </w:p>
        </w:tc>
        <w:tc>
          <w:tcPr>
            <w:tcW w:w="360" w:type="dxa"/>
            <w:tcBorders>
              <w:right w:val="dashSmallGap" w:sz="4" w:space="0" w:color="auto"/>
            </w:tcBorders>
          </w:tcPr>
          <w:p>
            <w:pPr>
              <w:ind w:right="-29"/>
              <w:jc w:val="center"/>
              <w:rPr>
                <w:noProof/>
                <w:sz w:val="18"/>
                <w:szCs w:val="18"/>
              </w:rPr>
            </w:pPr>
          </w:p>
        </w:tc>
        <w:tc>
          <w:tcPr>
            <w:tcW w:w="840" w:type="dxa"/>
            <w:tcBorders>
              <w:left w:val="dashSmallGap" w:sz="4" w:space="0" w:color="auto"/>
              <w:bottom w:val="single" w:sz="4" w:space="0" w:color="auto"/>
            </w:tcBorders>
          </w:tcPr>
          <w:p>
            <w:pPr>
              <w:ind w:right="-29"/>
              <w:jc w:val="center"/>
              <w:rPr>
                <w:noProof/>
                <w:sz w:val="18"/>
                <w:szCs w:val="18"/>
              </w:rPr>
            </w:pPr>
            <w:r>
              <w:rPr>
                <w:noProof/>
                <w:sz w:val="18"/>
                <w:szCs w:val="18"/>
              </w:rPr>
              <w:t>0</w:t>
            </w:r>
          </w:p>
        </w:tc>
        <w:tc>
          <w:tcPr>
            <w:tcW w:w="360" w:type="dxa"/>
            <w:tcBorders>
              <w:right w:val="dashSmallGap" w:sz="4" w:space="0" w:color="auto"/>
            </w:tcBorders>
          </w:tcPr>
          <w:p>
            <w:pPr>
              <w:ind w:right="-29"/>
              <w:jc w:val="center"/>
              <w:rPr>
                <w:noProof/>
                <w:sz w:val="18"/>
                <w:szCs w:val="18"/>
              </w:rPr>
            </w:pPr>
          </w:p>
        </w:tc>
        <w:tc>
          <w:tcPr>
            <w:tcW w:w="1320" w:type="dxa"/>
            <w:tcBorders>
              <w:left w:val="dashSmallGap" w:sz="4" w:space="0" w:color="auto"/>
              <w:bottom w:val="single" w:sz="4" w:space="0" w:color="auto"/>
              <w:right w:val="single" w:sz="12" w:space="0" w:color="auto"/>
            </w:tcBorders>
          </w:tcPr>
          <w:p>
            <w:pPr>
              <w:ind w:right="-29"/>
              <w:jc w:val="center"/>
              <w:rPr>
                <w:noProof/>
                <w:sz w:val="18"/>
                <w:szCs w:val="18"/>
              </w:rPr>
            </w:pPr>
            <w:r>
              <w:rPr>
                <w:noProof/>
                <w:sz w:val="18"/>
                <w:szCs w:val="18"/>
              </w:rPr>
              <w:t>10,000</w:t>
            </w:r>
          </w:p>
        </w:tc>
      </w:tr>
      <w:tr>
        <w:trPr>
          <w:trHeight w:hRule="exact" w:val="844"/>
          <w:jc w:val="center"/>
        </w:trPr>
        <w:tc>
          <w:tcPr>
            <w:tcW w:w="1422" w:type="dxa"/>
            <w:tcBorders>
              <w:left w:val="single" w:sz="12" w:space="0" w:color="auto"/>
            </w:tcBorders>
          </w:tcPr>
          <w:p>
            <w:pPr>
              <w:ind w:right="-29"/>
              <w:jc w:val="center"/>
              <w:rPr>
                <w:noProof/>
                <w:sz w:val="18"/>
                <w:szCs w:val="18"/>
              </w:rPr>
            </w:pPr>
            <w:r>
              <w:rPr>
                <w:noProof/>
                <w:sz w:val="18"/>
              </w:rPr>
              <w:t>EDAC legacy data enabled for migration</w:t>
            </w:r>
          </w:p>
        </w:tc>
        <w:tc>
          <w:tcPr>
            <w:tcW w:w="1380" w:type="dxa"/>
            <w:gridSpan w:val="2"/>
          </w:tcPr>
          <w:p>
            <w:pPr>
              <w:ind w:right="-29"/>
              <w:jc w:val="center"/>
              <w:rPr>
                <w:noProof/>
                <w:sz w:val="18"/>
                <w:szCs w:val="18"/>
              </w:rPr>
            </w:pPr>
            <w:r>
              <w:rPr>
                <w:noProof/>
                <w:sz w:val="18"/>
                <w:szCs w:val="18"/>
              </w:rPr>
              <w:t>EDAC redesign and rebuild</w:t>
            </w:r>
          </w:p>
        </w:tc>
        <w:tc>
          <w:tcPr>
            <w:tcW w:w="303" w:type="dxa"/>
            <w:tcBorders>
              <w:right w:val="dashSmallGap" w:sz="4" w:space="0" w:color="auto"/>
            </w:tcBorders>
          </w:tcPr>
          <w:p>
            <w:pPr>
              <w:ind w:right="-29"/>
              <w:jc w:val="center"/>
              <w:rPr>
                <w:noProof/>
                <w:sz w:val="18"/>
                <w:szCs w:val="18"/>
              </w:rPr>
            </w:pPr>
          </w:p>
        </w:tc>
        <w:tc>
          <w:tcPr>
            <w:tcW w:w="867" w:type="dxa"/>
            <w:tcBorders>
              <w:left w:val="dashSmallGap" w:sz="4" w:space="0" w:color="auto"/>
              <w:bottom w:val="single" w:sz="4" w:space="0" w:color="auto"/>
            </w:tcBorders>
          </w:tcPr>
          <w:p>
            <w:pPr>
              <w:ind w:right="-29"/>
              <w:jc w:val="center"/>
              <w:rPr>
                <w:noProof/>
                <w:sz w:val="18"/>
                <w:szCs w:val="18"/>
              </w:rPr>
            </w:pPr>
            <w:r>
              <w:rPr>
                <w:noProof/>
                <w:sz w:val="18"/>
                <w:szCs w:val="18"/>
              </w:rPr>
              <w:t>0</w:t>
            </w:r>
          </w:p>
        </w:tc>
        <w:tc>
          <w:tcPr>
            <w:tcW w:w="330" w:type="dxa"/>
            <w:tcBorders>
              <w:right w:val="dashSmallGap" w:sz="4" w:space="0" w:color="auto"/>
            </w:tcBorders>
          </w:tcPr>
          <w:p>
            <w:pPr>
              <w:ind w:right="-29"/>
              <w:jc w:val="center"/>
              <w:rPr>
                <w:noProof/>
                <w:sz w:val="18"/>
                <w:szCs w:val="18"/>
              </w:rPr>
            </w:pPr>
          </w:p>
        </w:tc>
        <w:tc>
          <w:tcPr>
            <w:tcW w:w="840" w:type="dxa"/>
            <w:tcBorders>
              <w:left w:val="dashSmallGap" w:sz="4" w:space="0" w:color="auto"/>
              <w:bottom w:val="single" w:sz="4" w:space="0" w:color="auto"/>
            </w:tcBorders>
          </w:tcPr>
          <w:p>
            <w:pPr>
              <w:ind w:right="-29"/>
              <w:jc w:val="center"/>
              <w:rPr>
                <w:noProof/>
                <w:sz w:val="18"/>
                <w:szCs w:val="18"/>
              </w:rPr>
            </w:pPr>
            <w:r>
              <w:rPr>
                <w:noProof/>
                <w:sz w:val="18"/>
                <w:szCs w:val="18"/>
              </w:rPr>
              <w:t>0</w:t>
            </w:r>
          </w:p>
        </w:tc>
        <w:tc>
          <w:tcPr>
            <w:tcW w:w="360" w:type="dxa"/>
            <w:tcBorders>
              <w:right w:val="dashSmallGap" w:sz="4" w:space="0" w:color="auto"/>
            </w:tcBorders>
          </w:tcPr>
          <w:p>
            <w:pPr>
              <w:ind w:right="-29"/>
              <w:jc w:val="center"/>
              <w:rPr>
                <w:noProof/>
                <w:sz w:val="18"/>
                <w:szCs w:val="18"/>
              </w:rPr>
            </w:pPr>
          </w:p>
        </w:tc>
        <w:tc>
          <w:tcPr>
            <w:tcW w:w="840" w:type="dxa"/>
            <w:tcBorders>
              <w:left w:val="dashSmallGap" w:sz="4" w:space="0" w:color="auto"/>
              <w:bottom w:val="single" w:sz="4" w:space="0" w:color="auto"/>
            </w:tcBorders>
          </w:tcPr>
          <w:p>
            <w:pPr>
              <w:ind w:right="-29"/>
              <w:jc w:val="center"/>
              <w:rPr>
                <w:noProof/>
                <w:sz w:val="18"/>
                <w:szCs w:val="18"/>
              </w:rPr>
            </w:pPr>
            <w:r>
              <w:rPr>
                <w:noProof/>
                <w:sz w:val="18"/>
                <w:szCs w:val="18"/>
              </w:rPr>
              <w:t>7,500</w:t>
            </w:r>
          </w:p>
        </w:tc>
        <w:tc>
          <w:tcPr>
            <w:tcW w:w="360" w:type="dxa"/>
            <w:tcBorders>
              <w:right w:val="dashSmallGap" w:sz="4" w:space="0" w:color="auto"/>
            </w:tcBorders>
          </w:tcPr>
          <w:p>
            <w:pPr>
              <w:ind w:right="-29"/>
              <w:jc w:val="center"/>
              <w:rPr>
                <w:noProof/>
                <w:sz w:val="18"/>
                <w:szCs w:val="18"/>
              </w:rPr>
            </w:pPr>
          </w:p>
        </w:tc>
        <w:tc>
          <w:tcPr>
            <w:tcW w:w="840" w:type="dxa"/>
            <w:tcBorders>
              <w:left w:val="dashSmallGap" w:sz="4" w:space="0" w:color="auto"/>
              <w:bottom w:val="single" w:sz="4" w:space="0" w:color="auto"/>
            </w:tcBorders>
          </w:tcPr>
          <w:p>
            <w:pPr>
              <w:ind w:right="-29"/>
              <w:jc w:val="center"/>
              <w:rPr>
                <w:noProof/>
                <w:sz w:val="18"/>
                <w:szCs w:val="18"/>
              </w:rPr>
            </w:pPr>
            <w:r>
              <w:rPr>
                <w:noProof/>
                <w:sz w:val="18"/>
                <w:szCs w:val="18"/>
              </w:rPr>
              <w:t>7,500</w:t>
            </w:r>
          </w:p>
        </w:tc>
        <w:tc>
          <w:tcPr>
            <w:tcW w:w="360" w:type="dxa"/>
            <w:tcBorders>
              <w:right w:val="dashSmallGap" w:sz="4" w:space="0" w:color="auto"/>
            </w:tcBorders>
          </w:tcPr>
          <w:p>
            <w:pPr>
              <w:ind w:right="-29"/>
              <w:jc w:val="center"/>
              <w:rPr>
                <w:noProof/>
                <w:sz w:val="18"/>
                <w:szCs w:val="18"/>
              </w:rPr>
            </w:pPr>
          </w:p>
        </w:tc>
        <w:tc>
          <w:tcPr>
            <w:tcW w:w="672" w:type="dxa"/>
            <w:tcBorders>
              <w:left w:val="dashSmallGap" w:sz="4" w:space="0" w:color="auto"/>
              <w:bottom w:val="single" w:sz="4" w:space="0" w:color="auto"/>
            </w:tcBorders>
          </w:tcPr>
          <w:p>
            <w:pPr>
              <w:ind w:right="-29"/>
              <w:jc w:val="center"/>
              <w:rPr>
                <w:noProof/>
                <w:sz w:val="18"/>
                <w:szCs w:val="18"/>
              </w:rPr>
            </w:pPr>
          </w:p>
        </w:tc>
        <w:tc>
          <w:tcPr>
            <w:tcW w:w="360" w:type="dxa"/>
            <w:tcBorders>
              <w:right w:val="dashSmallGap" w:sz="4" w:space="0" w:color="auto"/>
            </w:tcBorders>
          </w:tcPr>
          <w:p>
            <w:pPr>
              <w:ind w:right="-29"/>
              <w:jc w:val="center"/>
              <w:rPr>
                <w:noProof/>
                <w:sz w:val="18"/>
                <w:szCs w:val="18"/>
              </w:rPr>
            </w:pPr>
          </w:p>
        </w:tc>
        <w:tc>
          <w:tcPr>
            <w:tcW w:w="720" w:type="dxa"/>
            <w:tcBorders>
              <w:left w:val="dashSmallGap" w:sz="4" w:space="0" w:color="auto"/>
              <w:bottom w:val="single" w:sz="4" w:space="0" w:color="auto"/>
            </w:tcBorders>
          </w:tcPr>
          <w:p>
            <w:pPr>
              <w:ind w:right="-29"/>
              <w:jc w:val="center"/>
              <w:rPr>
                <w:noProof/>
                <w:sz w:val="18"/>
                <w:szCs w:val="18"/>
              </w:rPr>
            </w:pPr>
            <w:r>
              <w:rPr>
                <w:noProof/>
                <w:sz w:val="18"/>
                <w:szCs w:val="18"/>
              </w:rPr>
              <w:t>0</w:t>
            </w:r>
          </w:p>
        </w:tc>
        <w:tc>
          <w:tcPr>
            <w:tcW w:w="360" w:type="dxa"/>
            <w:tcBorders>
              <w:right w:val="dashSmallGap" w:sz="4" w:space="0" w:color="auto"/>
            </w:tcBorders>
          </w:tcPr>
          <w:p>
            <w:pPr>
              <w:ind w:right="-29"/>
              <w:jc w:val="center"/>
              <w:rPr>
                <w:noProof/>
                <w:sz w:val="18"/>
                <w:szCs w:val="18"/>
              </w:rPr>
            </w:pPr>
          </w:p>
        </w:tc>
        <w:tc>
          <w:tcPr>
            <w:tcW w:w="840" w:type="dxa"/>
            <w:tcBorders>
              <w:left w:val="dashSmallGap" w:sz="4" w:space="0" w:color="auto"/>
              <w:bottom w:val="single" w:sz="4" w:space="0" w:color="auto"/>
            </w:tcBorders>
          </w:tcPr>
          <w:p>
            <w:pPr>
              <w:ind w:right="-29"/>
              <w:jc w:val="center"/>
              <w:rPr>
                <w:noProof/>
                <w:sz w:val="18"/>
                <w:szCs w:val="18"/>
              </w:rPr>
            </w:pPr>
            <w:r>
              <w:rPr>
                <w:noProof/>
                <w:sz w:val="18"/>
                <w:szCs w:val="18"/>
              </w:rPr>
              <w:t>0</w:t>
            </w:r>
          </w:p>
        </w:tc>
        <w:tc>
          <w:tcPr>
            <w:tcW w:w="360" w:type="dxa"/>
            <w:tcBorders>
              <w:right w:val="dashSmallGap" w:sz="4" w:space="0" w:color="auto"/>
            </w:tcBorders>
          </w:tcPr>
          <w:p>
            <w:pPr>
              <w:ind w:right="-29"/>
              <w:jc w:val="center"/>
              <w:rPr>
                <w:noProof/>
                <w:sz w:val="18"/>
                <w:szCs w:val="18"/>
              </w:rPr>
            </w:pPr>
          </w:p>
        </w:tc>
        <w:tc>
          <w:tcPr>
            <w:tcW w:w="840" w:type="dxa"/>
            <w:tcBorders>
              <w:left w:val="dashSmallGap" w:sz="4" w:space="0" w:color="auto"/>
              <w:bottom w:val="single" w:sz="4" w:space="0" w:color="auto"/>
            </w:tcBorders>
          </w:tcPr>
          <w:p>
            <w:pPr>
              <w:ind w:right="-29"/>
              <w:jc w:val="center"/>
              <w:rPr>
                <w:noProof/>
                <w:sz w:val="18"/>
                <w:szCs w:val="18"/>
              </w:rPr>
            </w:pPr>
            <w:r>
              <w:rPr>
                <w:noProof/>
                <w:sz w:val="18"/>
                <w:szCs w:val="18"/>
              </w:rPr>
              <w:t>0</w:t>
            </w:r>
          </w:p>
        </w:tc>
        <w:tc>
          <w:tcPr>
            <w:tcW w:w="360" w:type="dxa"/>
            <w:tcBorders>
              <w:right w:val="dashSmallGap" w:sz="4" w:space="0" w:color="auto"/>
            </w:tcBorders>
          </w:tcPr>
          <w:p>
            <w:pPr>
              <w:ind w:right="-29"/>
              <w:jc w:val="center"/>
              <w:rPr>
                <w:noProof/>
                <w:sz w:val="18"/>
                <w:szCs w:val="18"/>
              </w:rPr>
            </w:pPr>
          </w:p>
        </w:tc>
        <w:tc>
          <w:tcPr>
            <w:tcW w:w="840" w:type="dxa"/>
            <w:tcBorders>
              <w:left w:val="dashSmallGap" w:sz="4" w:space="0" w:color="auto"/>
              <w:bottom w:val="single" w:sz="4" w:space="0" w:color="auto"/>
            </w:tcBorders>
          </w:tcPr>
          <w:p>
            <w:pPr>
              <w:ind w:right="-29"/>
              <w:jc w:val="center"/>
              <w:rPr>
                <w:noProof/>
                <w:sz w:val="18"/>
                <w:szCs w:val="18"/>
              </w:rPr>
            </w:pPr>
            <w:r>
              <w:rPr>
                <w:noProof/>
                <w:sz w:val="18"/>
                <w:szCs w:val="18"/>
              </w:rPr>
              <w:t>0</w:t>
            </w:r>
          </w:p>
        </w:tc>
        <w:tc>
          <w:tcPr>
            <w:tcW w:w="360" w:type="dxa"/>
            <w:tcBorders>
              <w:right w:val="dashSmallGap" w:sz="4" w:space="0" w:color="auto"/>
            </w:tcBorders>
          </w:tcPr>
          <w:p>
            <w:pPr>
              <w:ind w:right="-29"/>
              <w:jc w:val="center"/>
              <w:rPr>
                <w:noProof/>
                <w:sz w:val="18"/>
                <w:szCs w:val="18"/>
              </w:rPr>
            </w:pPr>
          </w:p>
        </w:tc>
        <w:tc>
          <w:tcPr>
            <w:tcW w:w="1320" w:type="dxa"/>
            <w:tcBorders>
              <w:left w:val="dashSmallGap" w:sz="4" w:space="0" w:color="auto"/>
              <w:bottom w:val="single" w:sz="4" w:space="0" w:color="auto"/>
              <w:right w:val="single" w:sz="12" w:space="0" w:color="auto"/>
            </w:tcBorders>
          </w:tcPr>
          <w:p>
            <w:pPr>
              <w:ind w:right="-29"/>
              <w:jc w:val="center"/>
              <w:rPr>
                <w:noProof/>
                <w:sz w:val="18"/>
                <w:szCs w:val="18"/>
              </w:rPr>
            </w:pPr>
            <w:r>
              <w:rPr>
                <w:noProof/>
                <w:sz w:val="18"/>
                <w:szCs w:val="18"/>
              </w:rPr>
              <w:t>15,000</w:t>
            </w:r>
          </w:p>
        </w:tc>
      </w:tr>
      <w:tr>
        <w:trPr>
          <w:jc w:val="center"/>
        </w:trPr>
        <w:tc>
          <w:tcPr>
            <w:tcW w:w="2802" w:type="dxa"/>
            <w:gridSpan w:val="3"/>
            <w:tcBorders>
              <w:left w:val="single" w:sz="12" w:space="0" w:color="auto"/>
              <w:bottom w:val="single" w:sz="12" w:space="0" w:color="auto"/>
            </w:tcBorders>
            <w:vAlign w:val="center"/>
          </w:tcPr>
          <w:p>
            <w:pPr>
              <w:ind w:right="-29"/>
              <w:jc w:val="center"/>
              <w:rPr>
                <w:noProof/>
                <w:sz w:val="18"/>
                <w:szCs w:val="18"/>
              </w:rPr>
            </w:pPr>
            <w:r>
              <w:rPr>
                <w:noProof/>
                <w:sz w:val="18"/>
              </w:rPr>
              <w:t>Subtotal for specific objective No 3</w:t>
            </w:r>
          </w:p>
        </w:tc>
        <w:tc>
          <w:tcPr>
            <w:tcW w:w="303" w:type="dxa"/>
            <w:tcBorders>
              <w:bottom w:val="single" w:sz="12" w:space="0" w:color="auto"/>
              <w:right w:val="dashSmallGap" w:sz="4" w:space="0" w:color="auto"/>
            </w:tcBorders>
          </w:tcPr>
          <w:p>
            <w:pPr>
              <w:ind w:right="-29"/>
              <w:jc w:val="center"/>
              <w:rPr>
                <w:noProof/>
                <w:sz w:val="18"/>
                <w:szCs w:val="18"/>
              </w:rPr>
            </w:pPr>
          </w:p>
        </w:tc>
        <w:tc>
          <w:tcPr>
            <w:tcW w:w="867" w:type="dxa"/>
            <w:tcBorders>
              <w:left w:val="dashSmallGap" w:sz="4" w:space="0" w:color="auto"/>
              <w:bottom w:val="single" w:sz="12" w:space="0" w:color="auto"/>
            </w:tcBorders>
          </w:tcPr>
          <w:p>
            <w:pPr>
              <w:ind w:right="-29"/>
              <w:jc w:val="center"/>
              <w:rPr>
                <w:b/>
                <w:noProof/>
                <w:sz w:val="18"/>
                <w:szCs w:val="18"/>
              </w:rPr>
            </w:pPr>
            <w:r>
              <w:rPr>
                <w:b/>
                <w:noProof/>
                <w:sz w:val="18"/>
                <w:szCs w:val="18"/>
              </w:rPr>
              <w:t>0</w:t>
            </w:r>
          </w:p>
        </w:tc>
        <w:tc>
          <w:tcPr>
            <w:tcW w:w="330" w:type="dxa"/>
            <w:tcBorders>
              <w:bottom w:val="single" w:sz="12" w:space="0" w:color="auto"/>
              <w:right w:val="dashSmallGap" w:sz="4" w:space="0" w:color="auto"/>
            </w:tcBorders>
          </w:tcPr>
          <w:p>
            <w:pPr>
              <w:ind w:right="-29"/>
              <w:jc w:val="center"/>
              <w:rPr>
                <w:noProof/>
                <w:sz w:val="18"/>
                <w:szCs w:val="18"/>
              </w:rPr>
            </w:pPr>
          </w:p>
        </w:tc>
        <w:tc>
          <w:tcPr>
            <w:tcW w:w="840" w:type="dxa"/>
            <w:tcBorders>
              <w:left w:val="dashSmallGap" w:sz="4" w:space="0" w:color="auto"/>
              <w:bottom w:val="single" w:sz="12" w:space="0" w:color="auto"/>
            </w:tcBorders>
          </w:tcPr>
          <w:p>
            <w:pPr>
              <w:ind w:right="-29"/>
              <w:jc w:val="center"/>
              <w:rPr>
                <w:b/>
                <w:noProof/>
                <w:sz w:val="18"/>
                <w:szCs w:val="18"/>
              </w:rPr>
            </w:pPr>
            <w:r>
              <w:rPr>
                <w:b/>
                <w:noProof/>
                <w:sz w:val="18"/>
                <w:szCs w:val="18"/>
              </w:rPr>
              <w:t>0</w:t>
            </w:r>
          </w:p>
        </w:tc>
        <w:tc>
          <w:tcPr>
            <w:tcW w:w="360" w:type="dxa"/>
            <w:tcBorders>
              <w:bottom w:val="single" w:sz="12" w:space="0" w:color="auto"/>
              <w:right w:val="dashSmallGap" w:sz="4" w:space="0" w:color="auto"/>
            </w:tcBorders>
          </w:tcPr>
          <w:p>
            <w:pPr>
              <w:ind w:right="-29"/>
              <w:jc w:val="center"/>
              <w:rPr>
                <w:noProof/>
                <w:sz w:val="18"/>
                <w:szCs w:val="18"/>
              </w:rPr>
            </w:pPr>
          </w:p>
        </w:tc>
        <w:tc>
          <w:tcPr>
            <w:tcW w:w="840" w:type="dxa"/>
            <w:tcBorders>
              <w:left w:val="dashSmallGap" w:sz="4" w:space="0" w:color="auto"/>
              <w:bottom w:val="single" w:sz="12" w:space="0" w:color="auto"/>
            </w:tcBorders>
          </w:tcPr>
          <w:p>
            <w:pPr>
              <w:ind w:right="-29"/>
              <w:jc w:val="center"/>
              <w:rPr>
                <w:b/>
                <w:noProof/>
                <w:sz w:val="18"/>
                <w:szCs w:val="18"/>
              </w:rPr>
            </w:pPr>
            <w:r>
              <w:rPr>
                <w:b/>
                <w:noProof/>
                <w:sz w:val="18"/>
                <w:szCs w:val="18"/>
              </w:rPr>
              <w:t>7,500</w:t>
            </w:r>
          </w:p>
        </w:tc>
        <w:tc>
          <w:tcPr>
            <w:tcW w:w="360" w:type="dxa"/>
            <w:tcBorders>
              <w:bottom w:val="single" w:sz="12" w:space="0" w:color="auto"/>
              <w:right w:val="dashSmallGap" w:sz="4" w:space="0" w:color="auto"/>
            </w:tcBorders>
          </w:tcPr>
          <w:p>
            <w:pPr>
              <w:ind w:right="-29"/>
              <w:jc w:val="center"/>
              <w:rPr>
                <w:noProof/>
                <w:sz w:val="18"/>
                <w:szCs w:val="18"/>
              </w:rPr>
            </w:pPr>
          </w:p>
        </w:tc>
        <w:tc>
          <w:tcPr>
            <w:tcW w:w="840" w:type="dxa"/>
            <w:tcBorders>
              <w:left w:val="dashSmallGap" w:sz="4" w:space="0" w:color="auto"/>
              <w:bottom w:val="single" w:sz="12" w:space="0" w:color="auto"/>
            </w:tcBorders>
          </w:tcPr>
          <w:p>
            <w:pPr>
              <w:ind w:right="-29"/>
              <w:jc w:val="center"/>
              <w:rPr>
                <w:b/>
                <w:noProof/>
                <w:sz w:val="18"/>
                <w:szCs w:val="18"/>
              </w:rPr>
            </w:pPr>
            <w:r>
              <w:rPr>
                <w:b/>
                <w:noProof/>
                <w:sz w:val="18"/>
                <w:szCs w:val="18"/>
              </w:rPr>
              <w:t>14,500</w:t>
            </w:r>
          </w:p>
        </w:tc>
        <w:tc>
          <w:tcPr>
            <w:tcW w:w="360" w:type="dxa"/>
            <w:tcBorders>
              <w:bottom w:val="single" w:sz="12" w:space="0" w:color="auto"/>
              <w:right w:val="dashSmallGap" w:sz="4" w:space="0" w:color="auto"/>
            </w:tcBorders>
          </w:tcPr>
          <w:p>
            <w:pPr>
              <w:ind w:right="-29"/>
              <w:jc w:val="center"/>
              <w:rPr>
                <w:noProof/>
                <w:sz w:val="18"/>
                <w:szCs w:val="18"/>
              </w:rPr>
            </w:pPr>
          </w:p>
        </w:tc>
        <w:tc>
          <w:tcPr>
            <w:tcW w:w="672" w:type="dxa"/>
            <w:tcBorders>
              <w:left w:val="dashSmallGap" w:sz="4" w:space="0" w:color="auto"/>
              <w:bottom w:val="single" w:sz="12" w:space="0" w:color="auto"/>
            </w:tcBorders>
          </w:tcPr>
          <w:p>
            <w:pPr>
              <w:ind w:right="-29"/>
              <w:rPr>
                <w:b/>
                <w:noProof/>
                <w:sz w:val="18"/>
              </w:rPr>
            </w:pPr>
            <w:r>
              <w:rPr>
                <w:b/>
                <w:noProof/>
                <w:sz w:val="18"/>
                <w:szCs w:val="18"/>
              </w:rPr>
              <w:t>3,000</w:t>
            </w:r>
          </w:p>
        </w:tc>
        <w:tc>
          <w:tcPr>
            <w:tcW w:w="360" w:type="dxa"/>
            <w:tcBorders>
              <w:bottom w:val="single" w:sz="12" w:space="0" w:color="auto"/>
              <w:right w:val="dashSmallGap" w:sz="4" w:space="0" w:color="auto"/>
            </w:tcBorders>
          </w:tcPr>
          <w:p>
            <w:pPr>
              <w:ind w:right="-29"/>
              <w:jc w:val="center"/>
              <w:rPr>
                <w:noProof/>
                <w:sz w:val="18"/>
                <w:szCs w:val="18"/>
              </w:rPr>
            </w:pPr>
          </w:p>
        </w:tc>
        <w:tc>
          <w:tcPr>
            <w:tcW w:w="720" w:type="dxa"/>
            <w:tcBorders>
              <w:left w:val="dashSmallGap" w:sz="4" w:space="0" w:color="auto"/>
              <w:bottom w:val="single" w:sz="12" w:space="0" w:color="auto"/>
            </w:tcBorders>
          </w:tcPr>
          <w:p>
            <w:pPr>
              <w:ind w:right="-29"/>
              <w:jc w:val="center"/>
              <w:rPr>
                <w:b/>
                <w:noProof/>
                <w:sz w:val="18"/>
              </w:rPr>
            </w:pPr>
          </w:p>
        </w:tc>
        <w:tc>
          <w:tcPr>
            <w:tcW w:w="360" w:type="dxa"/>
            <w:tcBorders>
              <w:bottom w:val="single" w:sz="12" w:space="0" w:color="auto"/>
              <w:right w:val="dashSmallGap" w:sz="4" w:space="0" w:color="auto"/>
            </w:tcBorders>
          </w:tcPr>
          <w:p>
            <w:pPr>
              <w:ind w:right="-29"/>
              <w:jc w:val="center"/>
              <w:rPr>
                <w:noProof/>
                <w:sz w:val="18"/>
                <w:szCs w:val="18"/>
              </w:rPr>
            </w:pPr>
          </w:p>
        </w:tc>
        <w:tc>
          <w:tcPr>
            <w:tcW w:w="840" w:type="dxa"/>
            <w:tcBorders>
              <w:left w:val="dashSmallGap" w:sz="4" w:space="0" w:color="auto"/>
              <w:bottom w:val="single" w:sz="12" w:space="0" w:color="auto"/>
            </w:tcBorders>
          </w:tcPr>
          <w:p>
            <w:pPr>
              <w:ind w:right="-29"/>
              <w:jc w:val="center"/>
              <w:rPr>
                <w:b/>
                <w:noProof/>
                <w:sz w:val="18"/>
              </w:rPr>
            </w:pPr>
          </w:p>
        </w:tc>
        <w:tc>
          <w:tcPr>
            <w:tcW w:w="360" w:type="dxa"/>
            <w:tcBorders>
              <w:bottom w:val="single" w:sz="12" w:space="0" w:color="auto"/>
              <w:right w:val="dashSmallGap" w:sz="4" w:space="0" w:color="auto"/>
            </w:tcBorders>
          </w:tcPr>
          <w:p>
            <w:pPr>
              <w:ind w:right="-29"/>
              <w:jc w:val="center"/>
              <w:rPr>
                <w:noProof/>
                <w:sz w:val="18"/>
                <w:szCs w:val="18"/>
              </w:rPr>
            </w:pPr>
          </w:p>
        </w:tc>
        <w:tc>
          <w:tcPr>
            <w:tcW w:w="840" w:type="dxa"/>
            <w:tcBorders>
              <w:left w:val="dashSmallGap" w:sz="4" w:space="0" w:color="auto"/>
              <w:bottom w:val="single" w:sz="12" w:space="0" w:color="auto"/>
            </w:tcBorders>
          </w:tcPr>
          <w:p>
            <w:pPr>
              <w:ind w:right="-29"/>
              <w:jc w:val="center"/>
              <w:rPr>
                <w:b/>
                <w:noProof/>
                <w:sz w:val="18"/>
              </w:rPr>
            </w:pPr>
          </w:p>
        </w:tc>
        <w:tc>
          <w:tcPr>
            <w:tcW w:w="360" w:type="dxa"/>
            <w:tcBorders>
              <w:bottom w:val="single" w:sz="12" w:space="0" w:color="auto"/>
              <w:right w:val="dashSmallGap" w:sz="4" w:space="0" w:color="auto"/>
            </w:tcBorders>
          </w:tcPr>
          <w:p>
            <w:pPr>
              <w:ind w:right="-29"/>
              <w:jc w:val="center"/>
              <w:rPr>
                <w:noProof/>
                <w:sz w:val="18"/>
                <w:szCs w:val="18"/>
              </w:rPr>
            </w:pPr>
          </w:p>
        </w:tc>
        <w:tc>
          <w:tcPr>
            <w:tcW w:w="840" w:type="dxa"/>
            <w:tcBorders>
              <w:left w:val="dashSmallGap" w:sz="4" w:space="0" w:color="auto"/>
              <w:bottom w:val="single" w:sz="12" w:space="0" w:color="auto"/>
            </w:tcBorders>
          </w:tcPr>
          <w:p>
            <w:pPr>
              <w:ind w:right="-29"/>
              <w:jc w:val="center"/>
              <w:rPr>
                <w:b/>
                <w:noProof/>
                <w:sz w:val="18"/>
              </w:rPr>
            </w:pPr>
          </w:p>
        </w:tc>
        <w:tc>
          <w:tcPr>
            <w:tcW w:w="360" w:type="dxa"/>
            <w:tcBorders>
              <w:bottom w:val="single" w:sz="12" w:space="0" w:color="auto"/>
              <w:right w:val="dashSmallGap" w:sz="4" w:space="0" w:color="auto"/>
            </w:tcBorders>
          </w:tcPr>
          <w:p>
            <w:pPr>
              <w:ind w:right="-29"/>
              <w:jc w:val="center"/>
              <w:rPr>
                <w:noProof/>
                <w:sz w:val="18"/>
                <w:szCs w:val="18"/>
              </w:rPr>
            </w:pPr>
          </w:p>
        </w:tc>
        <w:tc>
          <w:tcPr>
            <w:tcW w:w="1320" w:type="dxa"/>
            <w:tcBorders>
              <w:left w:val="dashSmallGap" w:sz="4" w:space="0" w:color="auto"/>
              <w:bottom w:val="single" w:sz="12" w:space="0" w:color="auto"/>
              <w:right w:val="single" w:sz="12" w:space="0" w:color="auto"/>
            </w:tcBorders>
          </w:tcPr>
          <w:p>
            <w:pPr>
              <w:ind w:right="-29"/>
              <w:jc w:val="center"/>
              <w:rPr>
                <w:b/>
                <w:noProof/>
                <w:sz w:val="18"/>
                <w:szCs w:val="18"/>
              </w:rPr>
            </w:pPr>
            <w:r>
              <w:rPr>
                <w:b/>
                <w:noProof/>
                <w:sz w:val="18"/>
                <w:szCs w:val="18"/>
              </w:rPr>
              <w:t>25,000</w:t>
            </w:r>
          </w:p>
        </w:tc>
      </w:tr>
    </w:tbl>
    <w:p>
      <w:pPr>
        <w:pStyle w:val="ListDash"/>
        <w:rPr>
          <w:noProof/>
        </w:rPr>
      </w:pPr>
      <w:r>
        <w:rPr>
          <w:noProof/>
        </w:rPr>
        <w:t>In the case of the shared BMS project, data need to be migrated from the other biometric engines to the shared BMS as this common system is operationally more effective and also gives a financial advantage compared with a situation where multiple smaller BMS systems would continue to be maintained.</w:t>
      </w:r>
    </w:p>
    <w:p>
      <w:pPr>
        <w:pStyle w:val="ListDash"/>
        <w:rPr>
          <w:noProof/>
        </w:rPr>
      </w:pPr>
      <w:r>
        <w:rPr>
          <w:noProof/>
        </w:rPr>
        <w:t>T</w:t>
      </w:r>
      <w:r>
        <w:rPr>
          <w:iCs/>
          <w:noProof/>
        </w:rPr>
        <w:t>he current business logic of Eurodac is not clearly separated from the biometrics matching mechanism as is the case with the BMS operating with VIS. The internal functioning of Eurodac and the mechanism with which the business services call the underlying biometric matching services is a black box for the outside viewer and is based on proprietary technology. It will not be possible to simply migrate the data to a shared BMS and keep the existing business layer. Therefore the migration of data is accompanied by significant costs for changing the exchanging mechanisms with the Eurodac central application.</w:t>
      </w:r>
    </w:p>
    <w:p>
      <w:pPr>
        <w:keepNext/>
        <w:rPr>
          <w:noProof/>
        </w:rPr>
      </w:pPr>
    </w:p>
    <w:tbl>
      <w:tblPr>
        <w:tblW w:w="149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22"/>
        <w:gridCol w:w="721"/>
        <w:gridCol w:w="659"/>
        <w:gridCol w:w="303"/>
        <w:gridCol w:w="867"/>
        <w:gridCol w:w="330"/>
        <w:gridCol w:w="840"/>
        <w:gridCol w:w="360"/>
        <w:gridCol w:w="840"/>
        <w:gridCol w:w="360"/>
        <w:gridCol w:w="840"/>
        <w:gridCol w:w="360"/>
        <w:gridCol w:w="672"/>
        <w:gridCol w:w="360"/>
        <w:gridCol w:w="720"/>
        <w:gridCol w:w="360"/>
        <w:gridCol w:w="840"/>
        <w:gridCol w:w="360"/>
        <w:gridCol w:w="840"/>
        <w:gridCol w:w="360"/>
        <w:gridCol w:w="840"/>
        <w:gridCol w:w="360"/>
        <w:gridCol w:w="1320"/>
      </w:tblGrid>
      <w:tr>
        <w:trPr>
          <w:jc w:val="center"/>
        </w:trPr>
        <w:tc>
          <w:tcPr>
            <w:tcW w:w="1422" w:type="dxa"/>
            <w:vMerge w:val="restart"/>
            <w:tcBorders>
              <w:top w:val="single" w:sz="12" w:space="0" w:color="auto"/>
              <w:left w:val="single" w:sz="12" w:space="0" w:color="auto"/>
            </w:tcBorders>
            <w:vAlign w:val="center"/>
          </w:tcPr>
          <w:p>
            <w:pPr>
              <w:keepNext/>
              <w:ind w:right="-29"/>
              <w:jc w:val="center"/>
              <w:rPr>
                <w:b/>
                <w:noProof/>
                <w:sz w:val="18"/>
                <w:szCs w:val="18"/>
              </w:rPr>
            </w:pPr>
            <w:r>
              <w:rPr>
                <w:b/>
                <w:noProof/>
                <w:sz w:val="18"/>
              </w:rPr>
              <w:t xml:space="preserve">Indicate objectives and outputs </w:t>
            </w:r>
          </w:p>
          <w:p>
            <w:pPr>
              <w:keepNext/>
              <w:ind w:right="-29"/>
              <w:jc w:val="center"/>
              <w:rPr>
                <w:b/>
                <w:noProof/>
                <w:sz w:val="18"/>
                <w:szCs w:val="18"/>
              </w:rPr>
            </w:pPr>
            <w:r>
              <w:rPr>
                <w:b/>
                <w:noProof/>
                <w:sz w:val="18"/>
                <w:szCs w:val="18"/>
              </w:rPr>
              <w:t>Eu-LISA</w:t>
            </w:r>
          </w:p>
          <w:p>
            <w:pPr>
              <w:keepNext/>
              <w:ind w:right="-29"/>
              <w:jc w:val="center"/>
              <w:rPr>
                <w:noProof/>
                <w:sz w:val="18"/>
                <w:szCs w:val="18"/>
              </w:rPr>
            </w:pPr>
            <w:r>
              <w:rPr>
                <w:noProof/>
                <w:sz w:val="18"/>
              </w:rPr>
              <w:sym w:font="Wingdings" w:char="F0F2"/>
            </w:r>
          </w:p>
        </w:tc>
        <w:tc>
          <w:tcPr>
            <w:tcW w:w="721" w:type="dxa"/>
            <w:tcBorders>
              <w:top w:val="single" w:sz="12" w:space="0" w:color="auto"/>
            </w:tcBorders>
            <w:vAlign w:val="center"/>
          </w:tcPr>
          <w:p>
            <w:pPr>
              <w:keepNext/>
              <w:ind w:right="-29"/>
              <w:jc w:val="center"/>
              <w:rPr>
                <w:noProof/>
                <w:sz w:val="18"/>
                <w:szCs w:val="18"/>
              </w:rPr>
            </w:pPr>
          </w:p>
        </w:tc>
        <w:tc>
          <w:tcPr>
            <w:tcW w:w="659" w:type="dxa"/>
            <w:tcBorders>
              <w:top w:val="single" w:sz="12" w:space="0" w:color="auto"/>
            </w:tcBorders>
            <w:vAlign w:val="center"/>
          </w:tcPr>
          <w:p>
            <w:pPr>
              <w:keepNext/>
              <w:ind w:right="-29"/>
              <w:jc w:val="center"/>
              <w:rPr>
                <w:noProof/>
                <w:sz w:val="18"/>
                <w:szCs w:val="18"/>
              </w:rPr>
            </w:pPr>
          </w:p>
        </w:tc>
        <w:tc>
          <w:tcPr>
            <w:tcW w:w="1170" w:type="dxa"/>
            <w:gridSpan w:val="2"/>
            <w:tcBorders>
              <w:top w:val="single" w:sz="12" w:space="0" w:color="auto"/>
              <w:right w:val="single" w:sz="4" w:space="0" w:color="auto"/>
            </w:tcBorders>
            <w:vAlign w:val="center"/>
          </w:tcPr>
          <w:p>
            <w:pPr>
              <w:keepNext/>
              <w:ind w:right="-29"/>
              <w:jc w:val="center"/>
              <w:rPr>
                <w:noProof/>
                <w:sz w:val="18"/>
                <w:szCs w:val="18"/>
              </w:rPr>
            </w:pPr>
            <w:r>
              <w:rPr>
                <w:noProof/>
                <w:sz w:val="18"/>
              </w:rPr>
              <w:t>Year</w:t>
            </w:r>
            <w:r>
              <w:rPr>
                <w:noProof/>
                <w:sz w:val="22"/>
              </w:rPr>
              <w:br/>
            </w:r>
            <w:r>
              <w:rPr>
                <w:b/>
                <w:noProof/>
                <w:sz w:val="18"/>
              </w:rPr>
              <w:t>2019</w:t>
            </w:r>
          </w:p>
        </w:tc>
        <w:tc>
          <w:tcPr>
            <w:tcW w:w="1170" w:type="dxa"/>
            <w:gridSpan w:val="2"/>
            <w:tcBorders>
              <w:top w:val="single" w:sz="12" w:space="0" w:color="auto"/>
              <w:left w:val="single" w:sz="4" w:space="0" w:color="auto"/>
            </w:tcBorders>
            <w:vAlign w:val="center"/>
          </w:tcPr>
          <w:p>
            <w:pPr>
              <w:keepNext/>
              <w:ind w:right="-29"/>
              <w:jc w:val="center"/>
              <w:rPr>
                <w:noProof/>
                <w:sz w:val="18"/>
                <w:szCs w:val="18"/>
              </w:rPr>
            </w:pPr>
            <w:r>
              <w:rPr>
                <w:noProof/>
                <w:sz w:val="18"/>
              </w:rPr>
              <w:t>Year</w:t>
            </w:r>
            <w:r>
              <w:rPr>
                <w:noProof/>
                <w:sz w:val="22"/>
              </w:rPr>
              <w:br/>
            </w:r>
            <w:r>
              <w:rPr>
                <w:b/>
                <w:noProof/>
                <w:sz w:val="18"/>
              </w:rPr>
              <w:t>2020</w:t>
            </w:r>
          </w:p>
        </w:tc>
        <w:tc>
          <w:tcPr>
            <w:tcW w:w="1200" w:type="dxa"/>
            <w:gridSpan w:val="2"/>
            <w:tcBorders>
              <w:top w:val="single" w:sz="12" w:space="0" w:color="auto"/>
            </w:tcBorders>
            <w:vAlign w:val="center"/>
          </w:tcPr>
          <w:p>
            <w:pPr>
              <w:keepNext/>
              <w:ind w:right="-29"/>
              <w:jc w:val="center"/>
              <w:rPr>
                <w:noProof/>
                <w:sz w:val="18"/>
                <w:szCs w:val="18"/>
              </w:rPr>
            </w:pPr>
            <w:r>
              <w:rPr>
                <w:noProof/>
                <w:sz w:val="18"/>
              </w:rPr>
              <w:t>Year</w:t>
            </w:r>
            <w:r>
              <w:rPr>
                <w:noProof/>
                <w:sz w:val="22"/>
              </w:rPr>
              <w:br/>
            </w:r>
            <w:r>
              <w:rPr>
                <w:b/>
                <w:noProof/>
                <w:sz w:val="18"/>
              </w:rPr>
              <w:t>2021</w:t>
            </w:r>
          </w:p>
        </w:tc>
        <w:tc>
          <w:tcPr>
            <w:tcW w:w="1200" w:type="dxa"/>
            <w:gridSpan w:val="2"/>
            <w:tcBorders>
              <w:top w:val="single" w:sz="12" w:space="0" w:color="auto"/>
            </w:tcBorders>
            <w:vAlign w:val="center"/>
          </w:tcPr>
          <w:p>
            <w:pPr>
              <w:keepNext/>
              <w:ind w:right="-29"/>
              <w:jc w:val="center"/>
              <w:rPr>
                <w:noProof/>
                <w:sz w:val="18"/>
                <w:szCs w:val="18"/>
              </w:rPr>
            </w:pPr>
            <w:r>
              <w:rPr>
                <w:noProof/>
                <w:sz w:val="18"/>
              </w:rPr>
              <w:t>Year</w:t>
            </w:r>
            <w:r>
              <w:rPr>
                <w:noProof/>
                <w:sz w:val="22"/>
              </w:rPr>
              <w:br/>
            </w:r>
            <w:r>
              <w:rPr>
                <w:b/>
                <w:noProof/>
                <w:sz w:val="18"/>
              </w:rPr>
              <w:t>2022</w:t>
            </w:r>
          </w:p>
        </w:tc>
        <w:tc>
          <w:tcPr>
            <w:tcW w:w="1032" w:type="dxa"/>
            <w:gridSpan w:val="2"/>
            <w:tcBorders>
              <w:top w:val="single" w:sz="12" w:space="0" w:color="auto"/>
            </w:tcBorders>
            <w:vAlign w:val="center"/>
          </w:tcPr>
          <w:p>
            <w:pPr>
              <w:keepNext/>
              <w:jc w:val="center"/>
              <w:rPr>
                <w:noProof/>
                <w:sz w:val="18"/>
                <w:szCs w:val="18"/>
              </w:rPr>
            </w:pPr>
            <w:r>
              <w:rPr>
                <w:noProof/>
                <w:sz w:val="18"/>
              </w:rPr>
              <w:t>Year</w:t>
            </w:r>
            <w:r>
              <w:rPr>
                <w:noProof/>
                <w:sz w:val="22"/>
              </w:rPr>
              <w:br/>
            </w:r>
            <w:r>
              <w:rPr>
                <w:b/>
                <w:noProof/>
                <w:sz w:val="18"/>
              </w:rPr>
              <w:t>2023</w:t>
            </w:r>
          </w:p>
        </w:tc>
        <w:tc>
          <w:tcPr>
            <w:tcW w:w="1080" w:type="dxa"/>
            <w:gridSpan w:val="2"/>
            <w:tcBorders>
              <w:top w:val="single" w:sz="12" w:space="0" w:color="auto"/>
            </w:tcBorders>
            <w:vAlign w:val="center"/>
          </w:tcPr>
          <w:p>
            <w:pPr>
              <w:keepNext/>
              <w:jc w:val="center"/>
              <w:rPr>
                <w:noProof/>
                <w:sz w:val="18"/>
                <w:szCs w:val="18"/>
              </w:rPr>
            </w:pPr>
            <w:r>
              <w:rPr>
                <w:noProof/>
                <w:sz w:val="18"/>
              </w:rPr>
              <w:t>Year</w:t>
            </w:r>
            <w:r>
              <w:rPr>
                <w:noProof/>
                <w:sz w:val="22"/>
              </w:rPr>
              <w:br/>
            </w:r>
            <w:r>
              <w:rPr>
                <w:b/>
                <w:noProof/>
                <w:sz w:val="18"/>
              </w:rPr>
              <w:t>2024</w:t>
            </w:r>
          </w:p>
        </w:tc>
        <w:tc>
          <w:tcPr>
            <w:tcW w:w="1200" w:type="dxa"/>
            <w:gridSpan w:val="2"/>
            <w:tcBorders>
              <w:top w:val="single" w:sz="12" w:space="0" w:color="auto"/>
            </w:tcBorders>
            <w:vAlign w:val="center"/>
          </w:tcPr>
          <w:p>
            <w:pPr>
              <w:keepNext/>
              <w:jc w:val="center"/>
              <w:rPr>
                <w:noProof/>
                <w:sz w:val="18"/>
                <w:szCs w:val="18"/>
              </w:rPr>
            </w:pPr>
            <w:r>
              <w:rPr>
                <w:noProof/>
                <w:sz w:val="18"/>
              </w:rPr>
              <w:t>Year</w:t>
            </w:r>
            <w:r>
              <w:rPr>
                <w:noProof/>
                <w:sz w:val="22"/>
              </w:rPr>
              <w:br/>
            </w:r>
            <w:r>
              <w:rPr>
                <w:b/>
                <w:noProof/>
                <w:sz w:val="18"/>
              </w:rPr>
              <w:t>2025</w:t>
            </w:r>
          </w:p>
        </w:tc>
        <w:tc>
          <w:tcPr>
            <w:tcW w:w="1200" w:type="dxa"/>
            <w:gridSpan w:val="2"/>
            <w:tcBorders>
              <w:top w:val="single" w:sz="12" w:space="0" w:color="auto"/>
            </w:tcBorders>
          </w:tcPr>
          <w:p>
            <w:pPr>
              <w:keepNext/>
              <w:ind w:right="-29"/>
              <w:jc w:val="center"/>
              <w:rPr>
                <w:b/>
                <w:noProof/>
                <w:sz w:val="18"/>
              </w:rPr>
            </w:pPr>
            <w:r>
              <w:rPr>
                <w:noProof/>
                <w:sz w:val="18"/>
              </w:rPr>
              <w:t>Year</w:t>
            </w:r>
            <w:r>
              <w:rPr>
                <w:noProof/>
                <w:sz w:val="22"/>
              </w:rPr>
              <w:br/>
            </w:r>
            <w:r>
              <w:rPr>
                <w:b/>
                <w:noProof/>
                <w:sz w:val="18"/>
              </w:rPr>
              <w:t>2026</w:t>
            </w:r>
          </w:p>
        </w:tc>
        <w:tc>
          <w:tcPr>
            <w:tcW w:w="1200" w:type="dxa"/>
            <w:gridSpan w:val="2"/>
            <w:tcBorders>
              <w:top w:val="single" w:sz="12" w:space="0" w:color="auto"/>
              <w:right w:val="nil"/>
            </w:tcBorders>
          </w:tcPr>
          <w:p>
            <w:pPr>
              <w:keepNext/>
              <w:ind w:right="-29"/>
              <w:jc w:val="center"/>
              <w:rPr>
                <w:b/>
                <w:noProof/>
                <w:sz w:val="18"/>
              </w:rPr>
            </w:pPr>
            <w:r>
              <w:rPr>
                <w:noProof/>
                <w:sz w:val="18"/>
              </w:rPr>
              <w:t>Year</w:t>
            </w:r>
            <w:r>
              <w:rPr>
                <w:noProof/>
                <w:sz w:val="22"/>
              </w:rPr>
              <w:br/>
            </w:r>
            <w:r>
              <w:rPr>
                <w:b/>
                <w:noProof/>
                <w:sz w:val="18"/>
              </w:rPr>
              <w:t>2027</w:t>
            </w:r>
          </w:p>
        </w:tc>
        <w:tc>
          <w:tcPr>
            <w:tcW w:w="1680" w:type="dxa"/>
            <w:gridSpan w:val="2"/>
            <w:tcBorders>
              <w:top w:val="single" w:sz="12" w:space="0" w:color="auto"/>
              <w:left w:val="single" w:sz="6" w:space="0" w:color="auto"/>
              <w:bottom w:val="single" w:sz="4" w:space="0" w:color="auto"/>
              <w:right w:val="single" w:sz="12" w:space="0" w:color="auto"/>
            </w:tcBorders>
            <w:vAlign w:val="center"/>
          </w:tcPr>
          <w:p>
            <w:pPr>
              <w:keepNext/>
              <w:ind w:right="-29"/>
              <w:jc w:val="center"/>
              <w:rPr>
                <w:noProof/>
                <w:sz w:val="18"/>
                <w:szCs w:val="18"/>
              </w:rPr>
            </w:pPr>
            <w:r>
              <w:rPr>
                <w:b/>
                <w:noProof/>
                <w:sz w:val="18"/>
              </w:rPr>
              <w:t>TOTAL</w:t>
            </w:r>
          </w:p>
        </w:tc>
      </w:tr>
      <w:tr>
        <w:trPr>
          <w:gridAfter w:val="22"/>
          <w:wAfter w:w="13512" w:type="dxa"/>
          <w:trHeight w:val="465"/>
          <w:jc w:val="center"/>
        </w:trPr>
        <w:tc>
          <w:tcPr>
            <w:tcW w:w="1422" w:type="dxa"/>
            <w:vMerge/>
            <w:tcBorders>
              <w:left w:val="single" w:sz="12" w:space="0" w:color="auto"/>
            </w:tcBorders>
            <w:vAlign w:val="center"/>
          </w:tcPr>
          <w:p>
            <w:pPr>
              <w:keepNext/>
              <w:ind w:right="-29"/>
              <w:jc w:val="center"/>
              <w:rPr>
                <w:noProof/>
                <w:sz w:val="18"/>
                <w:szCs w:val="18"/>
              </w:rPr>
            </w:pPr>
          </w:p>
        </w:tc>
      </w:tr>
      <w:tr>
        <w:trPr>
          <w:cantSplit/>
          <w:trHeight w:val="1134"/>
          <w:jc w:val="center"/>
        </w:trPr>
        <w:tc>
          <w:tcPr>
            <w:tcW w:w="1422" w:type="dxa"/>
            <w:vMerge/>
            <w:tcBorders>
              <w:left w:val="single" w:sz="12" w:space="0" w:color="auto"/>
            </w:tcBorders>
            <w:vAlign w:val="center"/>
          </w:tcPr>
          <w:p>
            <w:pPr>
              <w:keepNext/>
              <w:rPr>
                <w:noProof/>
                <w:sz w:val="18"/>
                <w:szCs w:val="18"/>
              </w:rPr>
            </w:pPr>
          </w:p>
        </w:tc>
        <w:tc>
          <w:tcPr>
            <w:tcW w:w="721" w:type="dxa"/>
            <w:vAlign w:val="center"/>
          </w:tcPr>
          <w:p>
            <w:pPr>
              <w:keepNext/>
              <w:jc w:val="center"/>
              <w:rPr>
                <w:noProof/>
                <w:sz w:val="18"/>
                <w:szCs w:val="18"/>
              </w:rPr>
            </w:pPr>
            <w:r>
              <w:rPr>
                <w:noProof/>
                <w:sz w:val="18"/>
              </w:rPr>
              <w:t>Type</w:t>
            </w:r>
            <w:r>
              <w:rPr>
                <w:rStyle w:val="FootnoteReference"/>
                <w:noProof/>
              </w:rPr>
              <w:footnoteReference w:id="100"/>
            </w:r>
          </w:p>
          <w:p>
            <w:pPr>
              <w:keepNext/>
              <w:spacing w:before="0" w:after="0"/>
              <w:jc w:val="center"/>
              <w:rPr>
                <w:noProof/>
                <w:sz w:val="18"/>
                <w:szCs w:val="18"/>
              </w:rPr>
            </w:pPr>
          </w:p>
        </w:tc>
        <w:tc>
          <w:tcPr>
            <w:tcW w:w="659" w:type="dxa"/>
            <w:tcBorders>
              <w:right w:val="single" w:sz="4" w:space="0" w:color="auto"/>
            </w:tcBorders>
            <w:vAlign w:val="center"/>
          </w:tcPr>
          <w:p>
            <w:pPr>
              <w:keepNext/>
              <w:jc w:val="center"/>
              <w:rPr>
                <w:noProof/>
                <w:sz w:val="18"/>
                <w:szCs w:val="18"/>
              </w:rPr>
            </w:pPr>
            <w:r>
              <w:rPr>
                <w:noProof/>
                <w:sz w:val="18"/>
              </w:rPr>
              <w:t>Average cost</w:t>
            </w:r>
          </w:p>
        </w:tc>
        <w:tc>
          <w:tcPr>
            <w:tcW w:w="303" w:type="dxa"/>
            <w:tcBorders>
              <w:top w:val="dotted" w:sz="4" w:space="0" w:color="auto"/>
              <w:left w:val="single" w:sz="4" w:space="0" w:color="auto"/>
              <w:bottom w:val="dotted" w:sz="4" w:space="0" w:color="auto"/>
              <w:right w:val="nil"/>
            </w:tcBorders>
            <w:shd w:val="pct10" w:color="auto" w:fill="auto"/>
            <w:textDirection w:val="btLr"/>
            <w:vAlign w:val="center"/>
          </w:tcPr>
          <w:p>
            <w:pPr>
              <w:keepNext/>
              <w:ind w:left="113" w:right="113"/>
              <w:jc w:val="center"/>
              <w:rPr>
                <w:noProof/>
                <w:sz w:val="18"/>
              </w:rPr>
            </w:pPr>
            <w:r>
              <w:rPr>
                <w:noProof/>
                <w:sz w:val="18"/>
              </w:rPr>
              <w:t>No</w:t>
            </w:r>
          </w:p>
        </w:tc>
        <w:tc>
          <w:tcPr>
            <w:tcW w:w="867" w:type="dxa"/>
            <w:tcBorders>
              <w:left w:val="nil"/>
              <w:right w:val="single" w:sz="4" w:space="0" w:color="auto"/>
            </w:tcBorders>
            <w:shd w:val="pct10" w:color="auto" w:fill="auto"/>
            <w:vAlign w:val="center"/>
          </w:tcPr>
          <w:p>
            <w:pPr>
              <w:keepNext/>
              <w:jc w:val="center"/>
              <w:rPr>
                <w:noProof/>
                <w:sz w:val="18"/>
              </w:rPr>
            </w:pPr>
            <w:r>
              <w:rPr>
                <w:noProof/>
                <w:sz w:val="18"/>
              </w:rPr>
              <w:t>Cost</w:t>
            </w:r>
          </w:p>
        </w:tc>
        <w:tc>
          <w:tcPr>
            <w:tcW w:w="330" w:type="dxa"/>
            <w:tcBorders>
              <w:left w:val="single" w:sz="4" w:space="0" w:color="auto"/>
              <w:right w:val="dashSmallGap" w:sz="4" w:space="0" w:color="auto"/>
            </w:tcBorders>
            <w:shd w:val="pct10" w:color="auto" w:fill="auto"/>
            <w:textDirection w:val="btLr"/>
            <w:vAlign w:val="center"/>
          </w:tcPr>
          <w:p>
            <w:pPr>
              <w:keepNext/>
              <w:ind w:left="113" w:right="113"/>
              <w:jc w:val="center"/>
              <w:rPr>
                <w:noProof/>
                <w:sz w:val="18"/>
                <w:szCs w:val="18"/>
              </w:rPr>
            </w:pPr>
            <w:r>
              <w:rPr>
                <w:noProof/>
                <w:sz w:val="18"/>
              </w:rPr>
              <w:t>No</w:t>
            </w:r>
          </w:p>
        </w:tc>
        <w:tc>
          <w:tcPr>
            <w:tcW w:w="840" w:type="dxa"/>
            <w:tcBorders>
              <w:left w:val="dashSmallGap" w:sz="4" w:space="0" w:color="auto"/>
            </w:tcBorders>
            <w:shd w:val="pct10" w:color="auto" w:fill="auto"/>
            <w:vAlign w:val="center"/>
          </w:tcPr>
          <w:p>
            <w:pPr>
              <w:keepNext/>
              <w:jc w:val="center"/>
              <w:rPr>
                <w:noProof/>
                <w:sz w:val="18"/>
                <w:szCs w:val="18"/>
              </w:rPr>
            </w:pPr>
            <w:r>
              <w:rPr>
                <w:noProof/>
                <w:sz w:val="18"/>
              </w:rPr>
              <w:t>Cost</w:t>
            </w:r>
          </w:p>
        </w:tc>
        <w:tc>
          <w:tcPr>
            <w:tcW w:w="360" w:type="dxa"/>
            <w:tcBorders>
              <w:right w:val="dashSmallGap" w:sz="4" w:space="0" w:color="auto"/>
            </w:tcBorders>
            <w:shd w:val="pct10" w:color="auto" w:fill="auto"/>
            <w:textDirection w:val="btLr"/>
            <w:vAlign w:val="center"/>
          </w:tcPr>
          <w:p>
            <w:pPr>
              <w:keepNext/>
              <w:ind w:left="113" w:right="113"/>
              <w:jc w:val="center"/>
              <w:rPr>
                <w:noProof/>
                <w:sz w:val="18"/>
                <w:szCs w:val="18"/>
              </w:rPr>
            </w:pPr>
            <w:r>
              <w:rPr>
                <w:noProof/>
                <w:sz w:val="18"/>
              </w:rPr>
              <w:t>No</w:t>
            </w:r>
          </w:p>
        </w:tc>
        <w:tc>
          <w:tcPr>
            <w:tcW w:w="840" w:type="dxa"/>
            <w:tcBorders>
              <w:left w:val="dashSmallGap" w:sz="4" w:space="0" w:color="auto"/>
            </w:tcBorders>
            <w:shd w:val="pct10" w:color="auto" w:fill="auto"/>
            <w:vAlign w:val="center"/>
          </w:tcPr>
          <w:p>
            <w:pPr>
              <w:keepNext/>
              <w:jc w:val="center"/>
              <w:rPr>
                <w:noProof/>
                <w:sz w:val="18"/>
                <w:szCs w:val="18"/>
              </w:rPr>
            </w:pPr>
            <w:r>
              <w:rPr>
                <w:noProof/>
                <w:sz w:val="18"/>
              </w:rPr>
              <w:t>Cost</w:t>
            </w:r>
          </w:p>
        </w:tc>
        <w:tc>
          <w:tcPr>
            <w:tcW w:w="360" w:type="dxa"/>
            <w:tcBorders>
              <w:right w:val="dashSmallGap" w:sz="4" w:space="0" w:color="auto"/>
            </w:tcBorders>
            <w:shd w:val="pct10" w:color="auto" w:fill="auto"/>
            <w:textDirection w:val="btLr"/>
            <w:vAlign w:val="center"/>
          </w:tcPr>
          <w:p>
            <w:pPr>
              <w:keepNext/>
              <w:ind w:left="113" w:right="113"/>
              <w:jc w:val="center"/>
              <w:rPr>
                <w:noProof/>
                <w:sz w:val="18"/>
                <w:szCs w:val="18"/>
              </w:rPr>
            </w:pPr>
            <w:r>
              <w:rPr>
                <w:noProof/>
                <w:sz w:val="18"/>
              </w:rPr>
              <w:t>No</w:t>
            </w:r>
          </w:p>
        </w:tc>
        <w:tc>
          <w:tcPr>
            <w:tcW w:w="840" w:type="dxa"/>
            <w:tcBorders>
              <w:left w:val="dashSmallGap" w:sz="4" w:space="0" w:color="auto"/>
            </w:tcBorders>
            <w:shd w:val="pct10" w:color="auto" w:fill="auto"/>
            <w:vAlign w:val="center"/>
          </w:tcPr>
          <w:p>
            <w:pPr>
              <w:keepNext/>
              <w:jc w:val="center"/>
              <w:rPr>
                <w:noProof/>
                <w:sz w:val="18"/>
                <w:szCs w:val="18"/>
              </w:rPr>
            </w:pPr>
            <w:r>
              <w:rPr>
                <w:noProof/>
                <w:sz w:val="18"/>
              </w:rPr>
              <w:t>Cost</w:t>
            </w:r>
          </w:p>
        </w:tc>
        <w:tc>
          <w:tcPr>
            <w:tcW w:w="360" w:type="dxa"/>
            <w:tcBorders>
              <w:right w:val="dashSmallGap" w:sz="4" w:space="0" w:color="auto"/>
            </w:tcBorders>
            <w:shd w:val="pct10" w:color="auto" w:fill="auto"/>
            <w:textDirection w:val="btLr"/>
            <w:vAlign w:val="center"/>
          </w:tcPr>
          <w:p>
            <w:pPr>
              <w:keepNext/>
              <w:ind w:left="113" w:right="113"/>
              <w:jc w:val="center"/>
              <w:rPr>
                <w:noProof/>
                <w:sz w:val="18"/>
                <w:szCs w:val="18"/>
              </w:rPr>
            </w:pPr>
            <w:r>
              <w:rPr>
                <w:noProof/>
                <w:sz w:val="18"/>
              </w:rPr>
              <w:t>No</w:t>
            </w:r>
          </w:p>
        </w:tc>
        <w:tc>
          <w:tcPr>
            <w:tcW w:w="672" w:type="dxa"/>
            <w:tcBorders>
              <w:left w:val="dashSmallGap" w:sz="4" w:space="0" w:color="auto"/>
            </w:tcBorders>
            <w:shd w:val="pct10" w:color="auto" w:fill="auto"/>
            <w:vAlign w:val="center"/>
          </w:tcPr>
          <w:p>
            <w:pPr>
              <w:keepNext/>
              <w:jc w:val="center"/>
              <w:rPr>
                <w:noProof/>
                <w:sz w:val="18"/>
                <w:szCs w:val="18"/>
              </w:rPr>
            </w:pPr>
            <w:r>
              <w:rPr>
                <w:noProof/>
                <w:sz w:val="18"/>
              </w:rPr>
              <w:t>Cost</w:t>
            </w:r>
          </w:p>
        </w:tc>
        <w:tc>
          <w:tcPr>
            <w:tcW w:w="360" w:type="dxa"/>
            <w:tcBorders>
              <w:right w:val="dashSmallGap" w:sz="4" w:space="0" w:color="auto"/>
            </w:tcBorders>
            <w:shd w:val="pct10" w:color="auto" w:fill="auto"/>
            <w:textDirection w:val="btLr"/>
            <w:vAlign w:val="center"/>
          </w:tcPr>
          <w:p>
            <w:pPr>
              <w:keepNext/>
              <w:ind w:left="113" w:right="113"/>
              <w:jc w:val="center"/>
              <w:rPr>
                <w:noProof/>
                <w:sz w:val="18"/>
                <w:szCs w:val="18"/>
              </w:rPr>
            </w:pPr>
            <w:r>
              <w:rPr>
                <w:noProof/>
                <w:sz w:val="18"/>
              </w:rPr>
              <w:t>No</w:t>
            </w:r>
          </w:p>
        </w:tc>
        <w:tc>
          <w:tcPr>
            <w:tcW w:w="720" w:type="dxa"/>
            <w:tcBorders>
              <w:left w:val="dashSmallGap" w:sz="4" w:space="0" w:color="auto"/>
            </w:tcBorders>
            <w:shd w:val="pct10" w:color="auto" w:fill="auto"/>
            <w:vAlign w:val="center"/>
          </w:tcPr>
          <w:p>
            <w:pPr>
              <w:keepNext/>
              <w:jc w:val="center"/>
              <w:rPr>
                <w:noProof/>
                <w:sz w:val="18"/>
                <w:szCs w:val="18"/>
              </w:rPr>
            </w:pPr>
            <w:r>
              <w:rPr>
                <w:noProof/>
                <w:sz w:val="18"/>
              </w:rPr>
              <w:t>Cost</w:t>
            </w:r>
          </w:p>
        </w:tc>
        <w:tc>
          <w:tcPr>
            <w:tcW w:w="360" w:type="dxa"/>
            <w:tcBorders>
              <w:right w:val="dashSmallGap" w:sz="4" w:space="0" w:color="auto"/>
            </w:tcBorders>
            <w:shd w:val="pct10" w:color="auto" w:fill="auto"/>
            <w:textDirection w:val="btLr"/>
            <w:vAlign w:val="center"/>
          </w:tcPr>
          <w:p>
            <w:pPr>
              <w:keepNext/>
              <w:ind w:left="113" w:right="113"/>
              <w:jc w:val="center"/>
              <w:rPr>
                <w:noProof/>
                <w:sz w:val="18"/>
                <w:szCs w:val="18"/>
              </w:rPr>
            </w:pPr>
            <w:r>
              <w:rPr>
                <w:noProof/>
                <w:sz w:val="18"/>
              </w:rPr>
              <w:t>No</w:t>
            </w:r>
          </w:p>
        </w:tc>
        <w:tc>
          <w:tcPr>
            <w:tcW w:w="840" w:type="dxa"/>
            <w:tcBorders>
              <w:left w:val="dashSmallGap" w:sz="4" w:space="0" w:color="auto"/>
            </w:tcBorders>
            <w:shd w:val="pct10" w:color="auto" w:fill="auto"/>
            <w:vAlign w:val="center"/>
          </w:tcPr>
          <w:p>
            <w:pPr>
              <w:keepNext/>
              <w:jc w:val="center"/>
              <w:rPr>
                <w:noProof/>
                <w:sz w:val="18"/>
                <w:szCs w:val="18"/>
              </w:rPr>
            </w:pPr>
            <w:r>
              <w:rPr>
                <w:noProof/>
                <w:sz w:val="18"/>
              </w:rPr>
              <w:t>Cost</w:t>
            </w:r>
          </w:p>
        </w:tc>
        <w:tc>
          <w:tcPr>
            <w:tcW w:w="360" w:type="dxa"/>
            <w:tcBorders>
              <w:right w:val="dashSmallGap" w:sz="4" w:space="0" w:color="auto"/>
            </w:tcBorders>
            <w:shd w:val="pct10" w:color="auto" w:fill="auto"/>
            <w:textDirection w:val="btLr"/>
            <w:vAlign w:val="center"/>
          </w:tcPr>
          <w:p>
            <w:pPr>
              <w:keepNext/>
              <w:ind w:left="113" w:right="113"/>
              <w:jc w:val="center"/>
              <w:rPr>
                <w:noProof/>
                <w:sz w:val="18"/>
                <w:szCs w:val="18"/>
              </w:rPr>
            </w:pPr>
            <w:r>
              <w:rPr>
                <w:noProof/>
                <w:sz w:val="18"/>
              </w:rPr>
              <w:t>No</w:t>
            </w:r>
          </w:p>
        </w:tc>
        <w:tc>
          <w:tcPr>
            <w:tcW w:w="840" w:type="dxa"/>
            <w:tcBorders>
              <w:left w:val="dashSmallGap" w:sz="4" w:space="0" w:color="auto"/>
            </w:tcBorders>
            <w:shd w:val="pct10" w:color="auto" w:fill="auto"/>
            <w:vAlign w:val="center"/>
          </w:tcPr>
          <w:p>
            <w:pPr>
              <w:keepNext/>
              <w:jc w:val="center"/>
              <w:rPr>
                <w:noProof/>
                <w:sz w:val="18"/>
                <w:szCs w:val="18"/>
              </w:rPr>
            </w:pPr>
            <w:r>
              <w:rPr>
                <w:noProof/>
                <w:sz w:val="18"/>
              </w:rPr>
              <w:t>Cost</w:t>
            </w:r>
          </w:p>
        </w:tc>
        <w:tc>
          <w:tcPr>
            <w:tcW w:w="360" w:type="dxa"/>
            <w:tcBorders>
              <w:right w:val="dashSmallGap" w:sz="4" w:space="0" w:color="auto"/>
            </w:tcBorders>
            <w:shd w:val="pct10" w:color="auto" w:fill="auto"/>
            <w:textDirection w:val="btLr"/>
            <w:vAlign w:val="center"/>
          </w:tcPr>
          <w:p>
            <w:pPr>
              <w:keepNext/>
              <w:ind w:left="113" w:right="113"/>
              <w:jc w:val="center"/>
              <w:rPr>
                <w:noProof/>
                <w:sz w:val="18"/>
              </w:rPr>
            </w:pPr>
            <w:r>
              <w:rPr>
                <w:noProof/>
                <w:sz w:val="18"/>
              </w:rPr>
              <w:t>No</w:t>
            </w:r>
          </w:p>
        </w:tc>
        <w:tc>
          <w:tcPr>
            <w:tcW w:w="840" w:type="dxa"/>
            <w:tcBorders>
              <w:left w:val="dashSmallGap" w:sz="4" w:space="0" w:color="auto"/>
            </w:tcBorders>
            <w:shd w:val="pct10" w:color="auto" w:fill="auto"/>
            <w:vAlign w:val="center"/>
          </w:tcPr>
          <w:p>
            <w:pPr>
              <w:keepNext/>
              <w:jc w:val="center"/>
              <w:rPr>
                <w:noProof/>
                <w:sz w:val="18"/>
              </w:rPr>
            </w:pPr>
            <w:r>
              <w:rPr>
                <w:noProof/>
                <w:sz w:val="18"/>
              </w:rPr>
              <w:t>Cost</w:t>
            </w:r>
          </w:p>
        </w:tc>
        <w:tc>
          <w:tcPr>
            <w:tcW w:w="360" w:type="dxa"/>
            <w:tcBorders>
              <w:right w:val="dashSmallGap" w:sz="4" w:space="0" w:color="auto"/>
            </w:tcBorders>
            <w:shd w:val="pct10" w:color="auto" w:fill="auto"/>
            <w:textDirection w:val="btLr"/>
            <w:vAlign w:val="center"/>
          </w:tcPr>
          <w:p>
            <w:pPr>
              <w:keepNext/>
              <w:ind w:left="113" w:right="113"/>
              <w:jc w:val="center"/>
              <w:rPr>
                <w:noProof/>
                <w:sz w:val="18"/>
                <w:szCs w:val="18"/>
              </w:rPr>
            </w:pPr>
            <w:r>
              <w:rPr>
                <w:noProof/>
                <w:sz w:val="18"/>
              </w:rPr>
              <w:t>Total No</w:t>
            </w:r>
          </w:p>
        </w:tc>
        <w:tc>
          <w:tcPr>
            <w:tcW w:w="1320" w:type="dxa"/>
            <w:tcBorders>
              <w:left w:val="dashSmallGap" w:sz="4" w:space="0" w:color="auto"/>
              <w:right w:val="single" w:sz="12" w:space="0" w:color="auto"/>
            </w:tcBorders>
            <w:shd w:val="pct10" w:color="auto" w:fill="auto"/>
            <w:vAlign w:val="center"/>
          </w:tcPr>
          <w:p>
            <w:pPr>
              <w:keepNext/>
              <w:jc w:val="center"/>
              <w:rPr>
                <w:noProof/>
                <w:sz w:val="18"/>
                <w:szCs w:val="18"/>
              </w:rPr>
            </w:pPr>
            <w:r>
              <w:rPr>
                <w:noProof/>
                <w:sz w:val="18"/>
              </w:rPr>
              <w:t>Total cost</w:t>
            </w:r>
          </w:p>
        </w:tc>
      </w:tr>
      <w:tr>
        <w:trPr>
          <w:jc w:val="center"/>
        </w:trPr>
        <w:tc>
          <w:tcPr>
            <w:tcW w:w="2802" w:type="dxa"/>
            <w:gridSpan w:val="3"/>
            <w:tcBorders>
              <w:left w:val="single" w:sz="12" w:space="0" w:color="auto"/>
            </w:tcBorders>
            <w:vAlign w:val="center"/>
          </w:tcPr>
          <w:p>
            <w:pPr>
              <w:keepNext/>
              <w:spacing w:before="60" w:after="60"/>
              <w:ind w:right="-29"/>
              <w:jc w:val="center"/>
              <w:rPr>
                <w:noProof/>
                <w:sz w:val="18"/>
              </w:rPr>
            </w:pPr>
            <w:r>
              <w:rPr>
                <w:noProof/>
                <w:sz w:val="18"/>
              </w:rPr>
              <w:t>SPECIFIC OBJECTIVE No 4</w:t>
            </w:r>
            <w:r>
              <w:rPr>
                <w:rStyle w:val="FootnoteReference"/>
                <w:noProof/>
              </w:rPr>
              <w:footnoteReference w:id="101"/>
            </w:r>
          </w:p>
          <w:p>
            <w:pPr>
              <w:keepNext/>
              <w:spacing w:before="60" w:after="60"/>
              <w:ind w:right="-29"/>
              <w:jc w:val="center"/>
              <w:rPr>
                <w:noProof/>
                <w:sz w:val="18"/>
                <w:szCs w:val="18"/>
              </w:rPr>
            </w:pPr>
            <w:r>
              <w:rPr>
                <w:noProof/>
                <w:sz w:val="18"/>
              </w:rPr>
              <w:t>Network</w:t>
            </w:r>
          </w:p>
        </w:tc>
        <w:tc>
          <w:tcPr>
            <w:tcW w:w="303" w:type="dxa"/>
            <w:tcBorders>
              <w:right w:val="nil"/>
            </w:tcBorders>
          </w:tcPr>
          <w:p>
            <w:pPr>
              <w:keepNext/>
              <w:spacing w:before="60" w:after="60"/>
              <w:ind w:right="-29"/>
              <w:jc w:val="center"/>
              <w:rPr>
                <w:noProof/>
                <w:sz w:val="18"/>
                <w:szCs w:val="18"/>
              </w:rPr>
            </w:pPr>
          </w:p>
        </w:tc>
        <w:tc>
          <w:tcPr>
            <w:tcW w:w="867" w:type="dxa"/>
            <w:tcBorders>
              <w:left w:val="nil"/>
              <w:bottom w:val="single" w:sz="4" w:space="0" w:color="auto"/>
            </w:tcBorders>
          </w:tcPr>
          <w:p>
            <w:pPr>
              <w:keepNext/>
              <w:spacing w:before="60" w:after="60"/>
              <w:ind w:right="-29"/>
              <w:jc w:val="center"/>
              <w:rPr>
                <w:noProof/>
                <w:sz w:val="18"/>
                <w:szCs w:val="18"/>
              </w:rPr>
            </w:pPr>
          </w:p>
        </w:tc>
        <w:tc>
          <w:tcPr>
            <w:tcW w:w="330" w:type="dxa"/>
            <w:tcBorders>
              <w:top w:val="nil"/>
              <w:left w:val="nil"/>
              <w:bottom w:val="nil"/>
              <w:right w:val="nil"/>
            </w:tcBorders>
          </w:tcPr>
          <w:p>
            <w:pPr>
              <w:keepNext/>
              <w:spacing w:before="60" w:after="60"/>
              <w:ind w:right="-29"/>
              <w:jc w:val="center"/>
              <w:rPr>
                <w:noProof/>
                <w:sz w:val="18"/>
                <w:szCs w:val="18"/>
              </w:rPr>
            </w:pPr>
          </w:p>
        </w:tc>
        <w:tc>
          <w:tcPr>
            <w:tcW w:w="840" w:type="dxa"/>
            <w:tcBorders>
              <w:top w:val="nil"/>
              <w:left w:val="nil"/>
              <w:bottom w:val="nil"/>
              <w:right w:val="nil"/>
            </w:tcBorders>
          </w:tcPr>
          <w:p>
            <w:pPr>
              <w:keepNext/>
              <w:spacing w:before="60" w:after="60"/>
              <w:ind w:right="-29"/>
              <w:jc w:val="center"/>
              <w:rPr>
                <w:noProof/>
                <w:sz w:val="18"/>
                <w:szCs w:val="18"/>
              </w:rPr>
            </w:pPr>
          </w:p>
        </w:tc>
        <w:tc>
          <w:tcPr>
            <w:tcW w:w="360" w:type="dxa"/>
            <w:tcBorders>
              <w:top w:val="nil"/>
              <w:left w:val="nil"/>
              <w:bottom w:val="nil"/>
              <w:right w:val="nil"/>
            </w:tcBorders>
          </w:tcPr>
          <w:p>
            <w:pPr>
              <w:keepNext/>
              <w:spacing w:before="60" w:after="60"/>
              <w:ind w:right="-29"/>
              <w:jc w:val="center"/>
              <w:rPr>
                <w:noProof/>
                <w:sz w:val="18"/>
                <w:szCs w:val="18"/>
              </w:rPr>
            </w:pPr>
          </w:p>
        </w:tc>
        <w:tc>
          <w:tcPr>
            <w:tcW w:w="840" w:type="dxa"/>
            <w:tcBorders>
              <w:top w:val="nil"/>
              <w:left w:val="nil"/>
              <w:bottom w:val="nil"/>
              <w:right w:val="nil"/>
            </w:tcBorders>
          </w:tcPr>
          <w:p>
            <w:pPr>
              <w:keepNext/>
              <w:spacing w:before="60" w:after="60"/>
              <w:ind w:right="-29"/>
              <w:jc w:val="center"/>
              <w:rPr>
                <w:noProof/>
                <w:sz w:val="18"/>
                <w:szCs w:val="18"/>
              </w:rPr>
            </w:pPr>
          </w:p>
        </w:tc>
        <w:tc>
          <w:tcPr>
            <w:tcW w:w="360" w:type="dxa"/>
            <w:tcBorders>
              <w:top w:val="nil"/>
              <w:left w:val="nil"/>
              <w:bottom w:val="nil"/>
              <w:right w:val="nil"/>
            </w:tcBorders>
          </w:tcPr>
          <w:p>
            <w:pPr>
              <w:keepNext/>
              <w:spacing w:before="60" w:after="60"/>
              <w:ind w:right="-29"/>
              <w:jc w:val="center"/>
              <w:rPr>
                <w:noProof/>
                <w:sz w:val="18"/>
                <w:szCs w:val="18"/>
              </w:rPr>
            </w:pPr>
          </w:p>
        </w:tc>
        <w:tc>
          <w:tcPr>
            <w:tcW w:w="840" w:type="dxa"/>
            <w:tcBorders>
              <w:top w:val="nil"/>
              <w:left w:val="nil"/>
              <w:bottom w:val="nil"/>
              <w:right w:val="nil"/>
            </w:tcBorders>
          </w:tcPr>
          <w:p>
            <w:pPr>
              <w:keepNext/>
              <w:spacing w:before="60" w:after="60"/>
              <w:ind w:right="-29"/>
              <w:jc w:val="center"/>
              <w:rPr>
                <w:noProof/>
                <w:sz w:val="18"/>
                <w:szCs w:val="18"/>
              </w:rPr>
            </w:pPr>
          </w:p>
        </w:tc>
        <w:tc>
          <w:tcPr>
            <w:tcW w:w="360" w:type="dxa"/>
            <w:tcBorders>
              <w:top w:val="nil"/>
              <w:left w:val="nil"/>
              <w:bottom w:val="nil"/>
              <w:right w:val="nil"/>
            </w:tcBorders>
          </w:tcPr>
          <w:p>
            <w:pPr>
              <w:keepNext/>
              <w:spacing w:before="60" w:after="60"/>
              <w:ind w:right="-29"/>
              <w:jc w:val="center"/>
              <w:rPr>
                <w:noProof/>
                <w:sz w:val="18"/>
                <w:szCs w:val="18"/>
              </w:rPr>
            </w:pPr>
          </w:p>
        </w:tc>
        <w:tc>
          <w:tcPr>
            <w:tcW w:w="672" w:type="dxa"/>
            <w:tcBorders>
              <w:top w:val="nil"/>
              <w:left w:val="nil"/>
              <w:bottom w:val="nil"/>
              <w:right w:val="nil"/>
            </w:tcBorders>
          </w:tcPr>
          <w:p>
            <w:pPr>
              <w:keepNext/>
              <w:spacing w:before="60" w:after="60"/>
              <w:ind w:right="-29"/>
              <w:jc w:val="center"/>
              <w:rPr>
                <w:noProof/>
                <w:sz w:val="18"/>
                <w:szCs w:val="18"/>
              </w:rPr>
            </w:pPr>
          </w:p>
        </w:tc>
        <w:tc>
          <w:tcPr>
            <w:tcW w:w="360" w:type="dxa"/>
            <w:tcBorders>
              <w:top w:val="nil"/>
              <w:left w:val="nil"/>
              <w:bottom w:val="nil"/>
              <w:right w:val="nil"/>
            </w:tcBorders>
          </w:tcPr>
          <w:p>
            <w:pPr>
              <w:keepNext/>
              <w:spacing w:before="60" w:after="60"/>
              <w:ind w:right="-29"/>
              <w:jc w:val="center"/>
              <w:rPr>
                <w:noProof/>
                <w:sz w:val="18"/>
                <w:szCs w:val="18"/>
              </w:rPr>
            </w:pPr>
          </w:p>
        </w:tc>
        <w:tc>
          <w:tcPr>
            <w:tcW w:w="720" w:type="dxa"/>
            <w:tcBorders>
              <w:top w:val="nil"/>
              <w:left w:val="nil"/>
              <w:bottom w:val="nil"/>
              <w:right w:val="nil"/>
            </w:tcBorders>
          </w:tcPr>
          <w:p>
            <w:pPr>
              <w:keepNext/>
              <w:spacing w:before="60" w:after="60"/>
              <w:ind w:right="-29"/>
              <w:jc w:val="center"/>
              <w:rPr>
                <w:noProof/>
                <w:sz w:val="18"/>
                <w:szCs w:val="18"/>
              </w:rPr>
            </w:pPr>
          </w:p>
        </w:tc>
        <w:tc>
          <w:tcPr>
            <w:tcW w:w="360" w:type="dxa"/>
            <w:tcBorders>
              <w:top w:val="nil"/>
              <w:left w:val="nil"/>
              <w:bottom w:val="nil"/>
              <w:right w:val="nil"/>
            </w:tcBorders>
          </w:tcPr>
          <w:p>
            <w:pPr>
              <w:keepNext/>
              <w:spacing w:before="60" w:after="60"/>
              <w:ind w:right="-29"/>
              <w:jc w:val="center"/>
              <w:rPr>
                <w:noProof/>
                <w:sz w:val="18"/>
                <w:szCs w:val="18"/>
              </w:rPr>
            </w:pPr>
          </w:p>
        </w:tc>
        <w:tc>
          <w:tcPr>
            <w:tcW w:w="840" w:type="dxa"/>
            <w:tcBorders>
              <w:top w:val="nil"/>
              <w:left w:val="nil"/>
              <w:bottom w:val="nil"/>
              <w:right w:val="nil"/>
            </w:tcBorders>
          </w:tcPr>
          <w:p>
            <w:pPr>
              <w:keepNext/>
              <w:spacing w:before="60" w:after="60"/>
              <w:ind w:right="-29"/>
              <w:jc w:val="center"/>
              <w:rPr>
                <w:noProof/>
                <w:sz w:val="18"/>
                <w:szCs w:val="18"/>
              </w:rPr>
            </w:pPr>
          </w:p>
        </w:tc>
        <w:tc>
          <w:tcPr>
            <w:tcW w:w="360" w:type="dxa"/>
            <w:tcBorders>
              <w:top w:val="nil"/>
              <w:left w:val="nil"/>
              <w:bottom w:val="nil"/>
              <w:right w:val="nil"/>
            </w:tcBorders>
          </w:tcPr>
          <w:p>
            <w:pPr>
              <w:keepNext/>
              <w:spacing w:before="60" w:after="60"/>
              <w:ind w:right="-29"/>
              <w:jc w:val="center"/>
              <w:rPr>
                <w:noProof/>
                <w:sz w:val="18"/>
                <w:szCs w:val="18"/>
              </w:rPr>
            </w:pPr>
          </w:p>
        </w:tc>
        <w:tc>
          <w:tcPr>
            <w:tcW w:w="840" w:type="dxa"/>
            <w:tcBorders>
              <w:top w:val="nil"/>
              <w:left w:val="nil"/>
              <w:bottom w:val="nil"/>
              <w:right w:val="nil"/>
            </w:tcBorders>
          </w:tcPr>
          <w:p>
            <w:pPr>
              <w:keepNext/>
              <w:spacing w:before="60" w:after="60"/>
              <w:ind w:right="-29"/>
              <w:jc w:val="center"/>
              <w:rPr>
                <w:noProof/>
                <w:sz w:val="18"/>
                <w:szCs w:val="18"/>
              </w:rPr>
            </w:pPr>
          </w:p>
        </w:tc>
        <w:tc>
          <w:tcPr>
            <w:tcW w:w="1200" w:type="dxa"/>
            <w:gridSpan w:val="2"/>
            <w:tcBorders>
              <w:top w:val="nil"/>
              <w:left w:val="nil"/>
              <w:bottom w:val="nil"/>
              <w:right w:val="nil"/>
            </w:tcBorders>
          </w:tcPr>
          <w:p>
            <w:pPr>
              <w:keepNext/>
              <w:spacing w:before="60" w:after="60"/>
              <w:ind w:right="-29"/>
              <w:jc w:val="center"/>
              <w:rPr>
                <w:noProof/>
                <w:sz w:val="18"/>
                <w:szCs w:val="18"/>
              </w:rPr>
            </w:pPr>
          </w:p>
        </w:tc>
        <w:tc>
          <w:tcPr>
            <w:tcW w:w="360" w:type="dxa"/>
            <w:tcBorders>
              <w:top w:val="nil"/>
              <w:left w:val="nil"/>
              <w:bottom w:val="nil"/>
              <w:right w:val="nil"/>
            </w:tcBorders>
          </w:tcPr>
          <w:p>
            <w:pPr>
              <w:keepNext/>
              <w:spacing w:before="60" w:after="60"/>
              <w:ind w:right="-29"/>
              <w:jc w:val="center"/>
              <w:rPr>
                <w:noProof/>
                <w:sz w:val="18"/>
                <w:szCs w:val="18"/>
              </w:rPr>
            </w:pPr>
          </w:p>
        </w:tc>
        <w:tc>
          <w:tcPr>
            <w:tcW w:w="1320" w:type="dxa"/>
            <w:tcBorders>
              <w:top w:val="nil"/>
              <w:left w:val="nil"/>
              <w:bottom w:val="single" w:sz="4" w:space="0" w:color="auto"/>
              <w:right w:val="single" w:sz="12" w:space="0" w:color="auto"/>
            </w:tcBorders>
          </w:tcPr>
          <w:p>
            <w:pPr>
              <w:keepNext/>
              <w:spacing w:before="60" w:after="60"/>
              <w:ind w:right="-29"/>
              <w:jc w:val="center"/>
              <w:rPr>
                <w:noProof/>
                <w:sz w:val="18"/>
                <w:szCs w:val="18"/>
              </w:rPr>
            </w:pPr>
          </w:p>
        </w:tc>
      </w:tr>
      <w:tr>
        <w:trPr>
          <w:trHeight w:hRule="exact" w:val="604"/>
          <w:jc w:val="center"/>
        </w:trPr>
        <w:tc>
          <w:tcPr>
            <w:tcW w:w="1422" w:type="dxa"/>
            <w:tcBorders>
              <w:left w:val="single" w:sz="12" w:space="0" w:color="auto"/>
            </w:tcBorders>
          </w:tcPr>
          <w:p>
            <w:pPr>
              <w:ind w:right="-29"/>
              <w:jc w:val="center"/>
              <w:rPr>
                <w:noProof/>
                <w:sz w:val="18"/>
                <w:szCs w:val="18"/>
              </w:rPr>
            </w:pPr>
            <w:r>
              <w:rPr>
                <w:noProof/>
                <w:sz w:val="18"/>
              </w:rPr>
              <w:t>Network connections</w:t>
            </w:r>
          </w:p>
        </w:tc>
        <w:tc>
          <w:tcPr>
            <w:tcW w:w="1380" w:type="dxa"/>
            <w:gridSpan w:val="2"/>
          </w:tcPr>
          <w:p>
            <w:pPr>
              <w:ind w:right="-29"/>
              <w:jc w:val="center"/>
              <w:rPr>
                <w:noProof/>
                <w:sz w:val="18"/>
                <w:szCs w:val="18"/>
              </w:rPr>
            </w:pPr>
            <w:r>
              <w:rPr>
                <w:noProof/>
                <w:sz w:val="18"/>
                <w:szCs w:val="18"/>
              </w:rPr>
              <w:t>Network set-up</w:t>
            </w:r>
          </w:p>
        </w:tc>
        <w:tc>
          <w:tcPr>
            <w:tcW w:w="303" w:type="dxa"/>
            <w:tcBorders>
              <w:right w:val="dashSmallGap" w:sz="4" w:space="0" w:color="auto"/>
            </w:tcBorders>
          </w:tcPr>
          <w:p>
            <w:pPr>
              <w:ind w:right="-29"/>
              <w:jc w:val="center"/>
              <w:rPr>
                <w:noProof/>
                <w:sz w:val="18"/>
                <w:szCs w:val="18"/>
              </w:rPr>
            </w:pPr>
          </w:p>
        </w:tc>
        <w:tc>
          <w:tcPr>
            <w:tcW w:w="867" w:type="dxa"/>
            <w:tcBorders>
              <w:left w:val="dashSmallGap" w:sz="4" w:space="0" w:color="auto"/>
              <w:bottom w:val="single" w:sz="4" w:space="0" w:color="auto"/>
            </w:tcBorders>
          </w:tcPr>
          <w:p>
            <w:pPr>
              <w:ind w:right="-29"/>
              <w:jc w:val="center"/>
              <w:rPr>
                <w:noProof/>
                <w:sz w:val="18"/>
                <w:szCs w:val="18"/>
              </w:rPr>
            </w:pPr>
            <w:r>
              <w:rPr>
                <w:noProof/>
                <w:sz w:val="18"/>
                <w:szCs w:val="18"/>
              </w:rPr>
              <w:t>0</w:t>
            </w:r>
          </w:p>
        </w:tc>
        <w:tc>
          <w:tcPr>
            <w:tcW w:w="330" w:type="dxa"/>
            <w:tcBorders>
              <w:right w:val="dashSmallGap" w:sz="4" w:space="0" w:color="auto"/>
            </w:tcBorders>
          </w:tcPr>
          <w:p>
            <w:pPr>
              <w:ind w:right="-29"/>
              <w:jc w:val="center"/>
              <w:rPr>
                <w:noProof/>
                <w:sz w:val="18"/>
                <w:szCs w:val="18"/>
              </w:rPr>
            </w:pPr>
          </w:p>
        </w:tc>
        <w:tc>
          <w:tcPr>
            <w:tcW w:w="840" w:type="dxa"/>
            <w:tcBorders>
              <w:left w:val="dashSmallGap" w:sz="4" w:space="0" w:color="auto"/>
            </w:tcBorders>
          </w:tcPr>
          <w:p>
            <w:pPr>
              <w:ind w:right="-29"/>
              <w:jc w:val="center"/>
              <w:rPr>
                <w:noProof/>
                <w:sz w:val="18"/>
                <w:szCs w:val="18"/>
              </w:rPr>
            </w:pPr>
            <w:r>
              <w:rPr>
                <w:noProof/>
                <w:sz w:val="18"/>
                <w:szCs w:val="18"/>
              </w:rPr>
              <w:t>0</w:t>
            </w:r>
          </w:p>
        </w:tc>
        <w:tc>
          <w:tcPr>
            <w:tcW w:w="360" w:type="dxa"/>
            <w:tcBorders>
              <w:right w:val="dashSmallGap" w:sz="4" w:space="0" w:color="auto"/>
            </w:tcBorders>
          </w:tcPr>
          <w:p>
            <w:pPr>
              <w:ind w:right="-29"/>
              <w:jc w:val="center"/>
              <w:rPr>
                <w:noProof/>
                <w:sz w:val="18"/>
                <w:szCs w:val="18"/>
              </w:rPr>
            </w:pPr>
          </w:p>
        </w:tc>
        <w:tc>
          <w:tcPr>
            <w:tcW w:w="840" w:type="dxa"/>
            <w:tcBorders>
              <w:left w:val="dashSmallGap" w:sz="4" w:space="0" w:color="auto"/>
            </w:tcBorders>
          </w:tcPr>
          <w:p>
            <w:pPr>
              <w:ind w:right="-29"/>
              <w:jc w:val="center"/>
              <w:rPr>
                <w:noProof/>
                <w:sz w:val="18"/>
                <w:szCs w:val="18"/>
              </w:rPr>
            </w:pPr>
            <w:r>
              <w:rPr>
                <w:noProof/>
                <w:sz w:val="18"/>
                <w:szCs w:val="18"/>
              </w:rPr>
              <w:t>0</w:t>
            </w:r>
          </w:p>
        </w:tc>
        <w:tc>
          <w:tcPr>
            <w:tcW w:w="360" w:type="dxa"/>
            <w:tcBorders>
              <w:right w:val="dashSmallGap" w:sz="4" w:space="0" w:color="auto"/>
            </w:tcBorders>
          </w:tcPr>
          <w:p>
            <w:pPr>
              <w:ind w:right="-29"/>
              <w:jc w:val="center"/>
              <w:rPr>
                <w:noProof/>
                <w:sz w:val="18"/>
                <w:szCs w:val="18"/>
              </w:rPr>
            </w:pPr>
          </w:p>
        </w:tc>
        <w:tc>
          <w:tcPr>
            <w:tcW w:w="840" w:type="dxa"/>
            <w:tcBorders>
              <w:left w:val="dashSmallGap" w:sz="4" w:space="0" w:color="auto"/>
            </w:tcBorders>
          </w:tcPr>
          <w:p>
            <w:pPr>
              <w:ind w:right="-29"/>
              <w:jc w:val="center"/>
              <w:rPr>
                <w:noProof/>
                <w:sz w:val="18"/>
                <w:szCs w:val="18"/>
              </w:rPr>
            </w:pPr>
            <w:r>
              <w:rPr>
                <w:noProof/>
                <w:sz w:val="18"/>
                <w:szCs w:val="18"/>
              </w:rPr>
              <w:t>0,505</w:t>
            </w:r>
          </w:p>
        </w:tc>
        <w:tc>
          <w:tcPr>
            <w:tcW w:w="360" w:type="dxa"/>
            <w:tcBorders>
              <w:right w:val="dashSmallGap" w:sz="4" w:space="0" w:color="auto"/>
            </w:tcBorders>
          </w:tcPr>
          <w:p>
            <w:pPr>
              <w:ind w:right="-29"/>
              <w:jc w:val="center"/>
              <w:rPr>
                <w:noProof/>
                <w:sz w:val="18"/>
                <w:szCs w:val="18"/>
              </w:rPr>
            </w:pPr>
          </w:p>
        </w:tc>
        <w:tc>
          <w:tcPr>
            <w:tcW w:w="672" w:type="dxa"/>
            <w:tcBorders>
              <w:left w:val="dashSmallGap" w:sz="4" w:space="0" w:color="auto"/>
            </w:tcBorders>
          </w:tcPr>
          <w:p>
            <w:pPr>
              <w:ind w:right="-29"/>
              <w:jc w:val="center"/>
              <w:rPr>
                <w:noProof/>
                <w:sz w:val="18"/>
                <w:szCs w:val="18"/>
              </w:rPr>
            </w:pPr>
          </w:p>
        </w:tc>
        <w:tc>
          <w:tcPr>
            <w:tcW w:w="360" w:type="dxa"/>
            <w:tcBorders>
              <w:right w:val="dashSmallGap" w:sz="4" w:space="0" w:color="auto"/>
            </w:tcBorders>
          </w:tcPr>
          <w:p>
            <w:pPr>
              <w:ind w:right="-29"/>
              <w:jc w:val="center"/>
              <w:rPr>
                <w:noProof/>
                <w:sz w:val="18"/>
                <w:szCs w:val="18"/>
              </w:rPr>
            </w:pPr>
          </w:p>
        </w:tc>
        <w:tc>
          <w:tcPr>
            <w:tcW w:w="720" w:type="dxa"/>
            <w:tcBorders>
              <w:left w:val="dashSmallGap" w:sz="4" w:space="0" w:color="auto"/>
            </w:tcBorders>
          </w:tcPr>
          <w:p>
            <w:pPr>
              <w:ind w:right="-29"/>
              <w:jc w:val="center"/>
              <w:rPr>
                <w:noProof/>
                <w:sz w:val="18"/>
                <w:szCs w:val="18"/>
              </w:rPr>
            </w:pPr>
          </w:p>
        </w:tc>
        <w:tc>
          <w:tcPr>
            <w:tcW w:w="360" w:type="dxa"/>
            <w:tcBorders>
              <w:right w:val="dashSmallGap" w:sz="4" w:space="0" w:color="auto"/>
            </w:tcBorders>
          </w:tcPr>
          <w:p>
            <w:pPr>
              <w:ind w:right="-29"/>
              <w:jc w:val="center"/>
              <w:rPr>
                <w:noProof/>
                <w:sz w:val="18"/>
                <w:szCs w:val="18"/>
              </w:rPr>
            </w:pPr>
          </w:p>
        </w:tc>
        <w:tc>
          <w:tcPr>
            <w:tcW w:w="840" w:type="dxa"/>
            <w:tcBorders>
              <w:left w:val="dashSmallGap" w:sz="4" w:space="0" w:color="auto"/>
            </w:tcBorders>
          </w:tcPr>
          <w:p>
            <w:pPr>
              <w:ind w:right="-29"/>
              <w:jc w:val="center"/>
              <w:rPr>
                <w:noProof/>
                <w:sz w:val="18"/>
                <w:szCs w:val="18"/>
              </w:rPr>
            </w:pPr>
          </w:p>
        </w:tc>
        <w:tc>
          <w:tcPr>
            <w:tcW w:w="360" w:type="dxa"/>
            <w:tcBorders>
              <w:right w:val="dashSmallGap" w:sz="4" w:space="0" w:color="auto"/>
            </w:tcBorders>
          </w:tcPr>
          <w:p>
            <w:pPr>
              <w:ind w:right="-29"/>
              <w:jc w:val="center"/>
              <w:rPr>
                <w:noProof/>
                <w:sz w:val="18"/>
                <w:szCs w:val="18"/>
              </w:rPr>
            </w:pPr>
          </w:p>
        </w:tc>
        <w:tc>
          <w:tcPr>
            <w:tcW w:w="840" w:type="dxa"/>
            <w:tcBorders>
              <w:left w:val="dashSmallGap" w:sz="4" w:space="0" w:color="auto"/>
            </w:tcBorders>
          </w:tcPr>
          <w:p>
            <w:pPr>
              <w:ind w:right="-29"/>
              <w:jc w:val="center"/>
              <w:rPr>
                <w:noProof/>
                <w:sz w:val="18"/>
                <w:szCs w:val="18"/>
              </w:rPr>
            </w:pPr>
          </w:p>
        </w:tc>
        <w:tc>
          <w:tcPr>
            <w:tcW w:w="360" w:type="dxa"/>
            <w:tcBorders>
              <w:right w:val="dashSmallGap" w:sz="4" w:space="0" w:color="auto"/>
            </w:tcBorders>
          </w:tcPr>
          <w:p>
            <w:pPr>
              <w:ind w:right="-29"/>
              <w:jc w:val="center"/>
              <w:rPr>
                <w:noProof/>
                <w:sz w:val="18"/>
                <w:szCs w:val="18"/>
              </w:rPr>
            </w:pPr>
          </w:p>
        </w:tc>
        <w:tc>
          <w:tcPr>
            <w:tcW w:w="840" w:type="dxa"/>
            <w:tcBorders>
              <w:left w:val="dashSmallGap" w:sz="4" w:space="0" w:color="auto"/>
              <w:bottom w:val="single" w:sz="4" w:space="0" w:color="auto"/>
            </w:tcBorders>
          </w:tcPr>
          <w:p>
            <w:pPr>
              <w:ind w:right="-29"/>
              <w:jc w:val="center"/>
              <w:rPr>
                <w:noProof/>
                <w:sz w:val="18"/>
                <w:szCs w:val="18"/>
              </w:rPr>
            </w:pPr>
            <w:r>
              <w:rPr>
                <w:noProof/>
                <w:sz w:val="18"/>
                <w:szCs w:val="18"/>
              </w:rPr>
              <w:t>0</w:t>
            </w:r>
          </w:p>
        </w:tc>
        <w:tc>
          <w:tcPr>
            <w:tcW w:w="360" w:type="dxa"/>
            <w:tcBorders>
              <w:right w:val="dashSmallGap" w:sz="4" w:space="0" w:color="auto"/>
            </w:tcBorders>
          </w:tcPr>
          <w:p>
            <w:pPr>
              <w:ind w:right="-29"/>
              <w:jc w:val="center"/>
              <w:rPr>
                <w:noProof/>
                <w:sz w:val="18"/>
                <w:szCs w:val="18"/>
              </w:rPr>
            </w:pPr>
          </w:p>
        </w:tc>
        <w:tc>
          <w:tcPr>
            <w:tcW w:w="1320" w:type="dxa"/>
            <w:tcBorders>
              <w:left w:val="dashSmallGap" w:sz="4" w:space="0" w:color="auto"/>
              <w:bottom w:val="single" w:sz="4" w:space="0" w:color="auto"/>
              <w:right w:val="single" w:sz="12" w:space="0" w:color="auto"/>
            </w:tcBorders>
          </w:tcPr>
          <w:p>
            <w:pPr>
              <w:ind w:right="-29"/>
              <w:jc w:val="center"/>
              <w:rPr>
                <w:noProof/>
                <w:sz w:val="18"/>
                <w:szCs w:val="18"/>
              </w:rPr>
            </w:pPr>
            <w:r>
              <w:rPr>
                <w:noProof/>
                <w:sz w:val="18"/>
                <w:szCs w:val="18"/>
              </w:rPr>
              <w:t>0,505</w:t>
            </w:r>
          </w:p>
        </w:tc>
      </w:tr>
      <w:tr>
        <w:trPr>
          <w:trHeight w:hRule="exact" w:val="844"/>
          <w:jc w:val="center"/>
        </w:trPr>
        <w:tc>
          <w:tcPr>
            <w:tcW w:w="1422" w:type="dxa"/>
            <w:tcBorders>
              <w:left w:val="single" w:sz="12" w:space="0" w:color="auto"/>
            </w:tcBorders>
          </w:tcPr>
          <w:p>
            <w:pPr>
              <w:ind w:right="-29"/>
              <w:jc w:val="center"/>
              <w:rPr>
                <w:noProof/>
                <w:sz w:val="18"/>
                <w:szCs w:val="18"/>
              </w:rPr>
            </w:pPr>
            <w:r>
              <w:rPr>
                <w:noProof/>
                <w:sz w:val="18"/>
              </w:rPr>
              <w:t>Network traffic handled</w:t>
            </w:r>
          </w:p>
        </w:tc>
        <w:tc>
          <w:tcPr>
            <w:tcW w:w="1380" w:type="dxa"/>
            <w:gridSpan w:val="2"/>
          </w:tcPr>
          <w:p>
            <w:pPr>
              <w:ind w:right="-29"/>
              <w:jc w:val="center"/>
              <w:rPr>
                <w:noProof/>
                <w:sz w:val="18"/>
                <w:szCs w:val="18"/>
              </w:rPr>
            </w:pPr>
            <w:r>
              <w:rPr>
                <w:noProof/>
                <w:sz w:val="18"/>
                <w:szCs w:val="18"/>
              </w:rPr>
              <w:t>Network operations</w:t>
            </w:r>
          </w:p>
        </w:tc>
        <w:tc>
          <w:tcPr>
            <w:tcW w:w="303" w:type="dxa"/>
            <w:tcBorders>
              <w:right w:val="dashSmallGap" w:sz="4" w:space="0" w:color="auto"/>
            </w:tcBorders>
          </w:tcPr>
          <w:p>
            <w:pPr>
              <w:ind w:right="-29"/>
              <w:jc w:val="center"/>
              <w:rPr>
                <w:noProof/>
                <w:sz w:val="18"/>
                <w:szCs w:val="18"/>
              </w:rPr>
            </w:pPr>
          </w:p>
        </w:tc>
        <w:tc>
          <w:tcPr>
            <w:tcW w:w="867" w:type="dxa"/>
            <w:tcBorders>
              <w:left w:val="dashSmallGap" w:sz="4" w:space="0" w:color="auto"/>
              <w:bottom w:val="single" w:sz="4" w:space="0" w:color="auto"/>
            </w:tcBorders>
          </w:tcPr>
          <w:p>
            <w:pPr>
              <w:ind w:right="-29"/>
              <w:jc w:val="center"/>
              <w:rPr>
                <w:noProof/>
                <w:sz w:val="18"/>
                <w:szCs w:val="18"/>
              </w:rPr>
            </w:pPr>
            <w:r>
              <w:rPr>
                <w:noProof/>
                <w:sz w:val="18"/>
                <w:szCs w:val="18"/>
              </w:rPr>
              <w:t>0</w:t>
            </w:r>
          </w:p>
        </w:tc>
        <w:tc>
          <w:tcPr>
            <w:tcW w:w="330" w:type="dxa"/>
            <w:tcBorders>
              <w:right w:val="dashSmallGap" w:sz="4" w:space="0" w:color="auto"/>
            </w:tcBorders>
          </w:tcPr>
          <w:p>
            <w:pPr>
              <w:ind w:right="-29"/>
              <w:jc w:val="center"/>
              <w:rPr>
                <w:noProof/>
                <w:sz w:val="18"/>
                <w:szCs w:val="18"/>
              </w:rPr>
            </w:pPr>
          </w:p>
        </w:tc>
        <w:tc>
          <w:tcPr>
            <w:tcW w:w="840" w:type="dxa"/>
            <w:tcBorders>
              <w:left w:val="dashSmallGap" w:sz="4" w:space="0" w:color="auto"/>
              <w:bottom w:val="single" w:sz="4" w:space="0" w:color="auto"/>
            </w:tcBorders>
          </w:tcPr>
          <w:p>
            <w:pPr>
              <w:ind w:right="-29"/>
              <w:jc w:val="center"/>
              <w:rPr>
                <w:noProof/>
                <w:sz w:val="18"/>
                <w:szCs w:val="18"/>
              </w:rPr>
            </w:pPr>
            <w:r>
              <w:rPr>
                <w:noProof/>
                <w:sz w:val="18"/>
                <w:szCs w:val="18"/>
              </w:rPr>
              <w:t>0</w:t>
            </w:r>
          </w:p>
        </w:tc>
        <w:tc>
          <w:tcPr>
            <w:tcW w:w="360" w:type="dxa"/>
            <w:tcBorders>
              <w:right w:val="dashSmallGap" w:sz="4" w:space="0" w:color="auto"/>
            </w:tcBorders>
          </w:tcPr>
          <w:p>
            <w:pPr>
              <w:ind w:right="-29"/>
              <w:jc w:val="center"/>
              <w:rPr>
                <w:noProof/>
                <w:sz w:val="18"/>
                <w:szCs w:val="18"/>
              </w:rPr>
            </w:pPr>
          </w:p>
        </w:tc>
        <w:tc>
          <w:tcPr>
            <w:tcW w:w="840" w:type="dxa"/>
            <w:tcBorders>
              <w:left w:val="dashSmallGap" w:sz="4" w:space="0" w:color="auto"/>
              <w:bottom w:val="single" w:sz="4" w:space="0" w:color="auto"/>
            </w:tcBorders>
          </w:tcPr>
          <w:p>
            <w:pPr>
              <w:ind w:right="-29"/>
              <w:jc w:val="center"/>
              <w:rPr>
                <w:noProof/>
                <w:sz w:val="18"/>
                <w:szCs w:val="18"/>
              </w:rPr>
            </w:pPr>
          </w:p>
        </w:tc>
        <w:tc>
          <w:tcPr>
            <w:tcW w:w="360" w:type="dxa"/>
            <w:tcBorders>
              <w:right w:val="dashSmallGap" w:sz="4" w:space="0" w:color="auto"/>
            </w:tcBorders>
          </w:tcPr>
          <w:p>
            <w:pPr>
              <w:ind w:right="-29"/>
              <w:jc w:val="center"/>
              <w:rPr>
                <w:noProof/>
                <w:sz w:val="18"/>
                <w:szCs w:val="18"/>
              </w:rPr>
            </w:pPr>
          </w:p>
        </w:tc>
        <w:tc>
          <w:tcPr>
            <w:tcW w:w="840" w:type="dxa"/>
            <w:tcBorders>
              <w:left w:val="dashSmallGap" w:sz="4" w:space="0" w:color="auto"/>
              <w:bottom w:val="single" w:sz="4" w:space="0" w:color="auto"/>
            </w:tcBorders>
          </w:tcPr>
          <w:p>
            <w:pPr>
              <w:ind w:right="-29"/>
              <w:jc w:val="center"/>
              <w:rPr>
                <w:noProof/>
                <w:sz w:val="18"/>
                <w:szCs w:val="18"/>
              </w:rPr>
            </w:pPr>
          </w:p>
        </w:tc>
        <w:tc>
          <w:tcPr>
            <w:tcW w:w="360" w:type="dxa"/>
            <w:tcBorders>
              <w:right w:val="dashSmallGap" w:sz="4" w:space="0" w:color="auto"/>
            </w:tcBorders>
          </w:tcPr>
          <w:p>
            <w:pPr>
              <w:ind w:right="-29"/>
              <w:jc w:val="center"/>
              <w:rPr>
                <w:noProof/>
                <w:sz w:val="18"/>
                <w:szCs w:val="18"/>
              </w:rPr>
            </w:pPr>
          </w:p>
        </w:tc>
        <w:tc>
          <w:tcPr>
            <w:tcW w:w="672" w:type="dxa"/>
            <w:tcBorders>
              <w:left w:val="dashSmallGap" w:sz="4" w:space="0" w:color="auto"/>
              <w:bottom w:val="single" w:sz="4" w:space="0" w:color="auto"/>
            </w:tcBorders>
          </w:tcPr>
          <w:p>
            <w:pPr>
              <w:ind w:right="-29"/>
              <w:jc w:val="center"/>
              <w:rPr>
                <w:noProof/>
                <w:sz w:val="18"/>
                <w:szCs w:val="18"/>
              </w:rPr>
            </w:pPr>
            <w:r>
              <w:rPr>
                <w:noProof/>
                <w:sz w:val="18"/>
                <w:szCs w:val="18"/>
              </w:rPr>
              <w:t>0,246</w:t>
            </w:r>
          </w:p>
        </w:tc>
        <w:tc>
          <w:tcPr>
            <w:tcW w:w="360" w:type="dxa"/>
            <w:tcBorders>
              <w:right w:val="dashSmallGap" w:sz="4" w:space="0" w:color="auto"/>
            </w:tcBorders>
          </w:tcPr>
          <w:p>
            <w:pPr>
              <w:ind w:right="-29"/>
              <w:jc w:val="center"/>
              <w:rPr>
                <w:noProof/>
                <w:sz w:val="18"/>
                <w:szCs w:val="18"/>
              </w:rPr>
            </w:pPr>
          </w:p>
        </w:tc>
        <w:tc>
          <w:tcPr>
            <w:tcW w:w="720" w:type="dxa"/>
            <w:tcBorders>
              <w:left w:val="dashSmallGap" w:sz="4" w:space="0" w:color="auto"/>
              <w:bottom w:val="single" w:sz="4" w:space="0" w:color="auto"/>
            </w:tcBorders>
          </w:tcPr>
          <w:p>
            <w:pPr>
              <w:ind w:right="-29"/>
              <w:jc w:val="center"/>
              <w:rPr>
                <w:noProof/>
                <w:sz w:val="18"/>
                <w:szCs w:val="18"/>
              </w:rPr>
            </w:pPr>
            <w:r>
              <w:rPr>
                <w:noProof/>
                <w:sz w:val="18"/>
                <w:szCs w:val="18"/>
              </w:rPr>
              <w:t>0,246</w:t>
            </w:r>
          </w:p>
        </w:tc>
        <w:tc>
          <w:tcPr>
            <w:tcW w:w="360" w:type="dxa"/>
            <w:tcBorders>
              <w:right w:val="dashSmallGap" w:sz="4" w:space="0" w:color="auto"/>
            </w:tcBorders>
          </w:tcPr>
          <w:p>
            <w:pPr>
              <w:ind w:right="-29"/>
              <w:jc w:val="center"/>
              <w:rPr>
                <w:noProof/>
                <w:sz w:val="18"/>
                <w:szCs w:val="18"/>
              </w:rPr>
            </w:pPr>
          </w:p>
        </w:tc>
        <w:tc>
          <w:tcPr>
            <w:tcW w:w="840" w:type="dxa"/>
            <w:tcBorders>
              <w:left w:val="dashSmallGap" w:sz="4" w:space="0" w:color="auto"/>
              <w:bottom w:val="single" w:sz="4" w:space="0" w:color="auto"/>
            </w:tcBorders>
          </w:tcPr>
          <w:p>
            <w:pPr>
              <w:ind w:right="-29"/>
              <w:jc w:val="center"/>
              <w:rPr>
                <w:noProof/>
                <w:sz w:val="18"/>
                <w:szCs w:val="18"/>
              </w:rPr>
            </w:pPr>
            <w:r>
              <w:rPr>
                <w:noProof/>
                <w:sz w:val="18"/>
                <w:szCs w:val="18"/>
              </w:rPr>
              <w:t>0,246</w:t>
            </w:r>
          </w:p>
        </w:tc>
        <w:tc>
          <w:tcPr>
            <w:tcW w:w="360" w:type="dxa"/>
            <w:tcBorders>
              <w:right w:val="dashSmallGap" w:sz="4" w:space="0" w:color="auto"/>
            </w:tcBorders>
          </w:tcPr>
          <w:p>
            <w:pPr>
              <w:ind w:right="-29"/>
              <w:jc w:val="center"/>
              <w:rPr>
                <w:noProof/>
                <w:sz w:val="18"/>
                <w:szCs w:val="18"/>
              </w:rPr>
            </w:pPr>
          </w:p>
        </w:tc>
        <w:tc>
          <w:tcPr>
            <w:tcW w:w="840" w:type="dxa"/>
            <w:tcBorders>
              <w:left w:val="dashSmallGap" w:sz="4" w:space="0" w:color="auto"/>
              <w:bottom w:val="single" w:sz="4" w:space="0" w:color="auto"/>
            </w:tcBorders>
          </w:tcPr>
          <w:p>
            <w:pPr>
              <w:ind w:right="-29"/>
              <w:jc w:val="center"/>
              <w:rPr>
                <w:noProof/>
                <w:sz w:val="18"/>
                <w:szCs w:val="18"/>
              </w:rPr>
            </w:pPr>
            <w:r>
              <w:rPr>
                <w:noProof/>
                <w:sz w:val="18"/>
                <w:szCs w:val="18"/>
              </w:rPr>
              <w:t>0,246</w:t>
            </w:r>
          </w:p>
        </w:tc>
        <w:tc>
          <w:tcPr>
            <w:tcW w:w="360" w:type="dxa"/>
            <w:tcBorders>
              <w:right w:val="dashSmallGap" w:sz="4" w:space="0" w:color="auto"/>
            </w:tcBorders>
          </w:tcPr>
          <w:p>
            <w:pPr>
              <w:ind w:right="-29"/>
              <w:jc w:val="center"/>
              <w:rPr>
                <w:noProof/>
                <w:sz w:val="18"/>
                <w:szCs w:val="18"/>
              </w:rPr>
            </w:pPr>
          </w:p>
        </w:tc>
        <w:tc>
          <w:tcPr>
            <w:tcW w:w="840" w:type="dxa"/>
            <w:tcBorders>
              <w:left w:val="dashSmallGap" w:sz="4" w:space="0" w:color="auto"/>
              <w:bottom w:val="single" w:sz="4" w:space="0" w:color="auto"/>
            </w:tcBorders>
          </w:tcPr>
          <w:p>
            <w:pPr>
              <w:ind w:right="-29"/>
              <w:jc w:val="center"/>
              <w:rPr>
                <w:noProof/>
                <w:sz w:val="18"/>
                <w:szCs w:val="18"/>
              </w:rPr>
            </w:pPr>
            <w:r>
              <w:rPr>
                <w:noProof/>
                <w:sz w:val="18"/>
                <w:szCs w:val="18"/>
              </w:rPr>
              <w:t>0,246</w:t>
            </w:r>
          </w:p>
        </w:tc>
        <w:tc>
          <w:tcPr>
            <w:tcW w:w="360" w:type="dxa"/>
            <w:tcBorders>
              <w:right w:val="dashSmallGap" w:sz="4" w:space="0" w:color="auto"/>
            </w:tcBorders>
          </w:tcPr>
          <w:p>
            <w:pPr>
              <w:ind w:right="-29"/>
              <w:jc w:val="center"/>
              <w:rPr>
                <w:noProof/>
                <w:sz w:val="18"/>
                <w:szCs w:val="18"/>
              </w:rPr>
            </w:pPr>
          </w:p>
        </w:tc>
        <w:tc>
          <w:tcPr>
            <w:tcW w:w="1320" w:type="dxa"/>
            <w:tcBorders>
              <w:left w:val="dashSmallGap" w:sz="4" w:space="0" w:color="auto"/>
              <w:bottom w:val="single" w:sz="4" w:space="0" w:color="auto"/>
              <w:right w:val="single" w:sz="12" w:space="0" w:color="auto"/>
            </w:tcBorders>
          </w:tcPr>
          <w:p>
            <w:pPr>
              <w:ind w:right="-29"/>
              <w:jc w:val="center"/>
              <w:rPr>
                <w:noProof/>
                <w:sz w:val="18"/>
                <w:szCs w:val="18"/>
              </w:rPr>
            </w:pPr>
            <w:r>
              <w:rPr>
                <w:noProof/>
                <w:sz w:val="18"/>
                <w:szCs w:val="18"/>
              </w:rPr>
              <w:t>1,230</w:t>
            </w:r>
          </w:p>
        </w:tc>
      </w:tr>
      <w:tr>
        <w:trPr>
          <w:jc w:val="center"/>
        </w:trPr>
        <w:tc>
          <w:tcPr>
            <w:tcW w:w="2802" w:type="dxa"/>
            <w:gridSpan w:val="3"/>
            <w:tcBorders>
              <w:left w:val="single" w:sz="12" w:space="0" w:color="auto"/>
              <w:bottom w:val="single" w:sz="12" w:space="0" w:color="auto"/>
            </w:tcBorders>
            <w:vAlign w:val="center"/>
          </w:tcPr>
          <w:p>
            <w:pPr>
              <w:ind w:right="-29"/>
              <w:jc w:val="center"/>
              <w:rPr>
                <w:noProof/>
                <w:sz w:val="18"/>
                <w:szCs w:val="18"/>
              </w:rPr>
            </w:pPr>
            <w:r>
              <w:rPr>
                <w:noProof/>
                <w:sz w:val="18"/>
              </w:rPr>
              <w:t>Subtotal for specific objective No 4</w:t>
            </w:r>
          </w:p>
        </w:tc>
        <w:tc>
          <w:tcPr>
            <w:tcW w:w="303" w:type="dxa"/>
            <w:tcBorders>
              <w:bottom w:val="single" w:sz="12" w:space="0" w:color="auto"/>
              <w:right w:val="dashSmallGap" w:sz="4" w:space="0" w:color="auto"/>
            </w:tcBorders>
          </w:tcPr>
          <w:p>
            <w:pPr>
              <w:ind w:right="-29"/>
              <w:jc w:val="center"/>
              <w:rPr>
                <w:noProof/>
                <w:sz w:val="18"/>
                <w:szCs w:val="18"/>
              </w:rPr>
            </w:pPr>
          </w:p>
        </w:tc>
        <w:tc>
          <w:tcPr>
            <w:tcW w:w="867" w:type="dxa"/>
            <w:tcBorders>
              <w:left w:val="dashSmallGap" w:sz="4" w:space="0" w:color="auto"/>
              <w:bottom w:val="single" w:sz="12" w:space="0" w:color="auto"/>
            </w:tcBorders>
          </w:tcPr>
          <w:p>
            <w:pPr>
              <w:ind w:right="-29"/>
              <w:jc w:val="center"/>
              <w:rPr>
                <w:b/>
                <w:noProof/>
                <w:sz w:val="18"/>
                <w:szCs w:val="18"/>
              </w:rPr>
            </w:pPr>
            <w:r>
              <w:rPr>
                <w:b/>
                <w:noProof/>
                <w:sz w:val="18"/>
                <w:szCs w:val="18"/>
              </w:rPr>
              <w:t>0</w:t>
            </w:r>
          </w:p>
        </w:tc>
        <w:tc>
          <w:tcPr>
            <w:tcW w:w="330" w:type="dxa"/>
            <w:tcBorders>
              <w:bottom w:val="single" w:sz="12" w:space="0" w:color="auto"/>
              <w:right w:val="dashSmallGap" w:sz="4" w:space="0" w:color="auto"/>
            </w:tcBorders>
          </w:tcPr>
          <w:p>
            <w:pPr>
              <w:ind w:right="-29"/>
              <w:jc w:val="center"/>
              <w:rPr>
                <w:noProof/>
                <w:sz w:val="18"/>
                <w:szCs w:val="18"/>
              </w:rPr>
            </w:pPr>
          </w:p>
        </w:tc>
        <w:tc>
          <w:tcPr>
            <w:tcW w:w="840" w:type="dxa"/>
            <w:tcBorders>
              <w:left w:val="dashSmallGap" w:sz="4" w:space="0" w:color="auto"/>
              <w:bottom w:val="single" w:sz="12" w:space="0" w:color="auto"/>
            </w:tcBorders>
          </w:tcPr>
          <w:p>
            <w:pPr>
              <w:ind w:right="-29"/>
              <w:jc w:val="center"/>
              <w:rPr>
                <w:b/>
                <w:noProof/>
                <w:sz w:val="18"/>
                <w:szCs w:val="18"/>
              </w:rPr>
            </w:pPr>
            <w:r>
              <w:rPr>
                <w:b/>
                <w:noProof/>
                <w:sz w:val="18"/>
                <w:szCs w:val="18"/>
              </w:rPr>
              <w:t>0</w:t>
            </w:r>
          </w:p>
        </w:tc>
        <w:tc>
          <w:tcPr>
            <w:tcW w:w="360" w:type="dxa"/>
            <w:tcBorders>
              <w:bottom w:val="single" w:sz="12" w:space="0" w:color="auto"/>
              <w:right w:val="dashSmallGap" w:sz="4" w:space="0" w:color="auto"/>
            </w:tcBorders>
          </w:tcPr>
          <w:p>
            <w:pPr>
              <w:ind w:right="-29"/>
              <w:jc w:val="center"/>
              <w:rPr>
                <w:noProof/>
                <w:sz w:val="18"/>
                <w:szCs w:val="18"/>
              </w:rPr>
            </w:pPr>
          </w:p>
        </w:tc>
        <w:tc>
          <w:tcPr>
            <w:tcW w:w="840" w:type="dxa"/>
            <w:tcBorders>
              <w:left w:val="dashSmallGap" w:sz="4" w:space="0" w:color="auto"/>
              <w:bottom w:val="single" w:sz="12" w:space="0" w:color="auto"/>
            </w:tcBorders>
          </w:tcPr>
          <w:p>
            <w:pPr>
              <w:ind w:right="-29"/>
              <w:jc w:val="center"/>
              <w:rPr>
                <w:b/>
                <w:noProof/>
                <w:sz w:val="18"/>
                <w:szCs w:val="18"/>
              </w:rPr>
            </w:pPr>
            <w:r>
              <w:rPr>
                <w:b/>
                <w:noProof/>
                <w:sz w:val="18"/>
                <w:szCs w:val="18"/>
              </w:rPr>
              <w:t>0</w:t>
            </w:r>
          </w:p>
        </w:tc>
        <w:tc>
          <w:tcPr>
            <w:tcW w:w="360" w:type="dxa"/>
            <w:tcBorders>
              <w:bottom w:val="single" w:sz="12" w:space="0" w:color="auto"/>
              <w:right w:val="dashSmallGap" w:sz="4" w:space="0" w:color="auto"/>
            </w:tcBorders>
          </w:tcPr>
          <w:p>
            <w:pPr>
              <w:ind w:right="-29"/>
              <w:jc w:val="center"/>
              <w:rPr>
                <w:noProof/>
                <w:sz w:val="18"/>
                <w:szCs w:val="18"/>
              </w:rPr>
            </w:pPr>
          </w:p>
        </w:tc>
        <w:tc>
          <w:tcPr>
            <w:tcW w:w="840" w:type="dxa"/>
            <w:tcBorders>
              <w:left w:val="dashSmallGap" w:sz="4" w:space="0" w:color="auto"/>
              <w:bottom w:val="single" w:sz="12" w:space="0" w:color="auto"/>
            </w:tcBorders>
          </w:tcPr>
          <w:p>
            <w:pPr>
              <w:ind w:right="-29"/>
              <w:jc w:val="center"/>
              <w:rPr>
                <w:b/>
                <w:noProof/>
                <w:sz w:val="18"/>
                <w:szCs w:val="18"/>
              </w:rPr>
            </w:pPr>
            <w:r>
              <w:rPr>
                <w:b/>
                <w:noProof/>
                <w:sz w:val="18"/>
                <w:szCs w:val="18"/>
              </w:rPr>
              <w:t>0,505</w:t>
            </w:r>
          </w:p>
        </w:tc>
        <w:tc>
          <w:tcPr>
            <w:tcW w:w="360" w:type="dxa"/>
            <w:tcBorders>
              <w:bottom w:val="single" w:sz="12" w:space="0" w:color="auto"/>
              <w:right w:val="dashSmallGap" w:sz="4" w:space="0" w:color="auto"/>
            </w:tcBorders>
          </w:tcPr>
          <w:p>
            <w:pPr>
              <w:ind w:right="-29"/>
              <w:jc w:val="center"/>
              <w:rPr>
                <w:noProof/>
                <w:sz w:val="18"/>
                <w:szCs w:val="18"/>
              </w:rPr>
            </w:pPr>
          </w:p>
        </w:tc>
        <w:tc>
          <w:tcPr>
            <w:tcW w:w="672" w:type="dxa"/>
            <w:tcBorders>
              <w:left w:val="dashSmallGap" w:sz="4" w:space="0" w:color="auto"/>
              <w:bottom w:val="single" w:sz="12" w:space="0" w:color="auto"/>
            </w:tcBorders>
          </w:tcPr>
          <w:p>
            <w:pPr>
              <w:ind w:right="-29"/>
              <w:rPr>
                <w:b/>
                <w:noProof/>
                <w:sz w:val="18"/>
                <w:szCs w:val="18"/>
              </w:rPr>
            </w:pPr>
            <w:r>
              <w:rPr>
                <w:b/>
                <w:noProof/>
                <w:sz w:val="18"/>
                <w:szCs w:val="18"/>
              </w:rPr>
              <w:t>0,246</w:t>
            </w:r>
          </w:p>
        </w:tc>
        <w:tc>
          <w:tcPr>
            <w:tcW w:w="360" w:type="dxa"/>
            <w:tcBorders>
              <w:bottom w:val="single" w:sz="12" w:space="0" w:color="auto"/>
              <w:right w:val="dashSmallGap" w:sz="4" w:space="0" w:color="auto"/>
            </w:tcBorders>
          </w:tcPr>
          <w:p>
            <w:pPr>
              <w:ind w:right="-29"/>
              <w:jc w:val="center"/>
              <w:rPr>
                <w:noProof/>
                <w:sz w:val="18"/>
                <w:szCs w:val="18"/>
              </w:rPr>
            </w:pPr>
          </w:p>
        </w:tc>
        <w:tc>
          <w:tcPr>
            <w:tcW w:w="720" w:type="dxa"/>
            <w:tcBorders>
              <w:left w:val="dashSmallGap" w:sz="4" w:space="0" w:color="auto"/>
              <w:bottom w:val="single" w:sz="12" w:space="0" w:color="auto"/>
            </w:tcBorders>
          </w:tcPr>
          <w:p>
            <w:pPr>
              <w:ind w:right="-29"/>
              <w:jc w:val="center"/>
              <w:rPr>
                <w:b/>
                <w:noProof/>
                <w:sz w:val="18"/>
                <w:szCs w:val="18"/>
              </w:rPr>
            </w:pPr>
            <w:r>
              <w:rPr>
                <w:b/>
                <w:noProof/>
                <w:sz w:val="18"/>
                <w:szCs w:val="18"/>
              </w:rPr>
              <w:t>0,246</w:t>
            </w:r>
          </w:p>
        </w:tc>
        <w:tc>
          <w:tcPr>
            <w:tcW w:w="360" w:type="dxa"/>
            <w:tcBorders>
              <w:bottom w:val="single" w:sz="12" w:space="0" w:color="auto"/>
              <w:right w:val="dashSmallGap" w:sz="4" w:space="0" w:color="auto"/>
            </w:tcBorders>
          </w:tcPr>
          <w:p>
            <w:pPr>
              <w:ind w:right="-29"/>
              <w:jc w:val="center"/>
              <w:rPr>
                <w:noProof/>
                <w:sz w:val="18"/>
                <w:szCs w:val="18"/>
              </w:rPr>
            </w:pPr>
          </w:p>
        </w:tc>
        <w:tc>
          <w:tcPr>
            <w:tcW w:w="840" w:type="dxa"/>
            <w:tcBorders>
              <w:left w:val="dashSmallGap" w:sz="4" w:space="0" w:color="auto"/>
              <w:bottom w:val="single" w:sz="12" w:space="0" w:color="auto"/>
            </w:tcBorders>
          </w:tcPr>
          <w:p>
            <w:pPr>
              <w:ind w:right="-29"/>
              <w:jc w:val="center"/>
              <w:rPr>
                <w:b/>
                <w:noProof/>
                <w:sz w:val="18"/>
                <w:szCs w:val="18"/>
              </w:rPr>
            </w:pPr>
            <w:r>
              <w:rPr>
                <w:b/>
                <w:noProof/>
                <w:sz w:val="18"/>
                <w:szCs w:val="18"/>
              </w:rPr>
              <w:t>0,246</w:t>
            </w:r>
          </w:p>
        </w:tc>
        <w:tc>
          <w:tcPr>
            <w:tcW w:w="360" w:type="dxa"/>
            <w:tcBorders>
              <w:bottom w:val="single" w:sz="12" w:space="0" w:color="auto"/>
              <w:right w:val="dashSmallGap" w:sz="4" w:space="0" w:color="auto"/>
            </w:tcBorders>
          </w:tcPr>
          <w:p>
            <w:pPr>
              <w:ind w:right="-29"/>
              <w:jc w:val="center"/>
              <w:rPr>
                <w:noProof/>
                <w:sz w:val="18"/>
                <w:szCs w:val="18"/>
              </w:rPr>
            </w:pPr>
          </w:p>
        </w:tc>
        <w:tc>
          <w:tcPr>
            <w:tcW w:w="840" w:type="dxa"/>
            <w:tcBorders>
              <w:left w:val="dashSmallGap" w:sz="4" w:space="0" w:color="auto"/>
              <w:bottom w:val="single" w:sz="12" w:space="0" w:color="auto"/>
            </w:tcBorders>
          </w:tcPr>
          <w:p>
            <w:pPr>
              <w:ind w:right="-29"/>
              <w:jc w:val="center"/>
              <w:rPr>
                <w:b/>
                <w:noProof/>
                <w:sz w:val="18"/>
                <w:szCs w:val="18"/>
              </w:rPr>
            </w:pPr>
            <w:r>
              <w:rPr>
                <w:b/>
                <w:noProof/>
                <w:sz w:val="18"/>
                <w:szCs w:val="18"/>
              </w:rPr>
              <w:t>0,246</w:t>
            </w:r>
          </w:p>
        </w:tc>
        <w:tc>
          <w:tcPr>
            <w:tcW w:w="360" w:type="dxa"/>
            <w:tcBorders>
              <w:bottom w:val="single" w:sz="12" w:space="0" w:color="auto"/>
              <w:right w:val="dashSmallGap" w:sz="4" w:space="0" w:color="auto"/>
            </w:tcBorders>
          </w:tcPr>
          <w:p>
            <w:pPr>
              <w:ind w:right="-29"/>
              <w:jc w:val="center"/>
              <w:rPr>
                <w:noProof/>
                <w:sz w:val="18"/>
                <w:szCs w:val="18"/>
              </w:rPr>
            </w:pPr>
          </w:p>
        </w:tc>
        <w:tc>
          <w:tcPr>
            <w:tcW w:w="840" w:type="dxa"/>
            <w:tcBorders>
              <w:left w:val="dashSmallGap" w:sz="4" w:space="0" w:color="auto"/>
              <w:bottom w:val="single" w:sz="12" w:space="0" w:color="auto"/>
            </w:tcBorders>
          </w:tcPr>
          <w:p>
            <w:pPr>
              <w:ind w:right="-29"/>
              <w:jc w:val="center"/>
              <w:rPr>
                <w:b/>
                <w:noProof/>
                <w:sz w:val="18"/>
                <w:szCs w:val="18"/>
              </w:rPr>
            </w:pPr>
            <w:r>
              <w:rPr>
                <w:b/>
                <w:noProof/>
                <w:sz w:val="18"/>
                <w:szCs w:val="18"/>
              </w:rPr>
              <w:t>0,246</w:t>
            </w:r>
          </w:p>
        </w:tc>
        <w:tc>
          <w:tcPr>
            <w:tcW w:w="360" w:type="dxa"/>
            <w:tcBorders>
              <w:bottom w:val="single" w:sz="12" w:space="0" w:color="auto"/>
              <w:right w:val="dashSmallGap" w:sz="4" w:space="0" w:color="auto"/>
            </w:tcBorders>
          </w:tcPr>
          <w:p>
            <w:pPr>
              <w:ind w:right="-29"/>
              <w:jc w:val="center"/>
              <w:rPr>
                <w:noProof/>
                <w:sz w:val="18"/>
                <w:szCs w:val="18"/>
              </w:rPr>
            </w:pPr>
          </w:p>
        </w:tc>
        <w:tc>
          <w:tcPr>
            <w:tcW w:w="1320" w:type="dxa"/>
            <w:tcBorders>
              <w:left w:val="dashSmallGap" w:sz="4" w:space="0" w:color="auto"/>
              <w:bottom w:val="single" w:sz="12" w:space="0" w:color="auto"/>
              <w:right w:val="single" w:sz="12" w:space="0" w:color="auto"/>
            </w:tcBorders>
          </w:tcPr>
          <w:p>
            <w:pPr>
              <w:ind w:right="-29"/>
              <w:jc w:val="center"/>
              <w:rPr>
                <w:b/>
                <w:noProof/>
                <w:sz w:val="18"/>
                <w:szCs w:val="18"/>
              </w:rPr>
            </w:pPr>
            <w:r>
              <w:rPr>
                <w:b/>
                <w:noProof/>
                <w:sz w:val="18"/>
                <w:szCs w:val="18"/>
              </w:rPr>
              <w:t>1,735</w:t>
            </w:r>
          </w:p>
        </w:tc>
      </w:tr>
    </w:tbl>
    <w:p>
      <w:pPr>
        <w:rPr>
          <w:noProof/>
        </w:rPr>
      </w:pPr>
    </w:p>
    <w:p>
      <w:pPr>
        <w:pStyle w:val="ListDash"/>
        <w:rPr>
          <w:noProof/>
        </w:rPr>
      </w:pPr>
      <w:r>
        <w:rPr>
          <w:noProof/>
        </w:rPr>
        <w:t>The interoperability components only have a marginal effect on network traffic. In terms of data, only links between existing data are created which is a low-volume item. The cost included here is only the marginal increase of budget required on top of EES and ETIAS budgets for network set-up and traffic.</w:t>
      </w:r>
    </w:p>
    <w:p>
      <w:pPr>
        <w:keepNext/>
        <w:rPr>
          <w:noProof/>
        </w:rPr>
      </w:pPr>
    </w:p>
    <w:tbl>
      <w:tblPr>
        <w:tblW w:w="149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22"/>
        <w:gridCol w:w="721"/>
        <w:gridCol w:w="659"/>
        <w:gridCol w:w="303"/>
        <w:gridCol w:w="867"/>
        <w:gridCol w:w="330"/>
        <w:gridCol w:w="840"/>
        <w:gridCol w:w="360"/>
        <w:gridCol w:w="840"/>
        <w:gridCol w:w="360"/>
        <w:gridCol w:w="840"/>
        <w:gridCol w:w="360"/>
        <w:gridCol w:w="672"/>
        <w:gridCol w:w="360"/>
        <w:gridCol w:w="720"/>
        <w:gridCol w:w="360"/>
        <w:gridCol w:w="840"/>
        <w:gridCol w:w="360"/>
        <w:gridCol w:w="840"/>
        <w:gridCol w:w="360"/>
        <w:gridCol w:w="840"/>
        <w:gridCol w:w="360"/>
        <w:gridCol w:w="1320"/>
      </w:tblGrid>
      <w:tr>
        <w:trPr>
          <w:jc w:val="center"/>
        </w:trPr>
        <w:tc>
          <w:tcPr>
            <w:tcW w:w="1422" w:type="dxa"/>
            <w:vMerge w:val="restart"/>
            <w:tcBorders>
              <w:top w:val="single" w:sz="12" w:space="0" w:color="auto"/>
              <w:left w:val="single" w:sz="12" w:space="0" w:color="auto"/>
            </w:tcBorders>
            <w:vAlign w:val="center"/>
          </w:tcPr>
          <w:p>
            <w:pPr>
              <w:keepNext/>
              <w:ind w:right="-29"/>
              <w:jc w:val="center"/>
              <w:rPr>
                <w:b/>
                <w:noProof/>
                <w:sz w:val="18"/>
                <w:szCs w:val="18"/>
              </w:rPr>
            </w:pPr>
            <w:r>
              <w:rPr>
                <w:b/>
                <w:noProof/>
                <w:sz w:val="18"/>
              </w:rPr>
              <w:t xml:space="preserve">Indicate objectives and outputs </w:t>
            </w:r>
          </w:p>
          <w:p>
            <w:pPr>
              <w:keepNext/>
              <w:ind w:right="-29"/>
              <w:jc w:val="center"/>
              <w:rPr>
                <w:b/>
                <w:noProof/>
                <w:sz w:val="18"/>
                <w:szCs w:val="18"/>
              </w:rPr>
            </w:pPr>
            <w:r>
              <w:rPr>
                <w:b/>
                <w:noProof/>
                <w:sz w:val="18"/>
                <w:szCs w:val="18"/>
              </w:rPr>
              <w:t>Eu-LISA</w:t>
            </w:r>
          </w:p>
          <w:p>
            <w:pPr>
              <w:keepNext/>
              <w:ind w:right="-29"/>
              <w:jc w:val="center"/>
              <w:rPr>
                <w:noProof/>
                <w:sz w:val="18"/>
                <w:szCs w:val="18"/>
              </w:rPr>
            </w:pPr>
            <w:r>
              <w:rPr>
                <w:noProof/>
                <w:sz w:val="18"/>
              </w:rPr>
              <w:sym w:font="Wingdings" w:char="F0F2"/>
            </w:r>
          </w:p>
        </w:tc>
        <w:tc>
          <w:tcPr>
            <w:tcW w:w="721" w:type="dxa"/>
            <w:tcBorders>
              <w:top w:val="single" w:sz="12" w:space="0" w:color="auto"/>
            </w:tcBorders>
            <w:vAlign w:val="center"/>
          </w:tcPr>
          <w:p>
            <w:pPr>
              <w:keepNext/>
              <w:ind w:right="-29"/>
              <w:jc w:val="center"/>
              <w:rPr>
                <w:noProof/>
                <w:sz w:val="18"/>
                <w:szCs w:val="18"/>
              </w:rPr>
            </w:pPr>
          </w:p>
        </w:tc>
        <w:tc>
          <w:tcPr>
            <w:tcW w:w="659" w:type="dxa"/>
            <w:tcBorders>
              <w:top w:val="single" w:sz="12" w:space="0" w:color="auto"/>
            </w:tcBorders>
            <w:vAlign w:val="center"/>
          </w:tcPr>
          <w:p>
            <w:pPr>
              <w:keepNext/>
              <w:ind w:right="-29"/>
              <w:jc w:val="center"/>
              <w:rPr>
                <w:noProof/>
                <w:sz w:val="18"/>
                <w:szCs w:val="18"/>
              </w:rPr>
            </w:pPr>
          </w:p>
        </w:tc>
        <w:tc>
          <w:tcPr>
            <w:tcW w:w="1170" w:type="dxa"/>
            <w:gridSpan w:val="2"/>
            <w:tcBorders>
              <w:top w:val="single" w:sz="12" w:space="0" w:color="auto"/>
              <w:right w:val="single" w:sz="4" w:space="0" w:color="auto"/>
            </w:tcBorders>
            <w:vAlign w:val="center"/>
          </w:tcPr>
          <w:p>
            <w:pPr>
              <w:keepNext/>
              <w:ind w:right="-29"/>
              <w:jc w:val="center"/>
              <w:rPr>
                <w:noProof/>
                <w:sz w:val="18"/>
                <w:szCs w:val="18"/>
              </w:rPr>
            </w:pPr>
            <w:r>
              <w:rPr>
                <w:noProof/>
                <w:sz w:val="18"/>
              </w:rPr>
              <w:t>Year</w:t>
            </w:r>
            <w:r>
              <w:rPr>
                <w:noProof/>
                <w:sz w:val="22"/>
              </w:rPr>
              <w:br/>
            </w:r>
            <w:r>
              <w:rPr>
                <w:b/>
                <w:noProof/>
                <w:sz w:val="18"/>
              </w:rPr>
              <w:t>2019</w:t>
            </w:r>
          </w:p>
        </w:tc>
        <w:tc>
          <w:tcPr>
            <w:tcW w:w="1170" w:type="dxa"/>
            <w:gridSpan w:val="2"/>
            <w:tcBorders>
              <w:top w:val="single" w:sz="12" w:space="0" w:color="auto"/>
              <w:left w:val="single" w:sz="4" w:space="0" w:color="auto"/>
            </w:tcBorders>
            <w:vAlign w:val="center"/>
          </w:tcPr>
          <w:p>
            <w:pPr>
              <w:keepNext/>
              <w:ind w:right="-29"/>
              <w:jc w:val="center"/>
              <w:rPr>
                <w:noProof/>
                <w:sz w:val="18"/>
                <w:szCs w:val="18"/>
              </w:rPr>
            </w:pPr>
            <w:r>
              <w:rPr>
                <w:noProof/>
                <w:sz w:val="18"/>
              </w:rPr>
              <w:t>Year</w:t>
            </w:r>
            <w:r>
              <w:rPr>
                <w:noProof/>
                <w:sz w:val="22"/>
              </w:rPr>
              <w:br/>
            </w:r>
            <w:r>
              <w:rPr>
                <w:b/>
                <w:noProof/>
                <w:sz w:val="18"/>
              </w:rPr>
              <w:t>2020</w:t>
            </w:r>
          </w:p>
        </w:tc>
        <w:tc>
          <w:tcPr>
            <w:tcW w:w="1200" w:type="dxa"/>
            <w:gridSpan w:val="2"/>
            <w:tcBorders>
              <w:top w:val="single" w:sz="12" w:space="0" w:color="auto"/>
            </w:tcBorders>
            <w:vAlign w:val="center"/>
          </w:tcPr>
          <w:p>
            <w:pPr>
              <w:keepNext/>
              <w:ind w:right="-29"/>
              <w:jc w:val="center"/>
              <w:rPr>
                <w:noProof/>
                <w:sz w:val="18"/>
                <w:szCs w:val="18"/>
              </w:rPr>
            </w:pPr>
            <w:r>
              <w:rPr>
                <w:noProof/>
                <w:sz w:val="18"/>
              </w:rPr>
              <w:t>Year</w:t>
            </w:r>
            <w:r>
              <w:rPr>
                <w:noProof/>
                <w:sz w:val="22"/>
              </w:rPr>
              <w:br/>
            </w:r>
            <w:r>
              <w:rPr>
                <w:b/>
                <w:noProof/>
                <w:sz w:val="18"/>
              </w:rPr>
              <w:t>2021</w:t>
            </w:r>
          </w:p>
        </w:tc>
        <w:tc>
          <w:tcPr>
            <w:tcW w:w="1200" w:type="dxa"/>
            <w:gridSpan w:val="2"/>
            <w:tcBorders>
              <w:top w:val="single" w:sz="12" w:space="0" w:color="auto"/>
            </w:tcBorders>
            <w:vAlign w:val="center"/>
          </w:tcPr>
          <w:p>
            <w:pPr>
              <w:keepNext/>
              <w:ind w:right="-29"/>
              <w:jc w:val="center"/>
              <w:rPr>
                <w:noProof/>
                <w:sz w:val="18"/>
                <w:szCs w:val="18"/>
              </w:rPr>
            </w:pPr>
            <w:r>
              <w:rPr>
                <w:noProof/>
                <w:sz w:val="18"/>
              </w:rPr>
              <w:t>Year</w:t>
            </w:r>
            <w:r>
              <w:rPr>
                <w:noProof/>
                <w:sz w:val="22"/>
              </w:rPr>
              <w:br/>
            </w:r>
            <w:r>
              <w:rPr>
                <w:b/>
                <w:noProof/>
                <w:sz w:val="18"/>
              </w:rPr>
              <w:t>2022</w:t>
            </w:r>
          </w:p>
        </w:tc>
        <w:tc>
          <w:tcPr>
            <w:tcW w:w="1032" w:type="dxa"/>
            <w:gridSpan w:val="2"/>
            <w:tcBorders>
              <w:top w:val="single" w:sz="12" w:space="0" w:color="auto"/>
            </w:tcBorders>
            <w:vAlign w:val="center"/>
          </w:tcPr>
          <w:p>
            <w:pPr>
              <w:keepNext/>
              <w:jc w:val="center"/>
              <w:rPr>
                <w:noProof/>
                <w:sz w:val="18"/>
                <w:szCs w:val="18"/>
              </w:rPr>
            </w:pPr>
            <w:r>
              <w:rPr>
                <w:noProof/>
                <w:sz w:val="18"/>
              </w:rPr>
              <w:t>Year</w:t>
            </w:r>
            <w:r>
              <w:rPr>
                <w:noProof/>
                <w:sz w:val="22"/>
              </w:rPr>
              <w:br/>
            </w:r>
            <w:r>
              <w:rPr>
                <w:b/>
                <w:noProof/>
                <w:sz w:val="18"/>
              </w:rPr>
              <w:t>2023</w:t>
            </w:r>
          </w:p>
        </w:tc>
        <w:tc>
          <w:tcPr>
            <w:tcW w:w="1080" w:type="dxa"/>
            <w:gridSpan w:val="2"/>
            <w:tcBorders>
              <w:top w:val="single" w:sz="12" w:space="0" w:color="auto"/>
            </w:tcBorders>
            <w:vAlign w:val="center"/>
          </w:tcPr>
          <w:p>
            <w:pPr>
              <w:keepNext/>
              <w:jc w:val="center"/>
              <w:rPr>
                <w:noProof/>
                <w:sz w:val="18"/>
                <w:szCs w:val="18"/>
              </w:rPr>
            </w:pPr>
            <w:r>
              <w:rPr>
                <w:noProof/>
                <w:sz w:val="18"/>
              </w:rPr>
              <w:t>Year</w:t>
            </w:r>
            <w:r>
              <w:rPr>
                <w:noProof/>
                <w:sz w:val="22"/>
              </w:rPr>
              <w:br/>
            </w:r>
            <w:r>
              <w:rPr>
                <w:b/>
                <w:noProof/>
                <w:sz w:val="18"/>
              </w:rPr>
              <w:t>2024</w:t>
            </w:r>
          </w:p>
        </w:tc>
        <w:tc>
          <w:tcPr>
            <w:tcW w:w="1200" w:type="dxa"/>
            <w:gridSpan w:val="2"/>
            <w:tcBorders>
              <w:top w:val="single" w:sz="12" w:space="0" w:color="auto"/>
            </w:tcBorders>
            <w:vAlign w:val="center"/>
          </w:tcPr>
          <w:p>
            <w:pPr>
              <w:keepNext/>
              <w:jc w:val="center"/>
              <w:rPr>
                <w:noProof/>
                <w:sz w:val="18"/>
                <w:szCs w:val="18"/>
              </w:rPr>
            </w:pPr>
            <w:r>
              <w:rPr>
                <w:noProof/>
                <w:sz w:val="18"/>
              </w:rPr>
              <w:t>Year</w:t>
            </w:r>
            <w:r>
              <w:rPr>
                <w:noProof/>
                <w:sz w:val="22"/>
              </w:rPr>
              <w:br/>
            </w:r>
            <w:r>
              <w:rPr>
                <w:b/>
                <w:noProof/>
                <w:sz w:val="18"/>
              </w:rPr>
              <w:t>2025</w:t>
            </w:r>
          </w:p>
        </w:tc>
        <w:tc>
          <w:tcPr>
            <w:tcW w:w="1200" w:type="dxa"/>
            <w:gridSpan w:val="2"/>
            <w:tcBorders>
              <w:top w:val="single" w:sz="12" w:space="0" w:color="auto"/>
            </w:tcBorders>
          </w:tcPr>
          <w:p>
            <w:pPr>
              <w:keepNext/>
              <w:ind w:right="-29"/>
              <w:jc w:val="center"/>
              <w:rPr>
                <w:b/>
                <w:noProof/>
                <w:sz w:val="18"/>
              </w:rPr>
            </w:pPr>
            <w:r>
              <w:rPr>
                <w:noProof/>
                <w:sz w:val="18"/>
              </w:rPr>
              <w:t>Year</w:t>
            </w:r>
            <w:r>
              <w:rPr>
                <w:noProof/>
                <w:sz w:val="22"/>
              </w:rPr>
              <w:br/>
            </w:r>
            <w:r>
              <w:rPr>
                <w:b/>
                <w:noProof/>
                <w:sz w:val="18"/>
              </w:rPr>
              <w:t>2026</w:t>
            </w:r>
          </w:p>
        </w:tc>
        <w:tc>
          <w:tcPr>
            <w:tcW w:w="1200" w:type="dxa"/>
            <w:gridSpan w:val="2"/>
            <w:tcBorders>
              <w:top w:val="single" w:sz="12" w:space="0" w:color="auto"/>
              <w:right w:val="nil"/>
            </w:tcBorders>
          </w:tcPr>
          <w:p>
            <w:pPr>
              <w:keepNext/>
              <w:ind w:right="-29"/>
              <w:jc w:val="center"/>
              <w:rPr>
                <w:b/>
                <w:noProof/>
                <w:sz w:val="18"/>
              </w:rPr>
            </w:pPr>
            <w:r>
              <w:rPr>
                <w:noProof/>
                <w:sz w:val="18"/>
              </w:rPr>
              <w:t>Year</w:t>
            </w:r>
            <w:r>
              <w:rPr>
                <w:noProof/>
                <w:sz w:val="22"/>
              </w:rPr>
              <w:br/>
            </w:r>
            <w:r>
              <w:rPr>
                <w:b/>
                <w:noProof/>
                <w:sz w:val="18"/>
              </w:rPr>
              <w:t>2027</w:t>
            </w:r>
          </w:p>
        </w:tc>
        <w:tc>
          <w:tcPr>
            <w:tcW w:w="1680" w:type="dxa"/>
            <w:gridSpan w:val="2"/>
            <w:tcBorders>
              <w:top w:val="single" w:sz="12" w:space="0" w:color="auto"/>
              <w:left w:val="single" w:sz="6" w:space="0" w:color="auto"/>
              <w:bottom w:val="single" w:sz="4" w:space="0" w:color="auto"/>
              <w:right w:val="single" w:sz="12" w:space="0" w:color="auto"/>
            </w:tcBorders>
            <w:vAlign w:val="center"/>
          </w:tcPr>
          <w:p>
            <w:pPr>
              <w:keepNext/>
              <w:ind w:right="-29"/>
              <w:jc w:val="center"/>
              <w:rPr>
                <w:noProof/>
                <w:sz w:val="18"/>
                <w:szCs w:val="18"/>
              </w:rPr>
            </w:pPr>
            <w:r>
              <w:rPr>
                <w:b/>
                <w:noProof/>
                <w:sz w:val="18"/>
              </w:rPr>
              <w:t>TOTAL</w:t>
            </w:r>
          </w:p>
        </w:tc>
      </w:tr>
      <w:tr>
        <w:trPr>
          <w:gridAfter w:val="22"/>
          <w:wAfter w:w="13512" w:type="dxa"/>
          <w:trHeight w:val="465"/>
          <w:jc w:val="center"/>
        </w:trPr>
        <w:tc>
          <w:tcPr>
            <w:tcW w:w="1422" w:type="dxa"/>
            <w:vMerge/>
            <w:tcBorders>
              <w:left w:val="single" w:sz="12" w:space="0" w:color="auto"/>
            </w:tcBorders>
            <w:vAlign w:val="center"/>
          </w:tcPr>
          <w:p>
            <w:pPr>
              <w:ind w:right="-29"/>
              <w:jc w:val="center"/>
              <w:rPr>
                <w:noProof/>
                <w:sz w:val="18"/>
                <w:szCs w:val="18"/>
              </w:rPr>
            </w:pPr>
          </w:p>
        </w:tc>
      </w:tr>
      <w:tr>
        <w:trPr>
          <w:cantSplit/>
          <w:trHeight w:val="1134"/>
          <w:jc w:val="center"/>
        </w:trPr>
        <w:tc>
          <w:tcPr>
            <w:tcW w:w="1422" w:type="dxa"/>
            <w:vMerge/>
            <w:tcBorders>
              <w:left w:val="single" w:sz="12" w:space="0" w:color="auto"/>
            </w:tcBorders>
            <w:vAlign w:val="center"/>
          </w:tcPr>
          <w:p>
            <w:pPr>
              <w:rPr>
                <w:noProof/>
                <w:sz w:val="18"/>
                <w:szCs w:val="18"/>
              </w:rPr>
            </w:pPr>
          </w:p>
        </w:tc>
        <w:tc>
          <w:tcPr>
            <w:tcW w:w="721" w:type="dxa"/>
            <w:vAlign w:val="center"/>
          </w:tcPr>
          <w:p>
            <w:pPr>
              <w:jc w:val="center"/>
              <w:rPr>
                <w:noProof/>
                <w:sz w:val="18"/>
                <w:szCs w:val="18"/>
              </w:rPr>
            </w:pPr>
            <w:r>
              <w:rPr>
                <w:noProof/>
                <w:sz w:val="18"/>
              </w:rPr>
              <w:t>Type</w:t>
            </w:r>
            <w:r>
              <w:rPr>
                <w:rStyle w:val="FootnoteReference"/>
                <w:noProof/>
              </w:rPr>
              <w:footnoteReference w:id="102"/>
            </w:r>
          </w:p>
          <w:p>
            <w:pPr>
              <w:spacing w:before="0" w:after="0"/>
              <w:jc w:val="center"/>
              <w:rPr>
                <w:noProof/>
                <w:sz w:val="18"/>
                <w:szCs w:val="18"/>
              </w:rPr>
            </w:pPr>
          </w:p>
        </w:tc>
        <w:tc>
          <w:tcPr>
            <w:tcW w:w="659" w:type="dxa"/>
            <w:tcBorders>
              <w:right w:val="single" w:sz="4" w:space="0" w:color="auto"/>
            </w:tcBorders>
            <w:vAlign w:val="center"/>
          </w:tcPr>
          <w:p>
            <w:pPr>
              <w:jc w:val="center"/>
              <w:rPr>
                <w:noProof/>
                <w:sz w:val="18"/>
                <w:szCs w:val="18"/>
              </w:rPr>
            </w:pPr>
            <w:r>
              <w:rPr>
                <w:noProof/>
                <w:sz w:val="18"/>
              </w:rPr>
              <w:t>Average cost</w:t>
            </w:r>
          </w:p>
        </w:tc>
        <w:tc>
          <w:tcPr>
            <w:tcW w:w="303" w:type="dxa"/>
            <w:tcBorders>
              <w:top w:val="dotted" w:sz="4" w:space="0" w:color="auto"/>
              <w:left w:val="single" w:sz="4" w:space="0" w:color="auto"/>
              <w:bottom w:val="dotted" w:sz="4" w:space="0" w:color="auto"/>
              <w:right w:val="nil"/>
            </w:tcBorders>
            <w:shd w:val="pct10" w:color="auto" w:fill="auto"/>
            <w:textDirection w:val="btLr"/>
            <w:vAlign w:val="center"/>
          </w:tcPr>
          <w:p>
            <w:pPr>
              <w:ind w:left="113" w:right="113"/>
              <w:jc w:val="center"/>
              <w:rPr>
                <w:noProof/>
                <w:sz w:val="18"/>
              </w:rPr>
            </w:pPr>
            <w:r>
              <w:rPr>
                <w:noProof/>
                <w:sz w:val="18"/>
              </w:rPr>
              <w:t>No</w:t>
            </w:r>
          </w:p>
        </w:tc>
        <w:tc>
          <w:tcPr>
            <w:tcW w:w="867" w:type="dxa"/>
            <w:tcBorders>
              <w:left w:val="nil"/>
              <w:right w:val="single" w:sz="4" w:space="0" w:color="auto"/>
            </w:tcBorders>
            <w:shd w:val="pct10" w:color="auto" w:fill="auto"/>
            <w:vAlign w:val="center"/>
          </w:tcPr>
          <w:p>
            <w:pPr>
              <w:jc w:val="center"/>
              <w:rPr>
                <w:noProof/>
                <w:sz w:val="18"/>
              </w:rPr>
            </w:pPr>
            <w:r>
              <w:rPr>
                <w:noProof/>
                <w:sz w:val="18"/>
              </w:rPr>
              <w:t>Cost</w:t>
            </w:r>
          </w:p>
        </w:tc>
        <w:tc>
          <w:tcPr>
            <w:tcW w:w="330" w:type="dxa"/>
            <w:tcBorders>
              <w:left w:val="single" w:sz="4" w:space="0" w:color="auto"/>
              <w:right w:val="dashSmallGap" w:sz="4" w:space="0" w:color="auto"/>
            </w:tcBorders>
            <w:shd w:val="pct10" w:color="auto" w:fill="auto"/>
            <w:textDirection w:val="btLr"/>
            <w:vAlign w:val="center"/>
          </w:tcPr>
          <w:p>
            <w:pPr>
              <w:ind w:left="113" w:right="113"/>
              <w:jc w:val="center"/>
              <w:rPr>
                <w:noProof/>
                <w:sz w:val="18"/>
                <w:szCs w:val="18"/>
              </w:rPr>
            </w:pPr>
            <w:r>
              <w:rPr>
                <w:noProof/>
                <w:sz w:val="18"/>
              </w:rPr>
              <w:t>No</w:t>
            </w:r>
          </w:p>
        </w:tc>
        <w:tc>
          <w:tcPr>
            <w:tcW w:w="840" w:type="dxa"/>
            <w:tcBorders>
              <w:left w:val="dashSmallGap" w:sz="4" w:space="0" w:color="auto"/>
            </w:tcBorders>
            <w:shd w:val="pct10" w:color="auto" w:fill="auto"/>
            <w:vAlign w:val="center"/>
          </w:tcPr>
          <w:p>
            <w:pPr>
              <w:jc w:val="center"/>
              <w:rPr>
                <w:noProof/>
                <w:sz w:val="18"/>
                <w:szCs w:val="18"/>
              </w:rPr>
            </w:pPr>
            <w:r>
              <w:rPr>
                <w:noProof/>
                <w:sz w:val="18"/>
              </w:rPr>
              <w:t>Cost</w:t>
            </w:r>
          </w:p>
        </w:tc>
        <w:tc>
          <w:tcPr>
            <w:tcW w:w="360" w:type="dxa"/>
            <w:tcBorders>
              <w:right w:val="dashSmallGap" w:sz="4" w:space="0" w:color="auto"/>
            </w:tcBorders>
            <w:shd w:val="pct10" w:color="auto" w:fill="auto"/>
            <w:textDirection w:val="btLr"/>
            <w:vAlign w:val="center"/>
          </w:tcPr>
          <w:p>
            <w:pPr>
              <w:ind w:left="113" w:right="113"/>
              <w:jc w:val="center"/>
              <w:rPr>
                <w:noProof/>
                <w:sz w:val="18"/>
                <w:szCs w:val="18"/>
              </w:rPr>
            </w:pPr>
            <w:r>
              <w:rPr>
                <w:noProof/>
                <w:sz w:val="18"/>
              </w:rPr>
              <w:t>No</w:t>
            </w:r>
          </w:p>
        </w:tc>
        <w:tc>
          <w:tcPr>
            <w:tcW w:w="840" w:type="dxa"/>
            <w:tcBorders>
              <w:left w:val="dashSmallGap" w:sz="4" w:space="0" w:color="auto"/>
            </w:tcBorders>
            <w:shd w:val="pct10" w:color="auto" w:fill="auto"/>
            <w:vAlign w:val="center"/>
          </w:tcPr>
          <w:p>
            <w:pPr>
              <w:jc w:val="center"/>
              <w:rPr>
                <w:noProof/>
                <w:sz w:val="18"/>
                <w:szCs w:val="18"/>
              </w:rPr>
            </w:pPr>
            <w:r>
              <w:rPr>
                <w:noProof/>
                <w:sz w:val="18"/>
              </w:rPr>
              <w:t>Cost</w:t>
            </w:r>
          </w:p>
        </w:tc>
        <w:tc>
          <w:tcPr>
            <w:tcW w:w="360" w:type="dxa"/>
            <w:tcBorders>
              <w:right w:val="dashSmallGap" w:sz="4" w:space="0" w:color="auto"/>
            </w:tcBorders>
            <w:shd w:val="pct10" w:color="auto" w:fill="auto"/>
            <w:textDirection w:val="btLr"/>
            <w:vAlign w:val="center"/>
          </w:tcPr>
          <w:p>
            <w:pPr>
              <w:ind w:left="113" w:right="113"/>
              <w:jc w:val="center"/>
              <w:rPr>
                <w:noProof/>
                <w:sz w:val="18"/>
                <w:szCs w:val="18"/>
              </w:rPr>
            </w:pPr>
            <w:r>
              <w:rPr>
                <w:noProof/>
                <w:sz w:val="18"/>
              </w:rPr>
              <w:t>No</w:t>
            </w:r>
          </w:p>
        </w:tc>
        <w:tc>
          <w:tcPr>
            <w:tcW w:w="840" w:type="dxa"/>
            <w:tcBorders>
              <w:left w:val="dashSmallGap" w:sz="4" w:space="0" w:color="auto"/>
            </w:tcBorders>
            <w:shd w:val="pct10" w:color="auto" w:fill="auto"/>
            <w:vAlign w:val="center"/>
          </w:tcPr>
          <w:p>
            <w:pPr>
              <w:jc w:val="center"/>
              <w:rPr>
                <w:noProof/>
                <w:sz w:val="18"/>
                <w:szCs w:val="18"/>
              </w:rPr>
            </w:pPr>
            <w:r>
              <w:rPr>
                <w:noProof/>
                <w:sz w:val="18"/>
              </w:rPr>
              <w:t>Cost</w:t>
            </w:r>
          </w:p>
        </w:tc>
        <w:tc>
          <w:tcPr>
            <w:tcW w:w="360" w:type="dxa"/>
            <w:tcBorders>
              <w:right w:val="dashSmallGap" w:sz="4" w:space="0" w:color="auto"/>
            </w:tcBorders>
            <w:shd w:val="pct10" w:color="auto" w:fill="auto"/>
            <w:textDirection w:val="btLr"/>
            <w:vAlign w:val="center"/>
          </w:tcPr>
          <w:p>
            <w:pPr>
              <w:ind w:left="113" w:right="113"/>
              <w:jc w:val="center"/>
              <w:rPr>
                <w:noProof/>
                <w:sz w:val="18"/>
                <w:szCs w:val="18"/>
              </w:rPr>
            </w:pPr>
            <w:r>
              <w:rPr>
                <w:noProof/>
                <w:sz w:val="18"/>
              </w:rPr>
              <w:t>No</w:t>
            </w:r>
          </w:p>
        </w:tc>
        <w:tc>
          <w:tcPr>
            <w:tcW w:w="672" w:type="dxa"/>
            <w:tcBorders>
              <w:left w:val="dashSmallGap" w:sz="4" w:space="0" w:color="auto"/>
            </w:tcBorders>
            <w:shd w:val="pct10" w:color="auto" w:fill="auto"/>
            <w:vAlign w:val="center"/>
          </w:tcPr>
          <w:p>
            <w:pPr>
              <w:jc w:val="center"/>
              <w:rPr>
                <w:noProof/>
                <w:sz w:val="18"/>
                <w:szCs w:val="18"/>
              </w:rPr>
            </w:pPr>
            <w:r>
              <w:rPr>
                <w:noProof/>
                <w:sz w:val="18"/>
              </w:rPr>
              <w:t>Cost</w:t>
            </w:r>
          </w:p>
        </w:tc>
        <w:tc>
          <w:tcPr>
            <w:tcW w:w="360" w:type="dxa"/>
            <w:tcBorders>
              <w:right w:val="dashSmallGap" w:sz="4" w:space="0" w:color="auto"/>
            </w:tcBorders>
            <w:shd w:val="pct10" w:color="auto" w:fill="auto"/>
            <w:textDirection w:val="btLr"/>
            <w:vAlign w:val="center"/>
          </w:tcPr>
          <w:p>
            <w:pPr>
              <w:ind w:left="113" w:right="113"/>
              <w:jc w:val="center"/>
              <w:rPr>
                <w:noProof/>
                <w:sz w:val="18"/>
                <w:szCs w:val="18"/>
              </w:rPr>
            </w:pPr>
            <w:r>
              <w:rPr>
                <w:noProof/>
                <w:sz w:val="18"/>
              </w:rPr>
              <w:t>No</w:t>
            </w:r>
          </w:p>
        </w:tc>
        <w:tc>
          <w:tcPr>
            <w:tcW w:w="720" w:type="dxa"/>
            <w:tcBorders>
              <w:left w:val="dashSmallGap" w:sz="4" w:space="0" w:color="auto"/>
            </w:tcBorders>
            <w:shd w:val="pct10" w:color="auto" w:fill="auto"/>
            <w:vAlign w:val="center"/>
          </w:tcPr>
          <w:p>
            <w:pPr>
              <w:jc w:val="center"/>
              <w:rPr>
                <w:noProof/>
                <w:sz w:val="18"/>
                <w:szCs w:val="18"/>
              </w:rPr>
            </w:pPr>
            <w:r>
              <w:rPr>
                <w:noProof/>
                <w:sz w:val="18"/>
              </w:rPr>
              <w:t>Cost</w:t>
            </w:r>
          </w:p>
        </w:tc>
        <w:tc>
          <w:tcPr>
            <w:tcW w:w="360" w:type="dxa"/>
            <w:tcBorders>
              <w:right w:val="dashSmallGap" w:sz="4" w:space="0" w:color="auto"/>
            </w:tcBorders>
            <w:shd w:val="pct10" w:color="auto" w:fill="auto"/>
            <w:textDirection w:val="btLr"/>
            <w:vAlign w:val="center"/>
          </w:tcPr>
          <w:p>
            <w:pPr>
              <w:ind w:left="113" w:right="113"/>
              <w:jc w:val="center"/>
              <w:rPr>
                <w:noProof/>
                <w:sz w:val="18"/>
                <w:szCs w:val="18"/>
              </w:rPr>
            </w:pPr>
            <w:r>
              <w:rPr>
                <w:noProof/>
                <w:sz w:val="18"/>
              </w:rPr>
              <w:t>No</w:t>
            </w:r>
          </w:p>
        </w:tc>
        <w:tc>
          <w:tcPr>
            <w:tcW w:w="840" w:type="dxa"/>
            <w:tcBorders>
              <w:left w:val="dashSmallGap" w:sz="4" w:space="0" w:color="auto"/>
            </w:tcBorders>
            <w:shd w:val="pct10" w:color="auto" w:fill="auto"/>
            <w:vAlign w:val="center"/>
          </w:tcPr>
          <w:p>
            <w:pPr>
              <w:jc w:val="center"/>
              <w:rPr>
                <w:noProof/>
                <w:sz w:val="18"/>
                <w:szCs w:val="18"/>
              </w:rPr>
            </w:pPr>
            <w:r>
              <w:rPr>
                <w:noProof/>
                <w:sz w:val="18"/>
              </w:rPr>
              <w:t>Cost</w:t>
            </w:r>
          </w:p>
        </w:tc>
        <w:tc>
          <w:tcPr>
            <w:tcW w:w="360" w:type="dxa"/>
            <w:tcBorders>
              <w:right w:val="dashSmallGap" w:sz="4" w:space="0" w:color="auto"/>
            </w:tcBorders>
            <w:shd w:val="pct10" w:color="auto" w:fill="auto"/>
            <w:textDirection w:val="btLr"/>
            <w:vAlign w:val="center"/>
          </w:tcPr>
          <w:p>
            <w:pPr>
              <w:ind w:left="113" w:right="113"/>
              <w:jc w:val="center"/>
              <w:rPr>
                <w:noProof/>
                <w:sz w:val="18"/>
                <w:szCs w:val="18"/>
              </w:rPr>
            </w:pPr>
            <w:r>
              <w:rPr>
                <w:noProof/>
                <w:sz w:val="18"/>
              </w:rPr>
              <w:t>No</w:t>
            </w:r>
          </w:p>
        </w:tc>
        <w:tc>
          <w:tcPr>
            <w:tcW w:w="840" w:type="dxa"/>
            <w:tcBorders>
              <w:left w:val="dashSmallGap" w:sz="4" w:space="0" w:color="auto"/>
            </w:tcBorders>
            <w:shd w:val="pct10" w:color="auto" w:fill="auto"/>
            <w:vAlign w:val="center"/>
          </w:tcPr>
          <w:p>
            <w:pPr>
              <w:jc w:val="center"/>
              <w:rPr>
                <w:noProof/>
                <w:sz w:val="18"/>
                <w:szCs w:val="18"/>
              </w:rPr>
            </w:pPr>
            <w:r>
              <w:rPr>
                <w:noProof/>
                <w:sz w:val="18"/>
              </w:rPr>
              <w:t>Cost</w:t>
            </w:r>
          </w:p>
        </w:tc>
        <w:tc>
          <w:tcPr>
            <w:tcW w:w="360" w:type="dxa"/>
            <w:tcBorders>
              <w:right w:val="dashSmallGap" w:sz="4" w:space="0" w:color="auto"/>
            </w:tcBorders>
            <w:shd w:val="pct10" w:color="auto" w:fill="auto"/>
            <w:textDirection w:val="btLr"/>
            <w:vAlign w:val="center"/>
          </w:tcPr>
          <w:p>
            <w:pPr>
              <w:ind w:left="113" w:right="113"/>
              <w:jc w:val="center"/>
              <w:rPr>
                <w:noProof/>
                <w:sz w:val="18"/>
              </w:rPr>
            </w:pPr>
            <w:r>
              <w:rPr>
                <w:noProof/>
                <w:sz w:val="18"/>
              </w:rPr>
              <w:t>No</w:t>
            </w:r>
          </w:p>
        </w:tc>
        <w:tc>
          <w:tcPr>
            <w:tcW w:w="840" w:type="dxa"/>
            <w:tcBorders>
              <w:left w:val="dashSmallGap" w:sz="4" w:space="0" w:color="auto"/>
            </w:tcBorders>
            <w:shd w:val="pct10" w:color="auto" w:fill="auto"/>
            <w:vAlign w:val="center"/>
          </w:tcPr>
          <w:p>
            <w:pPr>
              <w:jc w:val="center"/>
              <w:rPr>
                <w:noProof/>
                <w:sz w:val="18"/>
              </w:rPr>
            </w:pPr>
            <w:r>
              <w:rPr>
                <w:noProof/>
                <w:sz w:val="18"/>
              </w:rPr>
              <w:t>Cost</w:t>
            </w:r>
          </w:p>
        </w:tc>
        <w:tc>
          <w:tcPr>
            <w:tcW w:w="360" w:type="dxa"/>
            <w:tcBorders>
              <w:right w:val="dashSmallGap" w:sz="4" w:space="0" w:color="auto"/>
            </w:tcBorders>
            <w:shd w:val="pct10" w:color="auto" w:fill="auto"/>
            <w:textDirection w:val="btLr"/>
            <w:vAlign w:val="center"/>
          </w:tcPr>
          <w:p>
            <w:pPr>
              <w:ind w:left="113" w:right="113"/>
              <w:jc w:val="center"/>
              <w:rPr>
                <w:noProof/>
                <w:sz w:val="18"/>
                <w:szCs w:val="18"/>
              </w:rPr>
            </w:pPr>
            <w:r>
              <w:rPr>
                <w:noProof/>
                <w:sz w:val="18"/>
              </w:rPr>
              <w:t>Total No</w:t>
            </w:r>
          </w:p>
        </w:tc>
        <w:tc>
          <w:tcPr>
            <w:tcW w:w="1320" w:type="dxa"/>
            <w:tcBorders>
              <w:left w:val="dashSmallGap" w:sz="4" w:space="0" w:color="auto"/>
              <w:right w:val="single" w:sz="12" w:space="0" w:color="auto"/>
            </w:tcBorders>
            <w:shd w:val="pct10" w:color="auto" w:fill="auto"/>
            <w:vAlign w:val="center"/>
          </w:tcPr>
          <w:p>
            <w:pPr>
              <w:jc w:val="center"/>
              <w:rPr>
                <w:noProof/>
                <w:sz w:val="18"/>
                <w:szCs w:val="18"/>
              </w:rPr>
            </w:pPr>
            <w:r>
              <w:rPr>
                <w:noProof/>
                <w:sz w:val="18"/>
              </w:rPr>
              <w:t>Total cost</w:t>
            </w:r>
          </w:p>
        </w:tc>
      </w:tr>
      <w:tr>
        <w:trPr>
          <w:jc w:val="center"/>
        </w:trPr>
        <w:tc>
          <w:tcPr>
            <w:tcW w:w="2802" w:type="dxa"/>
            <w:gridSpan w:val="3"/>
            <w:tcBorders>
              <w:left w:val="single" w:sz="12" w:space="0" w:color="auto"/>
            </w:tcBorders>
            <w:vAlign w:val="center"/>
          </w:tcPr>
          <w:p>
            <w:pPr>
              <w:spacing w:before="60" w:after="60"/>
              <w:ind w:right="-29"/>
              <w:jc w:val="center"/>
              <w:rPr>
                <w:noProof/>
                <w:sz w:val="18"/>
              </w:rPr>
            </w:pPr>
            <w:r>
              <w:rPr>
                <w:noProof/>
                <w:sz w:val="18"/>
              </w:rPr>
              <w:t>SPECIFIC OBJECTIVE No 5</w:t>
            </w:r>
            <w:r>
              <w:rPr>
                <w:rStyle w:val="FootnoteReference"/>
                <w:noProof/>
              </w:rPr>
              <w:footnoteReference w:id="103"/>
            </w:r>
          </w:p>
          <w:p>
            <w:pPr>
              <w:spacing w:before="60" w:after="60"/>
              <w:ind w:right="-29"/>
              <w:jc w:val="center"/>
              <w:rPr>
                <w:noProof/>
                <w:sz w:val="18"/>
                <w:szCs w:val="18"/>
              </w:rPr>
            </w:pPr>
            <w:r>
              <w:rPr>
                <w:noProof/>
                <w:sz w:val="18"/>
              </w:rPr>
              <w:t>Update NUI</w:t>
            </w:r>
          </w:p>
        </w:tc>
        <w:tc>
          <w:tcPr>
            <w:tcW w:w="303" w:type="dxa"/>
            <w:tcBorders>
              <w:right w:val="nil"/>
            </w:tcBorders>
          </w:tcPr>
          <w:p>
            <w:pPr>
              <w:spacing w:before="60" w:after="60"/>
              <w:ind w:right="-29"/>
              <w:jc w:val="center"/>
              <w:rPr>
                <w:noProof/>
                <w:sz w:val="18"/>
                <w:szCs w:val="18"/>
              </w:rPr>
            </w:pPr>
          </w:p>
        </w:tc>
        <w:tc>
          <w:tcPr>
            <w:tcW w:w="867" w:type="dxa"/>
            <w:tcBorders>
              <w:left w:val="nil"/>
              <w:bottom w:val="single" w:sz="4" w:space="0" w:color="auto"/>
            </w:tcBorders>
          </w:tcPr>
          <w:p>
            <w:pPr>
              <w:spacing w:before="60" w:after="60"/>
              <w:ind w:right="-29"/>
              <w:jc w:val="center"/>
              <w:rPr>
                <w:noProof/>
                <w:sz w:val="18"/>
                <w:szCs w:val="18"/>
              </w:rPr>
            </w:pPr>
          </w:p>
        </w:tc>
        <w:tc>
          <w:tcPr>
            <w:tcW w:w="330" w:type="dxa"/>
            <w:tcBorders>
              <w:top w:val="nil"/>
              <w:left w:val="nil"/>
              <w:bottom w:val="nil"/>
              <w:right w:val="nil"/>
            </w:tcBorders>
          </w:tcPr>
          <w:p>
            <w:pPr>
              <w:spacing w:before="60" w:after="60"/>
              <w:ind w:right="-29"/>
              <w:jc w:val="center"/>
              <w:rPr>
                <w:noProof/>
                <w:sz w:val="18"/>
                <w:szCs w:val="18"/>
              </w:rPr>
            </w:pPr>
          </w:p>
        </w:tc>
        <w:tc>
          <w:tcPr>
            <w:tcW w:w="840" w:type="dxa"/>
            <w:tcBorders>
              <w:top w:val="nil"/>
              <w:left w:val="nil"/>
              <w:bottom w:val="nil"/>
              <w:right w:val="nil"/>
            </w:tcBorders>
          </w:tcPr>
          <w:p>
            <w:pPr>
              <w:spacing w:before="60" w:after="60"/>
              <w:ind w:right="-29"/>
              <w:jc w:val="center"/>
              <w:rPr>
                <w:noProof/>
                <w:sz w:val="18"/>
                <w:szCs w:val="18"/>
              </w:rPr>
            </w:pPr>
          </w:p>
        </w:tc>
        <w:tc>
          <w:tcPr>
            <w:tcW w:w="360" w:type="dxa"/>
            <w:tcBorders>
              <w:top w:val="nil"/>
              <w:left w:val="nil"/>
              <w:bottom w:val="nil"/>
              <w:right w:val="nil"/>
            </w:tcBorders>
          </w:tcPr>
          <w:p>
            <w:pPr>
              <w:spacing w:before="60" w:after="60"/>
              <w:ind w:right="-29"/>
              <w:jc w:val="center"/>
              <w:rPr>
                <w:noProof/>
                <w:sz w:val="18"/>
                <w:szCs w:val="18"/>
              </w:rPr>
            </w:pPr>
          </w:p>
        </w:tc>
        <w:tc>
          <w:tcPr>
            <w:tcW w:w="840" w:type="dxa"/>
            <w:tcBorders>
              <w:top w:val="nil"/>
              <w:left w:val="nil"/>
              <w:bottom w:val="nil"/>
              <w:right w:val="nil"/>
            </w:tcBorders>
          </w:tcPr>
          <w:p>
            <w:pPr>
              <w:spacing w:before="60" w:after="60"/>
              <w:ind w:right="-29"/>
              <w:jc w:val="center"/>
              <w:rPr>
                <w:noProof/>
                <w:sz w:val="18"/>
                <w:szCs w:val="18"/>
              </w:rPr>
            </w:pPr>
          </w:p>
        </w:tc>
        <w:tc>
          <w:tcPr>
            <w:tcW w:w="360" w:type="dxa"/>
            <w:tcBorders>
              <w:top w:val="nil"/>
              <w:left w:val="nil"/>
              <w:bottom w:val="nil"/>
              <w:right w:val="nil"/>
            </w:tcBorders>
          </w:tcPr>
          <w:p>
            <w:pPr>
              <w:spacing w:before="60" w:after="60"/>
              <w:ind w:right="-29"/>
              <w:jc w:val="center"/>
              <w:rPr>
                <w:noProof/>
                <w:sz w:val="18"/>
                <w:szCs w:val="18"/>
              </w:rPr>
            </w:pPr>
          </w:p>
        </w:tc>
        <w:tc>
          <w:tcPr>
            <w:tcW w:w="840" w:type="dxa"/>
            <w:tcBorders>
              <w:top w:val="nil"/>
              <w:left w:val="nil"/>
              <w:bottom w:val="nil"/>
              <w:right w:val="nil"/>
            </w:tcBorders>
          </w:tcPr>
          <w:p>
            <w:pPr>
              <w:spacing w:before="60" w:after="60"/>
              <w:ind w:right="-29"/>
              <w:jc w:val="center"/>
              <w:rPr>
                <w:noProof/>
                <w:sz w:val="18"/>
                <w:szCs w:val="18"/>
              </w:rPr>
            </w:pPr>
          </w:p>
        </w:tc>
        <w:tc>
          <w:tcPr>
            <w:tcW w:w="360" w:type="dxa"/>
            <w:tcBorders>
              <w:top w:val="nil"/>
              <w:left w:val="nil"/>
              <w:bottom w:val="nil"/>
              <w:right w:val="nil"/>
            </w:tcBorders>
          </w:tcPr>
          <w:p>
            <w:pPr>
              <w:spacing w:before="60" w:after="60"/>
              <w:ind w:right="-29"/>
              <w:jc w:val="center"/>
              <w:rPr>
                <w:noProof/>
                <w:sz w:val="18"/>
                <w:szCs w:val="18"/>
              </w:rPr>
            </w:pPr>
          </w:p>
        </w:tc>
        <w:tc>
          <w:tcPr>
            <w:tcW w:w="672" w:type="dxa"/>
            <w:tcBorders>
              <w:top w:val="nil"/>
              <w:left w:val="nil"/>
              <w:bottom w:val="nil"/>
              <w:right w:val="nil"/>
            </w:tcBorders>
          </w:tcPr>
          <w:p>
            <w:pPr>
              <w:spacing w:before="60" w:after="60"/>
              <w:ind w:right="-29"/>
              <w:jc w:val="center"/>
              <w:rPr>
                <w:noProof/>
                <w:sz w:val="18"/>
                <w:szCs w:val="18"/>
              </w:rPr>
            </w:pPr>
          </w:p>
        </w:tc>
        <w:tc>
          <w:tcPr>
            <w:tcW w:w="360" w:type="dxa"/>
            <w:tcBorders>
              <w:top w:val="nil"/>
              <w:left w:val="nil"/>
              <w:bottom w:val="nil"/>
              <w:right w:val="nil"/>
            </w:tcBorders>
          </w:tcPr>
          <w:p>
            <w:pPr>
              <w:spacing w:before="60" w:after="60"/>
              <w:ind w:right="-29"/>
              <w:jc w:val="center"/>
              <w:rPr>
                <w:noProof/>
                <w:sz w:val="18"/>
                <w:szCs w:val="18"/>
              </w:rPr>
            </w:pPr>
          </w:p>
        </w:tc>
        <w:tc>
          <w:tcPr>
            <w:tcW w:w="720" w:type="dxa"/>
            <w:tcBorders>
              <w:top w:val="nil"/>
              <w:left w:val="nil"/>
              <w:bottom w:val="nil"/>
              <w:right w:val="nil"/>
            </w:tcBorders>
          </w:tcPr>
          <w:p>
            <w:pPr>
              <w:spacing w:before="60" w:after="60"/>
              <w:ind w:right="-29"/>
              <w:jc w:val="center"/>
              <w:rPr>
                <w:noProof/>
                <w:sz w:val="18"/>
                <w:szCs w:val="18"/>
              </w:rPr>
            </w:pPr>
          </w:p>
        </w:tc>
        <w:tc>
          <w:tcPr>
            <w:tcW w:w="360" w:type="dxa"/>
            <w:tcBorders>
              <w:top w:val="nil"/>
              <w:left w:val="nil"/>
              <w:bottom w:val="nil"/>
              <w:right w:val="nil"/>
            </w:tcBorders>
          </w:tcPr>
          <w:p>
            <w:pPr>
              <w:spacing w:before="60" w:after="60"/>
              <w:ind w:right="-29"/>
              <w:jc w:val="center"/>
              <w:rPr>
                <w:noProof/>
                <w:sz w:val="18"/>
                <w:szCs w:val="18"/>
              </w:rPr>
            </w:pPr>
          </w:p>
        </w:tc>
        <w:tc>
          <w:tcPr>
            <w:tcW w:w="840" w:type="dxa"/>
            <w:tcBorders>
              <w:top w:val="nil"/>
              <w:left w:val="nil"/>
              <w:bottom w:val="nil"/>
              <w:right w:val="nil"/>
            </w:tcBorders>
          </w:tcPr>
          <w:p>
            <w:pPr>
              <w:spacing w:before="60" w:after="60"/>
              <w:ind w:right="-29"/>
              <w:jc w:val="center"/>
              <w:rPr>
                <w:noProof/>
                <w:sz w:val="18"/>
                <w:szCs w:val="18"/>
              </w:rPr>
            </w:pPr>
          </w:p>
        </w:tc>
        <w:tc>
          <w:tcPr>
            <w:tcW w:w="360" w:type="dxa"/>
            <w:tcBorders>
              <w:top w:val="nil"/>
              <w:left w:val="nil"/>
              <w:bottom w:val="nil"/>
              <w:right w:val="nil"/>
            </w:tcBorders>
          </w:tcPr>
          <w:p>
            <w:pPr>
              <w:spacing w:before="60" w:after="60"/>
              <w:ind w:right="-29"/>
              <w:jc w:val="center"/>
              <w:rPr>
                <w:noProof/>
                <w:sz w:val="18"/>
                <w:szCs w:val="18"/>
              </w:rPr>
            </w:pPr>
          </w:p>
        </w:tc>
        <w:tc>
          <w:tcPr>
            <w:tcW w:w="840" w:type="dxa"/>
            <w:tcBorders>
              <w:top w:val="nil"/>
              <w:left w:val="nil"/>
              <w:bottom w:val="nil"/>
              <w:right w:val="nil"/>
            </w:tcBorders>
          </w:tcPr>
          <w:p>
            <w:pPr>
              <w:spacing w:before="60" w:after="60"/>
              <w:ind w:right="-29"/>
              <w:jc w:val="center"/>
              <w:rPr>
                <w:noProof/>
                <w:sz w:val="18"/>
                <w:szCs w:val="18"/>
              </w:rPr>
            </w:pPr>
          </w:p>
        </w:tc>
        <w:tc>
          <w:tcPr>
            <w:tcW w:w="1200" w:type="dxa"/>
            <w:gridSpan w:val="2"/>
            <w:tcBorders>
              <w:top w:val="nil"/>
              <w:left w:val="nil"/>
              <w:bottom w:val="nil"/>
              <w:right w:val="nil"/>
            </w:tcBorders>
          </w:tcPr>
          <w:p>
            <w:pPr>
              <w:spacing w:before="60" w:after="60"/>
              <w:ind w:right="-29"/>
              <w:jc w:val="center"/>
              <w:rPr>
                <w:noProof/>
                <w:sz w:val="18"/>
                <w:szCs w:val="18"/>
              </w:rPr>
            </w:pPr>
          </w:p>
        </w:tc>
        <w:tc>
          <w:tcPr>
            <w:tcW w:w="360" w:type="dxa"/>
            <w:tcBorders>
              <w:top w:val="nil"/>
              <w:left w:val="nil"/>
              <w:bottom w:val="nil"/>
              <w:right w:val="nil"/>
            </w:tcBorders>
          </w:tcPr>
          <w:p>
            <w:pPr>
              <w:spacing w:before="60" w:after="60"/>
              <w:ind w:right="-29"/>
              <w:jc w:val="center"/>
              <w:rPr>
                <w:noProof/>
                <w:sz w:val="18"/>
                <w:szCs w:val="18"/>
              </w:rPr>
            </w:pPr>
          </w:p>
        </w:tc>
        <w:tc>
          <w:tcPr>
            <w:tcW w:w="1320" w:type="dxa"/>
            <w:tcBorders>
              <w:top w:val="nil"/>
              <w:left w:val="nil"/>
              <w:bottom w:val="single" w:sz="4" w:space="0" w:color="auto"/>
              <w:right w:val="single" w:sz="12" w:space="0" w:color="auto"/>
            </w:tcBorders>
          </w:tcPr>
          <w:p>
            <w:pPr>
              <w:spacing w:before="60" w:after="60"/>
              <w:ind w:right="-29"/>
              <w:jc w:val="center"/>
              <w:rPr>
                <w:noProof/>
                <w:sz w:val="18"/>
                <w:szCs w:val="18"/>
              </w:rPr>
            </w:pPr>
          </w:p>
        </w:tc>
      </w:tr>
      <w:tr>
        <w:trPr>
          <w:trHeight w:hRule="exact" w:val="604"/>
          <w:jc w:val="center"/>
        </w:trPr>
        <w:tc>
          <w:tcPr>
            <w:tcW w:w="1422" w:type="dxa"/>
            <w:tcBorders>
              <w:left w:val="single" w:sz="12" w:space="0" w:color="auto"/>
            </w:tcBorders>
          </w:tcPr>
          <w:p>
            <w:pPr>
              <w:ind w:right="-29"/>
              <w:jc w:val="center"/>
              <w:rPr>
                <w:noProof/>
                <w:sz w:val="18"/>
                <w:szCs w:val="18"/>
              </w:rPr>
            </w:pPr>
            <w:r>
              <w:rPr>
                <w:noProof/>
                <w:sz w:val="18"/>
              </w:rPr>
              <w:t xml:space="preserve">NUI updated </w:t>
            </w:r>
          </w:p>
        </w:tc>
        <w:tc>
          <w:tcPr>
            <w:tcW w:w="1380" w:type="dxa"/>
            <w:gridSpan w:val="2"/>
          </w:tcPr>
          <w:p>
            <w:pPr>
              <w:ind w:right="-29"/>
              <w:rPr>
                <w:noProof/>
                <w:sz w:val="18"/>
                <w:szCs w:val="18"/>
              </w:rPr>
            </w:pPr>
            <w:r>
              <w:rPr>
                <w:noProof/>
                <w:sz w:val="18"/>
                <w:szCs w:val="18"/>
              </w:rPr>
              <w:t>Contractor</w:t>
            </w:r>
          </w:p>
        </w:tc>
        <w:tc>
          <w:tcPr>
            <w:tcW w:w="303" w:type="dxa"/>
            <w:tcBorders>
              <w:right w:val="dashSmallGap" w:sz="4" w:space="0" w:color="auto"/>
            </w:tcBorders>
          </w:tcPr>
          <w:p>
            <w:pPr>
              <w:ind w:right="-29"/>
              <w:jc w:val="center"/>
              <w:rPr>
                <w:noProof/>
                <w:sz w:val="18"/>
                <w:szCs w:val="18"/>
              </w:rPr>
            </w:pPr>
          </w:p>
        </w:tc>
        <w:tc>
          <w:tcPr>
            <w:tcW w:w="867" w:type="dxa"/>
            <w:tcBorders>
              <w:left w:val="dashSmallGap" w:sz="4" w:space="0" w:color="auto"/>
              <w:bottom w:val="single" w:sz="4" w:space="0" w:color="auto"/>
            </w:tcBorders>
          </w:tcPr>
          <w:p>
            <w:pPr>
              <w:ind w:right="-29"/>
              <w:jc w:val="center"/>
              <w:rPr>
                <w:noProof/>
                <w:sz w:val="18"/>
                <w:szCs w:val="18"/>
              </w:rPr>
            </w:pPr>
            <w:r>
              <w:rPr>
                <w:noProof/>
                <w:sz w:val="18"/>
                <w:szCs w:val="18"/>
              </w:rPr>
              <w:t>0</w:t>
            </w:r>
          </w:p>
        </w:tc>
        <w:tc>
          <w:tcPr>
            <w:tcW w:w="330" w:type="dxa"/>
            <w:tcBorders>
              <w:right w:val="dashSmallGap" w:sz="4" w:space="0" w:color="auto"/>
            </w:tcBorders>
          </w:tcPr>
          <w:p>
            <w:pPr>
              <w:ind w:right="-29"/>
              <w:jc w:val="center"/>
              <w:rPr>
                <w:noProof/>
                <w:sz w:val="18"/>
                <w:szCs w:val="18"/>
              </w:rPr>
            </w:pPr>
          </w:p>
        </w:tc>
        <w:tc>
          <w:tcPr>
            <w:tcW w:w="840" w:type="dxa"/>
            <w:tcBorders>
              <w:left w:val="dashSmallGap" w:sz="4" w:space="0" w:color="auto"/>
            </w:tcBorders>
          </w:tcPr>
          <w:p>
            <w:pPr>
              <w:ind w:right="-29"/>
              <w:jc w:val="center"/>
              <w:rPr>
                <w:noProof/>
                <w:sz w:val="18"/>
                <w:szCs w:val="18"/>
              </w:rPr>
            </w:pPr>
            <w:r>
              <w:rPr>
                <w:noProof/>
                <w:sz w:val="18"/>
                <w:szCs w:val="18"/>
              </w:rPr>
              <w:t>0</w:t>
            </w:r>
          </w:p>
        </w:tc>
        <w:tc>
          <w:tcPr>
            <w:tcW w:w="360" w:type="dxa"/>
            <w:tcBorders>
              <w:right w:val="dashSmallGap" w:sz="4" w:space="0" w:color="auto"/>
            </w:tcBorders>
          </w:tcPr>
          <w:p>
            <w:pPr>
              <w:ind w:right="-29"/>
              <w:jc w:val="center"/>
              <w:rPr>
                <w:noProof/>
                <w:sz w:val="18"/>
                <w:szCs w:val="18"/>
              </w:rPr>
            </w:pPr>
          </w:p>
        </w:tc>
        <w:tc>
          <w:tcPr>
            <w:tcW w:w="840" w:type="dxa"/>
            <w:tcBorders>
              <w:left w:val="dashSmallGap" w:sz="4" w:space="0" w:color="auto"/>
            </w:tcBorders>
          </w:tcPr>
          <w:p>
            <w:pPr>
              <w:ind w:right="-29"/>
              <w:jc w:val="center"/>
              <w:rPr>
                <w:noProof/>
                <w:sz w:val="18"/>
                <w:szCs w:val="18"/>
              </w:rPr>
            </w:pPr>
            <w:r>
              <w:rPr>
                <w:noProof/>
                <w:sz w:val="18"/>
                <w:szCs w:val="18"/>
              </w:rPr>
              <w:t>0</w:t>
            </w:r>
          </w:p>
        </w:tc>
        <w:tc>
          <w:tcPr>
            <w:tcW w:w="360" w:type="dxa"/>
            <w:tcBorders>
              <w:right w:val="dashSmallGap" w:sz="4" w:space="0" w:color="auto"/>
            </w:tcBorders>
          </w:tcPr>
          <w:p>
            <w:pPr>
              <w:ind w:right="-29"/>
              <w:jc w:val="center"/>
              <w:rPr>
                <w:noProof/>
                <w:sz w:val="18"/>
                <w:szCs w:val="18"/>
              </w:rPr>
            </w:pPr>
          </w:p>
        </w:tc>
        <w:tc>
          <w:tcPr>
            <w:tcW w:w="840" w:type="dxa"/>
            <w:tcBorders>
              <w:left w:val="dashSmallGap" w:sz="4" w:space="0" w:color="auto"/>
            </w:tcBorders>
          </w:tcPr>
          <w:p>
            <w:pPr>
              <w:ind w:right="-29"/>
              <w:jc w:val="center"/>
              <w:rPr>
                <w:noProof/>
                <w:sz w:val="18"/>
                <w:szCs w:val="18"/>
              </w:rPr>
            </w:pPr>
            <w:r>
              <w:rPr>
                <w:noProof/>
                <w:sz w:val="18"/>
                <w:szCs w:val="18"/>
              </w:rPr>
              <w:t>0,505</w:t>
            </w:r>
          </w:p>
        </w:tc>
        <w:tc>
          <w:tcPr>
            <w:tcW w:w="360" w:type="dxa"/>
            <w:tcBorders>
              <w:right w:val="dashSmallGap" w:sz="4" w:space="0" w:color="auto"/>
            </w:tcBorders>
          </w:tcPr>
          <w:p>
            <w:pPr>
              <w:ind w:right="-29"/>
              <w:jc w:val="center"/>
              <w:rPr>
                <w:noProof/>
                <w:sz w:val="18"/>
                <w:szCs w:val="18"/>
              </w:rPr>
            </w:pPr>
          </w:p>
        </w:tc>
        <w:tc>
          <w:tcPr>
            <w:tcW w:w="672" w:type="dxa"/>
            <w:tcBorders>
              <w:left w:val="dashSmallGap" w:sz="4" w:space="0" w:color="auto"/>
            </w:tcBorders>
          </w:tcPr>
          <w:p>
            <w:pPr>
              <w:ind w:right="-29"/>
              <w:jc w:val="center"/>
              <w:rPr>
                <w:noProof/>
                <w:sz w:val="18"/>
                <w:szCs w:val="18"/>
              </w:rPr>
            </w:pPr>
            <w:r>
              <w:rPr>
                <w:noProof/>
                <w:sz w:val="18"/>
                <w:szCs w:val="18"/>
              </w:rPr>
              <w:t>0,505</w:t>
            </w:r>
          </w:p>
        </w:tc>
        <w:tc>
          <w:tcPr>
            <w:tcW w:w="360" w:type="dxa"/>
            <w:tcBorders>
              <w:right w:val="dashSmallGap" w:sz="4" w:space="0" w:color="auto"/>
            </w:tcBorders>
          </w:tcPr>
          <w:p>
            <w:pPr>
              <w:ind w:right="-29"/>
              <w:jc w:val="center"/>
              <w:rPr>
                <w:noProof/>
                <w:sz w:val="18"/>
                <w:szCs w:val="18"/>
              </w:rPr>
            </w:pPr>
          </w:p>
        </w:tc>
        <w:tc>
          <w:tcPr>
            <w:tcW w:w="720" w:type="dxa"/>
            <w:tcBorders>
              <w:left w:val="dashSmallGap" w:sz="4" w:space="0" w:color="auto"/>
            </w:tcBorders>
          </w:tcPr>
          <w:p>
            <w:pPr>
              <w:ind w:right="-29"/>
              <w:jc w:val="center"/>
              <w:rPr>
                <w:noProof/>
                <w:sz w:val="18"/>
                <w:szCs w:val="18"/>
              </w:rPr>
            </w:pPr>
          </w:p>
        </w:tc>
        <w:tc>
          <w:tcPr>
            <w:tcW w:w="360" w:type="dxa"/>
            <w:tcBorders>
              <w:right w:val="dashSmallGap" w:sz="4" w:space="0" w:color="auto"/>
            </w:tcBorders>
          </w:tcPr>
          <w:p>
            <w:pPr>
              <w:ind w:right="-29"/>
              <w:jc w:val="center"/>
              <w:rPr>
                <w:noProof/>
                <w:sz w:val="18"/>
                <w:szCs w:val="18"/>
              </w:rPr>
            </w:pPr>
          </w:p>
        </w:tc>
        <w:tc>
          <w:tcPr>
            <w:tcW w:w="840" w:type="dxa"/>
            <w:tcBorders>
              <w:left w:val="dashSmallGap" w:sz="4" w:space="0" w:color="auto"/>
            </w:tcBorders>
          </w:tcPr>
          <w:p>
            <w:pPr>
              <w:ind w:right="-29"/>
              <w:jc w:val="center"/>
              <w:rPr>
                <w:noProof/>
                <w:sz w:val="18"/>
                <w:szCs w:val="18"/>
              </w:rPr>
            </w:pPr>
          </w:p>
        </w:tc>
        <w:tc>
          <w:tcPr>
            <w:tcW w:w="360" w:type="dxa"/>
            <w:tcBorders>
              <w:right w:val="dashSmallGap" w:sz="4" w:space="0" w:color="auto"/>
            </w:tcBorders>
          </w:tcPr>
          <w:p>
            <w:pPr>
              <w:ind w:right="-29"/>
              <w:jc w:val="center"/>
              <w:rPr>
                <w:noProof/>
                <w:sz w:val="18"/>
                <w:szCs w:val="18"/>
              </w:rPr>
            </w:pPr>
          </w:p>
        </w:tc>
        <w:tc>
          <w:tcPr>
            <w:tcW w:w="840" w:type="dxa"/>
            <w:tcBorders>
              <w:left w:val="dashSmallGap" w:sz="4" w:space="0" w:color="auto"/>
            </w:tcBorders>
          </w:tcPr>
          <w:p>
            <w:pPr>
              <w:ind w:right="-29"/>
              <w:jc w:val="center"/>
              <w:rPr>
                <w:noProof/>
                <w:sz w:val="18"/>
                <w:szCs w:val="18"/>
              </w:rPr>
            </w:pPr>
          </w:p>
        </w:tc>
        <w:tc>
          <w:tcPr>
            <w:tcW w:w="360" w:type="dxa"/>
            <w:tcBorders>
              <w:right w:val="dashSmallGap" w:sz="4" w:space="0" w:color="auto"/>
            </w:tcBorders>
          </w:tcPr>
          <w:p>
            <w:pPr>
              <w:ind w:right="-29"/>
              <w:jc w:val="center"/>
              <w:rPr>
                <w:noProof/>
                <w:sz w:val="18"/>
                <w:szCs w:val="18"/>
              </w:rPr>
            </w:pPr>
          </w:p>
        </w:tc>
        <w:tc>
          <w:tcPr>
            <w:tcW w:w="840" w:type="dxa"/>
            <w:tcBorders>
              <w:left w:val="dashSmallGap" w:sz="4" w:space="0" w:color="auto"/>
              <w:bottom w:val="single" w:sz="4" w:space="0" w:color="auto"/>
            </w:tcBorders>
          </w:tcPr>
          <w:p>
            <w:pPr>
              <w:ind w:right="-29"/>
              <w:jc w:val="center"/>
              <w:rPr>
                <w:noProof/>
                <w:sz w:val="18"/>
                <w:szCs w:val="18"/>
              </w:rPr>
            </w:pPr>
            <w:r>
              <w:rPr>
                <w:noProof/>
                <w:sz w:val="18"/>
                <w:szCs w:val="18"/>
              </w:rPr>
              <w:t>0</w:t>
            </w:r>
          </w:p>
        </w:tc>
        <w:tc>
          <w:tcPr>
            <w:tcW w:w="360" w:type="dxa"/>
            <w:tcBorders>
              <w:right w:val="dashSmallGap" w:sz="4" w:space="0" w:color="auto"/>
            </w:tcBorders>
          </w:tcPr>
          <w:p>
            <w:pPr>
              <w:ind w:right="-29"/>
              <w:jc w:val="center"/>
              <w:rPr>
                <w:noProof/>
                <w:sz w:val="18"/>
                <w:szCs w:val="18"/>
              </w:rPr>
            </w:pPr>
          </w:p>
        </w:tc>
        <w:tc>
          <w:tcPr>
            <w:tcW w:w="1320" w:type="dxa"/>
            <w:tcBorders>
              <w:left w:val="dashSmallGap" w:sz="4" w:space="0" w:color="auto"/>
              <w:bottom w:val="single" w:sz="4" w:space="0" w:color="auto"/>
              <w:right w:val="single" w:sz="12" w:space="0" w:color="auto"/>
            </w:tcBorders>
          </w:tcPr>
          <w:p>
            <w:pPr>
              <w:ind w:right="-29"/>
              <w:jc w:val="center"/>
              <w:rPr>
                <w:noProof/>
                <w:sz w:val="18"/>
                <w:szCs w:val="18"/>
              </w:rPr>
            </w:pPr>
            <w:r>
              <w:rPr>
                <w:noProof/>
                <w:sz w:val="18"/>
                <w:szCs w:val="18"/>
              </w:rPr>
              <w:t>1,010</w:t>
            </w:r>
          </w:p>
        </w:tc>
      </w:tr>
      <w:tr>
        <w:trPr>
          <w:jc w:val="center"/>
        </w:trPr>
        <w:tc>
          <w:tcPr>
            <w:tcW w:w="2802" w:type="dxa"/>
            <w:gridSpan w:val="3"/>
            <w:tcBorders>
              <w:left w:val="single" w:sz="12" w:space="0" w:color="auto"/>
              <w:bottom w:val="single" w:sz="12" w:space="0" w:color="auto"/>
            </w:tcBorders>
            <w:vAlign w:val="center"/>
          </w:tcPr>
          <w:p>
            <w:pPr>
              <w:ind w:right="-29"/>
              <w:jc w:val="center"/>
              <w:rPr>
                <w:noProof/>
                <w:sz w:val="18"/>
                <w:szCs w:val="18"/>
              </w:rPr>
            </w:pPr>
            <w:r>
              <w:rPr>
                <w:noProof/>
                <w:sz w:val="18"/>
              </w:rPr>
              <w:t>Subtotal for specific objective No 5</w:t>
            </w:r>
          </w:p>
        </w:tc>
        <w:tc>
          <w:tcPr>
            <w:tcW w:w="303" w:type="dxa"/>
            <w:tcBorders>
              <w:bottom w:val="single" w:sz="12" w:space="0" w:color="auto"/>
              <w:right w:val="dashSmallGap" w:sz="4" w:space="0" w:color="auto"/>
            </w:tcBorders>
          </w:tcPr>
          <w:p>
            <w:pPr>
              <w:ind w:right="-29"/>
              <w:jc w:val="center"/>
              <w:rPr>
                <w:noProof/>
                <w:sz w:val="18"/>
                <w:szCs w:val="18"/>
              </w:rPr>
            </w:pPr>
          </w:p>
        </w:tc>
        <w:tc>
          <w:tcPr>
            <w:tcW w:w="867" w:type="dxa"/>
            <w:tcBorders>
              <w:left w:val="dashSmallGap" w:sz="4" w:space="0" w:color="auto"/>
              <w:bottom w:val="single" w:sz="12" w:space="0" w:color="auto"/>
            </w:tcBorders>
          </w:tcPr>
          <w:p>
            <w:pPr>
              <w:ind w:right="-29"/>
              <w:jc w:val="center"/>
              <w:rPr>
                <w:b/>
                <w:noProof/>
                <w:sz w:val="18"/>
                <w:szCs w:val="18"/>
              </w:rPr>
            </w:pPr>
            <w:r>
              <w:rPr>
                <w:b/>
                <w:noProof/>
                <w:sz w:val="18"/>
                <w:szCs w:val="18"/>
              </w:rPr>
              <w:t>0</w:t>
            </w:r>
          </w:p>
        </w:tc>
        <w:tc>
          <w:tcPr>
            <w:tcW w:w="330" w:type="dxa"/>
            <w:tcBorders>
              <w:bottom w:val="single" w:sz="12" w:space="0" w:color="auto"/>
              <w:right w:val="dashSmallGap" w:sz="4" w:space="0" w:color="auto"/>
            </w:tcBorders>
          </w:tcPr>
          <w:p>
            <w:pPr>
              <w:ind w:right="-29"/>
              <w:jc w:val="center"/>
              <w:rPr>
                <w:noProof/>
                <w:sz w:val="18"/>
                <w:szCs w:val="18"/>
              </w:rPr>
            </w:pPr>
          </w:p>
        </w:tc>
        <w:tc>
          <w:tcPr>
            <w:tcW w:w="840" w:type="dxa"/>
            <w:tcBorders>
              <w:left w:val="dashSmallGap" w:sz="4" w:space="0" w:color="auto"/>
              <w:bottom w:val="single" w:sz="12" w:space="0" w:color="auto"/>
            </w:tcBorders>
          </w:tcPr>
          <w:p>
            <w:pPr>
              <w:ind w:right="-29"/>
              <w:jc w:val="center"/>
              <w:rPr>
                <w:b/>
                <w:noProof/>
                <w:sz w:val="18"/>
                <w:szCs w:val="18"/>
              </w:rPr>
            </w:pPr>
            <w:r>
              <w:rPr>
                <w:b/>
                <w:noProof/>
                <w:sz w:val="18"/>
                <w:szCs w:val="18"/>
              </w:rPr>
              <w:t>0</w:t>
            </w:r>
          </w:p>
        </w:tc>
        <w:tc>
          <w:tcPr>
            <w:tcW w:w="360" w:type="dxa"/>
            <w:tcBorders>
              <w:bottom w:val="single" w:sz="12" w:space="0" w:color="auto"/>
              <w:right w:val="dashSmallGap" w:sz="4" w:space="0" w:color="auto"/>
            </w:tcBorders>
          </w:tcPr>
          <w:p>
            <w:pPr>
              <w:ind w:right="-29"/>
              <w:jc w:val="center"/>
              <w:rPr>
                <w:noProof/>
                <w:sz w:val="18"/>
                <w:szCs w:val="18"/>
              </w:rPr>
            </w:pPr>
          </w:p>
        </w:tc>
        <w:tc>
          <w:tcPr>
            <w:tcW w:w="840" w:type="dxa"/>
            <w:tcBorders>
              <w:left w:val="dashSmallGap" w:sz="4" w:space="0" w:color="auto"/>
              <w:bottom w:val="single" w:sz="12" w:space="0" w:color="auto"/>
            </w:tcBorders>
          </w:tcPr>
          <w:p>
            <w:pPr>
              <w:ind w:right="-29"/>
              <w:jc w:val="center"/>
              <w:rPr>
                <w:b/>
                <w:noProof/>
                <w:sz w:val="18"/>
                <w:szCs w:val="18"/>
              </w:rPr>
            </w:pPr>
            <w:r>
              <w:rPr>
                <w:b/>
                <w:noProof/>
                <w:sz w:val="18"/>
                <w:szCs w:val="18"/>
              </w:rPr>
              <w:t>0</w:t>
            </w:r>
          </w:p>
        </w:tc>
        <w:tc>
          <w:tcPr>
            <w:tcW w:w="360" w:type="dxa"/>
            <w:tcBorders>
              <w:bottom w:val="single" w:sz="12" w:space="0" w:color="auto"/>
              <w:right w:val="dashSmallGap" w:sz="4" w:space="0" w:color="auto"/>
            </w:tcBorders>
          </w:tcPr>
          <w:p>
            <w:pPr>
              <w:ind w:right="-29"/>
              <w:jc w:val="center"/>
              <w:rPr>
                <w:noProof/>
                <w:sz w:val="18"/>
                <w:szCs w:val="18"/>
              </w:rPr>
            </w:pPr>
          </w:p>
        </w:tc>
        <w:tc>
          <w:tcPr>
            <w:tcW w:w="840" w:type="dxa"/>
            <w:tcBorders>
              <w:left w:val="dashSmallGap" w:sz="4" w:space="0" w:color="auto"/>
              <w:bottom w:val="single" w:sz="12" w:space="0" w:color="auto"/>
            </w:tcBorders>
          </w:tcPr>
          <w:p>
            <w:pPr>
              <w:ind w:right="-29"/>
              <w:jc w:val="center"/>
              <w:rPr>
                <w:b/>
                <w:noProof/>
                <w:sz w:val="18"/>
                <w:szCs w:val="18"/>
              </w:rPr>
            </w:pPr>
            <w:r>
              <w:rPr>
                <w:b/>
                <w:noProof/>
                <w:sz w:val="18"/>
                <w:szCs w:val="18"/>
              </w:rPr>
              <w:t>0,505</w:t>
            </w:r>
          </w:p>
        </w:tc>
        <w:tc>
          <w:tcPr>
            <w:tcW w:w="360" w:type="dxa"/>
            <w:tcBorders>
              <w:bottom w:val="single" w:sz="12" w:space="0" w:color="auto"/>
              <w:right w:val="dashSmallGap" w:sz="4" w:space="0" w:color="auto"/>
            </w:tcBorders>
          </w:tcPr>
          <w:p>
            <w:pPr>
              <w:ind w:right="-29"/>
              <w:jc w:val="center"/>
              <w:rPr>
                <w:noProof/>
                <w:sz w:val="18"/>
                <w:szCs w:val="18"/>
              </w:rPr>
            </w:pPr>
          </w:p>
        </w:tc>
        <w:tc>
          <w:tcPr>
            <w:tcW w:w="672" w:type="dxa"/>
            <w:tcBorders>
              <w:left w:val="dashSmallGap" w:sz="4" w:space="0" w:color="auto"/>
              <w:bottom w:val="single" w:sz="12" w:space="0" w:color="auto"/>
            </w:tcBorders>
          </w:tcPr>
          <w:p>
            <w:pPr>
              <w:ind w:right="-29"/>
              <w:rPr>
                <w:b/>
                <w:noProof/>
                <w:sz w:val="18"/>
                <w:szCs w:val="18"/>
              </w:rPr>
            </w:pPr>
            <w:r>
              <w:rPr>
                <w:b/>
                <w:noProof/>
                <w:sz w:val="18"/>
                <w:szCs w:val="18"/>
              </w:rPr>
              <w:t>0,505</w:t>
            </w:r>
          </w:p>
        </w:tc>
        <w:tc>
          <w:tcPr>
            <w:tcW w:w="360" w:type="dxa"/>
            <w:tcBorders>
              <w:bottom w:val="single" w:sz="12" w:space="0" w:color="auto"/>
              <w:right w:val="dashSmallGap" w:sz="4" w:space="0" w:color="auto"/>
            </w:tcBorders>
          </w:tcPr>
          <w:p>
            <w:pPr>
              <w:ind w:right="-29"/>
              <w:jc w:val="center"/>
              <w:rPr>
                <w:noProof/>
                <w:sz w:val="18"/>
                <w:szCs w:val="18"/>
              </w:rPr>
            </w:pPr>
          </w:p>
        </w:tc>
        <w:tc>
          <w:tcPr>
            <w:tcW w:w="720" w:type="dxa"/>
            <w:tcBorders>
              <w:left w:val="dashSmallGap" w:sz="4" w:space="0" w:color="auto"/>
              <w:bottom w:val="single" w:sz="12" w:space="0" w:color="auto"/>
            </w:tcBorders>
          </w:tcPr>
          <w:p>
            <w:pPr>
              <w:ind w:right="-29"/>
              <w:jc w:val="center"/>
              <w:rPr>
                <w:b/>
                <w:noProof/>
                <w:sz w:val="18"/>
                <w:szCs w:val="18"/>
              </w:rPr>
            </w:pPr>
          </w:p>
        </w:tc>
        <w:tc>
          <w:tcPr>
            <w:tcW w:w="360" w:type="dxa"/>
            <w:tcBorders>
              <w:bottom w:val="single" w:sz="12" w:space="0" w:color="auto"/>
              <w:right w:val="dashSmallGap" w:sz="4" w:space="0" w:color="auto"/>
            </w:tcBorders>
          </w:tcPr>
          <w:p>
            <w:pPr>
              <w:ind w:right="-29"/>
              <w:jc w:val="center"/>
              <w:rPr>
                <w:noProof/>
                <w:sz w:val="18"/>
                <w:szCs w:val="18"/>
              </w:rPr>
            </w:pPr>
          </w:p>
        </w:tc>
        <w:tc>
          <w:tcPr>
            <w:tcW w:w="840" w:type="dxa"/>
            <w:tcBorders>
              <w:left w:val="dashSmallGap" w:sz="4" w:space="0" w:color="auto"/>
              <w:bottom w:val="single" w:sz="12" w:space="0" w:color="auto"/>
            </w:tcBorders>
          </w:tcPr>
          <w:p>
            <w:pPr>
              <w:ind w:right="-29"/>
              <w:jc w:val="center"/>
              <w:rPr>
                <w:b/>
                <w:noProof/>
                <w:sz w:val="18"/>
                <w:szCs w:val="18"/>
              </w:rPr>
            </w:pPr>
          </w:p>
        </w:tc>
        <w:tc>
          <w:tcPr>
            <w:tcW w:w="360" w:type="dxa"/>
            <w:tcBorders>
              <w:bottom w:val="single" w:sz="12" w:space="0" w:color="auto"/>
              <w:right w:val="dashSmallGap" w:sz="4" w:space="0" w:color="auto"/>
            </w:tcBorders>
          </w:tcPr>
          <w:p>
            <w:pPr>
              <w:ind w:right="-29"/>
              <w:jc w:val="center"/>
              <w:rPr>
                <w:noProof/>
                <w:sz w:val="18"/>
                <w:szCs w:val="18"/>
              </w:rPr>
            </w:pPr>
          </w:p>
        </w:tc>
        <w:tc>
          <w:tcPr>
            <w:tcW w:w="840" w:type="dxa"/>
            <w:tcBorders>
              <w:left w:val="dashSmallGap" w:sz="4" w:space="0" w:color="auto"/>
              <w:bottom w:val="single" w:sz="12" w:space="0" w:color="auto"/>
            </w:tcBorders>
          </w:tcPr>
          <w:p>
            <w:pPr>
              <w:ind w:right="-29"/>
              <w:jc w:val="center"/>
              <w:rPr>
                <w:b/>
                <w:noProof/>
                <w:sz w:val="18"/>
                <w:szCs w:val="18"/>
              </w:rPr>
            </w:pPr>
          </w:p>
        </w:tc>
        <w:tc>
          <w:tcPr>
            <w:tcW w:w="360" w:type="dxa"/>
            <w:tcBorders>
              <w:bottom w:val="single" w:sz="12" w:space="0" w:color="auto"/>
              <w:right w:val="dashSmallGap" w:sz="4" w:space="0" w:color="auto"/>
            </w:tcBorders>
          </w:tcPr>
          <w:p>
            <w:pPr>
              <w:ind w:right="-29"/>
              <w:jc w:val="center"/>
              <w:rPr>
                <w:noProof/>
                <w:sz w:val="18"/>
                <w:szCs w:val="18"/>
              </w:rPr>
            </w:pPr>
          </w:p>
        </w:tc>
        <w:tc>
          <w:tcPr>
            <w:tcW w:w="840" w:type="dxa"/>
            <w:tcBorders>
              <w:left w:val="dashSmallGap" w:sz="4" w:space="0" w:color="auto"/>
              <w:bottom w:val="single" w:sz="12" w:space="0" w:color="auto"/>
            </w:tcBorders>
          </w:tcPr>
          <w:p>
            <w:pPr>
              <w:ind w:right="-29"/>
              <w:jc w:val="center"/>
              <w:rPr>
                <w:b/>
                <w:noProof/>
                <w:sz w:val="18"/>
                <w:szCs w:val="18"/>
              </w:rPr>
            </w:pPr>
          </w:p>
        </w:tc>
        <w:tc>
          <w:tcPr>
            <w:tcW w:w="360" w:type="dxa"/>
            <w:tcBorders>
              <w:bottom w:val="single" w:sz="12" w:space="0" w:color="auto"/>
              <w:right w:val="dashSmallGap" w:sz="4" w:space="0" w:color="auto"/>
            </w:tcBorders>
          </w:tcPr>
          <w:p>
            <w:pPr>
              <w:ind w:right="-29"/>
              <w:jc w:val="center"/>
              <w:rPr>
                <w:noProof/>
                <w:sz w:val="18"/>
                <w:szCs w:val="18"/>
              </w:rPr>
            </w:pPr>
          </w:p>
        </w:tc>
        <w:tc>
          <w:tcPr>
            <w:tcW w:w="1320" w:type="dxa"/>
            <w:tcBorders>
              <w:left w:val="dashSmallGap" w:sz="4" w:space="0" w:color="auto"/>
              <w:bottom w:val="single" w:sz="12" w:space="0" w:color="auto"/>
              <w:right w:val="single" w:sz="12" w:space="0" w:color="auto"/>
            </w:tcBorders>
          </w:tcPr>
          <w:p>
            <w:pPr>
              <w:ind w:right="-29"/>
              <w:jc w:val="center"/>
              <w:rPr>
                <w:b/>
                <w:noProof/>
                <w:sz w:val="18"/>
                <w:szCs w:val="18"/>
              </w:rPr>
            </w:pPr>
            <w:r>
              <w:rPr>
                <w:b/>
                <w:noProof/>
                <w:sz w:val="18"/>
                <w:szCs w:val="18"/>
              </w:rPr>
              <w:t>1,010</w:t>
            </w:r>
          </w:p>
        </w:tc>
      </w:tr>
    </w:tbl>
    <w:p>
      <w:pPr>
        <w:pStyle w:val="ListDash"/>
        <w:rPr>
          <w:noProof/>
        </w:rPr>
      </w:pPr>
      <w:r>
        <w:rPr>
          <w:noProof/>
        </w:rPr>
        <w:t>The EES proposal introduced the concept of the national uniform interface (NUI) to be developed and maintained by eu-LISA.  The table above contains the budget for updating the NUI for an additional type of information exchange. There is no additional cost on the operations of the NUI, which were already budgeted under the EES proposal.</w:t>
      </w:r>
    </w:p>
    <w:p>
      <w:pPr>
        <w:keepNext/>
        <w:rPr>
          <w:noProof/>
        </w:rPr>
      </w:pPr>
    </w:p>
    <w:tbl>
      <w:tblPr>
        <w:tblW w:w="16450" w:type="dxa"/>
        <w:jc w:val="center"/>
        <w:tblInd w:w="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40"/>
        <w:gridCol w:w="560"/>
        <w:gridCol w:w="574"/>
        <w:gridCol w:w="669"/>
        <w:gridCol w:w="780"/>
        <w:gridCol w:w="669"/>
        <w:gridCol w:w="780"/>
        <w:gridCol w:w="669"/>
        <w:gridCol w:w="780"/>
        <w:gridCol w:w="669"/>
        <w:gridCol w:w="780"/>
        <w:gridCol w:w="669"/>
        <w:gridCol w:w="839"/>
        <w:gridCol w:w="596"/>
        <w:gridCol w:w="780"/>
        <w:gridCol w:w="360"/>
        <w:gridCol w:w="780"/>
        <w:gridCol w:w="360"/>
        <w:gridCol w:w="780"/>
        <w:gridCol w:w="360"/>
        <w:gridCol w:w="840"/>
        <w:gridCol w:w="596"/>
        <w:gridCol w:w="1320"/>
      </w:tblGrid>
      <w:tr>
        <w:trPr>
          <w:jc w:val="center"/>
        </w:trPr>
        <w:tc>
          <w:tcPr>
            <w:tcW w:w="1240" w:type="dxa"/>
            <w:vMerge w:val="restart"/>
            <w:tcBorders>
              <w:top w:val="single" w:sz="12" w:space="0" w:color="auto"/>
              <w:left w:val="single" w:sz="12" w:space="0" w:color="auto"/>
            </w:tcBorders>
            <w:vAlign w:val="center"/>
          </w:tcPr>
          <w:p>
            <w:pPr>
              <w:keepNext/>
              <w:ind w:right="-29"/>
              <w:jc w:val="center"/>
              <w:rPr>
                <w:b/>
                <w:noProof/>
                <w:sz w:val="18"/>
                <w:szCs w:val="18"/>
              </w:rPr>
            </w:pPr>
            <w:r>
              <w:rPr>
                <w:b/>
                <w:noProof/>
                <w:sz w:val="18"/>
              </w:rPr>
              <w:t xml:space="preserve">Indicate objectives and outputs </w:t>
            </w:r>
          </w:p>
          <w:p>
            <w:pPr>
              <w:keepNext/>
              <w:ind w:right="-29"/>
              <w:jc w:val="center"/>
              <w:rPr>
                <w:b/>
                <w:noProof/>
                <w:sz w:val="18"/>
                <w:szCs w:val="18"/>
              </w:rPr>
            </w:pPr>
            <w:r>
              <w:rPr>
                <w:b/>
                <w:noProof/>
                <w:sz w:val="18"/>
                <w:szCs w:val="18"/>
              </w:rPr>
              <w:t>Eu-LISA</w:t>
            </w:r>
          </w:p>
          <w:p>
            <w:pPr>
              <w:keepNext/>
              <w:ind w:right="-29"/>
              <w:jc w:val="center"/>
              <w:rPr>
                <w:noProof/>
                <w:sz w:val="18"/>
                <w:szCs w:val="18"/>
              </w:rPr>
            </w:pPr>
            <w:r>
              <w:rPr>
                <w:noProof/>
                <w:sz w:val="18"/>
              </w:rPr>
              <w:sym w:font="Wingdings" w:char="F0F2"/>
            </w:r>
          </w:p>
        </w:tc>
        <w:tc>
          <w:tcPr>
            <w:tcW w:w="560" w:type="dxa"/>
            <w:tcBorders>
              <w:top w:val="single" w:sz="12" w:space="0" w:color="auto"/>
            </w:tcBorders>
            <w:vAlign w:val="center"/>
          </w:tcPr>
          <w:p>
            <w:pPr>
              <w:keepNext/>
              <w:ind w:right="-29"/>
              <w:jc w:val="center"/>
              <w:rPr>
                <w:noProof/>
                <w:sz w:val="18"/>
                <w:szCs w:val="18"/>
              </w:rPr>
            </w:pPr>
          </w:p>
        </w:tc>
        <w:tc>
          <w:tcPr>
            <w:tcW w:w="574" w:type="dxa"/>
            <w:tcBorders>
              <w:top w:val="single" w:sz="12" w:space="0" w:color="auto"/>
            </w:tcBorders>
            <w:vAlign w:val="center"/>
          </w:tcPr>
          <w:p>
            <w:pPr>
              <w:keepNext/>
              <w:ind w:right="-29"/>
              <w:jc w:val="center"/>
              <w:rPr>
                <w:noProof/>
                <w:sz w:val="18"/>
                <w:szCs w:val="18"/>
              </w:rPr>
            </w:pPr>
          </w:p>
        </w:tc>
        <w:tc>
          <w:tcPr>
            <w:tcW w:w="1449" w:type="dxa"/>
            <w:gridSpan w:val="2"/>
            <w:tcBorders>
              <w:top w:val="single" w:sz="12" w:space="0" w:color="auto"/>
              <w:right w:val="single" w:sz="4" w:space="0" w:color="auto"/>
            </w:tcBorders>
            <w:vAlign w:val="center"/>
          </w:tcPr>
          <w:p>
            <w:pPr>
              <w:keepNext/>
              <w:ind w:right="-29"/>
              <w:jc w:val="center"/>
              <w:rPr>
                <w:noProof/>
                <w:sz w:val="18"/>
                <w:szCs w:val="18"/>
              </w:rPr>
            </w:pPr>
            <w:r>
              <w:rPr>
                <w:noProof/>
                <w:sz w:val="18"/>
              </w:rPr>
              <w:t>Year</w:t>
            </w:r>
            <w:r>
              <w:rPr>
                <w:noProof/>
                <w:sz w:val="22"/>
              </w:rPr>
              <w:br/>
            </w:r>
            <w:r>
              <w:rPr>
                <w:b/>
                <w:noProof/>
                <w:sz w:val="18"/>
              </w:rPr>
              <w:t>2019</w:t>
            </w:r>
          </w:p>
        </w:tc>
        <w:tc>
          <w:tcPr>
            <w:tcW w:w="1449" w:type="dxa"/>
            <w:gridSpan w:val="2"/>
            <w:tcBorders>
              <w:top w:val="single" w:sz="12" w:space="0" w:color="auto"/>
              <w:left w:val="single" w:sz="4" w:space="0" w:color="auto"/>
            </w:tcBorders>
            <w:vAlign w:val="center"/>
          </w:tcPr>
          <w:p>
            <w:pPr>
              <w:keepNext/>
              <w:ind w:right="-29"/>
              <w:jc w:val="center"/>
              <w:rPr>
                <w:noProof/>
                <w:sz w:val="18"/>
                <w:szCs w:val="18"/>
              </w:rPr>
            </w:pPr>
            <w:r>
              <w:rPr>
                <w:noProof/>
                <w:sz w:val="18"/>
              </w:rPr>
              <w:t>Year</w:t>
            </w:r>
            <w:r>
              <w:rPr>
                <w:noProof/>
                <w:sz w:val="22"/>
              </w:rPr>
              <w:br/>
            </w:r>
            <w:r>
              <w:rPr>
                <w:b/>
                <w:noProof/>
                <w:sz w:val="18"/>
              </w:rPr>
              <w:t>2020</w:t>
            </w:r>
          </w:p>
        </w:tc>
        <w:tc>
          <w:tcPr>
            <w:tcW w:w="1449" w:type="dxa"/>
            <w:gridSpan w:val="2"/>
            <w:tcBorders>
              <w:top w:val="single" w:sz="12" w:space="0" w:color="auto"/>
            </w:tcBorders>
            <w:vAlign w:val="center"/>
          </w:tcPr>
          <w:p>
            <w:pPr>
              <w:keepNext/>
              <w:ind w:right="-29"/>
              <w:jc w:val="center"/>
              <w:rPr>
                <w:noProof/>
                <w:sz w:val="18"/>
                <w:szCs w:val="18"/>
              </w:rPr>
            </w:pPr>
            <w:r>
              <w:rPr>
                <w:noProof/>
                <w:sz w:val="18"/>
              </w:rPr>
              <w:t>Year</w:t>
            </w:r>
            <w:r>
              <w:rPr>
                <w:noProof/>
                <w:sz w:val="22"/>
              </w:rPr>
              <w:br/>
            </w:r>
            <w:r>
              <w:rPr>
                <w:b/>
                <w:noProof/>
                <w:sz w:val="18"/>
              </w:rPr>
              <w:t>2021</w:t>
            </w:r>
          </w:p>
        </w:tc>
        <w:tc>
          <w:tcPr>
            <w:tcW w:w="1449" w:type="dxa"/>
            <w:gridSpan w:val="2"/>
            <w:tcBorders>
              <w:top w:val="single" w:sz="12" w:space="0" w:color="auto"/>
            </w:tcBorders>
            <w:vAlign w:val="center"/>
          </w:tcPr>
          <w:p>
            <w:pPr>
              <w:keepNext/>
              <w:ind w:right="-29"/>
              <w:jc w:val="center"/>
              <w:rPr>
                <w:noProof/>
                <w:sz w:val="18"/>
                <w:szCs w:val="18"/>
              </w:rPr>
            </w:pPr>
            <w:r>
              <w:rPr>
                <w:noProof/>
                <w:sz w:val="18"/>
              </w:rPr>
              <w:t>Year</w:t>
            </w:r>
            <w:r>
              <w:rPr>
                <w:noProof/>
                <w:sz w:val="22"/>
              </w:rPr>
              <w:br/>
            </w:r>
            <w:r>
              <w:rPr>
                <w:b/>
                <w:noProof/>
                <w:sz w:val="18"/>
              </w:rPr>
              <w:t>2022</w:t>
            </w:r>
          </w:p>
        </w:tc>
        <w:tc>
          <w:tcPr>
            <w:tcW w:w="1508" w:type="dxa"/>
            <w:gridSpan w:val="2"/>
            <w:tcBorders>
              <w:top w:val="single" w:sz="12" w:space="0" w:color="auto"/>
            </w:tcBorders>
            <w:vAlign w:val="center"/>
          </w:tcPr>
          <w:p>
            <w:pPr>
              <w:keepNext/>
              <w:jc w:val="center"/>
              <w:rPr>
                <w:noProof/>
                <w:sz w:val="18"/>
                <w:szCs w:val="18"/>
              </w:rPr>
            </w:pPr>
            <w:r>
              <w:rPr>
                <w:noProof/>
                <w:sz w:val="18"/>
              </w:rPr>
              <w:t>Year</w:t>
            </w:r>
            <w:r>
              <w:rPr>
                <w:noProof/>
                <w:sz w:val="22"/>
              </w:rPr>
              <w:br/>
            </w:r>
            <w:r>
              <w:rPr>
                <w:b/>
                <w:noProof/>
                <w:sz w:val="18"/>
              </w:rPr>
              <w:t>2023</w:t>
            </w:r>
          </w:p>
        </w:tc>
        <w:tc>
          <w:tcPr>
            <w:tcW w:w="1376" w:type="dxa"/>
            <w:gridSpan w:val="2"/>
            <w:tcBorders>
              <w:top w:val="single" w:sz="12" w:space="0" w:color="auto"/>
            </w:tcBorders>
            <w:vAlign w:val="center"/>
          </w:tcPr>
          <w:p>
            <w:pPr>
              <w:keepNext/>
              <w:jc w:val="center"/>
              <w:rPr>
                <w:noProof/>
                <w:sz w:val="18"/>
                <w:szCs w:val="18"/>
              </w:rPr>
            </w:pPr>
            <w:r>
              <w:rPr>
                <w:noProof/>
                <w:sz w:val="18"/>
              </w:rPr>
              <w:t>Year</w:t>
            </w:r>
            <w:r>
              <w:rPr>
                <w:noProof/>
                <w:sz w:val="22"/>
              </w:rPr>
              <w:br/>
            </w:r>
            <w:r>
              <w:rPr>
                <w:b/>
                <w:noProof/>
                <w:sz w:val="18"/>
              </w:rPr>
              <w:t>2024</w:t>
            </w:r>
          </w:p>
        </w:tc>
        <w:tc>
          <w:tcPr>
            <w:tcW w:w="1140" w:type="dxa"/>
            <w:gridSpan w:val="2"/>
            <w:tcBorders>
              <w:top w:val="single" w:sz="12" w:space="0" w:color="auto"/>
            </w:tcBorders>
            <w:vAlign w:val="center"/>
          </w:tcPr>
          <w:p>
            <w:pPr>
              <w:keepNext/>
              <w:jc w:val="center"/>
              <w:rPr>
                <w:noProof/>
                <w:sz w:val="18"/>
                <w:szCs w:val="18"/>
              </w:rPr>
            </w:pPr>
            <w:r>
              <w:rPr>
                <w:noProof/>
                <w:sz w:val="18"/>
              </w:rPr>
              <w:t>Year</w:t>
            </w:r>
            <w:r>
              <w:rPr>
                <w:noProof/>
                <w:sz w:val="22"/>
              </w:rPr>
              <w:br/>
            </w:r>
            <w:r>
              <w:rPr>
                <w:b/>
                <w:noProof/>
                <w:sz w:val="18"/>
              </w:rPr>
              <w:t>2025</w:t>
            </w:r>
          </w:p>
        </w:tc>
        <w:tc>
          <w:tcPr>
            <w:tcW w:w="1140" w:type="dxa"/>
            <w:gridSpan w:val="2"/>
            <w:tcBorders>
              <w:top w:val="single" w:sz="12" w:space="0" w:color="auto"/>
            </w:tcBorders>
          </w:tcPr>
          <w:p>
            <w:pPr>
              <w:keepNext/>
              <w:ind w:right="-29"/>
              <w:jc w:val="center"/>
              <w:rPr>
                <w:b/>
                <w:noProof/>
                <w:sz w:val="18"/>
              </w:rPr>
            </w:pPr>
            <w:r>
              <w:rPr>
                <w:noProof/>
                <w:sz w:val="18"/>
              </w:rPr>
              <w:t>Year</w:t>
            </w:r>
            <w:r>
              <w:rPr>
                <w:noProof/>
                <w:sz w:val="22"/>
              </w:rPr>
              <w:br/>
            </w:r>
            <w:r>
              <w:rPr>
                <w:b/>
                <w:noProof/>
                <w:sz w:val="18"/>
              </w:rPr>
              <w:t>2026</w:t>
            </w:r>
          </w:p>
        </w:tc>
        <w:tc>
          <w:tcPr>
            <w:tcW w:w="1200" w:type="dxa"/>
            <w:gridSpan w:val="2"/>
            <w:tcBorders>
              <w:top w:val="single" w:sz="12" w:space="0" w:color="auto"/>
              <w:right w:val="nil"/>
            </w:tcBorders>
          </w:tcPr>
          <w:p>
            <w:pPr>
              <w:keepNext/>
              <w:ind w:right="-29"/>
              <w:jc w:val="center"/>
              <w:rPr>
                <w:b/>
                <w:noProof/>
                <w:sz w:val="18"/>
              </w:rPr>
            </w:pPr>
            <w:r>
              <w:rPr>
                <w:noProof/>
                <w:sz w:val="18"/>
              </w:rPr>
              <w:t>Year</w:t>
            </w:r>
            <w:r>
              <w:rPr>
                <w:noProof/>
                <w:sz w:val="22"/>
              </w:rPr>
              <w:br/>
            </w:r>
            <w:r>
              <w:rPr>
                <w:b/>
                <w:noProof/>
                <w:sz w:val="18"/>
              </w:rPr>
              <w:t>2027</w:t>
            </w:r>
          </w:p>
        </w:tc>
        <w:tc>
          <w:tcPr>
            <w:tcW w:w="1916" w:type="dxa"/>
            <w:gridSpan w:val="2"/>
            <w:tcBorders>
              <w:top w:val="single" w:sz="12" w:space="0" w:color="auto"/>
              <w:left w:val="single" w:sz="6" w:space="0" w:color="auto"/>
              <w:bottom w:val="single" w:sz="4" w:space="0" w:color="auto"/>
              <w:right w:val="single" w:sz="12" w:space="0" w:color="auto"/>
            </w:tcBorders>
            <w:vAlign w:val="center"/>
          </w:tcPr>
          <w:p>
            <w:pPr>
              <w:keepNext/>
              <w:ind w:right="-29"/>
              <w:jc w:val="center"/>
              <w:rPr>
                <w:noProof/>
                <w:sz w:val="18"/>
                <w:szCs w:val="18"/>
              </w:rPr>
            </w:pPr>
            <w:r>
              <w:rPr>
                <w:b/>
                <w:noProof/>
                <w:sz w:val="18"/>
              </w:rPr>
              <w:t>TOTAL</w:t>
            </w:r>
          </w:p>
        </w:tc>
      </w:tr>
      <w:tr>
        <w:trPr>
          <w:gridAfter w:val="22"/>
          <w:wAfter w:w="15210" w:type="dxa"/>
          <w:trHeight w:val="465"/>
          <w:jc w:val="center"/>
        </w:trPr>
        <w:tc>
          <w:tcPr>
            <w:tcW w:w="1240" w:type="dxa"/>
            <w:vMerge/>
            <w:tcBorders>
              <w:left w:val="single" w:sz="12" w:space="0" w:color="auto"/>
            </w:tcBorders>
            <w:vAlign w:val="center"/>
          </w:tcPr>
          <w:p>
            <w:pPr>
              <w:keepNext/>
              <w:ind w:right="-29"/>
              <w:jc w:val="center"/>
              <w:rPr>
                <w:noProof/>
                <w:sz w:val="18"/>
                <w:szCs w:val="18"/>
              </w:rPr>
            </w:pPr>
          </w:p>
        </w:tc>
      </w:tr>
      <w:tr>
        <w:trPr>
          <w:cantSplit/>
          <w:trHeight w:val="1134"/>
          <w:jc w:val="center"/>
        </w:trPr>
        <w:tc>
          <w:tcPr>
            <w:tcW w:w="1240" w:type="dxa"/>
            <w:vMerge/>
            <w:tcBorders>
              <w:left w:val="single" w:sz="12" w:space="0" w:color="auto"/>
            </w:tcBorders>
            <w:vAlign w:val="center"/>
          </w:tcPr>
          <w:p>
            <w:pPr>
              <w:rPr>
                <w:noProof/>
                <w:sz w:val="18"/>
                <w:szCs w:val="18"/>
              </w:rPr>
            </w:pPr>
          </w:p>
        </w:tc>
        <w:tc>
          <w:tcPr>
            <w:tcW w:w="560" w:type="dxa"/>
            <w:vAlign w:val="center"/>
          </w:tcPr>
          <w:p>
            <w:pPr>
              <w:jc w:val="center"/>
              <w:rPr>
                <w:noProof/>
                <w:sz w:val="18"/>
                <w:szCs w:val="18"/>
              </w:rPr>
            </w:pPr>
            <w:r>
              <w:rPr>
                <w:noProof/>
                <w:sz w:val="18"/>
              </w:rPr>
              <w:t>Type</w:t>
            </w:r>
            <w:r>
              <w:rPr>
                <w:rStyle w:val="FootnoteReference"/>
                <w:noProof/>
              </w:rPr>
              <w:footnoteReference w:id="104"/>
            </w:r>
          </w:p>
          <w:p>
            <w:pPr>
              <w:spacing w:before="0" w:after="0"/>
              <w:jc w:val="center"/>
              <w:rPr>
                <w:noProof/>
                <w:sz w:val="18"/>
                <w:szCs w:val="18"/>
              </w:rPr>
            </w:pPr>
          </w:p>
        </w:tc>
        <w:tc>
          <w:tcPr>
            <w:tcW w:w="574" w:type="dxa"/>
            <w:tcBorders>
              <w:right w:val="single" w:sz="4" w:space="0" w:color="auto"/>
            </w:tcBorders>
            <w:vAlign w:val="center"/>
          </w:tcPr>
          <w:p>
            <w:pPr>
              <w:jc w:val="center"/>
              <w:rPr>
                <w:noProof/>
                <w:sz w:val="18"/>
                <w:szCs w:val="18"/>
              </w:rPr>
            </w:pPr>
            <w:r>
              <w:rPr>
                <w:noProof/>
                <w:sz w:val="18"/>
              </w:rPr>
              <w:t>Average cost</w:t>
            </w:r>
          </w:p>
        </w:tc>
        <w:tc>
          <w:tcPr>
            <w:tcW w:w="669" w:type="dxa"/>
            <w:tcBorders>
              <w:top w:val="dotted" w:sz="4" w:space="0" w:color="auto"/>
              <w:left w:val="single" w:sz="4" w:space="0" w:color="auto"/>
              <w:bottom w:val="dotted" w:sz="4" w:space="0" w:color="auto"/>
              <w:right w:val="nil"/>
            </w:tcBorders>
            <w:shd w:val="pct10" w:color="auto" w:fill="auto"/>
            <w:textDirection w:val="btLr"/>
            <w:vAlign w:val="center"/>
          </w:tcPr>
          <w:p>
            <w:pPr>
              <w:ind w:left="113" w:right="113"/>
              <w:jc w:val="center"/>
              <w:rPr>
                <w:noProof/>
                <w:sz w:val="18"/>
              </w:rPr>
            </w:pPr>
            <w:r>
              <w:rPr>
                <w:noProof/>
                <w:sz w:val="18"/>
              </w:rPr>
              <w:t>No</w:t>
            </w:r>
          </w:p>
        </w:tc>
        <w:tc>
          <w:tcPr>
            <w:tcW w:w="780" w:type="dxa"/>
            <w:tcBorders>
              <w:left w:val="nil"/>
              <w:right w:val="single" w:sz="4" w:space="0" w:color="auto"/>
            </w:tcBorders>
            <w:shd w:val="pct10" w:color="auto" w:fill="auto"/>
            <w:vAlign w:val="center"/>
          </w:tcPr>
          <w:p>
            <w:pPr>
              <w:jc w:val="center"/>
              <w:rPr>
                <w:noProof/>
                <w:sz w:val="18"/>
              </w:rPr>
            </w:pPr>
            <w:r>
              <w:rPr>
                <w:noProof/>
                <w:sz w:val="18"/>
              </w:rPr>
              <w:t>Cost</w:t>
            </w:r>
          </w:p>
        </w:tc>
        <w:tc>
          <w:tcPr>
            <w:tcW w:w="669" w:type="dxa"/>
            <w:tcBorders>
              <w:left w:val="single" w:sz="4" w:space="0" w:color="auto"/>
              <w:right w:val="dashSmallGap" w:sz="4" w:space="0" w:color="auto"/>
            </w:tcBorders>
            <w:shd w:val="pct10" w:color="auto" w:fill="auto"/>
            <w:textDirection w:val="btLr"/>
            <w:vAlign w:val="center"/>
          </w:tcPr>
          <w:p>
            <w:pPr>
              <w:ind w:left="113" w:right="113"/>
              <w:jc w:val="center"/>
              <w:rPr>
                <w:noProof/>
                <w:sz w:val="18"/>
                <w:szCs w:val="18"/>
              </w:rPr>
            </w:pPr>
            <w:r>
              <w:rPr>
                <w:noProof/>
                <w:sz w:val="18"/>
              </w:rPr>
              <w:t>No</w:t>
            </w:r>
          </w:p>
        </w:tc>
        <w:tc>
          <w:tcPr>
            <w:tcW w:w="780" w:type="dxa"/>
            <w:tcBorders>
              <w:left w:val="dashSmallGap" w:sz="4" w:space="0" w:color="auto"/>
            </w:tcBorders>
            <w:shd w:val="pct10" w:color="auto" w:fill="auto"/>
            <w:vAlign w:val="center"/>
          </w:tcPr>
          <w:p>
            <w:pPr>
              <w:jc w:val="center"/>
              <w:rPr>
                <w:noProof/>
                <w:sz w:val="18"/>
                <w:szCs w:val="18"/>
              </w:rPr>
            </w:pPr>
            <w:r>
              <w:rPr>
                <w:noProof/>
                <w:sz w:val="18"/>
              </w:rPr>
              <w:t>Cost</w:t>
            </w:r>
          </w:p>
        </w:tc>
        <w:tc>
          <w:tcPr>
            <w:tcW w:w="669" w:type="dxa"/>
            <w:tcBorders>
              <w:right w:val="dashSmallGap" w:sz="4" w:space="0" w:color="auto"/>
            </w:tcBorders>
            <w:shd w:val="pct10" w:color="auto" w:fill="auto"/>
            <w:textDirection w:val="btLr"/>
            <w:vAlign w:val="center"/>
          </w:tcPr>
          <w:p>
            <w:pPr>
              <w:ind w:left="113" w:right="113"/>
              <w:jc w:val="center"/>
              <w:rPr>
                <w:noProof/>
                <w:sz w:val="18"/>
                <w:szCs w:val="18"/>
              </w:rPr>
            </w:pPr>
            <w:r>
              <w:rPr>
                <w:noProof/>
                <w:sz w:val="18"/>
              </w:rPr>
              <w:t>No</w:t>
            </w:r>
          </w:p>
        </w:tc>
        <w:tc>
          <w:tcPr>
            <w:tcW w:w="780" w:type="dxa"/>
            <w:tcBorders>
              <w:left w:val="dashSmallGap" w:sz="4" w:space="0" w:color="auto"/>
            </w:tcBorders>
            <w:shd w:val="pct10" w:color="auto" w:fill="auto"/>
            <w:vAlign w:val="center"/>
          </w:tcPr>
          <w:p>
            <w:pPr>
              <w:jc w:val="center"/>
              <w:rPr>
                <w:noProof/>
                <w:sz w:val="18"/>
                <w:szCs w:val="18"/>
              </w:rPr>
            </w:pPr>
            <w:r>
              <w:rPr>
                <w:noProof/>
                <w:sz w:val="18"/>
              </w:rPr>
              <w:t>Cost</w:t>
            </w:r>
          </w:p>
        </w:tc>
        <w:tc>
          <w:tcPr>
            <w:tcW w:w="669" w:type="dxa"/>
            <w:tcBorders>
              <w:right w:val="dashSmallGap" w:sz="4" w:space="0" w:color="auto"/>
            </w:tcBorders>
            <w:shd w:val="pct10" w:color="auto" w:fill="auto"/>
            <w:textDirection w:val="btLr"/>
            <w:vAlign w:val="center"/>
          </w:tcPr>
          <w:p>
            <w:pPr>
              <w:ind w:left="113" w:right="113"/>
              <w:jc w:val="center"/>
              <w:rPr>
                <w:noProof/>
                <w:sz w:val="18"/>
                <w:szCs w:val="18"/>
              </w:rPr>
            </w:pPr>
            <w:r>
              <w:rPr>
                <w:noProof/>
                <w:sz w:val="18"/>
              </w:rPr>
              <w:t>No</w:t>
            </w:r>
          </w:p>
        </w:tc>
        <w:tc>
          <w:tcPr>
            <w:tcW w:w="780" w:type="dxa"/>
            <w:tcBorders>
              <w:left w:val="dashSmallGap" w:sz="4" w:space="0" w:color="auto"/>
            </w:tcBorders>
            <w:shd w:val="pct10" w:color="auto" w:fill="auto"/>
            <w:vAlign w:val="center"/>
          </w:tcPr>
          <w:p>
            <w:pPr>
              <w:jc w:val="center"/>
              <w:rPr>
                <w:noProof/>
                <w:sz w:val="18"/>
                <w:szCs w:val="18"/>
              </w:rPr>
            </w:pPr>
            <w:r>
              <w:rPr>
                <w:noProof/>
                <w:sz w:val="18"/>
              </w:rPr>
              <w:t>Cost</w:t>
            </w:r>
          </w:p>
        </w:tc>
        <w:tc>
          <w:tcPr>
            <w:tcW w:w="669" w:type="dxa"/>
            <w:tcBorders>
              <w:right w:val="dashSmallGap" w:sz="4" w:space="0" w:color="auto"/>
            </w:tcBorders>
            <w:shd w:val="pct10" w:color="auto" w:fill="auto"/>
            <w:textDirection w:val="btLr"/>
            <w:vAlign w:val="center"/>
          </w:tcPr>
          <w:p>
            <w:pPr>
              <w:ind w:left="113" w:right="113"/>
              <w:jc w:val="center"/>
              <w:rPr>
                <w:noProof/>
                <w:sz w:val="18"/>
                <w:szCs w:val="18"/>
              </w:rPr>
            </w:pPr>
            <w:r>
              <w:rPr>
                <w:noProof/>
                <w:sz w:val="18"/>
              </w:rPr>
              <w:t>No</w:t>
            </w:r>
          </w:p>
        </w:tc>
        <w:tc>
          <w:tcPr>
            <w:tcW w:w="839" w:type="dxa"/>
            <w:tcBorders>
              <w:left w:val="dashSmallGap" w:sz="4" w:space="0" w:color="auto"/>
            </w:tcBorders>
            <w:shd w:val="pct10" w:color="auto" w:fill="auto"/>
            <w:vAlign w:val="center"/>
          </w:tcPr>
          <w:p>
            <w:pPr>
              <w:jc w:val="center"/>
              <w:rPr>
                <w:noProof/>
                <w:sz w:val="18"/>
                <w:szCs w:val="18"/>
              </w:rPr>
            </w:pPr>
            <w:r>
              <w:rPr>
                <w:noProof/>
                <w:sz w:val="18"/>
              </w:rPr>
              <w:t>Cost</w:t>
            </w:r>
          </w:p>
        </w:tc>
        <w:tc>
          <w:tcPr>
            <w:tcW w:w="596" w:type="dxa"/>
            <w:tcBorders>
              <w:right w:val="dashSmallGap" w:sz="4" w:space="0" w:color="auto"/>
            </w:tcBorders>
            <w:shd w:val="pct10" w:color="auto" w:fill="auto"/>
            <w:textDirection w:val="btLr"/>
            <w:vAlign w:val="center"/>
          </w:tcPr>
          <w:p>
            <w:pPr>
              <w:ind w:left="113" w:right="113"/>
              <w:jc w:val="center"/>
              <w:rPr>
                <w:noProof/>
                <w:sz w:val="18"/>
                <w:szCs w:val="18"/>
              </w:rPr>
            </w:pPr>
            <w:r>
              <w:rPr>
                <w:noProof/>
                <w:sz w:val="18"/>
              </w:rPr>
              <w:t>No</w:t>
            </w:r>
          </w:p>
        </w:tc>
        <w:tc>
          <w:tcPr>
            <w:tcW w:w="780" w:type="dxa"/>
            <w:tcBorders>
              <w:left w:val="dashSmallGap" w:sz="4" w:space="0" w:color="auto"/>
            </w:tcBorders>
            <w:shd w:val="pct10" w:color="auto" w:fill="auto"/>
            <w:vAlign w:val="center"/>
          </w:tcPr>
          <w:p>
            <w:pPr>
              <w:jc w:val="center"/>
              <w:rPr>
                <w:noProof/>
                <w:sz w:val="18"/>
                <w:szCs w:val="18"/>
              </w:rPr>
            </w:pPr>
            <w:r>
              <w:rPr>
                <w:noProof/>
                <w:sz w:val="18"/>
              </w:rPr>
              <w:t>Cost</w:t>
            </w:r>
          </w:p>
        </w:tc>
        <w:tc>
          <w:tcPr>
            <w:tcW w:w="360" w:type="dxa"/>
            <w:tcBorders>
              <w:right w:val="dashSmallGap" w:sz="4" w:space="0" w:color="auto"/>
            </w:tcBorders>
            <w:shd w:val="pct10" w:color="auto" w:fill="auto"/>
            <w:textDirection w:val="btLr"/>
            <w:vAlign w:val="center"/>
          </w:tcPr>
          <w:p>
            <w:pPr>
              <w:ind w:left="113" w:right="113"/>
              <w:jc w:val="center"/>
              <w:rPr>
                <w:noProof/>
                <w:sz w:val="18"/>
                <w:szCs w:val="18"/>
              </w:rPr>
            </w:pPr>
            <w:r>
              <w:rPr>
                <w:noProof/>
                <w:sz w:val="18"/>
              </w:rPr>
              <w:t>No</w:t>
            </w:r>
          </w:p>
        </w:tc>
        <w:tc>
          <w:tcPr>
            <w:tcW w:w="780" w:type="dxa"/>
            <w:tcBorders>
              <w:left w:val="dashSmallGap" w:sz="4" w:space="0" w:color="auto"/>
            </w:tcBorders>
            <w:shd w:val="pct10" w:color="auto" w:fill="auto"/>
            <w:vAlign w:val="center"/>
          </w:tcPr>
          <w:p>
            <w:pPr>
              <w:jc w:val="center"/>
              <w:rPr>
                <w:noProof/>
                <w:sz w:val="18"/>
                <w:szCs w:val="18"/>
              </w:rPr>
            </w:pPr>
            <w:r>
              <w:rPr>
                <w:noProof/>
                <w:sz w:val="18"/>
              </w:rPr>
              <w:t>Cost</w:t>
            </w:r>
          </w:p>
        </w:tc>
        <w:tc>
          <w:tcPr>
            <w:tcW w:w="360" w:type="dxa"/>
            <w:tcBorders>
              <w:right w:val="dashSmallGap" w:sz="4" w:space="0" w:color="auto"/>
            </w:tcBorders>
            <w:shd w:val="pct10" w:color="auto" w:fill="auto"/>
            <w:textDirection w:val="btLr"/>
            <w:vAlign w:val="center"/>
          </w:tcPr>
          <w:p>
            <w:pPr>
              <w:ind w:left="113" w:right="113"/>
              <w:jc w:val="center"/>
              <w:rPr>
                <w:noProof/>
                <w:sz w:val="18"/>
                <w:szCs w:val="18"/>
              </w:rPr>
            </w:pPr>
            <w:r>
              <w:rPr>
                <w:noProof/>
                <w:sz w:val="18"/>
              </w:rPr>
              <w:t>No</w:t>
            </w:r>
          </w:p>
        </w:tc>
        <w:tc>
          <w:tcPr>
            <w:tcW w:w="780" w:type="dxa"/>
            <w:tcBorders>
              <w:left w:val="dashSmallGap" w:sz="4" w:space="0" w:color="auto"/>
            </w:tcBorders>
            <w:shd w:val="pct10" w:color="auto" w:fill="auto"/>
            <w:vAlign w:val="center"/>
          </w:tcPr>
          <w:p>
            <w:pPr>
              <w:jc w:val="center"/>
              <w:rPr>
                <w:noProof/>
                <w:sz w:val="18"/>
                <w:szCs w:val="18"/>
              </w:rPr>
            </w:pPr>
            <w:r>
              <w:rPr>
                <w:noProof/>
                <w:sz w:val="18"/>
              </w:rPr>
              <w:t>Cost</w:t>
            </w:r>
          </w:p>
        </w:tc>
        <w:tc>
          <w:tcPr>
            <w:tcW w:w="360" w:type="dxa"/>
            <w:tcBorders>
              <w:right w:val="dashSmallGap" w:sz="4" w:space="0" w:color="auto"/>
            </w:tcBorders>
            <w:shd w:val="pct10" w:color="auto" w:fill="auto"/>
            <w:textDirection w:val="btLr"/>
            <w:vAlign w:val="center"/>
          </w:tcPr>
          <w:p>
            <w:pPr>
              <w:ind w:left="113" w:right="113"/>
              <w:jc w:val="center"/>
              <w:rPr>
                <w:noProof/>
                <w:sz w:val="18"/>
              </w:rPr>
            </w:pPr>
            <w:r>
              <w:rPr>
                <w:noProof/>
                <w:sz w:val="18"/>
              </w:rPr>
              <w:t>No</w:t>
            </w:r>
          </w:p>
        </w:tc>
        <w:tc>
          <w:tcPr>
            <w:tcW w:w="840" w:type="dxa"/>
            <w:tcBorders>
              <w:left w:val="dashSmallGap" w:sz="4" w:space="0" w:color="auto"/>
            </w:tcBorders>
            <w:shd w:val="pct10" w:color="auto" w:fill="auto"/>
            <w:vAlign w:val="center"/>
          </w:tcPr>
          <w:p>
            <w:pPr>
              <w:jc w:val="center"/>
              <w:rPr>
                <w:noProof/>
                <w:sz w:val="18"/>
              </w:rPr>
            </w:pPr>
            <w:r>
              <w:rPr>
                <w:noProof/>
                <w:sz w:val="18"/>
              </w:rPr>
              <w:t>Cost</w:t>
            </w:r>
          </w:p>
        </w:tc>
        <w:tc>
          <w:tcPr>
            <w:tcW w:w="596" w:type="dxa"/>
            <w:tcBorders>
              <w:right w:val="dashSmallGap" w:sz="4" w:space="0" w:color="auto"/>
            </w:tcBorders>
            <w:shd w:val="pct10" w:color="auto" w:fill="auto"/>
            <w:textDirection w:val="btLr"/>
            <w:vAlign w:val="center"/>
          </w:tcPr>
          <w:p>
            <w:pPr>
              <w:ind w:left="113" w:right="113"/>
              <w:jc w:val="center"/>
              <w:rPr>
                <w:noProof/>
                <w:sz w:val="18"/>
                <w:szCs w:val="18"/>
              </w:rPr>
            </w:pPr>
            <w:r>
              <w:rPr>
                <w:noProof/>
                <w:sz w:val="18"/>
              </w:rPr>
              <w:t>Total No</w:t>
            </w:r>
          </w:p>
        </w:tc>
        <w:tc>
          <w:tcPr>
            <w:tcW w:w="1320" w:type="dxa"/>
            <w:tcBorders>
              <w:left w:val="dashSmallGap" w:sz="4" w:space="0" w:color="auto"/>
              <w:right w:val="single" w:sz="12" w:space="0" w:color="auto"/>
            </w:tcBorders>
            <w:shd w:val="pct10" w:color="auto" w:fill="auto"/>
            <w:vAlign w:val="center"/>
          </w:tcPr>
          <w:p>
            <w:pPr>
              <w:jc w:val="center"/>
              <w:rPr>
                <w:noProof/>
                <w:sz w:val="18"/>
                <w:szCs w:val="18"/>
              </w:rPr>
            </w:pPr>
            <w:r>
              <w:rPr>
                <w:noProof/>
                <w:sz w:val="18"/>
              </w:rPr>
              <w:t>Total cost</w:t>
            </w:r>
          </w:p>
        </w:tc>
      </w:tr>
      <w:tr>
        <w:trPr>
          <w:jc w:val="center"/>
        </w:trPr>
        <w:tc>
          <w:tcPr>
            <w:tcW w:w="2374" w:type="dxa"/>
            <w:gridSpan w:val="3"/>
            <w:tcBorders>
              <w:left w:val="single" w:sz="12" w:space="0" w:color="auto"/>
            </w:tcBorders>
            <w:vAlign w:val="center"/>
          </w:tcPr>
          <w:p>
            <w:pPr>
              <w:spacing w:before="60" w:after="60"/>
              <w:ind w:right="-29"/>
              <w:jc w:val="center"/>
              <w:rPr>
                <w:noProof/>
                <w:sz w:val="18"/>
              </w:rPr>
            </w:pPr>
            <w:r>
              <w:rPr>
                <w:noProof/>
                <w:sz w:val="18"/>
              </w:rPr>
              <w:t>SPECIFIC OBJECTIVE No 6: Meetings and training</w:t>
            </w:r>
          </w:p>
          <w:p>
            <w:pPr>
              <w:spacing w:before="60" w:after="60"/>
              <w:ind w:right="-29"/>
              <w:jc w:val="center"/>
              <w:rPr>
                <w:noProof/>
                <w:sz w:val="18"/>
                <w:szCs w:val="18"/>
              </w:rPr>
            </w:pPr>
          </w:p>
        </w:tc>
        <w:tc>
          <w:tcPr>
            <w:tcW w:w="669" w:type="dxa"/>
            <w:tcBorders>
              <w:right w:val="nil"/>
            </w:tcBorders>
          </w:tcPr>
          <w:p>
            <w:pPr>
              <w:spacing w:before="60" w:after="60"/>
              <w:ind w:right="-29"/>
              <w:jc w:val="center"/>
              <w:rPr>
                <w:noProof/>
                <w:sz w:val="18"/>
                <w:szCs w:val="18"/>
              </w:rPr>
            </w:pPr>
          </w:p>
        </w:tc>
        <w:tc>
          <w:tcPr>
            <w:tcW w:w="780" w:type="dxa"/>
            <w:tcBorders>
              <w:left w:val="nil"/>
              <w:bottom w:val="single" w:sz="4" w:space="0" w:color="auto"/>
            </w:tcBorders>
          </w:tcPr>
          <w:p>
            <w:pPr>
              <w:spacing w:before="60" w:after="60"/>
              <w:ind w:right="-29"/>
              <w:jc w:val="center"/>
              <w:rPr>
                <w:noProof/>
                <w:sz w:val="18"/>
                <w:szCs w:val="18"/>
              </w:rPr>
            </w:pPr>
          </w:p>
        </w:tc>
        <w:tc>
          <w:tcPr>
            <w:tcW w:w="669" w:type="dxa"/>
            <w:tcBorders>
              <w:top w:val="nil"/>
              <w:left w:val="nil"/>
              <w:bottom w:val="nil"/>
              <w:right w:val="nil"/>
            </w:tcBorders>
          </w:tcPr>
          <w:p>
            <w:pPr>
              <w:spacing w:before="60" w:after="60"/>
              <w:ind w:right="-29"/>
              <w:jc w:val="center"/>
              <w:rPr>
                <w:noProof/>
                <w:sz w:val="18"/>
                <w:szCs w:val="18"/>
              </w:rPr>
            </w:pPr>
          </w:p>
        </w:tc>
        <w:tc>
          <w:tcPr>
            <w:tcW w:w="780" w:type="dxa"/>
            <w:tcBorders>
              <w:top w:val="nil"/>
              <w:left w:val="nil"/>
              <w:bottom w:val="nil"/>
              <w:right w:val="nil"/>
            </w:tcBorders>
          </w:tcPr>
          <w:p>
            <w:pPr>
              <w:spacing w:before="60" w:after="60"/>
              <w:ind w:right="-29"/>
              <w:jc w:val="center"/>
              <w:rPr>
                <w:noProof/>
                <w:sz w:val="18"/>
                <w:szCs w:val="18"/>
              </w:rPr>
            </w:pPr>
          </w:p>
        </w:tc>
        <w:tc>
          <w:tcPr>
            <w:tcW w:w="669" w:type="dxa"/>
            <w:tcBorders>
              <w:top w:val="nil"/>
              <w:left w:val="nil"/>
              <w:bottom w:val="nil"/>
              <w:right w:val="nil"/>
            </w:tcBorders>
          </w:tcPr>
          <w:p>
            <w:pPr>
              <w:spacing w:before="60" w:after="60"/>
              <w:ind w:right="-29"/>
              <w:jc w:val="center"/>
              <w:rPr>
                <w:noProof/>
                <w:sz w:val="18"/>
                <w:szCs w:val="18"/>
              </w:rPr>
            </w:pPr>
          </w:p>
        </w:tc>
        <w:tc>
          <w:tcPr>
            <w:tcW w:w="780" w:type="dxa"/>
            <w:tcBorders>
              <w:top w:val="nil"/>
              <w:left w:val="nil"/>
              <w:bottom w:val="nil"/>
              <w:right w:val="nil"/>
            </w:tcBorders>
          </w:tcPr>
          <w:p>
            <w:pPr>
              <w:spacing w:before="60" w:after="60"/>
              <w:ind w:right="-29"/>
              <w:jc w:val="center"/>
              <w:rPr>
                <w:noProof/>
                <w:sz w:val="18"/>
                <w:szCs w:val="18"/>
              </w:rPr>
            </w:pPr>
          </w:p>
        </w:tc>
        <w:tc>
          <w:tcPr>
            <w:tcW w:w="669" w:type="dxa"/>
            <w:tcBorders>
              <w:top w:val="nil"/>
              <w:left w:val="nil"/>
              <w:bottom w:val="nil"/>
              <w:right w:val="nil"/>
            </w:tcBorders>
          </w:tcPr>
          <w:p>
            <w:pPr>
              <w:spacing w:before="60" w:after="60"/>
              <w:ind w:right="-29"/>
              <w:jc w:val="center"/>
              <w:rPr>
                <w:noProof/>
                <w:sz w:val="18"/>
                <w:szCs w:val="18"/>
              </w:rPr>
            </w:pPr>
          </w:p>
        </w:tc>
        <w:tc>
          <w:tcPr>
            <w:tcW w:w="780" w:type="dxa"/>
            <w:tcBorders>
              <w:top w:val="nil"/>
              <w:left w:val="nil"/>
              <w:bottom w:val="nil"/>
              <w:right w:val="nil"/>
            </w:tcBorders>
          </w:tcPr>
          <w:p>
            <w:pPr>
              <w:spacing w:before="60" w:after="60"/>
              <w:ind w:right="-29"/>
              <w:jc w:val="center"/>
              <w:rPr>
                <w:noProof/>
                <w:sz w:val="18"/>
                <w:szCs w:val="18"/>
              </w:rPr>
            </w:pPr>
          </w:p>
        </w:tc>
        <w:tc>
          <w:tcPr>
            <w:tcW w:w="669" w:type="dxa"/>
            <w:tcBorders>
              <w:top w:val="nil"/>
              <w:left w:val="nil"/>
              <w:bottom w:val="nil"/>
              <w:right w:val="nil"/>
            </w:tcBorders>
          </w:tcPr>
          <w:p>
            <w:pPr>
              <w:spacing w:before="60" w:after="60"/>
              <w:ind w:right="-29"/>
              <w:jc w:val="center"/>
              <w:rPr>
                <w:noProof/>
                <w:sz w:val="18"/>
                <w:szCs w:val="18"/>
              </w:rPr>
            </w:pPr>
          </w:p>
        </w:tc>
        <w:tc>
          <w:tcPr>
            <w:tcW w:w="839" w:type="dxa"/>
            <w:tcBorders>
              <w:top w:val="nil"/>
              <w:left w:val="nil"/>
              <w:bottom w:val="nil"/>
              <w:right w:val="nil"/>
            </w:tcBorders>
          </w:tcPr>
          <w:p>
            <w:pPr>
              <w:spacing w:before="60" w:after="60"/>
              <w:ind w:right="-29"/>
              <w:jc w:val="center"/>
              <w:rPr>
                <w:noProof/>
                <w:sz w:val="18"/>
                <w:szCs w:val="18"/>
              </w:rPr>
            </w:pPr>
          </w:p>
        </w:tc>
        <w:tc>
          <w:tcPr>
            <w:tcW w:w="596" w:type="dxa"/>
            <w:tcBorders>
              <w:top w:val="nil"/>
              <w:left w:val="nil"/>
              <w:bottom w:val="nil"/>
              <w:right w:val="nil"/>
            </w:tcBorders>
          </w:tcPr>
          <w:p>
            <w:pPr>
              <w:spacing w:before="60" w:after="60"/>
              <w:ind w:right="-29"/>
              <w:jc w:val="center"/>
              <w:rPr>
                <w:noProof/>
                <w:sz w:val="18"/>
                <w:szCs w:val="18"/>
              </w:rPr>
            </w:pPr>
          </w:p>
        </w:tc>
        <w:tc>
          <w:tcPr>
            <w:tcW w:w="780" w:type="dxa"/>
            <w:tcBorders>
              <w:top w:val="nil"/>
              <w:left w:val="nil"/>
              <w:bottom w:val="nil"/>
              <w:right w:val="nil"/>
            </w:tcBorders>
          </w:tcPr>
          <w:p>
            <w:pPr>
              <w:spacing w:before="60" w:after="60"/>
              <w:ind w:right="-29"/>
              <w:jc w:val="center"/>
              <w:rPr>
                <w:noProof/>
                <w:sz w:val="18"/>
                <w:szCs w:val="18"/>
              </w:rPr>
            </w:pPr>
          </w:p>
        </w:tc>
        <w:tc>
          <w:tcPr>
            <w:tcW w:w="360" w:type="dxa"/>
            <w:tcBorders>
              <w:top w:val="nil"/>
              <w:left w:val="nil"/>
              <w:bottom w:val="nil"/>
              <w:right w:val="nil"/>
            </w:tcBorders>
          </w:tcPr>
          <w:p>
            <w:pPr>
              <w:spacing w:before="60" w:after="60"/>
              <w:ind w:right="-29"/>
              <w:jc w:val="center"/>
              <w:rPr>
                <w:noProof/>
                <w:sz w:val="18"/>
                <w:szCs w:val="18"/>
              </w:rPr>
            </w:pPr>
          </w:p>
        </w:tc>
        <w:tc>
          <w:tcPr>
            <w:tcW w:w="780" w:type="dxa"/>
            <w:tcBorders>
              <w:top w:val="nil"/>
              <w:left w:val="nil"/>
              <w:bottom w:val="nil"/>
              <w:right w:val="nil"/>
            </w:tcBorders>
          </w:tcPr>
          <w:p>
            <w:pPr>
              <w:spacing w:before="60" w:after="60"/>
              <w:ind w:right="-29"/>
              <w:jc w:val="center"/>
              <w:rPr>
                <w:noProof/>
                <w:sz w:val="18"/>
                <w:szCs w:val="18"/>
              </w:rPr>
            </w:pPr>
          </w:p>
        </w:tc>
        <w:tc>
          <w:tcPr>
            <w:tcW w:w="360" w:type="dxa"/>
            <w:tcBorders>
              <w:top w:val="nil"/>
              <w:left w:val="nil"/>
              <w:bottom w:val="nil"/>
              <w:right w:val="nil"/>
            </w:tcBorders>
          </w:tcPr>
          <w:p>
            <w:pPr>
              <w:spacing w:before="60" w:after="60"/>
              <w:ind w:right="-29"/>
              <w:jc w:val="center"/>
              <w:rPr>
                <w:noProof/>
                <w:sz w:val="18"/>
                <w:szCs w:val="18"/>
              </w:rPr>
            </w:pPr>
          </w:p>
        </w:tc>
        <w:tc>
          <w:tcPr>
            <w:tcW w:w="780" w:type="dxa"/>
            <w:tcBorders>
              <w:top w:val="nil"/>
              <w:left w:val="nil"/>
              <w:bottom w:val="nil"/>
              <w:right w:val="nil"/>
            </w:tcBorders>
          </w:tcPr>
          <w:p>
            <w:pPr>
              <w:spacing w:before="60" w:after="60"/>
              <w:ind w:right="-29"/>
              <w:jc w:val="center"/>
              <w:rPr>
                <w:noProof/>
                <w:sz w:val="18"/>
                <w:szCs w:val="18"/>
              </w:rPr>
            </w:pPr>
          </w:p>
        </w:tc>
        <w:tc>
          <w:tcPr>
            <w:tcW w:w="1200" w:type="dxa"/>
            <w:gridSpan w:val="2"/>
            <w:tcBorders>
              <w:top w:val="nil"/>
              <w:left w:val="nil"/>
              <w:bottom w:val="nil"/>
              <w:right w:val="nil"/>
            </w:tcBorders>
          </w:tcPr>
          <w:p>
            <w:pPr>
              <w:spacing w:before="60" w:after="60"/>
              <w:ind w:right="-29"/>
              <w:jc w:val="center"/>
              <w:rPr>
                <w:noProof/>
                <w:sz w:val="18"/>
                <w:szCs w:val="18"/>
              </w:rPr>
            </w:pPr>
          </w:p>
        </w:tc>
        <w:tc>
          <w:tcPr>
            <w:tcW w:w="596" w:type="dxa"/>
            <w:tcBorders>
              <w:top w:val="nil"/>
              <w:left w:val="nil"/>
              <w:bottom w:val="nil"/>
              <w:right w:val="nil"/>
            </w:tcBorders>
          </w:tcPr>
          <w:p>
            <w:pPr>
              <w:spacing w:before="60" w:after="60"/>
              <w:ind w:right="-29"/>
              <w:jc w:val="center"/>
              <w:rPr>
                <w:noProof/>
                <w:sz w:val="18"/>
                <w:szCs w:val="18"/>
              </w:rPr>
            </w:pPr>
          </w:p>
        </w:tc>
        <w:tc>
          <w:tcPr>
            <w:tcW w:w="1320" w:type="dxa"/>
            <w:tcBorders>
              <w:top w:val="nil"/>
              <w:left w:val="nil"/>
              <w:bottom w:val="single" w:sz="4" w:space="0" w:color="auto"/>
              <w:right w:val="single" w:sz="12" w:space="0" w:color="auto"/>
            </w:tcBorders>
          </w:tcPr>
          <w:p>
            <w:pPr>
              <w:spacing w:before="60" w:after="60"/>
              <w:ind w:right="-29"/>
              <w:jc w:val="center"/>
              <w:rPr>
                <w:noProof/>
                <w:sz w:val="18"/>
                <w:szCs w:val="18"/>
              </w:rPr>
            </w:pPr>
          </w:p>
        </w:tc>
      </w:tr>
      <w:tr>
        <w:trPr>
          <w:trHeight w:hRule="exact" w:val="1462"/>
          <w:jc w:val="center"/>
        </w:trPr>
        <w:tc>
          <w:tcPr>
            <w:tcW w:w="1240" w:type="dxa"/>
            <w:tcBorders>
              <w:left w:val="single" w:sz="12" w:space="0" w:color="auto"/>
            </w:tcBorders>
          </w:tcPr>
          <w:p>
            <w:pPr>
              <w:ind w:right="-29"/>
              <w:jc w:val="center"/>
              <w:rPr>
                <w:noProof/>
                <w:color w:val="000000"/>
                <w:sz w:val="20"/>
                <w:szCs w:val="20"/>
              </w:rPr>
            </w:pPr>
            <w:r>
              <w:rPr>
                <w:noProof/>
                <w:color w:val="000000"/>
                <w:sz w:val="20"/>
                <w:szCs w:val="20"/>
              </w:rPr>
              <w:t xml:space="preserve">Monthly Progress meetings </w:t>
            </w:r>
          </w:p>
          <w:p>
            <w:pPr>
              <w:ind w:right="-29"/>
              <w:jc w:val="center"/>
              <w:rPr>
                <w:noProof/>
                <w:sz w:val="20"/>
                <w:szCs w:val="20"/>
              </w:rPr>
            </w:pPr>
            <w:r>
              <w:rPr>
                <w:noProof/>
                <w:color w:val="000000"/>
                <w:sz w:val="20"/>
                <w:szCs w:val="20"/>
              </w:rPr>
              <w:t>(Develop-ment)</w:t>
            </w:r>
          </w:p>
        </w:tc>
        <w:tc>
          <w:tcPr>
            <w:tcW w:w="1134" w:type="dxa"/>
            <w:gridSpan w:val="2"/>
          </w:tcPr>
          <w:p>
            <w:pPr>
              <w:ind w:right="-29"/>
              <w:jc w:val="center"/>
              <w:rPr>
                <w:noProof/>
                <w:sz w:val="18"/>
                <w:szCs w:val="18"/>
              </w:rPr>
            </w:pPr>
            <w:r>
              <w:rPr>
                <w:noProof/>
                <w:sz w:val="18"/>
                <w:szCs w:val="18"/>
              </w:rPr>
              <w:t>0,021 per meeting x 10 per year</w:t>
            </w:r>
          </w:p>
        </w:tc>
        <w:tc>
          <w:tcPr>
            <w:tcW w:w="669" w:type="dxa"/>
            <w:tcBorders>
              <w:right w:val="dashSmallGap" w:sz="4" w:space="0" w:color="auto"/>
            </w:tcBorders>
          </w:tcPr>
          <w:p>
            <w:pPr>
              <w:ind w:right="-29"/>
              <w:jc w:val="center"/>
              <w:rPr>
                <w:noProof/>
                <w:sz w:val="20"/>
                <w:szCs w:val="20"/>
              </w:rPr>
            </w:pPr>
            <w:r>
              <w:rPr>
                <w:noProof/>
                <w:sz w:val="20"/>
                <w:szCs w:val="20"/>
              </w:rPr>
              <w:t>10</w:t>
            </w:r>
          </w:p>
        </w:tc>
        <w:tc>
          <w:tcPr>
            <w:tcW w:w="780" w:type="dxa"/>
            <w:tcBorders>
              <w:left w:val="dashSmallGap" w:sz="4" w:space="0" w:color="auto"/>
              <w:bottom w:val="single" w:sz="4" w:space="0" w:color="auto"/>
            </w:tcBorders>
          </w:tcPr>
          <w:p>
            <w:pPr>
              <w:ind w:right="-29"/>
              <w:jc w:val="center"/>
              <w:rPr>
                <w:noProof/>
                <w:sz w:val="20"/>
                <w:szCs w:val="20"/>
              </w:rPr>
            </w:pPr>
            <w:r>
              <w:rPr>
                <w:rFonts w:ascii="Calibri" w:hAnsi="Calibri"/>
                <w:i/>
                <w:iCs/>
                <w:noProof/>
                <w:color w:val="000000"/>
                <w:sz w:val="20"/>
                <w:szCs w:val="20"/>
              </w:rPr>
              <w:t>0,210</w:t>
            </w:r>
          </w:p>
        </w:tc>
        <w:tc>
          <w:tcPr>
            <w:tcW w:w="669" w:type="dxa"/>
            <w:tcBorders>
              <w:right w:val="dashSmallGap" w:sz="4" w:space="0" w:color="auto"/>
            </w:tcBorders>
          </w:tcPr>
          <w:p>
            <w:pPr>
              <w:ind w:right="-29"/>
              <w:jc w:val="center"/>
              <w:rPr>
                <w:noProof/>
                <w:sz w:val="20"/>
                <w:szCs w:val="20"/>
              </w:rPr>
            </w:pPr>
            <w:r>
              <w:rPr>
                <w:noProof/>
                <w:sz w:val="20"/>
                <w:szCs w:val="20"/>
              </w:rPr>
              <w:t>10</w:t>
            </w:r>
          </w:p>
        </w:tc>
        <w:tc>
          <w:tcPr>
            <w:tcW w:w="780" w:type="dxa"/>
            <w:tcBorders>
              <w:left w:val="dashSmallGap" w:sz="4" w:space="0" w:color="auto"/>
            </w:tcBorders>
          </w:tcPr>
          <w:p>
            <w:pPr>
              <w:ind w:right="-29"/>
              <w:jc w:val="center"/>
              <w:rPr>
                <w:noProof/>
                <w:sz w:val="20"/>
                <w:szCs w:val="20"/>
              </w:rPr>
            </w:pPr>
            <w:r>
              <w:rPr>
                <w:rFonts w:ascii="Calibri" w:hAnsi="Calibri"/>
                <w:i/>
                <w:iCs/>
                <w:noProof/>
                <w:color w:val="000000"/>
                <w:sz w:val="20"/>
                <w:szCs w:val="20"/>
              </w:rPr>
              <w:t>0,210</w:t>
            </w:r>
          </w:p>
        </w:tc>
        <w:tc>
          <w:tcPr>
            <w:tcW w:w="669" w:type="dxa"/>
            <w:tcBorders>
              <w:right w:val="dashSmallGap" w:sz="4" w:space="0" w:color="auto"/>
            </w:tcBorders>
          </w:tcPr>
          <w:p>
            <w:pPr>
              <w:ind w:right="-29"/>
              <w:jc w:val="center"/>
              <w:rPr>
                <w:noProof/>
                <w:sz w:val="20"/>
                <w:szCs w:val="20"/>
              </w:rPr>
            </w:pPr>
            <w:r>
              <w:rPr>
                <w:noProof/>
                <w:sz w:val="20"/>
                <w:szCs w:val="20"/>
              </w:rPr>
              <w:t>10</w:t>
            </w:r>
          </w:p>
        </w:tc>
        <w:tc>
          <w:tcPr>
            <w:tcW w:w="780" w:type="dxa"/>
            <w:tcBorders>
              <w:left w:val="dashSmallGap" w:sz="4" w:space="0" w:color="auto"/>
            </w:tcBorders>
          </w:tcPr>
          <w:p>
            <w:pPr>
              <w:ind w:right="-29"/>
              <w:jc w:val="center"/>
              <w:rPr>
                <w:noProof/>
                <w:sz w:val="20"/>
                <w:szCs w:val="20"/>
              </w:rPr>
            </w:pPr>
            <w:r>
              <w:rPr>
                <w:rFonts w:ascii="Calibri" w:hAnsi="Calibri"/>
                <w:i/>
                <w:iCs/>
                <w:noProof/>
                <w:color w:val="000000"/>
                <w:sz w:val="20"/>
                <w:szCs w:val="20"/>
              </w:rPr>
              <w:t>0,210</w:t>
            </w:r>
          </w:p>
        </w:tc>
        <w:tc>
          <w:tcPr>
            <w:tcW w:w="669" w:type="dxa"/>
            <w:tcBorders>
              <w:right w:val="dashSmallGap" w:sz="4" w:space="0" w:color="auto"/>
            </w:tcBorders>
          </w:tcPr>
          <w:p>
            <w:pPr>
              <w:ind w:right="-29"/>
              <w:jc w:val="center"/>
              <w:rPr>
                <w:noProof/>
                <w:sz w:val="20"/>
                <w:szCs w:val="20"/>
              </w:rPr>
            </w:pPr>
            <w:r>
              <w:rPr>
                <w:noProof/>
                <w:sz w:val="20"/>
                <w:szCs w:val="20"/>
              </w:rPr>
              <w:t>10</w:t>
            </w:r>
          </w:p>
        </w:tc>
        <w:tc>
          <w:tcPr>
            <w:tcW w:w="780" w:type="dxa"/>
            <w:tcBorders>
              <w:left w:val="dashSmallGap" w:sz="4" w:space="0" w:color="auto"/>
            </w:tcBorders>
          </w:tcPr>
          <w:p>
            <w:pPr>
              <w:ind w:right="-29"/>
              <w:jc w:val="center"/>
              <w:rPr>
                <w:noProof/>
                <w:sz w:val="20"/>
                <w:szCs w:val="20"/>
              </w:rPr>
            </w:pPr>
            <w:r>
              <w:rPr>
                <w:rFonts w:ascii="Calibri" w:hAnsi="Calibri"/>
                <w:i/>
                <w:iCs/>
                <w:noProof/>
                <w:color w:val="000000"/>
                <w:sz w:val="20"/>
                <w:szCs w:val="20"/>
              </w:rPr>
              <w:t>0,210</w:t>
            </w:r>
          </w:p>
        </w:tc>
        <w:tc>
          <w:tcPr>
            <w:tcW w:w="669" w:type="dxa"/>
            <w:tcBorders>
              <w:right w:val="dashSmallGap" w:sz="4" w:space="0" w:color="auto"/>
            </w:tcBorders>
          </w:tcPr>
          <w:p>
            <w:pPr>
              <w:ind w:right="-29"/>
              <w:jc w:val="center"/>
              <w:rPr>
                <w:noProof/>
                <w:sz w:val="20"/>
                <w:szCs w:val="20"/>
              </w:rPr>
            </w:pPr>
          </w:p>
        </w:tc>
        <w:tc>
          <w:tcPr>
            <w:tcW w:w="839" w:type="dxa"/>
            <w:tcBorders>
              <w:left w:val="dashSmallGap" w:sz="4" w:space="0" w:color="auto"/>
            </w:tcBorders>
          </w:tcPr>
          <w:p>
            <w:pPr>
              <w:ind w:right="-29"/>
              <w:jc w:val="center"/>
              <w:rPr>
                <w:noProof/>
                <w:sz w:val="20"/>
                <w:szCs w:val="20"/>
              </w:rPr>
            </w:pPr>
          </w:p>
        </w:tc>
        <w:tc>
          <w:tcPr>
            <w:tcW w:w="596" w:type="dxa"/>
            <w:tcBorders>
              <w:right w:val="dashSmallGap" w:sz="4" w:space="0" w:color="auto"/>
            </w:tcBorders>
          </w:tcPr>
          <w:p>
            <w:pPr>
              <w:ind w:right="-29"/>
              <w:jc w:val="center"/>
              <w:rPr>
                <w:noProof/>
                <w:sz w:val="20"/>
                <w:szCs w:val="20"/>
              </w:rPr>
            </w:pPr>
          </w:p>
        </w:tc>
        <w:tc>
          <w:tcPr>
            <w:tcW w:w="780" w:type="dxa"/>
            <w:tcBorders>
              <w:left w:val="dashSmallGap" w:sz="4" w:space="0" w:color="auto"/>
            </w:tcBorders>
          </w:tcPr>
          <w:p>
            <w:pPr>
              <w:ind w:right="-29"/>
              <w:jc w:val="center"/>
              <w:rPr>
                <w:noProof/>
                <w:sz w:val="20"/>
                <w:szCs w:val="20"/>
              </w:rPr>
            </w:pPr>
          </w:p>
        </w:tc>
        <w:tc>
          <w:tcPr>
            <w:tcW w:w="360" w:type="dxa"/>
            <w:tcBorders>
              <w:right w:val="dashSmallGap" w:sz="4" w:space="0" w:color="auto"/>
            </w:tcBorders>
          </w:tcPr>
          <w:p>
            <w:pPr>
              <w:ind w:right="-29"/>
              <w:jc w:val="center"/>
              <w:rPr>
                <w:noProof/>
                <w:sz w:val="20"/>
                <w:szCs w:val="20"/>
              </w:rPr>
            </w:pPr>
          </w:p>
        </w:tc>
        <w:tc>
          <w:tcPr>
            <w:tcW w:w="780" w:type="dxa"/>
            <w:tcBorders>
              <w:left w:val="dashSmallGap" w:sz="4" w:space="0" w:color="auto"/>
            </w:tcBorders>
          </w:tcPr>
          <w:p>
            <w:pPr>
              <w:ind w:right="-29"/>
              <w:jc w:val="center"/>
              <w:rPr>
                <w:noProof/>
                <w:sz w:val="20"/>
                <w:szCs w:val="20"/>
              </w:rPr>
            </w:pPr>
          </w:p>
        </w:tc>
        <w:tc>
          <w:tcPr>
            <w:tcW w:w="360" w:type="dxa"/>
            <w:tcBorders>
              <w:right w:val="dashSmallGap" w:sz="4" w:space="0" w:color="auto"/>
            </w:tcBorders>
          </w:tcPr>
          <w:p>
            <w:pPr>
              <w:ind w:right="-29"/>
              <w:jc w:val="center"/>
              <w:rPr>
                <w:noProof/>
                <w:sz w:val="20"/>
                <w:szCs w:val="20"/>
              </w:rPr>
            </w:pPr>
          </w:p>
        </w:tc>
        <w:tc>
          <w:tcPr>
            <w:tcW w:w="780" w:type="dxa"/>
            <w:tcBorders>
              <w:left w:val="dashSmallGap" w:sz="4" w:space="0" w:color="auto"/>
            </w:tcBorders>
          </w:tcPr>
          <w:p>
            <w:pPr>
              <w:ind w:right="-29"/>
              <w:jc w:val="center"/>
              <w:rPr>
                <w:noProof/>
                <w:sz w:val="20"/>
                <w:szCs w:val="20"/>
              </w:rPr>
            </w:pPr>
          </w:p>
        </w:tc>
        <w:tc>
          <w:tcPr>
            <w:tcW w:w="360" w:type="dxa"/>
            <w:tcBorders>
              <w:right w:val="dashSmallGap" w:sz="4" w:space="0" w:color="auto"/>
            </w:tcBorders>
          </w:tcPr>
          <w:p>
            <w:pPr>
              <w:ind w:right="-29"/>
              <w:jc w:val="center"/>
              <w:rPr>
                <w:noProof/>
                <w:sz w:val="20"/>
                <w:szCs w:val="20"/>
              </w:rPr>
            </w:pPr>
          </w:p>
        </w:tc>
        <w:tc>
          <w:tcPr>
            <w:tcW w:w="840" w:type="dxa"/>
            <w:tcBorders>
              <w:left w:val="dashSmallGap" w:sz="4" w:space="0" w:color="auto"/>
              <w:bottom w:val="single" w:sz="4" w:space="0" w:color="auto"/>
            </w:tcBorders>
          </w:tcPr>
          <w:p>
            <w:pPr>
              <w:ind w:right="-29"/>
              <w:jc w:val="center"/>
              <w:rPr>
                <w:noProof/>
                <w:sz w:val="20"/>
                <w:szCs w:val="20"/>
              </w:rPr>
            </w:pPr>
          </w:p>
        </w:tc>
        <w:tc>
          <w:tcPr>
            <w:tcW w:w="596" w:type="dxa"/>
            <w:tcBorders>
              <w:right w:val="dashSmallGap" w:sz="4" w:space="0" w:color="auto"/>
            </w:tcBorders>
          </w:tcPr>
          <w:p>
            <w:pPr>
              <w:ind w:right="-29"/>
              <w:jc w:val="center"/>
              <w:rPr>
                <w:noProof/>
                <w:sz w:val="20"/>
                <w:szCs w:val="20"/>
              </w:rPr>
            </w:pPr>
            <w:r>
              <w:rPr>
                <w:noProof/>
                <w:sz w:val="20"/>
                <w:szCs w:val="20"/>
              </w:rPr>
              <w:t>40</w:t>
            </w:r>
          </w:p>
        </w:tc>
        <w:tc>
          <w:tcPr>
            <w:tcW w:w="1320" w:type="dxa"/>
            <w:tcBorders>
              <w:left w:val="dashSmallGap" w:sz="4" w:space="0" w:color="auto"/>
              <w:bottom w:val="single" w:sz="4" w:space="0" w:color="auto"/>
              <w:right w:val="single" w:sz="12" w:space="0" w:color="auto"/>
            </w:tcBorders>
          </w:tcPr>
          <w:p>
            <w:pPr>
              <w:ind w:right="-29"/>
              <w:jc w:val="center"/>
              <w:rPr>
                <w:noProof/>
                <w:sz w:val="20"/>
                <w:szCs w:val="20"/>
              </w:rPr>
            </w:pPr>
            <w:r>
              <w:rPr>
                <w:noProof/>
                <w:sz w:val="20"/>
                <w:szCs w:val="20"/>
              </w:rPr>
              <w:t>0,840</w:t>
            </w:r>
          </w:p>
        </w:tc>
      </w:tr>
      <w:tr>
        <w:trPr>
          <w:trHeight w:hRule="exact" w:val="1002"/>
          <w:jc w:val="center"/>
        </w:trPr>
        <w:tc>
          <w:tcPr>
            <w:tcW w:w="1240" w:type="dxa"/>
            <w:tcBorders>
              <w:left w:val="single" w:sz="12" w:space="0" w:color="auto"/>
            </w:tcBorders>
          </w:tcPr>
          <w:p>
            <w:pPr>
              <w:ind w:right="-29"/>
              <w:jc w:val="center"/>
              <w:rPr>
                <w:noProof/>
                <w:sz w:val="20"/>
                <w:szCs w:val="20"/>
              </w:rPr>
            </w:pPr>
            <w:r>
              <w:rPr>
                <w:noProof/>
                <w:sz w:val="20"/>
                <w:szCs w:val="20"/>
              </w:rPr>
              <w:t>Quarterly meetings (operations)</w:t>
            </w:r>
          </w:p>
        </w:tc>
        <w:tc>
          <w:tcPr>
            <w:tcW w:w="1134" w:type="dxa"/>
            <w:gridSpan w:val="2"/>
          </w:tcPr>
          <w:p>
            <w:pPr>
              <w:ind w:right="-29"/>
              <w:jc w:val="center"/>
              <w:rPr>
                <w:noProof/>
                <w:sz w:val="18"/>
                <w:szCs w:val="18"/>
              </w:rPr>
            </w:pPr>
            <w:r>
              <w:rPr>
                <w:noProof/>
                <w:sz w:val="18"/>
                <w:szCs w:val="18"/>
              </w:rPr>
              <w:t xml:space="preserve">0,021 x 4 per year </w:t>
            </w:r>
          </w:p>
        </w:tc>
        <w:tc>
          <w:tcPr>
            <w:tcW w:w="669" w:type="dxa"/>
            <w:tcBorders>
              <w:right w:val="dashSmallGap" w:sz="4" w:space="0" w:color="auto"/>
            </w:tcBorders>
          </w:tcPr>
          <w:p>
            <w:pPr>
              <w:ind w:right="-29"/>
              <w:jc w:val="center"/>
              <w:rPr>
                <w:noProof/>
                <w:sz w:val="20"/>
                <w:szCs w:val="20"/>
              </w:rPr>
            </w:pPr>
            <w:r>
              <w:rPr>
                <w:noProof/>
                <w:sz w:val="20"/>
                <w:szCs w:val="20"/>
              </w:rPr>
              <w:t>4</w:t>
            </w:r>
          </w:p>
        </w:tc>
        <w:tc>
          <w:tcPr>
            <w:tcW w:w="780" w:type="dxa"/>
            <w:tcBorders>
              <w:left w:val="dashSmallGap" w:sz="4" w:space="0" w:color="auto"/>
              <w:bottom w:val="single" w:sz="4" w:space="0" w:color="auto"/>
            </w:tcBorders>
          </w:tcPr>
          <w:p>
            <w:pPr>
              <w:ind w:right="-29"/>
              <w:jc w:val="center"/>
              <w:rPr>
                <w:noProof/>
                <w:sz w:val="20"/>
                <w:szCs w:val="20"/>
              </w:rPr>
            </w:pPr>
            <w:r>
              <w:rPr>
                <w:noProof/>
                <w:sz w:val="20"/>
                <w:szCs w:val="20"/>
              </w:rPr>
              <w:t>0,084</w:t>
            </w:r>
          </w:p>
        </w:tc>
        <w:tc>
          <w:tcPr>
            <w:tcW w:w="669" w:type="dxa"/>
            <w:tcBorders>
              <w:right w:val="dashSmallGap" w:sz="4" w:space="0" w:color="auto"/>
            </w:tcBorders>
          </w:tcPr>
          <w:p>
            <w:pPr>
              <w:ind w:right="-29"/>
              <w:jc w:val="center"/>
              <w:rPr>
                <w:noProof/>
                <w:sz w:val="20"/>
                <w:szCs w:val="20"/>
              </w:rPr>
            </w:pPr>
            <w:r>
              <w:rPr>
                <w:noProof/>
                <w:sz w:val="20"/>
                <w:szCs w:val="20"/>
              </w:rPr>
              <w:t>4</w:t>
            </w:r>
          </w:p>
        </w:tc>
        <w:tc>
          <w:tcPr>
            <w:tcW w:w="780" w:type="dxa"/>
            <w:tcBorders>
              <w:left w:val="dashSmallGap" w:sz="4" w:space="0" w:color="auto"/>
              <w:bottom w:val="single" w:sz="4" w:space="0" w:color="auto"/>
            </w:tcBorders>
          </w:tcPr>
          <w:p>
            <w:pPr>
              <w:ind w:right="-29"/>
              <w:jc w:val="center"/>
              <w:rPr>
                <w:noProof/>
                <w:sz w:val="20"/>
                <w:szCs w:val="20"/>
              </w:rPr>
            </w:pPr>
            <w:r>
              <w:rPr>
                <w:noProof/>
                <w:sz w:val="20"/>
                <w:szCs w:val="20"/>
              </w:rPr>
              <w:t>0,084</w:t>
            </w:r>
          </w:p>
        </w:tc>
        <w:tc>
          <w:tcPr>
            <w:tcW w:w="669" w:type="dxa"/>
            <w:tcBorders>
              <w:right w:val="dashSmallGap" w:sz="4" w:space="0" w:color="auto"/>
            </w:tcBorders>
          </w:tcPr>
          <w:p>
            <w:pPr>
              <w:ind w:right="-29"/>
              <w:jc w:val="center"/>
              <w:rPr>
                <w:noProof/>
                <w:sz w:val="20"/>
                <w:szCs w:val="20"/>
              </w:rPr>
            </w:pPr>
            <w:r>
              <w:rPr>
                <w:noProof/>
                <w:sz w:val="20"/>
                <w:szCs w:val="20"/>
              </w:rPr>
              <w:t>4</w:t>
            </w:r>
          </w:p>
        </w:tc>
        <w:tc>
          <w:tcPr>
            <w:tcW w:w="780" w:type="dxa"/>
            <w:tcBorders>
              <w:left w:val="dashSmallGap" w:sz="4" w:space="0" w:color="auto"/>
              <w:bottom w:val="single" w:sz="4" w:space="0" w:color="auto"/>
            </w:tcBorders>
          </w:tcPr>
          <w:p>
            <w:pPr>
              <w:ind w:right="-29"/>
              <w:jc w:val="center"/>
              <w:rPr>
                <w:noProof/>
                <w:sz w:val="20"/>
                <w:szCs w:val="20"/>
              </w:rPr>
            </w:pPr>
            <w:r>
              <w:rPr>
                <w:noProof/>
                <w:sz w:val="20"/>
                <w:szCs w:val="20"/>
              </w:rPr>
              <w:t>0,084</w:t>
            </w:r>
          </w:p>
        </w:tc>
        <w:tc>
          <w:tcPr>
            <w:tcW w:w="669" w:type="dxa"/>
            <w:tcBorders>
              <w:right w:val="dashSmallGap" w:sz="4" w:space="0" w:color="auto"/>
            </w:tcBorders>
          </w:tcPr>
          <w:p>
            <w:pPr>
              <w:ind w:right="-29"/>
              <w:jc w:val="center"/>
              <w:rPr>
                <w:noProof/>
                <w:sz w:val="20"/>
                <w:szCs w:val="20"/>
              </w:rPr>
            </w:pPr>
            <w:r>
              <w:rPr>
                <w:noProof/>
                <w:sz w:val="20"/>
                <w:szCs w:val="20"/>
              </w:rPr>
              <w:t>4</w:t>
            </w:r>
          </w:p>
        </w:tc>
        <w:tc>
          <w:tcPr>
            <w:tcW w:w="780" w:type="dxa"/>
            <w:tcBorders>
              <w:left w:val="dashSmallGap" w:sz="4" w:space="0" w:color="auto"/>
              <w:bottom w:val="single" w:sz="4" w:space="0" w:color="auto"/>
            </w:tcBorders>
          </w:tcPr>
          <w:p>
            <w:pPr>
              <w:ind w:right="-29"/>
              <w:jc w:val="center"/>
              <w:rPr>
                <w:noProof/>
                <w:sz w:val="20"/>
                <w:szCs w:val="20"/>
              </w:rPr>
            </w:pPr>
            <w:r>
              <w:rPr>
                <w:noProof/>
                <w:sz w:val="20"/>
                <w:szCs w:val="20"/>
              </w:rPr>
              <w:t>0,084</w:t>
            </w:r>
          </w:p>
        </w:tc>
        <w:tc>
          <w:tcPr>
            <w:tcW w:w="669" w:type="dxa"/>
            <w:tcBorders>
              <w:right w:val="dashSmallGap" w:sz="4" w:space="0" w:color="auto"/>
            </w:tcBorders>
          </w:tcPr>
          <w:p>
            <w:pPr>
              <w:ind w:right="-29"/>
              <w:jc w:val="center"/>
              <w:rPr>
                <w:noProof/>
                <w:sz w:val="20"/>
                <w:szCs w:val="20"/>
              </w:rPr>
            </w:pPr>
            <w:r>
              <w:rPr>
                <w:noProof/>
                <w:sz w:val="20"/>
                <w:szCs w:val="20"/>
              </w:rPr>
              <w:t>4</w:t>
            </w:r>
          </w:p>
        </w:tc>
        <w:tc>
          <w:tcPr>
            <w:tcW w:w="839" w:type="dxa"/>
            <w:tcBorders>
              <w:left w:val="dashSmallGap" w:sz="4" w:space="0" w:color="auto"/>
              <w:bottom w:val="single" w:sz="4" w:space="0" w:color="auto"/>
            </w:tcBorders>
          </w:tcPr>
          <w:p>
            <w:pPr>
              <w:ind w:right="-29"/>
              <w:jc w:val="center"/>
              <w:rPr>
                <w:noProof/>
                <w:sz w:val="20"/>
                <w:szCs w:val="20"/>
              </w:rPr>
            </w:pPr>
            <w:r>
              <w:rPr>
                <w:noProof/>
                <w:sz w:val="20"/>
                <w:szCs w:val="20"/>
              </w:rPr>
              <w:t>0,084</w:t>
            </w:r>
          </w:p>
        </w:tc>
        <w:tc>
          <w:tcPr>
            <w:tcW w:w="596" w:type="dxa"/>
            <w:tcBorders>
              <w:right w:val="dashSmallGap" w:sz="4" w:space="0" w:color="auto"/>
            </w:tcBorders>
          </w:tcPr>
          <w:p>
            <w:pPr>
              <w:ind w:right="-29"/>
              <w:jc w:val="center"/>
              <w:rPr>
                <w:noProof/>
                <w:sz w:val="20"/>
                <w:szCs w:val="20"/>
              </w:rPr>
            </w:pPr>
            <w:r>
              <w:rPr>
                <w:noProof/>
                <w:sz w:val="20"/>
                <w:szCs w:val="20"/>
              </w:rPr>
              <w:t>4</w:t>
            </w:r>
          </w:p>
        </w:tc>
        <w:tc>
          <w:tcPr>
            <w:tcW w:w="780" w:type="dxa"/>
            <w:tcBorders>
              <w:left w:val="dashSmallGap" w:sz="4" w:space="0" w:color="auto"/>
              <w:bottom w:val="single" w:sz="4" w:space="0" w:color="auto"/>
            </w:tcBorders>
          </w:tcPr>
          <w:p>
            <w:pPr>
              <w:ind w:right="-29"/>
              <w:jc w:val="center"/>
              <w:rPr>
                <w:noProof/>
                <w:sz w:val="20"/>
                <w:szCs w:val="20"/>
              </w:rPr>
            </w:pPr>
            <w:r>
              <w:rPr>
                <w:noProof/>
                <w:sz w:val="20"/>
                <w:szCs w:val="20"/>
              </w:rPr>
              <w:t>0,084</w:t>
            </w:r>
          </w:p>
        </w:tc>
        <w:tc>
          <w:tcPr>
            <w:tcW w:w="360" w:type="dxa"/>
            <w:tcBorders>
              <w:right w:val="dashSmallGap" w:sz="4" w:space="0" w:color="auto"/>
            </w:tcBorders>
          </w:tcPr>
          <w:p>
            <w:pPr>
              <w:ind w:right="-29"/>
              <w:jc w:val="center"/>
              <w:rPr>
                <w:noProof/>
                <w:sz w:val="20"/>
                <w:szCs w:val="20"/>
              </w:rPr>
            </w:pPr>
            <w:r>
              <w:rPr>
                <w:noProof/>
                <w:sz w:val="20"/>
                <w:szCs w:val="20"/>
              </w:rPr>
              <w:t>4</w:t>
            </w:r>
          </w:p>
        </w:tc>
        <w:tc>
          <w:tcPr>
            <w:tcW w:w="780" w:type="dxa"/>
            <w:tcBorders>
              <w:left w:val="dashSmallGap" w:sz="4" w:space="0" w:color="auto"/>
              <w:bottom w:val="single" w:sz="4" w:space="0" w:color="auto"/>
            </w:tcBorders>
          </w:tcPr>
          <w:p>
            <w:pPr>
              <w:ind w:right="-29"/>
              <w:jc w:val="center"/>
              <w:rPr>
                <w:noProof/>
                <w:sz w:val="20"/>
                <w:szCs w:val="20"/>
              </w:rPr>
            </w:pPr>
            <w:r>
              <w:rPr>
                <w:noProof/>
                <w:sz w:val="20"/>
                <w:szCs w:val="20"/>
              </w:rPr>
              <w:t>0,084</w:t>
            </w:r>
          </w:p>
        </w:tc>
        <w:tc>
          <w:tcPr>
            <w:tcW w:w="360" w:type="dxa"/>
            <w:tcBorders>
              <w:right w:val="dashSmallGap" w:sz="4" w:space="0" w:color="auto"/>
            </w:tcBorders>
          </w:tcPr>
          <w:p>
            <w:pPr>
              <w:ind w:right="-29"/>
              <w:jc w:val="center"/>
              <w:rPr>
                <w:noProof/>
                <w:sz w:val="20"/>
                <w:szCs w:val="20"/>
              </w:rPr>
            </w:pPr>
            <w:r>
              <w:rPr>
                <w:noProof/>
                <w:sz w:val="20"/>
                <w:szCs w:val="20"/>
              </w:rPr>
              <w:t>4</w:t>
            </w:r>
          </w:p>
        </w:tc>
        <w:tc>
          <w:tcPr>
            <w:tcW w:w="780" w:type="dxa"/>
            <w:tcBorders>
              <w:left w:val="dashSmallGap" w:sz="4" w:space="0" w:color="auto"/>
              <w:bottom w:val="single" w:sz="4" w:space="0" w:color="auto"/>
            </w:tcBorders>
          </w:tcPr>
          <w:p>
            <w:pPr>
              <w:ind w:right="-29"/>
              <w:jc w:val="center"/>
              <w:rPr>
                <w:noProof/>
                <w:sz w:val="20"/>
                <w:szCs w:val="20"/>
              </w:rPr>
            </w:pPr>
            <w:r>
              <w:rPr>
                <w:noProof/>
                <w:sz w:val="20"/>
                <w:szCs w:val="20"/>
              </w:rPr>
              <w:t>0,084</w:t>
            </w:r>
          </w:p>
        </w:tc>
        <w:tc>
          <w:tcPr>
            <w:tcW w:w="360" w:type="dxa"/>
            <w:tcBorders>
              <w:right w:val="dashSmallGap" w:sz="4" w:space="0" w:color="auto"/>
            </w:tcBorders>
          </w:tcPr>
          <w:p>
            <w:pPr>
              <w:ind w:right="-29"/>
              <w:jc w:val="center"/>
              <w:rPr>
                <w:noProof/>
                <w:sz w:val="20"/>
                <w:szCs w:val="20"/>
              </w:rPr>
            </w:pPr>
            <w:r>
              <w:rPr>
                <w:noProof/>
                <w:sz w:val="20"/>
                <w:szCs w:val="20"/>
              </w:rPr>
              <w:t>4</w:t>
            </w:r>
          </w:p>
        </w:tc>
        <w:tc>
          <w:tcPr>
            <w:tcW w:w="840" w:type="dxa"/>
            <w:tcBorders>
              <w:left w:val="dashSmallGap" w:sz="4" w:space="0" w:color="auto"/>
              <w:bottom w:val="single" w:sz="4" w:space="0" w:color="auto"/>
            </w:tcBorders>
          </w:tcPr>
          <w:p>
            <w:pPr>
              <w:ind w:right="-29"/>
              <w:jc w:val="center"/>
              <w:rPr>
                <w:noProof/>
                <w:sz w:val="20"/>
                <w:szCs w:val="20"/>
              </w:rPr>
            </w:pPr>
            <w:r>
              <w:rPr>
                <w:noProof/>
                <w:sz w:val="20"/>
                <w:szCs w:val="20"/>
              </w:rPr>
              <w:t>0,084</w:t>
            </w:r>
          </w:p>
        </w:tc>
        <w:tc>
          <w:tcPr>
            <w:tcW w:w="596" w:type="dxa"/>
            <w:tcBorders>
              <w:right w:val="dashSmallGap" w:sz="4" w:space="0" w:color="auto"/>
            </w:tcBorders>
          </w:tcPr>
          <w:p>
            <w:pPr>
              <w:ind w:right="-29"/>
              <w:jc w:val="center"/>
              <w:rPr>
                <w:noProof/>
                <w:sz w:val="20"/>
                <w:szCs w:val="20"/>
              </w:rPr>
            </w:pPr>
            <w:r>
              <w:rPr>
                <w:noProof/>
                <w:sz w:val="20"/>
                <w:szCs w:val="20"/>
              </w:rPr>
              <w:t>36</w:t>
            </w:r>
          </w:p>
        </w:tc>
        <w:tc>
          <w:tcPr>
            <w:tcW w:w="1320" w:type="dxa"/>
            <w:tcBorders>
              <w:left w:val="dashSmallGap" w:sz="4" w:space="0" w:color="auto"/>
              <w:bottom w:val="single" w:sz="4" w:space="0" w:color="auto"/>
              <w:right w:val="single" w:sz="12" w:space="0" w:color="auto"/>
            </w:tcBorders>
          </w:tcPr>
          <w:p>
            <w:pPr>
              <w:ind w:right="-29"/>
              <w:jc w:val="center"/>
              <w:rPr>
                <w:noProof/>
                <w:sz w:val="20"/>
                <w:szCs w:val="20"/>
              </w:rPr>
            </w:pPr>
            <w:r>
              <w:rPr>
                <w:noProof/>
                <w:sz w:val="20"/>
                <w:szCs w:val="20"/>
              </w:rPr>
              <w:t>0,756</w:t>
            </w:r>
          </w:p>
        </w:tc>
      </w:tr>
      <w:tr>
        <w:trPr>
          <w:trHeight w:hRule="exact" w:val="717"/>
          <w:jc w:val="center"/>
        </w:trPr>
        <w:tc>
          <w:tcPr>
            <w:tcW w:w="1240" w:type="dxa"/>
            <w:tcBorders>
              <w:left w:val="single" w:sz="12" w:space="0" w:color="auto"/>
            </w:tcBorders>
          </w:tcPr>
          <w:p>
            <w:pPr>
              <w:ind w:right="-29"/>
              <w:jc w:val="center"/>
              <w:rPr>
                <w:noProof/>
                <w:sz w:val="18"/>
                <w:szCs w:val="18"/>
              </w:rPr>
            </w:pPr>
            <w:r>
              <w:rPr>
                <w:noProof/>
                <w:sz w:val="18"/>
              </w:rPr>
              <w:t>Advisory Groups</w:t>
            </w:r>
          </w:p>
        </w:tc>
        <w:tc>
          <w:tcPr>
            <w:tcW w:w="1134" w:type="dxa"/>
            <w:gridSpan w:val="2"/>
          </w:tcPr>
          <w:p>
            <w:pPr>
              <w:ind w:right="-29"/>
              <w:jc w:val="center"/>
              <w:rPr>
                <w:noProof/>
                <w:sz w:val="18"/>
                <w:szCs w:val="18"/>
              </w:rPr>
            </w:pPr>
            <w:r>
              <w:rPr>
                <w:noProof/>
                <w:sz w:val="18"/>
                <w:szCs w:val="18"/>
              </w:rPr>
              <w:t>0,021 x 4 per years</w:t>
            </w:r>
          </w:p>
        </w:tc>
        <w:tc>
          <w:tcPr>
            <w:tcW w:w="669" w:type="dxa"/>
            <w:tcBorders>
              <w:right w:val="dashSmallGap" w:sz="4" w:space="0" w:color="auto"/>
            </w:tcBorders>
          </w:tcPr>
          <w:p>
            <w:pPr>
              <w:ind w:right="-29"/>
              <w:jc w:val="center"/>
              <w:rPr>
                <w:noProof/>
                <w:sz w:val="20"/>
                <w:szCs w:val="20"/>
              </w:rPr>
            </w:pPr>
            <w:r>
              <w:rPr>
                <w:noProof/>
                <w:sz w:val="20"/>
                <w:szCs w:val="20"/>
              </w:rPr>
              <w:t>4</w:t>
            </w:r>
          </w:p>
        </w:tc>
        <w:tc>
          <w:tcPr>
            <w:tcW w:w="780" w:type="dxa"/>
            <w:tcBorders>
              <w:left w:val="dashSmallGap" w:sz="4" w:space="0" w:color="auto"/>
              <w:bottom w:val="single" w:sz="4" w:space="0" w:color="auto"/>
            </w:tcBorders>
          </w:tcPr>
          <w:p>
            <w:pPr>
              <w:ind w:right="-29"/>
              <w:jc w:val="center"/>
              <w:rPr>
                <w:noProof/>
                <w:sz w:val="20"/>
                <w:szCs w:val="20"/>
              </w:rPr>
            </w:pPr>
            <w:r>
              <w:rPr>
                <w:noProof/>
                <w:sz w:val="20"/>
                <w:szCs w:val="20"/>
              </w:rPr>
              <w:t>0,084</w:t>
            </w:r>
          </w:p>
        </w:tc>
        <w:tc>
          <w:tcPr>
            <w:tcW w:w="669" w:type="dxa"/>
            <w:tcBorders>
              <w:right w:val="dashSmallGap" w:sz="4" w:space="0" w:color="auto"/>
            </w:tcBorders>
          </w:tcPr>
          <w:p>
            <w:pPr>
              <w:ind w:right="-29"/>
              <w:jc w:val="center"/>
              <w:rPr>
                <w:noProof/>
                <w:sz w:val="20"/>
              </w:rPr>
            </w:pPr>
            <w:r>
              <w:rPr>
                <w:noProof/>
                <w:sz w:val="20"/>
                <w:szCs w:val="20"/>
              </w:rPr>
              <w:t>4</w:t>
            </w:r>
          </w:p>
        </w:tc>
        <w:tc>
          <w:tcPr>
            <w:tcW w:w="780" w:type="dxa"/>
            <w:tcBorders>
              <w:left w:val="dashSmallGap" w:sz="4" w:space="0" w:color="auto"/>
              <w:bottom w:val="single" w:sz="4" w:space="0" w:color="auto"/>
            </w:tcBorders>
          </w:tcPr>
          <w:p>
            <w:pPr>
              <w:ind w:right="-29"/>
              <w:jc w:val="center"/>
              <w:rPr>
                <w:noProof/>
                <w:sz w:val="20"/>
              </w:rPr>
            </w:pPr>
            <w:r>
              <w:rPr>
                <w:noProof/>
                <w:sz w:val="20"/>
              </w:rPr>
              <w:t>0,084</w:t>
            </w:r>
          </w:p>
        </w:tc>
        <w:tc>
          <w:tcPr>
            <w:tcW w:w="669" w:type="dxa"/>
            <w:tcBorders>
              <w:right w:val="dashSmallGap" w:sz="4" w:space="0" w:color="auto"/>
            </w:tcBorders>
          </w:tcPr>
          <w:p>
            <w:pPr>
              <w:ind w:right="-29"/>
              <w:jc w:val="center"/>
              <w:rPr>
                <w:noProof/>
                <w:sz w:val="20"/>
              </w:rPr>
            </w:pPr>
            <w:r>
              <w:rPr>
                <w:noProof/>
                <w:sz w:val="20"/>
              </w:rPr>
              <w:t>4</w:t>
            </w:r>
          </w:p>
        </w:tc>
        <w:tc>
          <w:tcPr>
            <w:tcW w:w="780" w:type="dxa"/>
            <w:tcBorders>
              <w:top w:val="single" w:sz="4" w:space="0" w:color="auto"/>
              <w:left w:val="dashSmallGap" w:sz="4" w:space="0" w:color="auto"/>
              <w:bottom w:val="single" w:sz="4" w:space="0" w:color="auto"/>
              <w:right w:val="single" w:sz="4" w:space="0" w:color="auto"/>
            </w:tcBorders>
          </w:tcPr>
          <w:p>
            <w:pPr>
              <w:ind w:right="-29"/>
              <w:jc w:val="center"/>
              <w:rPr>
                <w:noProof/>
                <w:sz w:val="20"/>
              </w:rPr>
            </w:pPr>
            <w:r>
              <w:rPr>
                <w:noProof/>
                <w:sz w:val="20"/>
              </w:rPr>
              <w:t>0,084</w:t>
            </w:r>
          </w:p>
        </w:tc>
        <w:tc>
          <w:tcPr>
            <w:tcW w:w="669" w:type="dxa"/>
            <w:tcBorders>
              <w:left w:val="single" w:sz="4" w:space="0" w:color="auto"/>
              <w:right w:val="dashSmallGap" w:sz="4" w:space="0" w:color="auto"/>
            </w:tcBorders>
          </w:tcPr>
          <w:p>
            <w:pPr>
              <w:ind w:right="-29"/>
              <w:jc w:val="center"/>
              <w:rPr>
                <w:noProof/>
                <w:sz w:val="20"/>
              </w:rPr>
            </w:pPr>
            <w:r>
              <w:rPr>
                <w:noProof/>
                <w:sz w:val="20"/>
              </w:rPr>
              <w:t>4</w:t>
            </w:r>
          </w:p>
        </w:tc>
        <w:tc>
          <w:tcPr>
            <w:tcW w:w="780" w:type="dxa"/>
            <w:tcBorders>
              <w:left w:val="dashSmallGap" w:sz="4" w:space="0" w:color="auto"/>
              <w:bottom w:val="single" w:sz="4" w:space="0" w:color="auto"/>
            </w:tcBorders>
          </w:tcPr>
          <w:p>
            <w:pPr>
              <w:ind w:right="-29"/>
              <w:jc w:val="center"/>
              <w:rPr>
                <w:noProof/>
                <w:sz w:val="20"/>
              </w:rPr>
            </w:pPr>
            <w:r>
              <w:rPr>
                <w:noProof/>
                <w:sz w:val="20"/>
              </w:rPr>
              <w:t>0,084</w:t>
            </w:r>
          </w:p>
        </w:tc>
        <w:tc>
          <w:tcPr>
            <w:tcW w:w="669" w:type="dxa"/>
            <w:tcBorders>
              <w:right w:val="dashSmallGap" w:sz="4" w:space="0" w:color="auto"/>
            </w:tcBorders>
          </w:tcPr>
          <w:p>
            <w:pPr>
              <w:ind w:right="-29"/>
              <w:jc w:val="center"/>
              <w:rPr>
                <w:noProof/>
                <w:sz w:val="20"/>
              </w:rPr>
            </w:pPr>
            <w:r>
              <w:rPr>
                <w:noProof/>
                <w:sz w:val="20"/>
              </w:rPr>
              <w:t>4</w:t>
            </w:r>
          </w:p>
        </w:tc>
        <w:tc>
          <w:tcPr>
            <w:tcW w:w="839" w:type="dxa"/>
            <w:tcBorders>
              <w:left w:val="dashSmallGap" w:sz="4" w:space="0" w:color="auto"/>
              <w:bottom w:val="single" w:sz="4" w:space="0" w:color="auto"/>
            </w:tcBorders>
          </w:tcPr>
          <w:p>
            <w:pPr>
              <w:ind w:right="-29"/>
              <w:jc w:val="center"/>
              <w:rPr>
                <w:noProof/>
                <w:sz w:val="20"/>
              </w:rPr>
            </w:pPr>
            <w:r>
              <w:rPr>
                <w:noProof/>
                <w:sz w:val="20"/>
              </w:rPr>
              <w:t>0,084</w:t>
            </w:r>
          </w:p>
        </w:tc>
        <w:tc>
          <w:tcPr>
            <w:tcW w:w="596" w:type="dxa"/>
            <w:tcBorders>
              <w:right w:val="dashSmallGap" w:sz="4" w:space="0" w:color="auto"/>
            </w:tcBorders>
          </w:tcPr>
          <w:p>
            <w:pPr>
              <w:ind w:right="-29"/>
              <w:jc w:val="center"/>
              <w:rPr>
                <w:noProof/>
                <w:sz w:val="20"/>
              </w:rPr>
            </w:pPr>
            <w:r>
              <w:rPr>
                <w:noProof/>
                <w:sz w:val="20"/>
              </w:rPr>
              <w:t>4</w:t>
            </w:r>
          </w:p>
        </w:tc>
        <w:tc>
          <w:tcPr>
            <w:tcW w:w="780" w:type="dxa"/>
            <w:tcBorders>
              <w:left w:val="dashSmallGap" w:sz="4" w:space="0" w:color="auto"/>
              <w:bottom w:val="single" w:sz="4" w:space="0" w:color="auto"/>
            </w:tcBorders>
          </w:tcPr>
          <w:p>
            <w:pPr>
              <w:ind w:right="-29"/>
              <w:jc w:val="center"/>
              <w:rPr>
                <w:noProof/>
                <w:sz w:val="20"/>
              </w:rPr>
            </w:pPr>
            <w:r>
              <w:rPr>
                <w:noProof/>
                <w:sz w:val="20"/>
              </w:rPr>
              <w:t>0,084</w:t>
            </w:r>
          </w:p>
        </w:tc>
        <w:tc>
          <w:tcPr>
            <w:tcW w:w="360" w:type="dxa"/>
            <w:tcBorders>
              <w:right w:val="dashSmallGap" w:sz="4" w:space="0" w:color="auto"/>
            </w:tcBorders>
          </w:tcPr>
          <w:p>
            <w:pPr>
              <w:ind w:right="-29"/>
              <w:jc w:val="center"/>
              <w:rPr>
                <w:noProof/>
                <w:sz w:val="20"/>
              </w:rPr>
            </w:pPr>
            <w:r>
              <w:rPr>
                <w:noProof/>
                <w:sz w:val="20"/>
              </w:rPr>
              <w:t>4</w:t>
            </w:r>
          </w:p>
        </w:tc>
        <w:tc>
          <w:tcPr>
            <w:tcW w:w="780" w:type="dxa"/>
            <w:tcBorders>
              <w:left w:val="dashSmallGap" w:sz="4" w:space="0" w:color="auto"/>
              <w:bottom w:val="single" w:sz="4" w:space="0" w:color="auto"/>
            </w:tcBorders>
          </w:tcPr>
          <w:p>
            <w:pPr>
              <w:ind w:right="-29"/>
              <w:jc w:val="center"/>
              <w:rPr>
                <w:noProof/>
                <w:sz w:val="20"/>
              </w:rPr>
            </w:pPr>
            <w:r>
              <w:rPr>
                <w:noProof/>
                <w:sz w:val="20"/>
              </w:rPr>
              <w:t>0,084</w:t>
            </w:r>
          </w:p>
        </w:tc>
        <w:tc>
          <w:tcPr>
            <w:tcW w:w="360" w:type="dxa"/>
            <w:tcBorders>
              <w:right w:val="dashSmallGap" w:sz="4" w:space="0" w:color="auto"/>
            </w:tcBorders>
          </w:tcPr>
          <w:p>
            <w:pPr>
              <w:ind w:right="-29"/>
              <w:jc w:val="center"/>
              <w:rPr>
                <w:noProof/>
                <w:sz w:val="20"/>
              </w:rPr>
            </w:pPr>
            <w:r>
              <w:rPr>
                <w:noProof/>
                <w:sz w:val="20"/>
              </w:rPr>
              <w:t>4</w:t>
            </w:r>
          </w:p>
        </w:tc>
        <w:tc>
          <w:tcPr>
            <w:tcW w:w="780" w:type="dxa"/>
            <w:tcBorders>
              <w:left w:val="dashSmallGap" w:sz="4" w:space="0" w:color="auto"/>
              <w:bottom w:val="single" w:sz="4" w:space="0" w:color="auto"/>
            </w:tcBorders>
          </w:tcPr>
          <w:p>
            <w:pPr>
              <w:ind w:right="-29"/>
              <w:jc w:val="center"/>
              <w:rPr>
                <w:noProof/>
                <w:sz w:val="20"/>
              </w:rPr>
            </w:pPr>
            <w:r>
              <w:rPr>
                <w:noProof/>
                <w:sz w:val="20"/>
              </w:rPr>
              <w:t>0,084</w:t>
            </w:r>
          </w:p>
        </w:tc>
        <w:tc>
          <w:tcPr>
            <w:tcW w:w="360" w:type="dxa"/>
            <w:tcBorders>
              <w:right w:val="dashSmallGap" w:sz="4" w:space="0" w:color="auto"/>
            </w:tcBorders>
          </w:tcPr>
          <w:p>
            <w:pPr>
              <w:ind w:right="-29"/>
              <w:jc w:val="center"/>
              <w:rPr>
                <w:noProof/>
                <w:sz w:val="20"/>
              </w:rPr>
            </w:pPr>
            <w:r>
              <w:rPr>
                <w:noProof/>
                <w:sz w:val="20"/>
              </w:rPr>
              <w:t>4</w:t>
            </w:r>
          </w:p>
        </w:tc>
        <w:tc>
          <w:tcPr>
            <w:tcW w:w="840" w:type="dxa"/>
            <w:tcBorders>
              <w:left w:val="dashSmallGap" w:sz="4" w:space="0" w:color="auto"/>
              <w:bottom w:val="single" w:sz="4" w:space="0" w:color="auto"/>
            </w:tcBorders>
          </w:tcPr>
          <w:p>
            <w:pPr>
              <w:ind w:right="-29"/>
              <w:jc w:val="center"/>
              <w:rPr>
                <w:noProof/>
                <w:sz w:val="20"/>
              </w:rPr>
            </w:pPr>
            <w:r>
              <w:rPr>
                <w:noProof/>
                <w:sz w:val="20"/>
              </w:rPr>
              <w:t>0,084</w:t>
            </w:r>
          </w:p>
        </w:tc>
        <w:tc>
          <w:tcPr>
            <w:tcW w:w="596" w:type="dxa"/>
            <w:tcBorders>
              <w:right w:val="dashSmallGap" w:sz="4" w:space="0" w:color="auto"/>
            </w:tcBorders>
          </w:tcPr>
          <w:p>
            <w:pPr>
              <w:ind w:right="-29"/>
              <w:jc w:val="center"/>
              <w:rPr>
                <w:noProof/>
                <w:sz w:val="20"/>
              </w:rPr>
            </w:pPr>
            <w:r>
              <w:rPr>
                <w:noProof/>
                <w:sz w:val="20"/>
              </w:rPr>
              <w:t>36</w:t>
            </w:r>
          </w:p>
        </w:tc>
        <w:tc>
          <w:tcPr>
            <w:tcW w:w="1320" w:type="dxa"/>
            <w:tcBorders>
              <w:left w:val="dashSmallGap" w:sz="4" w:space="0" w:color="auto"/>
              <w:bottom w:val="single" w:sz="4" w:space="0" w:color="auto"/>
              <w:right w:val="single" w:sz="12" w:space="0" w:color="auto"/>
            </w:tcBorders>
          </w:tcPr>
          <w:p>
            <w:pPr>
              <w:ind w:right="-29"/>
              <w:jc w:val="center"/>
              <w:rPr>
                <w:noProof/>
                <w:sz w:val="20"/>
              </w:rPr>
            </w:pPr>
            <w:r>
              <w:rPr>
                <w:noProof/>
                <w:sz w:val="20"/>
              </w:rPr>
              <w:t>0,756</w:t>
            </w:r>
          </w:p>
        </w:tc>
      </w:tr>
      <w:tr>
        <w:trPr>
          <w:trHeight w:hRule="exact" w:val="699"/>
          <w:jc w:val="center"/>
        </w:trPr>
        <w:tc>
          <w:tcPr>
            <w:tcW w:w="1240" w:type="dxa"/>
            <w:tcBorders>
              <w:left w:val="single" w:sz="12" w:space="0" w:color="auto"/>
            </w:tcBorders>
          </w:tcPr>
          <w:p>
            <w:pPr>
              <w:ind w:right="-29"/>
              <w:jc w:val="center"/>
              <w:rPr>
                <w:noProof/>
                <w:sz w:val="18"/>
              </w:rPr>
            </w:pPr>
            <w:r>
              <w:rPr>
                <w:noProof/>
                <w:sz w:val="18"/>
              </w:rPr>
              <w:t>MS Training</w:t>
            </w:r>
          </w:p>
        </w:tc>
        <w:tc>
          <w:tcPr>
            <w:tcW w:w="1134" w:type="dxa"/>
            <w:gridSpan w:val="2"/>
          </w:tcPr>
          <w:p>
            <w:pPr>
              <w:ind w:right="-29"/>
              <w:jc w:val="center"/>
              <w:rPr>
                <w:noProof/>
                <w:sz w:val="18"/>
                <w:szCs w:val="18"/>
              </w:rPr>
            </w:pPr>
            <w:r>
              <w:rPr>
                <w:noProof/>
                <w:sz w:val="18"/>
                <w:szCs w:val="18"/>
              </w:rPr>
              <w:t>0,025 per training</w:t>
            </w:r>
          </w:p>
        </w:tc>
        <w:tc>
          <w:tcPr>
            <w:tcW w:w="669" w:type="dxa"/>
            <w:tcBorders>
              <w:right w:val="dashSmallGap" w:sz="4" w:space="0" w:color="auto"/>
            </w:tcBorders>
          </w:tcPr>
          <w:p>
            <w:pPr>
              <w:ind w:right="-29"/>
              <w:jc w:val="center"/>
              <w:rPr>
                <w:noProof/>
                <w:sz w:val="20"/>
                <w:szCs w:val="20"/>
              </w:rPr>
            </w:pPr>
            <w:r>
              <w:rPr>
                <w:noProof/>
                <w:sz w:val="20"/>
                <w:szCs w:val="20"/>
              </w:rPr>
              <w:t>2</w:t>
            </w:r>
          </w:p>
        </w:tc>
        <w:tc>
          <w:tcPr>
            <w:tcW w:w="780" w:type="dxa"/>
            <w:tcBorders>
              <w:left w:val="dashSmallGap" w:sz="4" w:space="0" w:color="auto"/>
              <w:bottom w:val="single" w:sz="4" w:space="0" w:color="auto"/>
            </w:tcBorders>
          </w:tcPr>
          <w:p>
            <w:pPr>
              <w:ind w:right="-29"/>
              <w:jc w:val="center"/>
              <w:rPr>
                <w:noProof/>
                <w:sz w:val="20"/>
                <w:szCs w:val="20"/>
              </w:rPr>
            </w:pPr>
            <w:r>
              <w:rPr>
                <w:noProof/>
                <w:sz w:val="20"/>
                <w:szCs w:val="20"/>
              </w:rPr>
              <w:t>0,050</w:t>
            </w:r>
          </w:p>
        </w:tc>
        <w:tc>
          <w:tcPr>
            <w:tcW w:w="669" w:type="dxa"/>
            <w:tcBorders>
              <w:right w:val="dashSmallGap" w:sz="4" w:space="0" w:color="auto"/>
            </w:tcBorders>
          </w:tcPr>
          <w:p>
            <w:pPr>
              <w:ind w:right="-29"/>
              <w:jc w:val="center"/>
              <w:rPr>
                <w:noProof/>
                <w:sz w:val="20"/>
                <w:szCs w:val="20"/>
              </w:rPr>
            </w:pPr>
            <w:r>
              <w:rPr>
                <w:noProof/>
                <w:sz w:val="20"/>
                <w:szCs w:val="20"/>
              </w:rPr>
              <w:t>4</w:t>
            </w:r>
          </w:p>
        </w:tc>
        <w:tc>
          <w:tcPr>
            <w:tcW w:w="780" w:type="dxa"/>
            <w:tcBorders>
              <w:left w:val="dashSmallGap" w:sz="4" w:space="0" w:color="auto"/>
              <w:bottom w:val="single" w:sz="4" w:space="0" w:color="auto"/>
            </w:tcBorders>
          </w:tcPr>
          <w:p>
            <w:pPr>
              <w:ind w:right="-29"/>
              <w:jc w:val="center"/>
              <w:rPr>
                <w:noProof/>
                <w:sz w:val="20"/>
                <w:szCs w:val="20"/>
              </w:rPr>
            </w:pPr>
            <w:r>
              <w:rPr>
                <w:noProof/>
                <w:sz w:val="20"/>
                <w:szCs w:val="20"/>
              </w:rPr>
              <w:t>0,100</w:t>
            </w:r>
          </w:p>
        </w:tc>
        <w:tc>
          <w:tcPr>
            <w:tcW w:w="669" w:type="dxa"/>
            <w:tcBorders>
              <w:right w:val="dashSmallGap" w:sz="4" w:space="0" w:color="auto"/>
            </w:tcBorders>
          </w:tcPr>
          <w:p>
            <w:pPr>
              <w:ind w:right="-29"/>
              <w:jc w:val="center"/>
              <w:rPr>
                <w:noProof/>
                <w:sz w:val="20"/>
                <w:szCs w:val="20"/>
              </w:rPr>
            </w:pPr>
            <w:r>
              <w:rPr>
                <w:noProof/>
                <w:sz w:val="20"/>
                <w:szCs w:val="20"/>
              </w:rPr>
              <w:t>4</w:t>
            </w:r>
          </w:p>
        </w:tc>
        <w:tc>
          <w:tcPr>
            <w:tcW w:w="780" w:type="dxa"/>
            <w:tcBorders>
              <w:top w:val="single" w:sz="4" w:space="0" w:color="auto"/>
              <w:left w:val="dashSmallGap" w:sz="4" w:space="0" w:color="auto"/>
              <w:bottom w:val="single" w:sz="4" w:space="0" w:color="auto"/>
            </w:tcBorders>
          </w:tcPr>
          <w:p>
            <w:pPr>
              <w:ind w:right="-29"/>
              <w:jc w:val="center"/>
              <w:rPr>
                <w:noProof/>
                <w:sz w:val="20"/>
                <w:szCs w:val="20"/>
              </w:rPr>
            </w:pPr>
            <w:r>
              <w:rPr>
                <w:noProof/>
                <w:sz w:val="20"/>
                <w:szCs w:val="20"/>
              </w:rPr>
              <w:t>0,100</w:t>
            </w:r>
          </w:p>
        </w:tc>
        <w:tc>
          <w:tcPr>
            <w:tcW w:w="669" w:type="dxa"/>
            <w:tcBorders>
              <w:right w:val="dashSmallGap" w:sz="4" w:space="0" w:color="auto"/>
            </w:tcBorders>
          </w:tcPr>
          <w:p>
            <w:pPr>
              <w:ind w:right="-29"/>
              <w:jc w:val="center"/>
              <w:rPr>
                <w:noProof/>
                <w:sz w:val="20"/>
                <w:szCs w:val="20"/>
              </w:rPr>
            </w:pPr>
            <w:r>
              <w:rPr>
                <w:noProof/>
                <w:sz w:val="20"/>
                <w:szCs w:val="20"/>
              </w:rPr>
              <w:t>6</w:t>
            </w:r>
          </w:p>
        </w:tc>
        <w:tc>
          <w:tcPr>
            <w:tcW w:w="780" w:type="dxa"/>
            <w:tcBorders>
              <w:left w:val="dashSmallGap" w:sz="4" w:space="0" w:color="auto"/>
              <w:bottom w:val="single" w:sz="4" w:space="0" w:color="auto"/>
            </w:tcBorders>
          </w:tcPr>
          <w:p>
            <w:pPr>
              <w:ind w:right="-29"/>
              <w:jc w:val="center"/>
              <w:rPr>
                <w:noProof/>
                <w:sz w:val="20"/>
                <w:szCs w:val="20"/>
              </w:rPr>
            </w:pPr>
            <w:r>
              <w:rPr>
                <w:noProof/>
                <w:sz w:val="20"/>
                <w:szCs w:val="20"/>
              </w:rPr>
              <w:t>0,150</w:t>
            </w:r>
          </w:p>
        </w:tc>
        <w:tc>
          <w:tcPr>
            <w:tcW w:w="669" w:type="dxa"/>
            <w:tcBorders>
              <w:right w:val="dashSmallGap" w:sz="4" w:space="0" w:color="auto"/>
            </w:tcBorders>
          </w:tcPr>
          <w:p>
            <w:pPr>
              <w:ind w:right="-29"/>
              <w:jc w:val="center"/>
              <w:rPr>
                <w:noProof/>
                <w:sz w:val="20"/>
                <w:szCs w:val="20"/>
              </w:rPr>
            </w:pPr>
            <w:r>
              <w:rPr>
                <w:noProof/>
                <w:sz w:val="20"/>
                <w:szCs w:val="20"/>
              </w:rPr>
              <w:t>6</w:t>
            </w:r>
          </w:p>
        </w:tc>
        <w:tc>
          <w:tcPr>
            <w:tcW w:w="839" w:type="dxa"/>
            <w:tcBorders>
              <w:left w:val="dashSmallGap" w:sz="4" w:space="0" w:color="auto"/>
              <w:bottom w:val="single" w:sz="4" w:space="0" w:color="auto"/>
            </w:tcBorders>
          </w:tcPr>
          <w:p>
            <w:pPr>
              <w:ind w:right="-29"/>
              <w:jc w:val="center"/>
              <w:rPr>
                <w:noProof/>
                <w:sz w:val="20"/>
                <w:szCs w:val="20"/>
              </w:rPr>
            </w:pPr>
            <w:r>
              <w:rPr>
                <w:noProof/>
                <w:sz w:val="20"/>
                <w:szCs w:val="20"/>
              </w:rPr>
              <w:t>0,150</w:t>
            </w:r>
          </w:p>
        </w:tc>
        <w:tc>
          <w:tcPr>
            <w:tcW w:w="596" w:type="dxa"/>
            <w:tcBorders>
              <w:right w:val="dashSmallGap" w:sz="4" w:space="0" w:color="auto"/>
            </w:tcBorders>
          </w:tcPr>
          <w:p>
            <w:pPr>
              <w:ind w:right="-29"/>
              <w:jc w:val="center"/>
              <w:rPr>
                <w:noProof/>
                <w:sz w:val="20"/>
                <w:szCs w:val="20"/>
              </w:rPr>
            </w:pPr>
            <w:r>
              <w:rPr>
                <w:noProof/>
                <w:sz w:val="20"/>
                <w:szCs w:val="20"/>
              </w:rPr>
              <w:t>6</w:t>
            </w:r>
          </w:p>
        </w:tc>
        <w:tc>
          <w:tcPr>
            <w:tcW w:w="780" w:type="dxa"/>
            <w:tcBorders>
              <w:left w:val="dashSmallGap" w:sz="4" w:space="0" w:color="auto"/>
              <w:bottom w:val="single" w:sz="4" w:space="0" w:color="auto"/>
            </w:tcBorders>
          </w:tcPr>
          <w:p>
            <w:pPr>
              <w:ind w:right="-29"/>
              <w:jc w:val="center"/>
              <w:rPr>
                <w:noProof/>
                <w:sz w:val="20"/>
                <w:szCs w:val="20"/>
              </w:rPr>
            </w:pPr>
            <w:r>
              <w:rPr>
                <w:noProof/>
                <w:sz w:val="20"/>
                <w:szCs w:val="20"/>
              </w:rPr>
              <w:t>0,150</w:t>
            </w:r>
          </w:p>
        </w:tc>
        <w:tc>
          <w:tcPr>
            <w:tcW w:w="360" w:type="dxa"/>
            <w:tcBorders>
              <w:right w:val="dashSmallGap" w:sz="4" w:space="0" w:color="auto"/>
            </w:tcBorders>
          </w:tcPr>
          <w:p>
            <w:pPr>
              <w:ind w:right="-29"/>
              <w:jc w:val="center"/>
              <w:rPr>
                <w:noProof/>
                <w:sz w:val="20"/>
                <w:szCs w:val="20"/>
              </w:rPr>
            </w:pPr>
            <w:r>
              <w:rPr>
                <w:noProof/>
                <w:sz w:val="20"/>
                <w:szCs w:val="20"/>
              </w:rPr>
              <w:t>6</w:t>
            </w:r>
          </w:p>
        </w:tc>
        <w:tc>
          <w:tcPr>
            <w:tcW w:w="780" w:type="dxa"/>
            <w:tcBorders>
              <w:left w:val="dashSmallGap" w:sz="4" w:space="0" w:color="auto"/>
              <w:bottom w:val="single" w:sz="4" w:space="0" w:color="auto"/>
            </w:tcBorders>
          </w:tcPr>
          <w:p>
            <w:pPr>
              <w:ind w:right="-29"/>
              <w:jc w:val="center"/>
              <w:rPr>
                <w:noProof/>
                <w:sz w:val="20"/>
                <w:szCs w:val="20"/>
              </w:rPr>
            </w:pPr>
            <w:r>
              <w:rPr>
                <w:noProof/>
                <w:sz w:val="20"/>
                <w:szCs w:val="20"/>
              </w:rPr>
              <w:t>0,150</w:t>
            </w:r>
          </w:p>
        </w:tc>
        <w:tc>
          <w:tcPr>
            <w:tcW w:w="360" w:type="dxa"/>
            <w:tcBorders>
              <w:right w:val="dashSmallGap" w:sz="4" w:space="0" w:color="auto"/>
            </w:tcBorders>
          </w:tcPr>
          <w:p>
            <w:pPr>
              <w:ind w:right="-29"/>
              <w:jc w:val="center"/>
              <w:rPr>
                <w:noProof/>
                <w:sz w:val="20"/>
                <w:szCs w:val="20"/>
              </w:rPr>
            </w:pPr>
            <w:r>
              <w:rPr>
                <w:noProof/>
                <w:sz w:val="20"/>
                <w:szCs w:val="20"/>
              </w:rPr>
              <w:t>6</w:t>
            </w:r>
          </w:p>
        </w:tc>
        <w:tc>
          <w:tcPr>
            <w:tcW w:w="780" w:type="dxa"/>
            <w:tcBorders>
              <w:left w:val="dashSmallGap" w:sz="4" w:space="0" w:color="auto"/>
              <w:bottom w:val="single" w:sz="4" w:space="0" w:color="auto"/>
            </w:tcBorders>
          </w:tcPr>
          <w:p>
            <w:pPr>
              <w:ind w:right="-29"/>
              <w:jc w:val="center"/>
              <w:rPr>
                <w:noProof/>
                <w:sz w:val="20"/>
                <w:szCs w:val="20"/>
              </w:rPr>
            </w:pPr>
            <w:r>
              <w:rPr>
                <w:noProof/>
                <w:sz w:val="20"/>
                <w:szCs w:val="20"/>
              </w:rPr>
              <w:t>0,150</w:t>
            </w:r>
          </w:p>
        </w:tc>
        <w:tc>
          <w:tcPr>
            <w:tcW w:w="360" w:type="dxa"/>
            <w:tcBorders>
              <w:right w:val="dashSmallGap" w:sz="4" w:space="0" w:color="auto"/>
            </w:tcBorders>
          </w:tcPr>
          <w:p>
            <w:pPr>
              <w:ind w:right="-29"/>
              <w:jc w:val="center"/>
              <w:rPr>
                <w:noProof/>
                <w:sz w:val="20"/>
                <w:szCs w:val="20"/>
              </w:rPr>
            </w:pPr>
            <w:r>
              <w:rPr>
                <w:noProof/>
                <w:sz w:val="20"/>
                <w:szCs w:val="20"/>
              </w:rPr>
              <w:t>6</w:t>
            </w:r>
          </w:p>
        </w:tc>
        <w:tc>
          <w:tcPr>
            <w:tcW w:w="840" w:type="dxa"/>
            <w:tcBorders>
              <w:left w:val="dashSmallGap" w:sz="4" w:space="0" w:color="auto"/>
              <w:bottom w:val="single" w:sz="4" w:space="0" w:color="auto"/>
            </w:tcBorders>
          </w:tcPr>
          <w:p>
            <w:pPr>
              <w:ind w:right="-29"/>
              <w:jc w:val="center"/>
              <w:rPr>
                <w:noProof/>
                <w:sz w:val="20"/>
                <w:szCs w:val="20"/>
              </w:rPr>
            </w:pPr>
            <w:r>
              <w:rPr>
                <w:noProof/>
                <w:sz w:val="20"/>
                <w:szCs w:val="20"/>
              </w:rPr>
              <w:t>0,150</w:t>
            </w:r>
          </w:p>
        </w:tc>
        <w:tc>
          <w:tcPr>
            <w:tcW w:w="596" w:type="dxa"/>
            <w:tcBorders>
              <w:right w:val="dashSmallGap" w:sz="4" w:space="0" w:color="auto"/>
            </w:tcBorders>
          </w:tcPr>
          <w:p>
            <w:pPr>
              <w:ind w:right="-29"/>
              <w:jc w:val="center"/>
              <w:rPr>
                <w:noProof/>
                <w:sz w:val="20"/>
                <w:szCs w:val="20"/>
              </w:rPr>
            </w:pPr>
            <w:r>
              <w:rPr>
                <w:noProof/>
                <w:sz w:val="20"/>
                <w:szCs w:val="20"/>
              </w:rPr>
              <w:t>24</w:t>
            </w:r>
          </w:p>
        </w:tc>
        <w:tc>
          <w:tcPr>
            <w:tcW w:w="1320" w:type="dxa"/>
            <w:tcBorders>
              <w:left w:val="dashSmallGap" w:sz="4" w:space="0" w:color="auto"/>
              <w:bottom w:val="single" w:sz="4" w:space="0" w:color="auto"/>
              <w:right w:val="single" w:sz="12" w:space="0" w:color="auto"/>
            </w:tcBorders>
          </w:tcPr>
          <w:p>
            <w:pPr>
              <w:ind w:right="-29"/>
              <w:jc w:val="center"/>
              <w:rPr>
                <w:noProof/>
                <w:sz w:val="20"/>
                <w:szCs w:val="20"/>
              </w:rPr>
            </w:pPr>
            <w:r>
              <w:rPr>
                <w:noProof/>
                <w:sz w:val="20"/>
                <w:szCs w:val="20"/>
              </w:rPr>
              <w:t>1,150</w:t>
            </w:r>
          </w:p>
        </w:tc>
      </w:tr>
      <w:tr>
        <w:trPr>
          <w:jc w:val="center"/>
        </w:trPr>
        <w:tc>
          <w:tcPr>
            <w:tcW w:w="2374" w:type="dxa"/>
            <w:gridSpan w:val="3"/>
            <w:tcBorders>
              <w:left w:val="single" w:sz="12" w:space="0" w:color="auto"/>
              <w:bottom w:val="single" w:sz="12" w:space="0" w:color="auto"/>
            </w:tcBorders>
            <w:vAlign w:val="center"/>
          </w:tcPr>
          <w:p>
            <w:pPr>
              <w:ind w:right="-29"/>
              <w:jc w:val="center"/>
              <w:rPr>
                <w:noProof/>
                <w:sz w:val="18"/>
                <w:szCs w:val="18"/>
              </w:rPr>
            </w:pPr>
            <w:r>
              <w:rPr>
                <w:noProof/>
                <w:sz w:val="18"/>
              </w:rPr>
              <w:t>Subtotal for specific objective No 6</w:t>
            </w:r>
          </w:p>
        </w:tc>
        <w:tc>
          <w:tcPr>
            <w:tcW w:w="669" w:type="dxa"/>
            <w:tcBorders>
              <w:bottom w:val="single" w:sz="12" w:space="0" w:color="auto"/>
              <w:right w:val="dashSmallGap" w:sz="4" w:space="0" w:color="auto"/>
            </w:tcBorders>
          </w:tcPr>
          <w:p>
            <w:pPr>
              <w:ind w:right="-29"/>
              <w:jc w:val="center"/>
              <w:rPr>
                <w:noProof/>
                <w:sz w:val="20"/>
                <w:szCs w:val="20"/>
              </w:rPr>
            </w:pPr>
            <w:r>
              <w:rPr>
                <w:noProof/>
                <w:sz w:val="20"/>
                <w:szCs w:val="20"/>
              </w:rPr>
              <w:t>20</w:t>
            </w:r>
          </w:p>
        </w:tc>
        <w:tc>
          <w:tcPr>
            <w:tcW w:w="780" w:type="dxa"/>
            <w:tcBorders>
              <w:left w:val="dashSmallGap" w:sz="4" w:space="0" w:color="auto"/>
              <w:bottom w:val="single" w:sz="12" w:space="0" w:color="auto"/>
            </w:tcBorders>
          </w:tcPr>
          <w:p>
            <w:pPr>
              <w:ind w:right="-29"/>
              <w:jc w:val="center"/>
              <w:rPr>
                <w:b/>
                <w:noProof/>
                <w:sz w:val="20"/>
                <w:szCs w:val="20"/>
              </w:rPr>
            </w:pPr>
            <w:r>
              <w:rPr>
                <w:rFonts w:ascii="Calibri" w:hAnsi="Calibri"/>
                <w:b/>
                <w:bCs/>
                <w:noProof/>
                <w:color w:val="000000"/>
                <w:sz w:val="20"/>
                <w:szCs w:val="20"/>
              </w:rPr>
              <w:t>0,428</w:t>
            </w:r>
          </w:p>
        </w:tc>
        <w:tc>
          <w:tcPr>
            <w:tcW w:w="669" w:type="dxa"/>
            <w:tcBorders>
              <w:bottom w:val="single" w:sz="12" w:space="0" w:color="auto"/>
              <w:right w:val="dashSmallGap" w:sz="4" w:space="0" w:color="auto"/>
            </w:tcBorders>
          </w:tcPr>
          <w:p>
            <w:pPr>
              <w:ind w:right="-29"/>
              <w:jc w:val="center"/>
              <w:rPr>
                <w:noProof/>
                <w:sz w:val="20"/>
                <w:szCs w:val="20"/>
              </w:rPr>
            </w:pPr>
            <w:r>
              <w:rPr>
                <w:noProof/>
                <w:sz w:val="20"/>
                <w:szCs w:val="20"/>
              </w:rPr>
              <w:t>22</w:t>
            </w:r>
          </w:p>
        </w:tc>
        <w:tc>
          <w:tcPr>
            <w:tcW w:w="780" w:type="dxa"/>
            <w:tcBorders>
              <w:left w:val="dashSmallGap" w:sz="4" w:space="0" w:color="auto"/>
              <w:bottom w:val="single" w:sz="12" w:space="0" w:color="auto"/>
            </w:tcBorders>
          </w:tcPr>
          <w:p>
            <w:pPr>
              <w:ind w:right="-29"/>
              <w:jc w:val="center"/>
              <w:rPr>
                <w:b/>
                <w:noProof/>
                <w:sz w:val="20"/>
                <w:szCs w:val="20"/>
              </w:rPr>
            </w:pPr>
            <w:r>
              <w:rPr>
                <w:rFonts w:ascii="Calibri" w:hAnsi="Calibri"/>
                <w:b/>
                <w:bCs/>
                <w:noProof/>
                <w:color w:val="000000"/>
                <w:sz w:val="20"/>
                <w:szCs w:val="20"/>
              </w:rPr>
              <w:t>0,478</w:t>
            </w:r>
          </w:p>
        </w:tc>
        <w:tc>
          <w:tcPr>
            <w:tcW w:w="669" w:type="dxa"/>
            <w:tcBorders>
              <w:bottom w:val="single" w:sz="12" w:space="0" w:color="auto"/>
              <w:right w:val="dashSmallGap" w:sz="4" w:space="0" w:color="auto"/>
            </w:tcBorders>
          </w:tcPr>
          <w:p>
            <w:pPr>
              <w:ind w:right="-29"/>
              <w:jc w:val="center"/>
              <w:rPr>
                <w:noProof/>
                <w:sz w:val="20"/>
                <w:szCs w:val="20"/>
              </w:rPr>
            </w:pPr>
            <w:r>
              <w:rPr>
                <w:noProof/>
                <w:sz w:val="20"/>
                <w:szCs w:val="20"/>
              </w:rPr>
              <w:t>22</w:t>
            </w:r>
          </w:p>
        </w:tc>
        <w:tc>
          <w:tcPr>
            <w:tcW w:w="780" w:type="dxa"/>
            <w:tcBorders>
              <w:left w:val="dashSmallGap" w:sz="4" w:space="0" w:color="auto"/>
              <w:bottom w:val="single" w:sz="12" w:space="0" w:color="auto"/>
            </w:tcBorders>
          </w:tcPr>
          <w:p>
            <w:pPr>
              <w:ind w:right="-29"/>
              <w:jc w:val="center"/>
              <w:rPr>
                <w:b/>
                <w:noProof/>
                <w:sz w:val="20"/>
                <w:szCs w:val="20"/>
              </w:rPr>
            </w:pPr>
            <w:r>
              <w:rPr>
                <w:rFonts w:ascii="Calibri" w:hAnsi="Calibri"/>
                <w:b/>
                <w:bCs/>
                <w:noProof/>
                <w:color w:val="000000"/>
                <w:sz w:val="20"/>
                <w:szCs w:val="20"/>
              </w:rPr>
              <w:t>0,478</w:t>
            </w:r>
          </w:p>
        </w:tc>
        <w:tc>
          <w:tcPr>
            <w:tcW w:w="669" w:type="dxa"/>
            <w:tcBorders>
              <w:bottom w:val="single" w:sz="12" w:space="0" w:color="auto"/>
              <w:right w:val="dashSmallGap" w:sz="4" w:space="0" w:color="auto"/>
            </w:tcBorders>
          </w:tcPr>
          <w:p>
            <w:pPr>
              <w:ind w:right="-29"/>
              <w:jc w:val="center"/>
              <w:rPr>
                <w:noProof/>
                <w:sz w:val="20"/>
                <w:szCs w:val="20"/>
              </w:rPr>
            </w:pPr>
            <w:r>
              <w:rPr>
                <w:noProof/>
                <w:sz w:val="20"/>
                <w:szCs w:val="20"/>
              </w:rPr>
              <w:t>24</w:t>
            </w:r>
          </w:p>
        </w:tc>
        <w:tc>
          <w:tcPr>
            <w:tcW w:w="780" w:type="dxa"/>
            <w:tcBorders>
              <w:left w:val="dashSmallGap" w:sz="4" w:space="0" w:color="auto"/>
              <w:bottom w:val="single" w:sz="12" w:space="0" w:color="auto"/>
            </w:tcBorders>
          </w:tcPr>
          <w:p>
            <w:pPr>
              <w:ind w:right="-29"/>
              <w:jc w:val="center"/>
              <w:rPr>
                <w:b/>
                <w:noProof/>
                <w:sz w:val="20"/>
                <w:szCs w:val="20"/>
              </w:rPr>
            </w:pPr>
            <w:r>
              <w:rPr>
                <w:rFonts w:ascii="Calibri" w:hAnsi="Calibri"/>
                <w:b/>
                <w:bCs/>
                <w:noProof/>
                <w:color w:val="000000"/>
                <w:sz w:val="20"/>
                <w:szCs w:val="20"/>
              </w:rPr>
              <w:t>0,528</w:t>
            </w:r>
          </w:p>
        </w:tc>
        <w:tc>
          <w:tcPr>
            <w:tcW w:w="669" w:type="dxa"/>
            <w:tcBorders>
              <w:bottom w:val="single" w:sz="12" w:space="0" w:color="auto"/>
              <w:right w:val="dashSmallGap" w:sz="4" w:space="0" w:color="auto"/>
            </w:tcBorders>
          </w:tcPr>
          <w:p>
            <w:pPr>
              <w:ind w:right="-29"/>
              <w:jc w:val="center"/>
              <w:rPr>
                <w:noProof/>
                <w:sz w:val="20"/>
                <w:szCs w:val="20"/>
              </w:rPr>
            </w:pPr>
            <w:r>
              <w:rPr>
                <w:noProof/>
                <w:sz w:val="20"/>
                <w:szCs w:val="20"/>
              </w:rPr>
              <w:t>14</w:t>
            </w:r>
          </w:p>
        </w:tc>
        <w:tc>
          <w:tcPr>
            <w:tcW w:w="839" w:type="dxa"/>
            <w:tcBorders>
              <w:left w:val="dashSmallGap" w:sz="4" w:space="0" w:color="auto"/>
              <w:bottom w:val="single" w:sz="12" w:space="0" w:color="auto"/>
            </w:tcBorders>
          </w:tcPr>
          <w:p>
            <w:pPr>
              <w:ind w:right="-29"/>
              <w:rPr>
                <w:noProof/>
                <w:sz w:val="20"/>
                <w:szCs w:val="20"/>
              </w:rPr>
            </w:pPr>
            <w:r>
              <w:rPr>
                <w:rFonts w:ascii="Calibri" w:hAnsi="Calibri"/>
                <w:b/>
                <w:bCs/>
                <w:noProof/>
                <w:color w:val="000000"/>
                <w:sz w:val="20"/>
                <w:szCs w:val="20"/>
              </w:rPr>
              <w:t>0,318</w:t>
            </w:r>
          </w:p>
        </w:tc>
        <w:tc>
          <w:tcPr>
            <w:tcW w:w="596" w:type="dxa"/>
            <w:tcBorders>
              <w:bottom w:val="single" w:sz="12" w:space="0" w:color="auto"/>
              <w:right w:val="dashSmallGap" w:sz="4" w:space="0" w:color="auto"/>
            </w:tcBorders>
          </w:tcPr>
          <w:p>
            <w:pPr>
              <w:ind w:right="-29"/>
              <w:jc w:val="center"/>
              <w:rPr>
                <w:noProof/>
                <w:sz w:val="20"/>
                <w:szCs w:val="20"/>
              </w:rPr>
            </w:pPr>
            <w:r>
              <w:rPr>
                <w:noProof/>
                <w:sz w:val="20"/>
                <w:szCs w:val="20"/>
              </w:rPr>
              <w:t>14</w:t>
            </w:r>
          </w:p>
        </w:tc>
        <w:tc>
          <w:tcPr>
            <w:tcW w:w="780" w:type="dxa"/>
            <w:tcBorders>
              <w:left w:val="dashSmallGap" w:sz="4" w:space="0" w:color="auto"/>
              <w:bottom w:val="single" w:sz="12" w:space="0" w:color="auto"/>
            </w:tcBorders>
          </w:tcPr>
          <w:p>
            <w:pPr>
              <w:ind w:right="-29"/>
              <w:jc w:val="center"/>
              <w:rPr>
                <w:noProof/>
                <w:sz w:val="20"/>
                <w:szCs w:val="20"/>
              </w:rPr>
            </w:pPr>
            <w:r>
              <w:rPr>
                <w:rFonts w:ascii="Calibri" w:hAnsi="Calibri"/>
                <w:b/>
                <w:bCs/>
                <w:noProof/>
                <w:color w:val="000000"/>
                <w:sz w:val="20"/>
                <w:szCs w:val="20"/>
              </w:rPr>
              <w:t>0,318</w:t>
            </w:r>
          </w:p>
        </w:tc>
        <w:tc>
          <w:tcPr>
            <w:tcW w:w="360" w:type="dxa"/>
            <w:tcBorders>
              <w:bottom w:val="single" w:sz="12" w:space="0" w:color="auto"/>
              <w:right w:val="dashSmallGap" w:sz="4" w:space="0" w:color="auto"/>
            </w:tcBorders>
          </w:tcPr>
          <w:p>
            <w:pPr>
              <w:ind w:right="-29"/>
              <w:jc w:val="center"/>
              <w:rPr>
                <w:noProof/>
                <w:sz w:val="20"/>
                <w:szCs w:val="20"/>
              </w:rPr>
            </w:pPr>
            <w:r>
              <w:rPr>
                <w:noProof/>
                <w:sz w:val="20"/>
                <w:szCs w:val="20"/>
              </w:rPr>
              <w:t>14</w:t>
            </w:r>
          </w:p>
        </w:tc>
        <w:tc>
          <w:tcPr>
            <w:tcW w:w="780" w:type="dxa"/>
            <w:tcBorders>
              <w:left w:val="dashSmallGap" w:sz="4" w:space="0" w:color="auto"/>
              <w:bottom w:val="single" w:sz="12" w:space="0" w:color="auto"/>
            </w:tcBorders>
          </w:tcPr>
          <w:p>
            <w:pPr>
              <w:ind w:right="-29"/>
              <w:jc w:val="center"/>
              <w:rPr>
                <w:noProof/>
                <w:sz w:val="20"/>
                <w:szCs w:val="20"/>
              </w:rPr>
            </w:pPr>
            <w:r>
              <w:rPr>
                <w:rFonts w:ascii="Calibri" w:hAnsi="Calibri"/>
                <w:b/>
                <w:bCs/>
                <w:noProof/>
                <w:color w:val="000000"/>
                <w:sz w:val="20"/>
                <w:szCs w:val="20"/>
              </w:rPr>
              <w:t>0,318</w:t>
            </w:r>
          </w:p>
        </w:tc>
        <w:tc>
          <w:tcPr>
            <w:tcW w:w="360" w:type="dxa"/>
            <w:tcBorders>
              <w:bottom w:val="single" w:sz="12" w:space="0" w:color="auto"/>
              <w:right w:val="dashSmallGap" w:sz="4" w:space="0" w:color="auto"/>
            </w:tcBorders>
          </w:tcPr>
          <w:p>
            <w:pPr>
              <w:ind w:right="-29"/>
              <w:jc w:val="center"/>
              <w:rPr>
                <w:noProof/>
                <w:sz w:val="20"/>
                <w:szCs w:val="20"/>
              </w:rPr>
            </w:pPr>
            <w:r>
              <w:rPr>
                <w:noProof/>
                <w:sz w:val="20"/>
                <w:szCs w:val="20"/>
              </w:rPr>
              <w:t>14</w:t>
            </w:r>
          </w:p>
        </w:tc>
        <w:tc>
          <w:tcPr>
            <w:tcW w:w="780" w:type="dxa"/>
            <w:tcBorders>
              <w:left w:val="dashSmallGap" w:sz="4" w:space="0" w:color="auto"/>
              <w:bottom w:val="single" w:sz="12" w:space="0" w:color="auto"/>
            </w:tcBorders>
          </w:tcPr>
          <w:p>
            <w:pPr>
              <w:ind w:right="-29"/>
              <w:jc w:val="center"/>
              <w:rPr>
                <w:noProof/>
                <w:sz w:val="20"/>
                <w:szCs w:val="20"/>
              </w:rPr>
            </w:pPr>
            <w:r>
              <w:rPr>
                <w:rFonts w:ascii="Calibri" w:hAnsi="Calibri"/>
                <w:b/>
                <w:bCs/>
                <w:noProof/>
                <w:color w:val="000000"/>
                <w:sz w:val="20"/>
                <w:szCs w:val="20"/>
              </w:rPr>
              <w:t>0,318</w:t>
            </w:r>
          </w:p>
        </w:tc>
        <w:tc>
          <w:tcPr>
            <w:tcW w:w="360" w:type="dxa"/>
            <w:tcBorders>
              <w:bottom w:val="single" w:sz="12" w:space="0" w:color="auto"/>
              <w:right w:val="dashSmallGap" w:sz="4" w:space="0" w:color="auto"/>
            </w:tcBorders>
          </w:tcPr>
          <w:p>
            <w:pPr>
              <w:ind w:right="-29"/>
              <w:jc w:val="center"/>
              <w:rPr>
                <w:noProof/>
                <w:sz w:val="20"/>
                <w:szCs w:val="20"/>
              </w:rPr>
            </w:pPr>
            <w:r>
              <w:rPr>
                <w:noProof/>
                <w:sz w:val="20"/>
                <w:szCs w:val="20"/>
              </w:rPr>
              <w:t>14</w:t>
            </w:r>
          </w:p>
        </w:tc>
        <w:tc>
          <w:tcPr>
            <w:tcW w:w="840" w:type="dxa"/>
            <w:tcBorders>
              <w:left w:val="dashSmallGap" w:sz="4" w:space="0" w:color="auto"/>
              <w:bottom w:val="single" w:sz="12" w:space="0" w:color="auto"/>
            </w:tcBorders>
          </w:tcPr>
          <w:p>
            <w:pPr>
              <w:ind w:right="-29"/>
              <w:jc w:val="center"/>
              <w:rPr>
                <w:noProof/>
                <w:sz w:val="20"/>
                <w:szCs w:val="20"/>
              </w:rPr>
            </w:pPr>
            <w:r>
              <w:rPr>
                <w:rFonts w:ascii="Calibri" w:hAnsi="Calibri"/>
                <w:b/>
                <w:bCs/>
                <w:noProof/>
                <w:color w:val="000000"/>
                <w:sz w:val="20"/>
                <w:szCs w:val="20"/>
              </w:rPr>
              <w:t>0,318</w:t>
            </w:r>
          </w:p>
        </w:tc>
        <w:tc>
          <w:tcPr>
            <w:tcW w:w="596" w:type="dxa"/>
            <w:tcBorders>
              <w:bottom w:val="single" w:sz="12" w:space="0" w:color="auto"/>
              <w:right w:val="dashSmallGap" w:sz="4" w:space="0" w:color="auto"/>
            </w:tcBorders>
          </w:tcPr>
          <w:p>
            <w:pPr>
              <w:ind w:right="-29"/>
              <w:jc w:val="center"/>
              <w:rPr>
                <w:noProof/>
                <w:sz w:val="20"/>
                <w:szCs w:val="20"/>
              </w:rPr>
            </w:pPr>
          </w:p>
        </w:tc>
        <w:tc>
          <w:tcPr>
            <w:tcW w:w="1320" w:type="dxa"/>
            <w:tcBorders>
              <w:left w:val="dashSmallGap" w:sz="4" w:space="0" w:color="auto"/>
              <w:bottom w:val="single" w:sz="12" w:space="0" w:color="auto"/>
              <w:right w:val="single" w:sz="12" w:space="0" w:color="auto"/>
            </w:tcBorders>
          </w:tcPr>
          <w:p>
            <w:pPr>
              <w:ind w:right="-29"/>
              <w:jc w:val="center"/>
              <w:rPr>
                <w:b/>
                <w:noProof/>
                <w:sz w:val="20"/>
                <w:szCs w:val="20"/>
              </w:rPr>
            </w:pPr>
            <w:r>
              <w:rPr>
                <w:rFonts w:ascii="Calibri" w:hAnsi="Calibri"/>
                <w:b/>
                <w:bCs/>
                <w:noProof/>
                <w:color w:val="000000"/>
                <w:sz w:val="20"/>
                <w:szCs w:val="20"/>
              </w:rPr>
              <w:t>3,502</w:t>
            </w:r>
          </w:p>
        </w:tc>
      </w:tr>
    </w:tbl>
    <w:p>
      <w:pPr>
        <w:rPr>
          <w:noProof/>
        </w:rPr>
      </w:pPr>
    </w:p>
    <w:p>
      <w:pPr>
        <w:pStyle w:val="ListDash"/>
        <w:rPr>
          <w:noProof/>
        </w:rPr>
      </w:pPr>
      <w:r>
        <w:rPr>
          <w:noProof/>
        </w:rPr>
        <w:t>The subtotal 6 includes the costs for organising meetings by the Management Authority (in this case eu-LISA) for the project governance. These are the costs for additional meetings for the delivery of the interoperability components.</w:t>
      </w:r>
    </w:p>
    <w:p>
      <w:pPr>
        <w:pStyle w:val="ListDash"/>
        <w:rPr>
          <w:noProof/>
        </w:rPr>
      </w:pPr>
      <w:r>
        <w:rPr>
          <w:noProof/>
        </w:rPr>
        <w:t>The subtotal 6 includes the costs for meetings of eu-LISA with Member State staff dealing with the development, maintenance and operations of the interoperability components and with organising and delivering training for Member State IT staff.</w:t>
      </w:r>
    </w:p>
    <w:p>
      <w:pPr>
        <w:pStyle w:val="ListDash"/>
        <w:rPr>
          <w:noProof/>
        </w:rPr>
      </w:pPr>
      <w:r>
        <w:rPr>
          <w:noProof/>
        </w:rPr>
        <w:t>During development, the budget includes 10 project meetings per year.  Once operations are being prepared (and this is the case from 2019 onwards), four meetings are organised per year.  At a more senior level, an Advisory Group is set up from the beginning to implement the Commission's implementing decisions.  There are four meetings per year planned, as for the existing Advisory Groups. Further, eu-LISA prepares and delivers training for the IT staff in Member States. This is training on technical aspects of the interoperability components.</w:t>
      </w:r>
    </w:p>
    <w:p>
      <w:pPr>
        <w:rPr>
          <w:noProof/>
        </w:rPr>
      </w:pPr>
    </w:p>
    <w:p>
      <w:pPr>
        <w:keepNext/>
        <w:rPr>
          <w:noProof/>
        </w:rPr>
      </w:pPr>
    </w:p>
    <w:tbl>
      <w:tblPr>
        <w:tblW w:w="149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22"/>
        <w:gridCol w:w="721"/>
        <w:gridCol w:w="659"/>
        <w:gridCol w:w="303"/>
        <w:gridCol w:w="867"/>
        <w:gridCol w:w="330"/>
        <w:gridCol w:w="840"/>
        <w:gridCol w:w="360"/>
        <w:gridCol w:w="840"/>
        <w:gridCol w:w="360"/>
        <w:gridCol w:w="840"/>
        <w:gridCol w:w="360"/>
        <w:gridCol w:w="672"/>
        <w:gridCol w:w="360"/>
        <w:gridCol w:w="720"/>
        <w:gridCol w:w="360"/>
        <w:gridCol w:w="840"/>
        <w:gridCol w:w="360"/>
        <w:gridCol w:w="840"/>
        <w:gridCol w:w="360"/>
        <w:gridCol w:w="840"/>
        <w:gridCol w:w="360"/>
        <w:gridCol w:w="1320"/>
      </w:tblGrid>
      <w:tr>
        <w:trPr>
          <w:jc w:val="center"/>
        </w:trPr>
        <w:tc>
          <w:tcPr>
            <w:tcW w:w="1422" w:type="dxa"/>
            <w:vMerge w:val="restart"/>
            <w:tcBorders>
              <w:top w:val="single" w:sz="12" w:space="0" w:color="auto"/>
              <w:left w:val="single" w:sz="12" w:space="0" w:color="auto"/>
            </w:tcBorders>
            <w:vAlign w:val="center"/>
          </w:tcPr>
          <w:p>
            <w:pPr>
              <w:keepNext/>
              <w:ind w:right="-29"/>
              <w:jc w:val="center"/>
              <w:rPr>
                <w:b/>
                <w:noProof/>
                <w:sz w:val="18"/>
                <w:szCs w:val="18"/>
              </w:rPr>
            </w:pPr>
            <w:r>
              <w:rPr>
                <w:b/>
                <w:noProof/>
                <w:sz w:val="18"/>
              </w:rPr>
              <w:t xml:space="preserve">Indicate objectives and outputs </w:t>
            </w:r>
          </w:p>
          <w:p>
            <w:pPr>
              <w:keepNext/>
              <w:ind w:right="-29"/>
              <w:jc w:val="center"/>
              <w:rPr>
                <w:b/>
                <w:noProof/>
                <w:sz w:val="18"/>
                <w:szCs w:val="18"/>
              </w:rPr>
            </w:pPr>
            <w:r>
              <w:rPr>
                <w:b/>
                <w:noProof/>
                <w:sz w:val="18"/>
                <w:szCs w:val="18"/>
              </w:rPr>
              <w:t>Eu-LISA</w:t>
            </w:r>
          </w:p>
          <w:p>
            <w:pPr>
              <w:keepNext/>
              <w:ind w:right="-29"/>
              <w:jc w:val="center"/>
              <w:rPr>
                <w:noProof/>
                <w:sz w:val="18"/>
                <w:szCs w:val="18"/>
              </w:rPr>
            </w:pPr>
            <w:r>
              <w:rPr>
                <w:noProof/>
                <w:sz w:val="18"/>
              </w:rPr>
              <w:sym w:font="Wingdings" w:char="F0F2"/>
            </w:r>
          </w:p>
        </w:tc>
        <w:tc>
          <w:tcPr>
            <w:tcW w:w="721" w:type="dxa"/>
            <w:tcBorders>
              <w:top w:val="single" w:sz="12" w:space="0" w:color="auto"/>
            </w:tcBorders>
            <w:vAlign w:val="center"/>
          </w:tcPr>
          <w:p>
            <w:pPr>
              <w:keepNext/>
              <w:ind w:right="-29"/>
              <w:jc w:val="center"/>
              <w:rPr>
                <w:noProof/>
                <w:sz w:val="18"/>
                <w:szCs w:val="18"/>
              </w:rPr>
            </w:pPr>
          </w:p>
        </w:tc>
        <w:tc>
          <w:tcPr>
            <w:tcW w:w="659" w:type="dxa"/>
            <w:tcBorders>
              <w:top w:val="single" w:sz="12" w:space="0" w:color="auto"/>
            </w:tcBorders>
            <w:vAlign w:val="center"/>
          </w:tcPr>
          <w:p>
            <w:pPr>
              <w:keepNext/>
              <w:ind w:right="-29"/>
              <w:jc w:val="center"/>
              <w:rPr>
                <w:noProof/>
                <w:sz w:val="18"/>
                <w:szCs w:val="18"/>
              </w:rPr>
            </w:pPr>
          </w:p>
        </w:tc>
        <w:tc>
          <w:tcPr>
            <w:tcW w:w="1170" w:type="dxa"/>
            <w:gridSpan w:val="2"/>
            <w:tcBorders>
              <w:top w:val="single" w:sz="12" w:space="0" w:color="auto"/>
              <w:right w:val="single" w:sz="4" w:space="0" w:color="auto"/>
            </w:tcBorders>
            <w:vAlign w:val="center"/>
          </w:tcPr>
          <w:p>
            <w:pPr>
              <w:keepNext/>
              <w:ind w:right="-29"/>
              <w:jc w:val="center"/>
              <w:rPr>
                <w:noProof/>
                <w:sz w:val="18"/>
                <w:szCs w:val="18"/>
              </w:rPr>
            </w:pPr>
            <w:r>
              <w:rPr>
                <w:noProof/>
                <w:sz w:val="18"/>
              </w:rPr>
              <w:t>Year</w:t>
            </w:r>
            <w:r>
              <w:rPr>
                <w:noProof/>
                <w:sz w:val="22"/>
              </w:rPr>
              <w:br/>
            </w:r>
            <w:r>
              <w:rPr>
                <w:b/>
                <w:noProof/>
                <w:sz w:val="18"/>
              </w:rPr>
              <w:t>2019</w:t>
            </w:r>
          </w:p>
        </w:tc>
        <w:tc>
          <w:tcPr>
            <w:tcW w:w="1170" w:type="dxa"/>
            <w:gridSpan w:val="2"/>
            <w:tcBorders>
              <w:top w:val="single" w:sz="12" w:space="0" w:color="auto"/>
              <w:left w:val="single" w:sz="4" w:space="0" w:color="auto"/>
            </w:tcBorders>
            <w:vAlign w:val="center"/>
          </w:tcPr>
          <w:p>
            <w:pPr>
              <w:keepNext/>
              <w:ind w:right="-29"/>
              <w:jc w:val="center"/>
              <w:rPr>
                <w:noProof/>
                <w:sz w:val="18"/>
                <w:szCs w:val="18"/>
              </w:rPr>
            </w:pPr>
            <w:r>
              <w:rPr>
                <w:noProof/>
                <w:sz w:val="18"/>
              </w:rPr>
              <w:t>Year</w:t>
            </w:r>
            <w:r>
              <w:rPr>
                <w:noProof/>
                <w:sz w:val="22"/>
              </w:rPr>
              <w:br/>
            </w:r>
            <w:r>
              <w:rPr>
                <w:b/>
                <w:noProof/>
                <w:sz w:val="18"/>
              </w:rPr>
              <w:t>2020</w:t>
            </w:r>
          </w:p>
        </w:tc>
        <w:tc>
          <w:tcPr>
            <w:tcW w:w="1200" w:type="dxa"/>
            <w:gridSpan w:val="2"/>
            <w:tcBorders>
              <w:top w:val="single" w:sz="12" w:space="0" w:color="auto"/>
            </w:tcBorders>
            <w:vAlign w:val="center"/>
          </w:tcPr>
          <w:p>
            <w:pPr>
              <w:keepNext/>
              <w:ind w:right="-29"/>
              <w:jc w:val="center"/>
              <w:rPr>
                <w:noProof/>
                <w:sz w:val="18"/>
                <w:szCs w:val="18"/>
              </w:rPr>
            </w:pPr>
            <w:r>
              <w:rPr>
                <w:noProof/>
                <w:sz w:val="18"/>
              </w:rPr>
              <w:t>Year</w:t>
            </w:r>
            <w:r>
              <w:rPr>
                <w:noProof/>
                <w:sz w:val="22"/>
              </w:rPr>
              <w:br/>
            </w:r>
            <w:r>
              <w:rPr>
                <w:b/>
                <w:noProof/>
                <w:sz w:val="18"/>
              </w:rPr>
              <w:t>2021</w:t>
            </w:r>
          </w:p>
        </w:tc>
        <w:tc>
          <w:tcPr>
            <w:tcW w:w="1200" w:type="dxa"/>
            <w:gridSpan w:val="2"/>
            <w:tcBorders>
              <w:top w:val="single" w:sz="12" w:space="0" w:color="auto"/>
            </w:tcBorders>
            <w:vAlign w:val="center"/>
          </w:tcPr>
          <w:p>
            <w:pPr>
              <w:keepNext/>
              <w:ind w:right="-29"/>
              <w:jc w:val="center"/>
              <w:rPr>
                <w:noProof/>
                <w:sz w:val="18"/>
                <w:szCs w:val="18"/>
              </w:rPr>
            </w:pPr>
            <w:r>
              <w:rPr>
                <w:noProof/>
                <w:sz w:val="18"/>
              </w:rPr>
              <w:t>Year</w:t>
            </w:r>
            <w:r>
              <w:rPr>
                <w:noProof/>
                <w:sz w:val="22"/>
              </w:rPr>
              <w:br/>
            </w:r>
            <w:r>
              <w:rPr>
                <w:b/>
                <w:noProof/>
                <w:sz w:val="18"/>
              </w:rPr>
              <w:t>2022</w:t>
            </w:r>
          </w:p>
        </w:tc>
        <w:tc>
          <w:tcPr>
            <w:tcW w:w="1032" w:type="dxa"/>
            <w:gridSpan w:val="2"/>
            <w:tcBorders>
              <w:top w:val="single" w:sz="12" w:space="0" w:color="auto"/>
            </w:tcBorders>
            <w:vAlign w:val="center"/>
          </w:tcPr>
          <w:p>
            <w:pPr>
              <w:keepNext/>
              <w:jc w:val="center"/>
              <w:rPr>
                <w:noProof/>
                <w:sz w:val="18"/>
                <w:szCs w:val="18"/>
              </w:rPr>
            </w:pPr>
            <w:r>
              <w:rPr>
                <w:noProof/>
                <w:sz w:val="18"/>
              </w:rPr>
              <w:t>Year</w:t>
            </w:r>
            <w:r>
              <w:rPr>
                <w:noProof/>
                <w:sz w:val="22"/>
              </w:rPr>
              <w:br/>
            </w:r>
            <w:r>
              <w:rPr>
                <w:b/>
                <w:noProof/>
                <w:sz w:val="18"/>
              </w:rPr>
              <w:t>2023</w:t>
            </w:r>
          </w:p>
        </w:tc>
        <w:tc>
          <w:tcPr>
            <w:tcW w:w="1080" w:type="dxa"/>
            <w:gridSpan w:val="2"/>
            <w:tcBorders>
              <w:top w:val="single" w:sz="12" w:space="0" w:color="auto"/>
            </w:tcBorders>
            <w:vAlign w:val="center"/>
          </w:tcPr>
          <w:p>
            <w:pPr>
              <w:keepNext/>
              <w:jc w:val="center"/>
              <w:rPr>
                <w:noProof/>
                <w:sz w:val="18"/>
                <w:szCs w:val="18"/>
              </w:rPr>
            </w:pPr>
            <w:r>
              <w:rPr>
                <w:noProof/>
                <w:sz w:val="18"/>
              </w:rPr>
              <w:t>Year</w:t>
            </w:r>
            <w:r>
              <w:rPr>
                <w:noProof/>
                <w:sz w:val="22"/>
              </w:rPr>
              <w:br/>
            </w:r>
            <w:r>
              <w:rPr>
                <w:b/>
                <w:noProof/>
                <w:sz w:val="18"/>
              </w:rPr>
              <w:t>2024</w:t>
            </w:r>
          </w:p>
        </w:tc>
        <w:tc>
          <w:tcPr>
            <w:tcW w:w="1200" w:type="dxa"/>
            <w:gridSpan w:val="2"/>
            <w:tcBorders>
              <w:top w:val="single" w:sz="12" w:space="0" w:color="auto"/>
            </w:tcBorders>
            <w:vAlign w:val="center"/>
          </w:tcPr>
          <w:p>
            <w:pPr>
              <w:keepNext/>
              <w:jc w:val="center"/>
              <w:rPr>
                <w:noProof/>
                <w:sz w:val="18"/>
                <w:szCs w:val="18"/>
              </w:rPr>
            </w:pPr>
            <w:r>
              <w:rPr>
                <w:noProof/>
                <w:sz w:val="18"/>
              </w:rPr>
              <w:t>Year</w:t>
            </w:r>
            <w:r>
              <w:rPr>
                <w:noProof/>
                <w:sz w:val="22"/>
              </w:rPr>
              <w:br/>
            </w:r>
            <w:r>
              <w:rPr>
                <w:b/>
                <w:noProof/>
                <w:sz w:val="18"/>
              </w:rPr>
              <w:t>2025</w:t>
            </w:r>
          </w:p>
        </w:tc>
        <w:tc>
          <w:tcPr>
            <w:tcW w:w="1200" w:type="dxa"/>
            <w:gridSpan w:val="2"/>
            <w:tcBorders>
              <w:top w:val="single" w:sz="12" w:space="0" w:color="auto"/>
            </w:tcBorders>
          </w:tcPr>
          <w:p>
            <w:pPr>
              <w:keepNext/>
              <w:ind w:right="-29"/>
              <w:jc w:val="center"/>
              <w:rPr>
                <w:b/>
                <w:noProof/>
                <w:sz w:val="18"/>
              </w:rPr>
            </w:pPr>
            <w:r>
              <w:rPr>
                <w:noProof/>
                <w:sz w:val="18"/>
              </w:rPr>
              <w:t>Year</w:t>
            </w:r>
            <w:r>
              <w:rPr>
                <w:noProof/>
                <w:sz w:val="22"/>
              </w:rPr>
              <w:br/>
            </w:r>
            <w:r>
              <w:rPr>
                <w:b/>
                <w:noProof/>
                <w:sz w:val="18"/>
              </w:rPr>
              <w:t>2026</w:t>
            </w:r>
          </w:p>
        </w:tc>
        <w:tc>
          <w:tcPr>
            <w:tcW w:w="1200" w:type="dxa"/>
            <w:gridSpan w:val="2"/>
            <w:tcBorders>
              <w:top w:val="single" w:sz="12" w:space="0" w:color="auto"/>
              <w:right w:val="nil"/>
            </w:tcBorders>
          </w:tcPr>
          <w:p>
            <w:pPr>
              <w:keepNext/>
              <w:ind w:right="-29"/>
              <w:jc w:val="center"/>
              <w:rPr>
                <w:b/>
                <w:noProof/>
                <w:sz w:val="18"/>
              </w:rPr>
            </w:pPr>
            <w:r>
              <w:rPr>
                <w:noProof/>
                <w:sz w:val="18"/>
              </w:rPr>
              <w:t>Year</w:t>
            </w:r>
            <w:r>
              <w:rPr>
                <w:noProof/>
                <w:sz w:val="22"/>
              </w:rPr>
              <w:br/>
            </w:r>
            <w:r>
              <w:rPr>
                <w:b/>
                <w:noProof/>
                <w:sz w:val="18"/>
              </w:rPr>
              <w:t>2027</w:t>
            </w:r>
          </w:p>
        </w:tc>
        <w:tc>
          <w:tcPr>
            <w:tcW w:w="1680" w:type="dxa"/>
            <w:gridSpan w:val="2"/>
            <w:tcBorders>
              <w:top w:val="single" w:sz="12" w:space="0" w:color="auto"/>
              <w:left w:val="single" w:sz="6" w:space="0" w:color="auto"/>
              <w:bottom w:val="single" w:sz="4" w:space="0" w:color="auto"/>
              <w:right w:val="single" w:sz="12" w:space="0" w:color="auto"/>
            </w:tcBorders>
            <w:vAlign w:val="center"/>
          </w:tcPr>
          <w:p>
            <w:pPr>
              <w:keepNext/>
              <w:ind w:right="-29"/>
              <w:jc w:val="center"/>
              <w:rPr>
                <w:noProof/>
                <w:sz w:val="18"/>
                <w:szCs w:val="18"/>
              </w:rPr>
            </w:pPr>
            <w:r>
              <w:rPr>
                <w:b/>
                <w:noProof/>
                <w:sz w:val="18"/>
              </w:rPr>
              <w:t>TOTAL</w:t>
            </w:r>
          </w:p>
        </w:tc>
      </w:tr>
      <w:tr>
        <w:trPr>
          <w:gridAfter w:val="22"/>
          <w:wAfter w:w="13512" w:type="dxa"/>
          <w:trHeight w:val="465"/>
          <w:jc w:val="center"/>
        </w:trPr>
        <w:tc>
          <w:tcPr>
            <w:tcW w:w="1422" w:type="dxa"/>
            <w:vMerge/>
            <w:tcBorders>
              <w:left w:val="single" w:sz="12" w:space="0" w:color="auto"/>
            </w:tcBorders>
            <w:vAlign w:val="center"/>
          </w:tcPr>
          <w:p>
            <w:pPr>
              <w:keepNext/>
              <w:ind w:right="-29"/>
              <w:jc w:val="center"/>
              <w:rPr>
                <w:noProof/>
                <w:sz w:val="18"/>
                <w:szCs w:val="18"/>
              </w:rPr>
            </w:pPr>
          </w:p>
        </w:tc>
      </w:tr>
      <w:tr>
        <w:trPr>
          <w:cantSplit/>
          <w:trHeight w:val="1134"/>
          <w:jc w:val="center"/>
        </w:trPr>
        <w:tc>
          <w:tcPr>
            <w:tcW w:w="1422" w:type="dxa"/>
            <w:vMerge/>
            <w:tcBorders>
              <w:left w:val="single" w:sz="12" w:space="0" w:color="auto"/>
            </w:tcBorders>
            <w:vAlign w:val="center"/>
          </w:tcPr>
          <w:p>
            <w:pPr>
              <w:keepNext/>
              <w:rPr>
                <w:noProof/>
                <w:sz w:val="18"/>
                <w:szCs w:val="18"/>
              </w:rPr>
            </w:pPr>
          </w:p>
        </w:tc>
        <w:tc>
          <w:tcPr>
            <w:tcW w:w="721" w:type="dxa"/>
            <w:vAlign w:val="center"/>
          </w:tcPr>
          <w:p>
            <w:pPr>
              <w:keepNext/>
              <w:jc w:val="center"/>
              <w:rPr>
                <w:noProof/>
                <w:sz w:val="18"/>
                <w:szCs w:val="18"/>
              </w:rPr>
            </w:pPr>
            <w:r>
              <w:rPr>
                <w:noProof/>
                <w:sz w:val="18"/>
              </w:rPr>
              <w:t>Type</w:t>
            </w:r>
            <w:r>
              <w:rPr>
                <w:rStyle w:val="FootnoteReference"/>
                <w:noProof/>
              </w:rPr>
              <w:footnoteReference w:id="105"/>
            </w:r>
          </w:p>
          <w:p>
            <w:pPr>
              <w:keepNext/>
              <w:spacing w:before="0" w:after="0"/>
              <w:jc w:val="center"/>
              <w:rPr>
                <w:noProof/>
                <w:sz w:val="18"/>
                <w:szCs w:val="18"/>
              </w:rPr>
            </w:pPr>
          </w:p>
        </w:tc>
        <w:tc>
          <w:tcPr>
            <w:tcW w:w="659" w:type="dxa"/>
            <w:tcBorders>
              <w:right w:val="single" w:sz="4" w:space="0" w:color="auto"/>
            </w:tcBorders>
            <w:vAlign w:val="center"/>
          </w:tcPr>
          <w:p>
            <w:pPr>
              <w:keepNext/>
              <w:jc w:val="center"/>
              <w:rPr>
                <w:noProof/>
                <w:sz w:val="18"/>
                <w:szCs w:val="18"/>
              </w:rPr>
            </w:pPr>
            <w:r>
              <w:rPr>
                <w:noProof/>
                <w:sz w:val="18"/>
              </w:rPr>
              <w:t>Average cost</w:t>
            </w:r>
          </w:p>
        </w:tc>
        <w:tc>
          <w:tcPr>
            <w:tcW w:w="303" w:type="dxa"/>
            <w:tcBorders>
              <w:top w:val="dotted" w:sz="4" w:space="0" w:color="auto"/>
              <w:left w:val="single" w:sz="4" w:space="0" w:color="auto"/>
              <w:bottom w:val="dotted" w:sz="4" w:space="0" w:color="auto"/>
              <w:right w:val="nil"/>
            </w:tcBorders>
            <w:shd w:val="pct10" w:color="auto" w:fill="auto"/>
            <w:textDirection w:val="btLr"/>
            <w:vAlign w:val="center"/>
          </w:tcPr>
          <w:p>
            <w:pPr>
              <w:keepNext/>
              <w:ind w:left="113" w:right="113"/>
              <w:jc w:val="center"/>
              <w:rPr>
                <w:noProof/>
                <w:sz w:val="18"/>
              </w:rPr>
            </w:pPr>
            <w:r>
              <w:rPr>
                <w:noProof/>
                <w:sz w:val="18"/>
              </w:rPr>
              <w:t>No</w:t>
            </w:r>
          </w:p>
        </w:tc>
        <w:tc>
          <w:tcPr>
            <w:tcW w:w="867" w:type="dxa"/>
            <w:tcBorders>
              <w:left w:val="nil"/>
              <w:right w:val="single" w:sz="4" w:space="0" w:color="auto"/>
            </w:tcBorders>
            <w:shd w:val="pct10" w:color="auto" w:fill="auto"/>
            <w:vAlign w:val="center"/>
          </w:tcPr>
          <w:p>
            <w:pPr>
              <w:keepNext/>
              <w:jc w:val="center"/>
              <w:rPr>
                <w:noProof/>
                <w:sz w:val="18"/>
              </w:rPr>
            </w:pPr>
            <w:r>
              <w:rPr>
                <w:noProof/>
                <w:sz w:val="18"/>
              </w:rPr>
              <w:t>Cost</w:t>
            </w:r>
          </w:p>
        </w:tc>
        <w:tc>
          <w:tcPr>
            <w:tcW w:w="330" w:type="dxa"/>
            <w:tcBorders>
              <w:left w:val="single" w:sz="4" w:space="0" w:color="auto"/>
              <w:right w:val="dashSmallGap" w:sz="4" w:space="0" w:color="auto"/>
            </w:tcBorders>
            <w:shd w:val="pct10" w:color="auto" w:fill="auto"/>
            <w:textDirection w:val="btLr"/>
            <w:vAlign w:val="center"/>
          </w:tcPr>
          <w:p>
            <w:pPr>
              <w:keepNext/>
              <w:ind w:left="113" w:right="113"/>
              <w:jc w:val="center"/>
              <w:rPr>
                <w:noProof/>
                <w:sz w:val="18"/>
                <w:szCs w:val="18"/>
              </w:rPr>
            </w:pPr>
            <w:r>
              <w:rPr>
                <w:noProof/>
                <w:sz w:val="18"/>
              </w:rPr>
              <w:t>No</w:t>
            </w:r>
          </w:p>
        </w:tc>
        <w:tc>
          <w:tcPr>
            <w:tcW w:w="840" w:type="dxa"/>
            <w:tcBorders>
              <w:left w:val="dashSmallGap" w:sz="4" w:space="0" w:color="auto"/>
            </w:tcBorders>
            <w:shd w:val="pct10" w:color="auto" w:fill="auto"/>
            <w:vAlign w:val="center"/>
          </w:tcPr>
          <w:p>
            <w:pPr>
              <w:keepNext/>
              <w:jc w:val="center"/>
              <w:rPr>
                <w:noProof/>
                <w:sz w:val="18"/>
                <w:szCs w:val="18"/>
              </w:rPr>
            </w:pPr>
            <w:r>
              <w:rPr>
                <w:noProof/>
                <w:sz w:val="18"/>
              </w:rPr>
              <w:t>Cost</w:t>
            </w:r>
          </w:p>
        </w:tc>
        <w:tc>
          <w:tcPr>
            <w:tcW w:w="360" w:type="dxa"/>
            <w:tcBorders>
              <w:right w:val="dashSmallGap" w:sz="4" w:space="0" w:color="auto"/>
            </w:tcBorders>
            <w:shd w:val="pct10" w:color="auto" w:fill="auto"/>
            <w:textDirection w:val="btLr"/>
            <w:vAlign w:val="center"/>
          </w:tcPr>
          <w:p>
            <w:pPr>
              <w:keepNext/>
              <w:ind w:left="113" w:right="113"/>
              <w:jc w:val="center"/>
              <w:rPr>
                <w:noProof/>
                <w:sz w:val="18"/>
                <w:szCs w:val="18"/>
              </w:rPr>
            </w:pPr>
            <w:r>
              <w:rPr>
                <w:noProof/>
                <w:sz w:val="18"/>
              </w:rPr>
              <w:t>No</w:t>
            </w:r>
          </w:p>
        </w:tc>
        <w:tc>
          <w:tcPr>
            <w:tcW w:w="840" w:type="dxa"/>
            <w:tcBorders>
              <w:left w:val="dashSmallGap" w:sz="4" w:space="0" w:color="auto"/>
            </w:tcBorders>
            <w:shd w:val="pct10" w:color="auto" w:fill="auto"/>
            <w:vAlign w:val="center"/>
          </w:tcPr>
          <w:p>
            <w:pPr>
              <w:keepNext/>
              <w:jc w:val="center"/>
              <w:rPr>
                <w:noProof/>
                <w:sz w:val="18"/>
                <w:szCs w:val="18"/>
              </w:rPr>
            </w:pPr>
            <w:r>
              <w:rPr>
                <w:noProof/>
                <w:sz w:val="18"/>
              </w:rPr>
              <w:t>Cost</w:t>
            </w:r>
          </w:p>
        </w:tc>
        <w:tc>
          <w:tcPr>
            <w:tcW w:w="360" w:type="dxa"/>
            <w:tcBorders>
              <w:right w:val="dashSmallGap" w:sz="4" w:space="0" w:color="auto"/>
            </w:tcBorders>
            <w:shd w:val="pct10" w:color="auto" w:fill="auto"/>
            <w:textDirection w:val="btLr"/>
            <w:vAlign w:val="center"/>
          </w:tcPr>
          <w:p>
            <w:pPr>
              <w:keepNext/>
              <w:ind w:left="113" w:right="113"/>
              <w:jc w:val="center"/>
              <w:rPr>
                <w:noProof/>
                <w:sz w:val="18"/>
                <w:szCs w:val="18"/>
              </w:rPr>
            </w:pPr>
            <w:r>
              <w:rPr>
                <w:noProof/>
                <w:sz w:val="18"/>
              </w:rPr>
              <w:t>No</w:t>
            </w:r>
          </w:p>
        </w:tc>
        <w:tc>
          <w:tcPr>
            <w:tcW w:w="840" w:type="dxa"/>
            <w:tcBorders>
              <w:left w:val="dashSmallGap" w:sz="4" w:space="0" w:color="auto"/>
            </w:tcBorders>
            <w:shd w:val="pct10" w:color="auto" w:fill="auto"/>
            <w:vAlign w:val="center"/>
          </w:tcPr>
          <w:p>
            <w:pPr>
              <w:keepNext/>
              <w:jc w:val="center"/>
              <w:rPr>
                <w:noProof/>
                <w:sz w:val="18"/>
                <w:szCs w:val="18"/>
              </w:rPr>
            </w:pPr>
            <w:r>
              <w:rPr>
                <w:noProof/>
                <w:sz w:val="18"/>
              </w:rPr>
              <w:t>Cost</w:t>
            </w:r>
          </w:p>
        </w:tc>
        <w:tc>
          <w:tcPr>
            <w:tcW w:w="360" w:type="dxa"/>
            <w:tcBorders>
              <w:right w:val="dashSmallGap" w:sz="4" w:space="0" w:color="auto"/>
            </w:tcBorders>
            <w:shd w:val="pct10" w:color="auto" w:fill="auto"/>
            <w:textDirection w:val="btLr"/>
            <w:vAlign w:val="center"/>
          </w:tcPr>
          <w:p>
            <w:pPr>
              <w:keepNext/>
              <w:ind w:left="113" w:right="113"/>
              <w:jc w:val="center"/>
              <w:rPr>
                <w:noProof/>
                <w:sz w:val="18"/>
                <w:szCs w:val="18"/>
              </w:rPr>
            </w:pPr>
            <w:r>
              <w:rPr>
                <w:noProof/>
                <w:sz w:val="18"/>
              </w:rPr>
              <w:t>No</w:t>
            </w:r>
          </w:p>
        </w:tc>
        <w:tc>
          <w:tcPr>
            <w:tcW w:w="672" w:type="dxa"/>
            <w:tcBorders>
              <w:left w:val="dashSmallGap" w:sz="4" w:space="0" w:color="auto"/>
            </w:tcBorders>
            <w:shd w:val="pct10" w:color="auto" w:fill="auto"/>
            <w:vAlign w:val="center"/>
          </w:tcPr>
          <w:p>
            <w:pPr>
              <w:keepNext/>
              <w:jc w:val="center"/>
              <w:rPr>
                <w:noProof/>
                <w:sz w:val="18"/>
                <w:szCs w:val="18"/>
              </w:rPr>
            </w:pPr>
            <w:r>
              <w:rPr>
                <w:noProof/>
                <w:sz w:val="18"/>
              </w:rPr>
              <w:t>Cost</w:t>
            </w:r>
          </w:p>
        </w:tc>
        <w:tc>
          <w:tcPr>
            <w:tcW w:w="360" w:type="dxa"/>
            <w:tcBorders>
              <w:right w:val="dashSmallGap" w:sz="4" w:space="0" w:color="auto"/>
            </w:tcBorders>
            <w:shd w:val="pct10" w:color="auto" w:fill="auto"/>
            <w:textDirection w:val="btLr"/>
            <w:vAlign w:val="center"/>
          </w:tcPr>
          <w:p>
            <w:pPr>
              <w:keepNext/>
              <w:ind w:left="113" w:right="113"/>
              <w:jc w:val="center"/>
              <w:rPr>
                <w:noProof/>
                <w:sz w:val="18"/>
                <w:szCs w:val="18"/>
              </w:rPr>
            </w:pPr>
            <w:r>
              <w:rPr>
                <w:noProof/>
                <w:sz w:val="18"/>
              </w:rPr>
              <w:t>No</w:t>
            </w:r>
          </w:p>
        </w:tc>
        <w:tc>
          <w:tcPr>
            <w:tcW w:w="720" w:type="dxa"/>
            <w:tcBorders>
              <w:left w:val="dashSmallGap" w:sz="4" w:space="0" w:color="auto"/>
            </w:tcBorders>
            <w:shd w:val="pct10" w:color="auto" w:fill="auto"/>
            <w:vAlign w:val="center"/>
          </w:tcPr>
          <w:p>
            <w:pPr>
              <w:keepNext/>
              <w:jc w:val="center"/>
              <w:rPr>
                <w:noProof/>
                <w:sz w:val="18"/>
                <w:szCs w:val="18"/>
              </w:rPr>
            </w:pPr>
            <w:r>
              <w:rPr>
                <w:noProof/>
                <w:sz w:val="18"/>
              </w:rPr>
              <w:t>Cost</w:t>
            </w:r>
          </w:p>
        </w:tc>
        <w:tc>
          <w:tcPr>
            <w:tcW w:w="360" w:type="dxa"/>
            <w:tcBorders>
              <w:right w:val="dashSmallGap" w:sz="4" w:space="0" w:color="auto"/>
            </w:tcBorders>
            <w:shd w:val="pct10" w:color="auto" w:fill="auto"/>
            <w:textDirection w:val="btLr"/>
            <w:vAlign w:val="center"/>
          </w:tcPr>
          <w:p>
            <w:pPr>
              <w:keepNext/>
              <w:ind w:left="113" w:right="113"/>
              <w:jc w:val="center"/>
              <w:rPr>
                <w:noProof/>
                <w:sz w:val="18"/>
                <w:szCs w:val="18"/>
              </w:rPr>
            </w:pPr>
            <w:r>
              <w:rPr>
                <w:noProof/>
                <w:sz w:val="18"/>
              </w:rPr>
              <w:t>No</w:t>
            </w:r>
          </w:p>
        </w:tc>
        <w:tc>
          <w:tcPr>
            <w:tcW w:w="840" w:type="dxa"/>
            <w:tcBorders>
              <w:left w:val="dashSmallGap" w:sz="4" w:space="0" w:color="auto"/>
            </w:tcBorders>
            <w:shd w:val="pct10" w:color="auto" w:fill="auto"/>
            <w:vAlign w:val="center"/>
          </w:tcPr>
          <w:p>
            <w:pPr>
              <w:keepNext/>
              <w:jc w:val="center"/>
              <w:rPr>
                <w:noProof/>
                <w:sz w:val="18"/>
                <w:szCs w:val="18"/>
              </w:rPr>
            </w:pPr>
            <w:r>
              <w:rPr>
                <w:noProof/>
                <w:sz w:val="18"/>
              </w:rPr>
              <w:t>Cost</w:t>
            </w:r>
          </w:p>
        </w:tc>
        <w:tc>
          <w:tcPr>
            <w:tcW w:w="360" w:type="dxa"/>
            <w:tcBorders>
              <w:right w:val="dashSmallGap" w:sz="4" w:space="0" w:color="auto"/>
            </w:tcBorders>
            <w:shd w:val="pct10" w:color="auto" w:fill="auto"/>
            <w:textDirection w:val="btLr"/>
            <w:vAlign w:val="center"/>
          </w:tcPr>
          <w:p>
            <w:pPr>
              <w:keepNext/>
              <w:ind w:left="113" w:right="113"/>
              <w:jc w:val="center"/>
              <w:rPr>
                <w:noProof/>
                <w:sz w:val="18"/>
                <w:szCs w:val="18"/>
              </w:rPr>
            </w:pPr>
            <w:r>
              <w:rPr>
                <w:noProof/>
                <w:sz w:val="18"/>
              </w:rPr>
              <w:t>No</w:t>
            </w:r>
          </w:p>
        </w:tc>
        <w:tc>
          <w:tcPr>
            <w:tcW w:w="840" w:type="dxa"/>
            <w:tcBorders>
              <w:left w:val="dashSmallGap" w:sz="4" w:space="0" w:color="auto"/>
            </w:tcBorders>
            <w:shd w:val="pct10" w:color="auto" w:fill="auto"/>
            <w:vAlign w:val="center"/>
          </w:tcPr>
          <w:p>
            <w:pPr>
              <w:keepNext/>
              <w:jc w:val="center"/>
              <w:rPr>
                <w:noProof/>
                <w:sz w:val="18"/>
                <w:szCs w:val="18"/>
              </w:rPr>
            </w:pPr>
            <w:r>
              <w:rPr>
                <w:noProof/>
                <w:sz w:val="18"/>
              </w:rPr>
              <w:t>Cost</w:t>
            </w:r>
          </w:p>
        </w:tc>
        <w:tc>
          <w:tcPr>
            <w:tcW w:w="360" w:type="dxa"/>
            <w:tcBorders>
              <w:right w:val="dashSmallGap" w:sz="4" w:space="0" w:color="auto"/>
            </w:tcBorders>
            <w:shd w:val="pct10" w:color="auto" w:fill="auto"/>
            <w:textDirection w:val="btLr"/>
            <w:vAlign w:val="center"/>
          </w:tcPr>
          <w:p>
            <w:pPr>
              <w:keepNext/>
              <w:ind w:left="113" w:right="113"/>
              <w:jc w:val="center"/>
              <w:rPr>
                <w:noProof/>
                <w:sz w:val="18"/>
              </w:rPr>
            </w:pPr>
            <w:r>
              <w:rPr>
                <w:noProof/>
                <w:sz w:val="18"/>
              </w:rPr>
              <w:t>No</w:t>
            </w:r>
          </w:p>
        </w:tc>
        <w:tc>
          <w:tcPr>
            <w:tcW w:w="840" w:type="dxa"/>
            <w:tcBorders>
              <w:left w:val="dashSmallGap" w:sz="4" w:space="0" w:color="auto"/>
            </w:tcBorders>
            <w:shd w:val="pct10" w:color="auto" w:fill="auto"/>
            <w:vAlign w:val="center"/>
          </w:tcPr>
          <w:p>
            <w:pPr>
              <w:keepNext/>
              <w:jc w:val="center"/>
              <w:rPr>
                <w:noProof/>
                <w:sz w:val="18"/>
              </w:rPr>
            </w:pPr>
            <w:r>
              <w:rPr>
                <w:noProof/>
                <w:sz w:val="18"/>
              </w:rPr>
              <w:t>Cost</w:t>
            </w:r>
          </w:p>
        </w:tc>
        <w:tc>
          <w:tcPr>
            <w:tcW w:w="360" w:type="dxa"/>
            <w:tcBorders>
              <w:right w:val="dashSmallGap" w:sz="4" w:space="0" w:color="auto"/>
            </w:tcBorders>
            <w:shd w:val="pct10" w:color="auto" w:fill="auto"/>
            <w:textDirection w:val="btLr"/>
            <w:vAlign w:val="center"/>
          </w:tcPr>
          <w:p>
            <w:pPr>
              <w:keepNext/>
              <w:ind w:left="113" w:right="113"/>
              <w:jc w:val="center"/>
              <w:rPr>
                <w:noProof/>
                <w:sz w:val="18"/>
                <w:szCs w:val="18"/>
              </w:rPr>
            </w:pPr>
            <w:r>
              <w:rPr>
                <w:noProof/>
                <w:sz w:val="18"/>
              </w:rPr>
              <w:t>Total No</w:t>
            </w:r>
          </w:p>
        </w:tc>
        <w:tc>
          <w:tcPr>
            <w:tcW w:w="1320" w:type="dxa"/>
            <w:tcBorders>
              <w:left w:val="dashSmallGap" w:sz="4" w:space="0" w:color="auto"/>
              <w:right w:val="single" w:sz="12" w:space="0" w:color="auto"/>
            </w:tcBorders>
            <w:shd w:val="pct10" w:color="auto" w:fill="auto"/>
            <w:vAlign w:val="center"/>
          </w:tcPr>
          <w:p>
            <w:pPr>
              <w:keepNext/>
              <w:jc w:val="center"/>
              <w:rPr>
                <w:noProof/>
                <w:sz w:val="18"/>
                <w:szCs w:val="18"/>
              </w:rPr>
            </w:pPr>
            <w:r>
              <w:rPr>
                <w:noProof/>
                <w:sz w:val="18"/>
              </w:rPr>
              <w:t>Total cost</w:t>
            </w:r>
          </w:p>
        </w:tc>
      </w:tr>
      <w:tr>
        <w:trPr>
          <w:jc w:val="center"/>
        </w:trPr>
        <w:tc>
          <w:tcPr>
            <w:tcW w:w="2802" w:type="dxa"/>
            <w:gridSpan w:val="3"/>
            <w:tcBorders>
              <w:left w:val="single" w:sz="12" w:space="0" w:color="auto"/>
            </w:tcBorders>
            <w:vAlign w:val="center"/>
          </w:tcPr>
          <w:p>
            <w:pPr>
              <w:keepNext/>
              <w:spacing w:before="60" w:after="60"/>
              <w:ind w:right="-29"/>
              <w:jc w:val="center"/>
              <w:rPr>
                <w:noProof/>
                <w:sz w:val="18"/>
              </w:rPr>
            </w:pPr>
            <w:r>
              <w:rPr>
                <w:noProof/>
                <w:sz w:val="18"/>
              </w:rPr>
              <w:t>SPECIFIC OBJECTIVE No 7</w:t>
            </w:r>
            <w:r>
              <w:rPr>
                <w:rStyle w:val="FootnoteReference"/>
                <w:noProof/>
              </w:rPr>
              <w:footnoteReference w:id="106"/>
            </w:r>
          </w:p>
          <w:p>
            <w:pPr>
              <w:keepNext/>
              <w:spacing w:before="60" w:after="60"/>
              <w:ind w:right="-29"/>
              <w:jc w:val="center"/>
              <w:rPr>
                <w:noProof/>
                <w:sz w:val="18"/>
                <w:szCs w:val="18"/>
              </w:rPr>
            </w:pPr>
            <w:r>
              <w:rPr>
                <w:noProof/>
                <w:sz w:val="18"/>
              </w:rPr>
              <w:t>High availability of ECRIS-TCN</w:t>
            </w:r>
          </w:p>
        </w:tc>
        <w:tc>
          <w:tcPr>
            <w:tcW w:w="303" w:type="dxa"/>
            <w:tcBorders>
              <w:right w:val="nil"/>
            </w:tcBorders>
          </w:tcPr>
          <w:p>
            <w:pPr>
              <w:keepNext/>
              <w:spacing w:before="60" w:after="60"/>
              <w:ind w:right="-29"/>
              <w:jc w:val="center"/>
              <w:rPr>
                <w:noProof/>
                <w:sz w:val="18"/>
                <w:szCs w:val="18"/>
              </w:rPr>
            </w:pPr>
          </w:p>
        </w:tc>
        <w:tc>
          <w:tcPr>
            <w:tcW w:w="867" w:type="dxa"/>
            <w:tcBorders>
              <w:left w:val="nil"/>
              <w:bottom w:val="single" w:sz="4" w:space="0" w:color="auto"/>
            </w:tcBorders>
          </w:tcPr>
          <w:p>
            <w:pPr>
              <w:keepNext/>
              <w:spacing w:before="60" w:after="60"/>
              <w:ind w:right="-29"/>
              <w:jc w:val="center"/>
              <w:rPr>
                <w:noProof/>
                <w:sz w:val="18"/>
                <w:szCs w:val="18"/>
              </w:rPr>
            </w:pPr>
          </w:p>
        </w:tc>
        <w:tc>
          <w:tcPr>
            <w:tcW w:w="330" w:type="dxa"/>
            <w:tcBorders>
              <w:top w:val="nil"/>
              <w:left w:val="nil"/>
              <w:bottom w:val="nil"/>
              <w:right w:val="nil"/>
            </w:tcBorders>
          </w:tcPr>
          <w:p>
            <w:pPr>
              <w:keepNext/>
              <w:spacing w:before="60" w:after="60"/>
              <w:ind w:right="-29"/>
              <w:jc w:val="center"/>
              <w:rPr>
                <w:noProof/>
                <w:sz w:val="18"/>
                <w:szCs w:val="18"/>
              </w:rPr>
            </w:pPr>
          </w:p>
        </w:tc>
        <w:tc>
          <w:tcPr>
            <w:tcW w:w="840" w:type="dxa"/>
            <w:tcBorders>
              <w:top w:val="nil"/>
              <w:left w:val="nil"/>
              <w:bottom w:val="nil"/>
              <w:right w:val="nil"/>
            </w:tcBorders>
          </w:tcPr>
          <w:p>
            <w:pPr>
              <w:keepNext/>
              <w:spacing w:before="60" w:after="60"/>
              <w:ind w:right="-29"/>
              <w:jc w:val="center"/>
              <w:rPr>
                <w:noProof/>
                <w:sz w:val="18"/>
                <w:szCs w:val="18"/>
              </w:rPr>
            </w:pPr>
          </w:p>
        </w:tc>
        <w:tc>
          <w:tcPr>
            <w:tcW w:w="360" w:type="dxa"/>
            <w:tcBorders>
              <w:top w:val="nil"/>
              <w:left w:val="nil"/>
              <w:bottom w:val="nil"/>
              <w:right w:val="nil"/>
            </w:tcBorders>
          </w:tcPr>
          <w:p>
            <w:pPr>
              <w:keepNext/>
              <w:spacing w:before="60" w:after="60"/>
              <w:ind w:right="-29"/>
              <w:jc w:val="center"/>
              <w:rPr>
                <w:noProof/>
                <w:sz w:val="18"/>
                <w:szCs w:val="18"/>
              </w:rPr>
            </w:pPr>
          </w:p>
        </w:tc>
        <w:tc>
          <w:tcPr>
            <w:tcW w:w="840" w:type="dxa"/>
            <w:tcBorders>
              <w:top w:val="nil"/>
              <w:left w:val="nil"/>
              <w:bottom w:val="nil"/>
              <w:right w:val="nil"/>
            </w:tcBorders>
          </w:tcPr>
          <w:p>
            <w:pPr>
              <w:keepNext/>
              <w:spacing w:before="60" w:after="60"/>
              <w:ind w:right="-29"/>
              <w:jc w:val="center"/>
              <w:rPr>
                <w:noProof/>
                <w:sz w:val="18"/>
                <w:szCs w:val="18"/>
              </w:rPr>
            </w:pPr>
          </w:p>
        </w:tc>
        <w:tc>
          <w:tcPr>
            <w:tcW w:w="360" w:type="dxa"/>
            <w:tcBorders>
              <w:top w:val="nil"/>
              <w:left w:val="nil"/>
              <w:bottom w:val="nil"/>
              <w:right w:val="nil"/>
            </w:tcBorders>
          </w:tcPr>
          <w:p>
            <w:pPr>
              <w:keepNext/>
              <w:spacing w:before="60" w:after="60"/>
              <w:ind w:right="-29"/>
              <w:jc w:val="center"/>
              <w:rPr>
                <w:noProof/>
                <w:sz w:val="18"/>
                <w:szCs w:val="18"/>
              </w:rPr>
            </w:pPr>
          </w:p>
        </w:tc>
        <w:tc>
          <w:tcPr>
            <w:tcW w:w="840" w:type="dxa"/>
            <w:tcBorders>
              <w:top w:val="nil"/>
              <w:left w:val="nil"/>
              <w:bottom w:val="nil"/>
              <w:right w:val="nil"/>
            </w:tcBorders>
          </w:tcPr>
          <w:p>
            <w:pPr>
              <w:keepNext/>
              <w:spacing w:before="60" w:after="60"/>
              <w:ind w:right="-29"/>
              <w:jc w:val="center"/>
              <w:rPr>
                <w:noProof/>
                <w:sz w:val="18"/>
                <w:szCs w:val="18"/>
              </w:rPr>
            </w:pPr>
          </w:p>
        </w:tc>
        <w:tc>
          <w:tcPr>
            <w:tcW w:w="360" w:type="dxa"/>
            <w:tcBorders>
              <w:top w:val="nil"/>
              <w:left w:val="nil"/>
              <w:bottom w:val="nil"/>
              <w:right w:val="nil"/>
            </w:tcBorders>
          </w:tcPr>
          <w:p>
            <w:pPr>
              <w:keepNext/>
              <w:spacing w:before="60" w:after="60"/>
              <w:ind w:right="-29"/>
              <w:jc w:val="center"/>
              <w:rPr>
                <w:noProof/>
                <w:sz w:val="18"/>
                <w:szCs w:val="18"/>
              </w:rPr>
            </w:pPr>
          </w:p>
        </w:tc>
        <w:tc>
          <w:tcPr>
            <w:tcW w:w="672" w:type="dxa"/>
            <w:tcBorders>
              <w:top w:val="nil"/>
              <w:left w:val="nil"/>
              <w:bottom w:val="nil"/>
              <w:right w:val="nil"/>
            </w:tcBorders>
          </w:tcPr>
          <w:p>
            <w:pPr>
              <w:keepNext/>
              <w:spacing w:before="60" w:after="60"/>
              <w:ind w:right="-29"/>
              <w:jc w:val="center"/>
              <w:rPr>
                <w:noProof/>
                <w:sz w:val="18"/>
                <w:szCs w:val="18"/>
              </w:rPr>
            </w:pPr>
          </w:p>
        </w:tc>
        <w:tc>
          <w:tcPr>
            <w:tcW w:w="360" w:type="dxa"/>
            <w:tcBorders>
              <w:top w:val="nil"/>
              <w:left w:val="nil"/>
              <w:bottom w:val="nil"/>
              <w:right w:val="nil"/>
            </w:tcBorders>
          </w:tcPr>
          <w:p>
            <w:pPr>
              <w:keepNext/>
              <w:spacing w:before="60" w:after="60"/>
              <w:ind w:right="-29"/>
              <w:jc w:val="center"/>
              <w:rPr>
                <w:noProof/>
                <w:sz w:val="18"/>
                <w:szCs w:val="18"/>
              </w:rPr>
            </w:pPr>
          </w:p>
        </w:tc>
        <w:tc>
          <w:tcPr>
            <w:tcW w:w="720" w:type="dxa"/>
            <w:tcBorders>
              <w:top w:val="nil"/>
              <w:left w:val="nil"/>
              <w:bottom w:val="nil"/>
              <w:right w:val="nil"/>
            </w:tcBorders>
          </w:tcPr>
          <w:p>
            <w:pPr>
              <w:keepNext/>
              <w:spacing w:before="60" w:after="60"/>
              <w:ind w:right="-29"/>
              <w:jc w:val="center"/>
              <w:rPr>
                <w:noProof/>
                <w:sz w:val="18"/>
                <w:szCs w:val="18"/>
              </w:rPr>
            </w:pPr>
          </w:p>
        </w:tc>
        <w:tc>
          <w:tcPr>
            <w:tcW w:w="360" w:type="dxa"/>
            <w:tcBorders>
              <w:top w:val="nil"/>
              <w:left w:val="nil"/>
              <w:bottom w:val="nil"/>
              <w:right w:val="nil"/>
            </w:tcBorders>
          </w:tcPr>
          <w:p>
            <w:pPr>
              <w:keepNext/>
              <w:spacing w:before="60" w:after="60"/>
              <w:ind w:right="-29"/>
              <w:jc w:val="center"/>
              <w:rPr>
                <w:noProof/>
                <w:sz w:val="18"/>
                <w:szCs w:val="18"/>
              </w:rPr>
            </w:pPr>
          </w:p>
        </w:tc>
        <w:tc>
          <w:tcPr>
            <w:tcW w:w="840" w:type="dxa"/>
            <w:tcBorders>
              <w:top w:val="nil"/>
              <w:left w:val="nil"/>
              <w:bottom w:val="nil"/>
              <w:right w:val="nil"/>
            </w:tcBorders>
          </w:tcPr>
          <w:p>
            <w:pPr>
              <w:keepNext/>
              <w:spacing w:before="60" w:after="60"/>
              <w:ind w:right="-29"/>
              <w:jc w:val="center"/>
              <w:rPr>
                <w:noProof/>
                <w:sz w:val="18"/>
                <w:szCs w:val="18"/>
              </w:rPr>
            </w:pPr>
          </w:p>
        </w:tc>
        <w:tc>
          <w:tcPr>
            <w:tcW w:w="360" w:type="dxa"/>
            <w:tcBorders>
              <w:top w:val="nil"/>
              <w:left w:val="nil"/>
              <w:bottom w:val="nil"/>
              <w:right w:val="nil"/>
            </w:tcBorders>
          </w:tcPr>
          <w:p>
            <w:pPr>
              <w:keepNext/>
              <w:spacing w:before="60" w:after="60"/>
              <w:ind w:right="-29"/>
              <w:jc w:val="center"/>
              <w:rPr>
                <w:noProof/>
                <w:sz w:val="18"/>
                <w:szCs w:val="18"/>
              </w:rPr>
            </w:pPr>
          </w:p>
        </w:tc>
        <w:tc>
          <w:tcPr>
            <w:tcW w:w="840" w:type="dxa"/>
            <w:tcBorders>
              <w:top w:val="nil"/>
              <w:left w:val="nil"/>
              <w:bottom w:val="nil"/>
              <w:right w:val="nil"/>
            </w:tcBorders>
          </w:tcPr>
          <w:p>
            <w:pPr>
              <w:keepNext/>
              <w:spacing w:before="60" w:after="60"/>
              <w:ind w:right="-29"/>
              <w:jc w:val="center"/>
              <w:rPr>
                <w:noProof/>
                <w:sz w:val="18"/>
                <w:szCs w:val="18"/>
              </w:rPr>
            </w:pPr>
          </w:p>
        </w:tc>
        <w:tc>
          <w:tcPr>
            <w:tcW w:w="1200" w:type="dxa"/>
            <w:gridSpan w:val="2"/>
            <w:tcBorders>
              <w:top w:val="nil"/>
              <w:left w:val="nil"/>
              <w:bottom w:val="nil"/>
              <w:right w:val="nil"/>
            </w:tcBorders>
          </w:tcPr>
          <w:p>
            <w:pPr>
              <w:keepNext/>
              <w:spacing w:before="60" w:after="60"/>
              <w:ind w:right="-29"/>
              <w:jc w:val="center"/>
              <w:rPr>
                <w:noProof/>
                <w:sz w:val="18"/>
                <w:szCs w:val="18"/>
              </w:rPr>
            </w:pPr>
          </w:p>
        </w:tc>
        <w:tc>
          <w:tcPr>
            <w:tcW w:w="360" w:type="dxa"/>
            <w:tcBorders>
              <w:top w:val="nil"/>
              <w:left w:val="nil"/>
              <w:bottom w:val="nil"/>
              <w:right w:val="nil"/>
            </w:tcBorders>
          </w:tcPr>
          <w:p>
            <w:pPr>
              <w:keepNext/>
              <w:spacing w:before="60" w:after="60"/>
              <w:ind w:right="-29"/>
              <w:jc w:val="center"/>
              <w:rPr>
                <w:noProof/>
                <w:sz w:val="18"/>
                <w:szCs w:val="18"/>
              </w:rPr>
            </w:pPr>
          </w:p>
        </w:tc>
        <w:tc>
          <w:tcPr>
            <w:tcW w:w="1320" w:type="dxa"/>
            <w:tcBorders>
              <w:top w:val="nil"/>
              <w:left w:val="nil"/>
              <w:bottom w:val="single" w:sz="4" w:space="0" w:color="auto"/>
              <w:right w:val="single" w:sz="12" w:space="0" w:color="auto"/>
            </w:tcBorders>
          </w:tcPr>
          <w:p>
            <w:pPr>
              <w:keepNext/>
              <w:spacing w:before="60" w:after="60"/>
              <w:ind w:right="-29"/>
              <w:jc w:val="center"/>
              <w:rPr>
                <w:noProof/>
                <w:sz w:val="18"/>
                <w:szCs w:val="18"/>
              </w:rPr>
            </w:pPr>
          </w:p>
        </w:tc>
      </w:tr>
      <w:tr>
        <w:trPr>
          <w:trHeight w:hRule="exact" w:val="604"/>
          <w:jc w:val="center"/>
        </w:trPr>
        <w:tc>
          <w:tcPr>
            <w:tcW w:w="1422" w:type="dxa"/>
            <w:tcBorders>
              <w:left w:val="single" w:sz="12" w:space="0" w:color="auto"/>
            </w:tcBorders>
          </w:tcPr>
          <w:p>
            <w:pPr>
              <w:ind w:right="-29"/>
              <w:jc w:val="center"/>
              <w:rPr>
                <w:noProof/>
                <w:sz w:val="18"/>
                <w:szCs w:val="18"/>
              </w:rPr>
            </w:pPr>
            <w:r>
              <w:rPr>
                <w:noProof/>
                <w:sz w:val="18"/>
              </w:rPr>
              <w:t>High available system</w:t>
            </w:r>
          </w:p>
        </w:tc>
        <w:tc>
          <w:tcPr>
            <w:tcW w:w="1380" w:type="dxa"/>
            <w:gridSpan w:val="2"/>
          </w:tcPr>
          <w:p>
            <w:pPr>
              <w:ind w:right="-29"/>
              <w:jc w:val="center"/>
              <w:rPr>
                <w:noProof/>
                <w:sz w:val="18"/>
                <w:szCs w:val="18"/>
              </w:rPr>
            </w:pPr>
            <w:r>
              <w:rPr>
                <w:noProof/>
                <w:sz w:val="18"/>
                <w:szCs w:val="18"/>
              </w:rPr>
              <w:t>System set-up</w:t>
            </w:r>
          </w:p>
        </w:tc>
        <w:tc>
          <w:tcPr>
            <w:tcW w:w="303" w:type="dxa"/>
            <w:tcBorders>
              <w:right w:val="dashSmallGap" w:sz="4" w:space="0" w:color="auto"/>
            </w:tcBorders>
          </w:tcPr>
          <w:p>
            <w:pPr>
              <w:ind w:right="-29"/>
              <w:jc w:val="center"/>
              <w:rPr>
                <w:noProof/>
                <w:sz w:val="18"/>
                <w:szCs w:val="18"/>
              </w:rPr>
            </w:pPr>
          </w:p>
        </w:tc>
        <w:tc>
          <w:tcPr>
            <w:tcW w:w="867" w:type="dxa"/>
            <w:tcBorders>
              <w:left w:val="dashSmallGap" w:sz="4" w:space="0" w:color="auto"/>
              <w:bottom w:val="single" w:sz="4" w:space="0" w:color="auto"/>
            </w:tcBorders>
          </w:tcPr>
          <w:p>
            <w:pPr>
              <w:ind w:right="-29"/>
              <w:jc w:val="center"/>
              <w:rPr>
                <w:noProof/>
                <w:sz w:val="18"/>
                <w:szCs w:val="18"/>
              </w:rPr>
            </w:pPr>
            <w:r>
              <w:rPr>
                <w:noProof/>
                <w:sz w:val="18"/>
                <w:szCs w:val="18"/>
              </w:rPr>
              <w:t>0</w:t>
            </w:r>
          </w:p>
        </w:tc>
        <w:tc>
          <w:tcPr>
            <w:tcW w:w="330" w:type="dxa"/>
            <w:tcBorders>
              <w:right w:val="dashSmallGap" w:sz="4" w:space="0" w:color="auto"/>
            </w:tcBorders>
          </w:tcPr>
          <w:p>
            <w:pPr>
              <w:ind w:right="-29"/>
              <w:jc w:val="center"/>
              <w:rPr>
                <w:noProof/>
                <w:sz w:val="18"/>
                <w:szCs w:val="18"/>
              </w:rPr>
            </w:pPr>
          </w:p>
        </w:tc>
        <w:tc>
          <w:tcPr>
            <w:tcW w:w="840" w:type="dxa"/>
            <w:tcBorders>
              <w:left w:val="dashSmallGap" w:sz="4" w:space="0" w:color="auto"/>
            </w:tcBorders>
          </w:tcPr>
          <w:p>
            <w:pPr>
              <w:ind w:right="-29"/>
              <w:jc w:val="center"/>
              <w:rPr>
                <w:noProof/>
                <w:sz w:val="18"/>
                <w:szCs w:val="18"/>
              </w:rPr>
            </w:pPr>
            <w:r>
              <w:rPr>
                <w:noProof/>
                <w:sz w:val="18"/>
                <w:szCs w:val="18"/>
              </w:rPr>
              <w:t>0</w:t>
            </w:r>
          </w:p>
        </w:tc>
        <w:tc>
          <w:tcPr>
            <w:tcW w:w="360" w:type="dxa"/>
            <w:tcBorders>
              <w:right w:val="dashSmallGap" w:sz="4" w:space="0" w:color="auto"/>
            </w:tcBorders>
          </w:tcPr>
          <w:p>
            <w:pPr>
              <w:ind w:right="-29"/>
              <w:jc w:val="center"/>
              <w:rPr>
                <w:noProof/>
                <w:sz w:val="18"/>
                <w:szCs w:val="18"/>
              </w:rPr>
            </w:pPr>
          </w:p>
        </w:tc>
        <w:tc>
          <w:tcPr>
            <w:tcW w:w="840" w:type="dxa"/>
            <w:tcBorders>
              <w:left w:val="dashSmallGap" w:sz="4" w:space="0" w:color="auto"/>
            </w:tcBorders>
          </w:tcPr>
          <w:p>
            <w:pPr>
              <w:ind w:right="-29"/>
              <w:jc w:val="center"/>
              <w:rPr>
                <w:noProof/>
                <w:sz w:val="18"/>
                <w:szCs w:val="18"/>
              </w:rPr>
            </w:pPr>
            <w:r>
              <w:rPr>
                <w:noProof/>
                <w:sz w:val="18"/>
                <w:szCs w:val="18"/>
              </w:rPr>
              <w:t>8,067</w:t>
            </w:r>
          </w:p>
        </w:tc>
        <w:tc>
          <w:tcPr>
            <w:tcW w:w="360" w:type="dxa"/>
            <w:tcBorders>
              <w:right w:val="dashSmallGap" w:sz="4" w:space="0" w:color="auto"/>
            </w:tcBorders>
          </w:tcPr>
          <w:p>
            <w:pPr>
              <w:ind w:right="-29"/>
              <w:jc w:val="center"/>
              <w:rPr>
                <w:noProof/>
                <w:sz w:val="18"/>
                <w:szCs w:val="18"/>
              </w:rPr>
            </w:pPr>
          </w:p>
        </w:tc>
        <w:tc>
          <w:tcPr>
            <w:tcW w:w="840" w:type="dxa"/>
            <w:tcBorders>
              <w:left w:val="dashSmallGap" w:sz="4" w:space="0" w:color="auto"/>
            </w:tcBorders>
          </w:tcPr>
          <w:p>
            <w:pPr>
              <w:ind w:right="-29"/>
              <w:jc w:val="center"/>
              <w:rPr>
                <w:noProof/>
                <w:sz w:val="18"/>
                <w:szCs w:val="18"/>
              </w:rPr>
            </w:pPr>
          </w:p>
        </w:tc>
        <w:tc>
          <w:tcPr>
            <w:tcW w:w="360" w:type="dxa"/>
            <w:tcBorders>
              <w:right w:val="dashSmallGap" w:sz="4" w:space="0" w:color="auto"/>
            </w:tcBorders>
          </w:tcPr>
          <w:p>
            <w:pPr>
              <w:ind w:right="-29"/>
              <w:jc w:val="center"/>
              <w:rPr>
                <w:noProof/>
                <w:sz w:val="18"/>
                <w:szCs w:val="18"/>
              </w:rPr>
            </w:pPr>
          </w:p>
        </w:tc>
        <w:tc>
          <w:tcPr>
            <w:tcW w:w="672" w:type="dxa"/>
            <w:tcBorders>
              <w:left w:val="dashSmallGap" w:sz="4" w:space="0" w:color="auto"/>
            </w:tcBorders>
          </w:tcPr>
          <w:p>
            <w:pPr>
              <w:ind w:right="-29"/>
              <w:jc w:val="center"/>
              <w:rPr>
                <w:noProof/>
                <w:sz w:val="18"/>
                <w:szCs w:val="18"/>
              </w:rPr>
            </w:pPr>
          </w:p>
        </w:tc>
        <w:tc>
          <w:tcPr>
            <w:tcW w:w="360" w:type="dxa"/>
            <w:tcBorders>
              <w:right w:val="dashSmallGap" w:sz="4" w:space="0" w:color="auto"/>
            </w:tcBorders>
          </w:tcPr>
          <w:p>
            <w:pPr>
              <w:ind w:right="-29"/>
              <w:jc w:val="center"/>
              <w:rPr>
                <w:noProof/>
                <w:sz w:val="18"/>
                <w:szCs w:val="18"/>
              </w:rPr>
            </w:pPr>
          </w:p>
        </w:tc>
        <w:tc>
          <w:tcPr>
            <w:tcW w:w="720" w:type="dxa"/>
            <w:tcBorders>
              <w:left w:val="dashSmallGap" w:sz="4" w:space="0" w:color="auto"/>
            </w:tcBorders>
          </w:tcPr>
          <w:p>
            <w:pPr>
              <w:ind w:right="-29"/>
              <w:jc w:val="center"/>
              <w:rPr>
                <w:noProof/>
                <w:sz w:val="18"/>
                <w:szCs w:val="18"/>
              </w:rPr>
            </w:pPr>
          </w:p>
        </w:tc>
        <w:tc>
          <w:tcPr>
            <w:tcW w:w="360" w:type="dxa"/>
            <w:tcBorders>
              <w:right w:val="dashSmallGap" w:sz="4" w:space="0" w:color="auto"/>
            </w:tcBorders>
          </w:tcPr>
          <w:p>
            <w:pPr>
              <w:ind w:right="-29"/>
              <w:jc w:val="center"/>
              <w:rPr>
                <w:noProof/>
                <w:sz w:val="18"/>
                <w:szCs w:val="18"/>
              </w:rPr>
            </w:pPr>
          </w:p>
        </w:tc>
        <w:tc>
          <w:tcPr>
            <w:tcW w:w="840" w:type="dxa"/>
            <w:tcBorders>
              <w:left w:val="dashSmallGap" w:sz="4" w:space="0" w:color="auto"/>
            </w:tcBorders>
          </w:tcPr>
          <w:p>
            <w:pPr>
              <w:ind w:right="-29"/>
              <w:jc w:val="center"/>
              <w:rPr>
                <w:noProof/>
                <w:sz w:val="18"/>
                <w:szCs w:val="18"/>
              </w:rPr>
            </w:pPr>
          </w:p>
        </w:tc>
        <w:tc>
          <w:tcPr>
            <w:tcW w:w="360" w:type="dxa"/>
            <w:tcBorders>
              <w:right w:val="dashSmallGap" w:sz="4" w:space="0" w:color="auto"/>
            </w:tcBorders>
          </w:tcPr>
          <w:p>
            <w:pPr>
              <w:ind w:right="-29"/>
              <w:jc w:val="center"/>
              <w:rPr>
                <w:noProof/>
                <w:sz w:val="18"/>
                <w:szCs w:val="18"/>
              </w:rPr>
            </w:pPr>
          </w:p>
        </w:tc>
        <w:tc>
          <w:tcPr>
            <w:tcW w:w="840" w:type="dxa"/>
            <w:tcBorders>
              <w:left w:val="dashSmallGap" w:sz="4" w:space="0" w:color="auto"/>
            </w:tcBorders>
          </w:tcPr>
          <w:p>
            <w:pPr>
              <w:ind w:right="-29"/>
              <w:jc w:val="center"/>
              <w:rPr>
                <w:noProof/>
                <w:sz w:val="18"/>
                <w:szCs w:val="18"/>
              </w:rPr>
            </w:pPr>
          </w:p>
        </w:tc>
        <w:tc>
          <w:tcPr>
            <w:tcW w:w="360" w:type="dxa"/>
            <w:tcBorders>
              <w:right w:val="dashSmallGap" w:sz="4" w:space="0" w:color="auto"/>
            </w:tcBorders>
          </w:tcPr>
          <w:p>
            <w:pPr>
              <w:ind w:right="-29"/>
              <w:jc w:val="center"/>
              <w:rPr>
                <w:noProof/>
                <w:sz w:val="18"/>
                <w:szCs w:val="18"/>
              </w:rPr>
            </w:pPr>
          </w:p>
        </w:tc>
        <w:tc>
          <w:tcPr>
            <w:tcW w:w="840" w:type="dxa"/>
            <w:tcBorders>
              <w:left w:val="dashSmallGap" w:sz="4" w:space="0" w:color="auto"/>
              <w:bottom w:val="single" w:sz="4" w:space="0" w:color="auto"/>
            </w:tcBorders>
          </w:tcPr>
          <w:p>
            <w:pPr>
              <w:ind w:right="-29"/>
              <w:jc w:val="center"/>
              <w:rPr>
                <w:noProof/>
                <w:sz w:val="18"/>
                <w:szCs w:val="18"/>
              </w:rPr>
            </w:pPr>
            <w:r>
              <w:rPr>
                <w:noProof/>
                <w:sz w:val="18"/>
                <w:szCs w:val="18"/>
              </w:rPr>
              <w:t>0</w:t>
            </w:r>
          </w:p>
        </w:tc>
        <w:tc>
          <w:tcPr>
            <w:tcW w:w="360" w:type="dxa"/>
            <w:tcBorders>
              <w:right w:val="dashSmallGap" w:sz="4" w:space="0" w:color="auto"/>
            </w:tcBorders>
          </w:tcPr>
          <w:p>
            <w:pPr>
              <w:ind w:right="-29"/>
              <w:jc w:val="center"/>
              <w:rPr>
                <w:noProof/>
                <w:sz w:val="18"/>
                <w:szCs w:val="18"/>
              </w:rPr>
            </w:pPr>
          </w:p>
        </w:tc>
        <w:tc>
          <w:tcPr>
            <w:tcW w:w="1320" w:type="dxa"/>
            <w:tcBorders>
              <w:left w:val="dashSmallGap" w:sz="4" w:space="0" w:color="auto"/>
              <w:bottom w:val="single" w:sz="4" w:space="0" w:color="auto"/>
              <w:right w:val="single" w:sz="12" w:space="0" w:color="auto"/>
            </w:tcBorders>
          </w:tcPr>
          <w:p>
            <w:pPr>
              <w:ind w:right="-29"/>
              <w:jc w:val="center"/>
              <w:rPr>
                <w:noProof/>
                <w:sz w:val="18"/>
                <w:szCs w:val="18"/>
              </w:rPr>
            </w:pPr>
            <w:r>
              <w:rPr>
                <w:noProof/>
                <w:sz w:val="18"/>
                <w:szCs w:val="18"/>
              </w:rPr>
              <w:t>8,067</w:t>
            </w:r>
          </w:p>
        </w:tc>
      </w:tr>
      <w:tr>
        <w:trPr>
          <w:trHeight w:hRule="exact" w:val="844"/>
          <w:jc w:val="center"/>
        </w:trPr>
        <w:tc>
          <w:tcPr>
            <w:tcW w:w="1422" w:type="dxa"/>
            <w:tcBorders>
              <w:left w:val="single" w:sz="12" w:space="0" w:color="auto"/>
            </w:tcBorders>
          </w:tcPr>
          <w:p>
            <w:pPr>
              <w:ind w:right="-29"/>
              <w:jc w:val="center"/>
              <w:rPr>
                <w:noProof/>
                <w:sz w:val="18"/>
                <w:szCs w:val="18"/>
              </w:rPr>
            </w:pPr>
            <w:r>
              <w:rPr>
                <w:noProof/>
                <w:sz w:val="18"/>
              </w:rPr>
              <w:t>High availability operations</w:t>
            </w:r>
          </w:p>
        </w:tc>
        <w:tc>
          <w:tcPr>
            <w:tcW w:w="1380" w:type="dxa"/>
            <w:gridSpan w:val="2"/>
          </w:tcPr>
          <w:p>
            <w:pPr>
              <w:ind w:right="-29"/>
              <w:jc w:val="center"/>
              <w:rPr>
                <w:noProof/>
                <w:sz w:val="18"/>
                <w:szCs w:val="18"/>
              </w:rPr>
            </w:pPr>
            <w:r>
              <w:rPr>
                <w:noProof/>
                <w:sz w:val="18"/>
                <w:szCs w:val="18"/>
              </w:rPr>
              <w:t xml:space="preserve">System maintained and operated </w:t>
            </w:r>
          </w:p>
        </w:tc>
        <w:tc>
          <w:tcPr>
            <w:tcW w:w="303" w:type="dxa"/>
            <w:tcBorders>
              <w:right w:val="dashSmallGap" w:sz="4" w:space="0" w:color="auto"/>
            </w:tcBorders>
          </w:tcPr>
          <w:p>
            <w:pPr>
              <w:ind w:right="-29"/>
              <w:jc w:val="center"/>
              <w:rPr>
                <w:noProof/>
                <w:sz w:val="18"/>
                <w:szCs w:val="18"/>
              </w:rPr>
            </w:pPr>
          </w:p>
        </w:tc>
        <w:tc>
          <w:tcPr>
            <w:tcW w:w="867" w:type="dxa"/>
            <w:tcBorders>
              <w:left w:val="dashSmallGap" w:sz="4" w:space="0" w:color="auto"/>
              <w:bottom w:val="single" w:sz="4" w:space="0" w:color="auto"/>
            </w:tcBorders>
          </w:tcPr>
          <w:p>
            <w:pPr>
              <w:ind w:right="-29"/>
              <w:jc w:val="center"/>
              <w:rPr>
                <w:noProof/>
                <w:sz w:val="18"/>
                <w:szCs w:val="18"/>
              </w:rPr>
            </w:pPr>
            <w:r>
              <w:rPr>
                <w:noProof/>
                <w:sz w:val="18"/>
                <w:szCs w:val="18"/>
              </w:rPr>
              <w:t>0</w:t>
            </w:r>
          </w:p>
        </w:tc>
        <w:tc>
          <w:tcPr>
            <w:tcW w:w="330" w:type="dxa"/>
            <w:tcBorders>
              <w:right w:val="dashSmallGap" w:sz="4" w:space="0" w:color="auto"/>
            </w:tcBorders>
          </w:tcPr>
          <w:p>
            <w:pPr>
              <w:ind w:right="-29"/>
              <w:jc w:val="center"/>
              <w:rPr>
                <w:noProof/>
                <w:sz w:val="18"/>
                <w:szCs w:val="18"/>
              </w:rPr>
            </w:pPr>
          </w:p>
        </w:tc>
        <w:tc>
          <w:tcPr>
            <w:tcW w:w="840" w:type="dxa"/>
            <w:tcBorders>
              <w:left w:val="dashSmallGap" w:sz="4" w:space="0" w:color="auto"/>
              <w:bottom w:val="single" w:sz="4" w:space="0" w:color="auto"/>
            </w:tcBorders>
          </w:tcPr>
          <w:p>
            <w:pPr>
              <w:ind w:right="-29"/>
              <w:jc w:val="center"/>
              <w:rPr>
                <w:noProof/>
                <w:sz w:val="18"/>
                <w:szCs w:val="18"/>
              </w:rPr>
            </w:pPr>
            <w:r>
              <w:rPr>
                <w:noProof/>
                <w:sz w:val="18"/>
                <w:szCs w:val="18"/>
              </w:rPr>
              <w:t>0</w:t>
            </w:r>
          </w:p>
        </w:tc>
        <w:tc>
          <w:tcPr>
            <w:tcW w:w="360" w:type="dxa"/>
            <w:tcBorders>
              <w:right w:val="dashSmallGap" w:sz="4" w:space="0" w:color="auto"/>
            </w:tcBorders>
          </w:tcPr>
          <w:p>
            <w:pPr>
              <w:ind w:right="-29"/>
              <w:jc w:val="center"/>
              <w:rPr>
                <w:noProof/>
                <w:sz w:val="18"/>
                <w:szCs w:val="18"/>
              </w:rPr>
            </w:pPr>
          </w:p>
        </w:tc>
        <w:tc>
          <w:tcPr>
            <w:tcW w:w="840" w:type="dxa"/>
            <w:tcBorders>
              <w:left w:val="dashSmallGap" w:sz="4" w:space="0" w:color="auto"/>
              <w:bottom w:val="single" w:sz="4" w:space="0" w:color="auto"/>
            </w:tcBorders>
          </w:tcPr>
          <w:p>
            <w:pPr>
              <w:ind w:right="-29"/>
              <w:jc w:val="center"/>
              <w:rPr>
                <w:noProof/>
                <w:sz w:val="18"/>
                <w:szCs w:val="18"/>
              </w:rPr>
            </w:pPr>
            <w:r>
              <w:rPr>
                <w:noProof/>
                <w:sz w:val="18"/>
                <w:szCs w:val="18"/>
              </w:rPr>
              <w:t>0</w:t>
            </w:r>
          </w:p>
        </w:tc>
        <w:tc>
          <w:tcPr>
            <w:tcW w:w="360" w:type="dxa"/>
            <w:tcBorders>
              <w:right w:val="dashSmallGap" w:sz="4" w:space="0" w:color="auto"/>
            </w:tcBorders>
          </w:tcPr>
          <w:p>
            <w:pPr>
              <w:ind w:right="-29"/>
              <w:jc w:val="center"/>
              <w:rPr>
                <w:noProof/>
                <w:sz w:val="18"/>
                <w:szCs w:val="18"/>
              </w:rPr>
            </w:pPr>
          </w:p>
        </w:tc>
        <w:tc>
          <w:tcPr>
            <w:tcW w:w="840" w:type="dxa"/>
            <w:tcBorders>
              <w:left w:val="dashSmallGap" w:sz="4" w:space="0" w:color="auto"/>
              <w:bottom w:val="single" w:sz="4" w:space="0" w:color="auto"/>
            </w:tcBorders>
          </w:tcPr>
          <w:p>
            <w:pPr>
              <w:ind w:right="-29"/>
              <w:jc w:val="center"/>
              <w:rPr>
                <w:noProof/>
                <w:sz w:val="18"/>
                <w:szCs w:val="18"/>
              </w:rPr>
            </w:pPr>
            <w:r>
              <w:rPr>
                <w:noProof/>
                <w:sz w:val="18"/>
                <w:szCs w:val="18"/>
              </w:rPr>
              <w:t>1,768</w:t>
            </w:r>
          </w:p>
        </w:tc>
        <w:tc>
          <w:tcPr>
            <w:tcW w:w="360" w:type="dxa"/>
            <w:tcBorders>
              <w:right w:val="dashSmallGap" w:sz="4" w:space="0" w:color="auto"/>
            </w:tcBorders>
          </w:tcPr>
          <w:p>
            <w:pPr>
              <w:ind w:right="-29"/>
              <w:jc w:val="center"/>
              <w:rPr>
                <w:noProof/>
                <w:sz w:val="18"/>
                <w:szCs w:val="18"/>
              </w:rPr>
            </w:pPr>
          </w:p>
        </w:tc>
        <w:tc>
          <w:tcPr>
            <w:tcW w:w="672" w:type="dxa"/>
            <w:tcBorders>
              <w:left w:val="dashSmallGap" w:sz="4" w:space="0" w:color="auto"/>
              <w:bottom w:val="single" w:sz="4" w:space="0" w:color="auto"/>
            </w:tcBorders>
          </w:tcPr>
          <w:p>
            <w:pPr>
              <w:ind w:right="-29"/>
              <w:jc w:val="center"/>
              <w:rPr>
                <w:noProof/>
                <w:sz w:val="18"/>
                <w:szCs w:val="18"/>
              </w:rPr>
            </w:pPr>
            <w:r>
              <w:rPr>
                <w:noProof/>
                <w:sz w:val="18"/>
                <w:szCs w:val="18"/>
              </w:rPr>
              <w:t>1,768</w:t>
            </w:r>
          </w:p>
        </w:tc>
        <w:tc>
          <w:tcPr>
            <w:tcW w:w="360" w:type="dxa"/>
            <w:tcBorders>
              <w:right w:val="dashSmallGap" w:sz="4" w:space="0" w:color="auto"/>
            </w:tcBorders>
          </w:tcPr>
          <w:p>
            <w:pPr>
              <w:ind w:right="-29"/>
              <w:jc w:val="center"/>
              <w:rPr>
                <w:noProof/>
                <w:sz w:val="18"/>
                <w:szCs w:val="18"/>
              </w:rPr>
            </w:pPr>
          </w:p>
        </w:tc>
        <w:tc>
          <w:tcPr>
            <w:tcW w:w="720" w:type="dxa"/>
            <w:tcBorders>
              <w:left w:val="dashSmallGap" w:sz="4" w:space="0" w:color="auto"/>
              <w:bottom w:val="single" w:sz="4" w:space="0" w:color="auto"/>
            </w:tcBorders>
          </w:tcPr>
          <w:p>
            <w:pPr>
              <w:ind w:right="-29"/>
              <w:jc w:val="center"/>
              <w:rPr>
                <w:noProof/>
                <w:sz w:val="18"/>
                <w:szCs w:val="18"/>
              </w:rPr>
            </w:pPr>
            <w:r>
              <w:rPr>
                <w:noProof/>
                <w:sz w:val="18"/>
                <w:szCs w:val="18"/>
              </w:rPr>
              <w:t>1,768</w:t>
            </w:r>
          </w:p>
        </w:tc>
        <w:tc>
          <w:tcPr>
            <w:tcW w:w="360" w:type="dxa"/>
            <w:tcBorders>
              <w:right w:val="dashSmallGap" w:sz="4" w:space="0" w:color="auto"/>
            </w:tcBorders>
          </w:tcPr>
          <w:p>
            <w:pPr>
              <w:ind w:right="-29"/>
              <w:jc w:val="center"/>
              <w:rPr>
                <w:noProof/>
                <w:sz w:val="18"/>
                <w:szCs w:val="18"/>
              </w:rPr>
            </w:pPr>
          </w:p>
        </w:tc>
        <w:tc>
          <w:tcPr>
            <w:tcW w:w="840" w:type="dxa"/>
            <w:tcBorders>
              <w:left w:val="dashSmallGap" w:sz="4" w:space="0" w:color="auto"/>
              <w:bottom w:val="single" w:sz="4" w:space="0" w:color="auto"/>
            </w:tcBorders>
          </w:tcPr>
          <w:p>
            <w:pPr>
              <w:ind w:right="-29"/>
              <w:jc w:val="center"/>
              <w:rPr>
                <w:noProof/>
                <w:sz w:val="18"/>
                <w:szCs w:val="18"/>
              </w:rPr>
            </w:pPr>
            <w:r>
              <w:rPr>
                <w:noProof/>
                <w:sz w:val="18"/>
                <w:szCs w:val="18"/>
              </w:rPr>
              <w:t>1,768</w:t>
            </w:r>
          </w:p>
        </w:tc>
        <w:tc>
          <w:tcPr>
            <w:tcW w:w="360" w:type="dxa"/>
            <w:tcBorders>
              <w:right w:val="dashSmallGap" w:sz="4" w:space="0" w:color="auto"/>
            </w:tcBorders>
          </w:tcPr>
          <w:p>
            <w:pPr>
              <w:ind w:right="-29"/>
              <w:jc w:val="center"/>
              <w:rPr>
                <w:noProof/>
                <w:sz w:val="18"/>
                <w:szCs w:val="18"/>
              </w:rPr>
            </w:pPr>
          </w:p>
        </w:tc>
        <w:tc>
          <w:tcPr>
            <w:tcW w:w="840" w:type="dxa"/>
            <w:tcBorders>
              <w:left w:val="dashSmallGap" w:sz="4" w:space="0" w:color="auto"/>
              <w:bottom w:val="single" w:sz="4" w:space="0" w:color="auto"/>
            </w:tcBorders>
          </w:tcPr>
          <w:p>
            <w:pPr>
              <w:ind w:right="-29"/>
              <w:jc w:val="center"/>
              <w:rPr>
                <w:noProof/>
                <w:sz w:val="18"/>
                <w:szCs w:val="18"/>
              </w:rPr>
            </w:pPr>
            <w:r>
              <w:rPr>
                <w:noProof/>
                <w:sz w:val="18"/>
                <w:szCs w:val="18"/>
              </w:rPr>
              <w:t>1,768</w:t>
            </w:r>
          </w:p>
        </w:tc>
        <w:tc>
          <w:tcPr>
            <w:tcW w:w="360" w:type="dxa"/>
            <w:tcBorders>
              <w:right w:val="dashSmallGap" w:sz="4" w:space="0" w:color="auto"/>
            </w:tcBorders>
          </w:tcPr>
          <w:p>
            <w:pPr>
              <w:ind w:right="-29"/>
              <w:jc w:val="center"/>
              <w:rPr>
                <w:noProof/>
                <w:sz w:val="18"/>
                <w:szCs w:val="18"/>
              </w:rPr>
            </w:pPr>
          </w:p>
        </w:tc>
        <w:tc>
          <w:tcPr>
            <w:tcW w:w="840" w:type="dxa"/>
            <w:tcBorders>
              <w:left w:val="dashSmallGap" w:sz="4" w:space="0" w:color="auto"/>
              <w:bottom w:val="single" w:sz="4" w:space="0" w:color="auto"/>
            </w:tcBorders>
          </w:tcPr>
          <w:p>
            <w:pPr>
              <w:ind w:right="-29"/>
              <w:jc w:val="center"/>
              <w:rPr>
                <w:noProof/>
                <w:sz w:val="18"/>
                <w:szCs w:val="18"/>
              </w:rPr>
            </w:pPr>
            <w:r>
              <w:rPr>
                <w:noProof/>
                <w:sz w:val="18"/>
                <w:szCs w:val="18"/>
              </w:rPr>
              <w:t>1,768</w:t>
            </w:r>
          </w:p>
        </w:tc>
        <w:tc>
          <w:tcPr>
            <w:tcW w:w="360" w:type="dxa"/>
            <w:tcBorders>
              <w:right w:val="dashSmallGap" w:sz="4" w:space="0" w:color="auto"/>
            </w:tcBorders>
          </w:tcPr>
          <w:p>
            <w:pPr>
              <w:ind w:right="-29"/>
              <w:jc w:val="center"/>
              <w:rPr>
                <w:noProof/>
                <w:sz w:val="18"/>
                <w:szCs w:val="18"/>
              </w:rPr>
            </w:pPr>
          </w:p>
        </w:tc>
        <w:tc>
          <w:tcPr>
            <w:tcW w:w="1320" w:type="dxa"/>
            <w:tcBorders>
              <w:left w:val="dashSmallGap" w:sz="4" w:space="0" w:color="auto"/>
              <w:bottom w:val="single" w:sz="4" w:space="0" w:color="auto"/>
              <w:right w:val="single" w:sz="12" w:space="0" w:color="auto"/>
            </w:tcBorders>
          </w:tcPr>
          <w:p>
            <w:pPr>
              <w:ind w:right="-29"/>
              <w:jc w:val="center"/>
              <w:rPr>
                <w:noProof/>
                <w:sz w:val="18"/>
                <w:szCs w:val="18"/>
              </w:rPr>
            </w:pPr>
            <w:r>
              <w:rPr>
                <w:noProof/>
                <w:sz w:val="18"/>
                <w:szCs w:val="18"/>
              </w:rPr>
              <w:t>10,608</w:t>
            </w:r>
          </w:p>
        </w:tc>
      </w:tr>
      <w:tr>
        <w:trPr>
          <w:jc w:val="center"/>
        </w:trPr>
        <w:tc>
          <w:tcPr>
            <w:tcW w:w="2802" w:type="dxa"/>
            <w:gridSpan w:val="3"/>
            <w:tcBorders>
              <w:left w:val="single" w:sz="12" w:space="0" w:color="auto"/>
              <w:bottom w:val="single" w:sz="12" w:space="0" w:color="auto"/>
            </w:tcBorders>
            <w:vAlign w:val="center"/>
          </w:tcPr>
          <w:p>
            <w:pPr>
              <w:ind w:right="-29"/>
              <w:jc w:val="center"/>
              <w:rPr>
                <w:noProof/>
                <w:sz w:val="18"/>
                <w:szCs w:val="18"/>
              </w:rPr>
            </w:pPr>
            <w:r>
              <w:rPr>
                <w:noProof/>
                <w:sz w:val="18"/>
              </w:rPr>
              <w:t>Subtotal for specific objective No 4</w:t>
            </w:r>
          </w:p>
        </w:tc>
        <w:tc>
          <w:tcPr>
            <w:tcW w:w="303" w:type="dxa"/>
            <w:tcBorders>
              <w:bottom w:val="single" w:sz="12" w:space="0" w:color="auto"/>
              <w:right w:val="dashSmallGap" w:sz="4" w:space="0" w:color="auto"/>
            </w:tcBorders>
          </w:tcPr>
          <w:p>
            <w:pPr>
              <w:ind w:right="-29"/>
              <w:jc w:val="center"/>
              <w:rPr>
                <w:noProof/>
                <w:sz w:val="18"/>
                <w:szCs w:val="18"/>
              </w:rPr>
            </w:pPr>
          </w:p>
        </w:tc>
        <w:tc>
          <w:tcPr>
            <w:tcW w:w="867" w:type="dxa"/>
            <w:tcBorders>
              <w:left w:val="dashSmallGap" w:sz="4" w:space="0" w:color="auto"/>
              <w:bottom w:val="single" w:sz="12" w:space="0" w:color="auto"/>
            </w:tcBorders>
          </w:tcPr>
          <w:p>
            <w:pPr>
              <w:ind w:right="-29"/>
              <w:jc w:val="center"/>
              <w:rPr>
                <w:b/>
                <w:noProof/>
                <w:sz w:val="18"/>
                <w:szCs w:val="18"/>
              </w:rPr>
            </w:pPr>
            <w:r>
              <w:rPr>
                <w:b/>
                <w:noProof/>
                <w:sz w:val="18"/>
                <w:szCs w:val="18"/>
              </w:rPr>
              <w:t>0</w:t>
            </w:r>
          </w:p>
        </w:tc>
        <w:tc>
          <w:tcPr>
            <w:tcW w:w="330" w:type="dxa"/>
            <w:tcBorders>
              <w:bottom w:val="single" w:sz="12" w:space="0" w:color="auto"/>
              <w:right w:val="dashSmallGap" w:sz="4" w:space="0" w:color="auto"/>
            </w:tcBorders>
          </w:tcPr>
          <w:p>
            <w:pPr>
              <w:ind w:right="-29"/>
              <w:jc w:val="center"/>
              <w:rPr>
                <w:noProof/>
                <w:sz w:val="18"/>
                <w:szCs w:val="18"/>
              </w:rPr>
            </w:pPr>
          </w:p>
        </w:tc>
        <w:tc>
          <w:tcPr>
            <w:tcW w:w="840" w:type="dxa"/>
            <w:tcBorders>
              <w:left w:val="dashSmallGap" w:sz="4" w:space="0" w:color="auto"/>
              <w:bottom w:val="single" w:sz="12" w:space="0" w:color="auto"/>
            </w:tcBorders>
          </w:tcPr>
          <w:p>
            <w:pPr>
              <w:ind w:right="-29"/>
              <w:jc w:val="center"/>
              <w:rPr>
                <w:b/>
                <w:noProof/>
                <w:sz w:val="18"/>
                <w:szCs w:val="18"/>
              </w:rPr>
            </w:pPr>
            <w:r>
              <w:rPr>
                <w:b/>
                <w:noProof/>
                <w:sz w:val="18"/>
                <w:szCs w:val="18"/>
              </w:rPr>
              <w:t>0</w:t>
            </w:r>
          </w:p>
        </w:tc>
        <w:tc>
          <w:tcPr>
            <w:tcW w:w="360" w:type="dxa"/>
            <w:tcBorders>
              <w:bottom w:val="single" w:sz="12" w:space="0" w:color="auto"/>
              <w:right w:val="dashSmallGap" w:sz="4" w:space="0" w:color="auto"/>
            </w:tcBorders>
          </w:tcPr>
          <w:p>
            <w:pPr>
              <w:ind w:right="-29"/>
              <w:jc w:val="center"/>
              <w:rPr>
                <w:noProof/>
                <w:sz w:val="18"/>
                <w:szCs w:val="18"/>
              </w:rPr>
            </w:pPr>
          </w:p>
        </w:tc>
        <w:tc>
          <w:tcPr>
            <w:tcW w:w="840" w:type="dxa"/>
            <w:tcBorders>
              <w:left w:val="dashSmallGap" w:sz="4" w:space="0" w:color="auto"/>
              <w:bottom w:val="single" w:sz="12" w:space="0" w:color="auto"/>
            </w:tcBorders>
          </w:tcPr>
          <w:p>
            <w:pPr>
              <w:ind w:right="-29"/>
              <w:jc w:val="center"/>
              <w:rPr>
                <w:b/>
                <w:noProof/>
                <w:sz w:val="18"/>
                <w:szCs w:val="18"/>
              </w:rPr>
            </w:pPr>
            <w:r>
              <w:rPr>
                <w:b/>
                <w:noProof/>
                <w:sz w:val="18"/>
                <w:szCs w:val="18"/>
              </w:rPr>
              <w:t>8,067</w:t>
            </w:r>
          </w:p>
        </w:tc>
        <w:tc>
          <w:tcPr>
            <w:tcW w:w="360" w:type="dxa"/>
            <w:tcBorders>
              <w:bottom w:val="single" w:sz="12" w:space="0" w:color="auto"/>
              <w:right w:val="dashSmallGap" w:sz="4" w:space="0" w:color="auto"/>
            </w:tcBorders>
          </w:tcPr>
          <w:p>
            <w:pPr>
              <w:ind w:right="-29"/>
              <w:jc w:val="center"/>
              <w:rPr>
                <w:noProof/>
                <w:sz w:val="18"/>
                <w:szCs w:val="18"/>
              </w:rPr>
            </w:pPr>
          </w:p>
        </w:tc>
        <w:tc>
          <w:tcPr>
            <w:tcW w:w="840" w:type="dxa"/>
            <w:tcBorders>
              <w:left w:val="dashSmallGap" w:sz="4" w:space="0" w:color="auto"/>
              <w:bottom w:val="single" w:sz="12" w:space="0" w:color="auto"/>
            </w:tcBorders>
          </w:tcPr>
          <w:p>
            <w:pPr>
              <w:ind w:right="-29"/>
              <w:jc w:val="center"/>
              <w:rPr>
                <w:b/>
                <w:noProof/>
                <w:sz w:val="18"/>
                <w:szCs w:val="18"/>
              </w:rPr>
            </w:pPr>
            <w:r>
              <w:rPr>
                <w:b/>
                <w:noProof/>
                <w:sz w:val="18"/>
                <w:szCs w:val="18"/>
              </w:rPr>
              <w:t>1,768</w:t>
            </w:r>
          </w:p>
        </w:tc>
        <w:tc>
          <w:tcPr>
            <w:tcW w:w="360" w:type="dxa"/>
            <w:tcBorders>
              <w:bottom w:val="single" w:sz="12" w:space="0" w:color="auto"/>
              <w:right w:val="dashSmallGap" w:sz="4" w:space="0" w:color="auto"/>
            </w:tcBorders>
          </w:tcPr>
          <w:p>
            <w:pPr>
              <w:ind w:right="-29"/>
              <w:jc w:val="center"/>
              <w:rPr>
                <w:noProof/>
                <w:sz w:val="18"/>
                <w:szCs w:val="18"/>
              </w:rPr>
            </w:pPr>
          </w:p>
        </w:tc>
        <w:tc>
          <w:tcPr>
            <w:tcW w:w="672" w:type="dxa"/>
            <w:tcBorders>
              <w:left w:val="dashSmallGap" w:sz="4" w:space="0" w:color="auto"/>
              <w:bottom w:val="single" w:sz="12" w:space="0" w:color="auto"/>
            </w:tcBorders>
          </w:tcPr>
          <w:p>
            <w:pPr>
              <w:ind w:right="-29"/>
              <w:rPr>
                <w:b/>
                <w:noProof/>
                <w:sz w:val="18"/>
                <w:szCs w:val="18"/>
              </w:rPr>
            </w:pPr>
            <w:r>
              <w:rPr>
                <w:b/>
                <w:noProof/>
                <w:sz w:val="18"/>
                <w:szCs w:val="18"/>
              </w:rPr>
              <w:t>1,768</w:t>
            </w:r>
          </w:p>
        </w:tc>
        <w:tc>
          <w:tcPr>
            <w:tcW w:w="360" w:type="dxa"/>
            <w:tcBorders>
              <w:bottom w:val="single" w:sz="12" w:space="0" w:color="auto"/>
              <w:right w:val="dashSmallGap" w:sz="4" w:space="0" w:color="auto"/>
            </w:tcBorders>
          </w:tcPr>
          <w:p>
            <w:pPr>
              <w:ind w:right="-29"/>
              <w:jc w:val="center"/>
              <w:rPr>
                <w:noProof/>
                <w:sz w:val="18"/>
                <w:szCs w:val="18"/>
              </w:rPr>
            </w:pPr>
          </w:p>
        </w:tc>
        <w:tc>
          <w:tcPr>
            <w:tcW w:w="720" w:type="dxa"/>
            <w:tcBorders>
              <w:left w:val="dashSmallGap" w:sz="4" w:space="0" w:color="auto"/>
              <w:bottom w:val="single" w:sz="12" w:space="0" w:color="auto"/>
            </w:tcBorders>
          </w:tcPr>
          <w:p>
            <w:pPr>
              <w:ind w:right="-29"/>
              <w:jc w:val="center"/>
              <w:rPr>
                <w:b/>
                <w:noProof/>
                <w:sz w:val="18"/>
                <w:szCs w:val="18"/>
              </w:rPr>
            </w:pPr>
            <w:r>
              <w:rPr>
                <w:b/>
                <w:noProof/>
                <w:sz w:val="18"/>
                <w:szCs w:val="18"/>
              </w:rPr>
              <w:t>1,768</w:t>
            </w:r>
          </w:p>
        </w:tc>
        <w:tc>
          <w:tcPr>
            <w:tcW w:w="360" w:type="dxa"/>
            <w:tcBorders>
              <w:bottom w:val="single" w:sz="12" w:space="0" w:color="auto"/>
              <w:right w:val="dashSmallGap" w:sz="4" w:space="0" w:color="auto"/>
            </w:tcBorders>
          </w:tcPr>
          <w:p>
            <w:pPr>
              <w:ind w:right="-29"/>
              <w:jc w:val="center"/>
              <w:rPr>
                <w:noProof/>
                <w:sz w:val="18"/>
                <w:szCs w:val="18"/>
              </w:rPr>
            </w:pPr>
          </w:p>
        </w:tc>
        <w:tc>
          <w:tcPr>
            <w:tcW w:w="840" w:type="dxa"/>
            <w:tcBorders>
              <w:left w:val="dashSmallGap" w:sz="4" w:space="0" w:color="auto"/>
              <w:bottom w:val="single" w:sz="12" w:space="0" w:color="auto"/>
            </w:tcBorders>
          </w:tcPr>
          <w:p>
            <w:pPr>
              <w:ind w:right="-29"/>
              <w:jc w:val="center"/>
              <w:rPr>
                <w:b/>
                <w:noProof/>
                <w:sz w:val="18"/>
                <w:szCs w:val="18"/>
              </w:rPr>
            </w:pPr>
            <w:r>
              <w:rPr>
                <w:b/>
                <w:noProof/>
                <w:sz w:val="18"/>
                <w:szCs w:val="18"/>
              </w:rPr>
              <w:t>1,768</w:t>
            </w:r>
          </w:p>
        </w:tc>
        <w:tc>
          <w:tcPr>
            <w:tcW w:w="360" w:type="dxa"/>
            <w:tcBorders>
              <w:bottom w:val="single" w:sz="12" w:space="0" w:color="auto"/>
              <w:right w:val="dashSmallGap" w:sz="4" w:space="0" w:color="auto"/>
            </w:tcBorders>
          </w:tcPr>
          <w:p>
            <w:pPr>
              <w:ind w:right="-29"/>
              <w:jc w:val="center"/>
              <w:rPr>
                <w:noProof/>
                <w:sz w:val="18"/>
                <w:szCs w:val="18"/>
              </w:rPr>
            </w:pPr>
          </w:p>
        </w:tc>
        <w:tc>
          <w:tcPr>
            <w:tcW w:w="840" w:type="dxa"/>
            <w:tcBorders>
              <w:left w:val="dashSmallGap" w:sz="4" w:space="0" w:color="auto"/>
              <w:bottom w:val="single" w:sz="12" w:space="0" w:color="auto"/>
            </w:tcBorders>
          </w:tcPr>
          <w:p>
            <w:pPr>
              <w:ind w:right="-29"/>
              <w:jc w:val="center"/>
              <w:rPr>
                <w:b/>
                <w:noProof/>
                <w:sz w:val="18"/>
                <w:szCs w:val="18"/>
              </w:rPr>
            </w:pPr>
            <w:r>
              <w:rPr>
                <w:b/>
                <w:noProof/>
                <w:sz w:val="18"/>
                <w:szCs w:val="18"/>
              </w:rPr>
              <w:t>1,768</w:t>
            </w:r>
          </w:p>
        </w:tc>
        <w:tc>
          <w:tcPr>
            <w:tcW w:w="360" w:type="dxa"/>
            <w:tcBorders>
              <w:bottom w:val="single" w:sz="12" w:space="0" w:color="auto"/>
              <w:right w:val="dashSmallGap" w:sz="4" w:space="0" w:color="auto"/>
            </w:tcBorders>
          </w:tcPr>
          <w:p>
            <w:pPr>
              <w:ind w:right="-29"/>
              <w:jc w:val="center"/>
              <w:rPr>
                <w:noProof/>
                <w:sz w:val="18"/>
                <w:szCs w:val="18"/>
              </w:rPr>
            </w:pPr>
          </w:p>
        </w:tc>
        <w:tc>
          <w:tcPr>
            <w:tcW w:w="840" w:type="dxa"/>
            <w:tcBorders>
              <w:left w:val="dashSmallGap" w:sz="4" w:space="0" w:color="auto"/>
              <w:bottom w:val="single" w:sz="12" w:space="0" w:color="auto"/>
            </w:tcBorders>
          </w:tcPr>
          <w:p>
            <w:pPr>
              <w:ind w:right="-29"/>
              <w:jc w:val="center"/>
              <w:rPr>
                <w:b/>
                <w:noProof/>
                <w:sz w:val="18"/>
                <w:szCs w:val="18"/>
              </w:rPr>
            </w:pPr>
            <w:r>
              <w:rPr>
                <w:b/>
                <w:noProof/>
                <w:sz w:val="18"/>
                <w:szCs w:val="18"/>
              </w:rPr>
              <w:t>1,768</w:t>
            </w:r>
          </w:p>
        </w:tc>
        <w:tc>
          <w:tcPr>
            <w:tcW w:w="360" w:type="dxa"/>
            <w:tcBorders>
              <w:bottom w:val="single" w:sz="12" w:space="0" w:color="auto"/>
              <w:right w:val="dashSmallGap" w:sz="4" w:space="0" w:color="auto"/>
            </w:tcBorders>
          </w:tcPr>
          <w:p>
            <w:pPr>
              <w:ind w:right="-29"/>
              <w:jc w:val="center"/>
              <w:rPr>
                <w:noProof/>
                <w:sz w:val="18"/>
                <w:szCs w:val="18"/>
              </w:rPr>
            </w:pPr>
          </w:p>
        </w:tc>
        <w:tc>
          <w:tcPr>
            <w:tcW w:w="1320" w:type="dxa"/>
            <w:tcBorders>
              <w:left w:val="dashSmallGap" w:sz="4" w:space="0" w:color="auto"/>
              <w:bottom w:val="single" w:sz="12" w:space="0" w:color="auto"/>
              <w:right w:val="single" w:sz="12" w:space="0" w:color="auto"/>
            </w:tcBorders>
          </w:tcPr>
          <w:p>
            <w:pPr>
              <w:ind w:right="-29"/>
              <w:jc w:val="center"/>
              <w:rPr>
                <w:b/>
                <w:noProof/>
                <w:sz w:val="18"/>
                <w:szCs w:val="18"/>
              </w:rPr>
            </w:pPr>
            <w:r>
              <w:rPr>
                <w:b/>
                <w:noProof/>
                <w:sz w:val="18"/>
                <w:szCs w:val="18"/>
              </w:rPr>
              <w:t>18,675</w:t>
            </w:r>
          </w:p>
        </w:tc>
      </w:tr>
    </w:tbl>
    <w:p>
      <w:pPr>
        <w:rPr>
          <w:noProof/>
        </w:rPr>
      </w:pPr>
    </w:p>
    <w:p>
      <w:pPr>
        <w:pStyle w:val="ListDash"/>
        <w:rPr>
          <w:noProof/>
        </w:rPr>
      </w:pPr>
      <w:r>
        <w:rPr>
          <w:noProof/>
        </w:rPr>
        <w:t>The objective 7 is to move ECRIS-TCN from a system with a 'standard' availability to a high availability system. In 2021, ECRIS-TCN would undergo that upgrade which requires the acquisition of additional hardware essentially. Since ECRIS-TCN is planned to be completed in 2020, it is tempting to build that system as a high-available system from the start and integrated with the interoperability components. However given that many projects become dependent from one another it is cautious not making this assumption and budgeting separate actions.  This budget is an additional budget to the cost for developing, maintaining or operating ECRIS-TCN in 2019 and 2020.</w:t>
      </w:r>
    </w:p>
    <w:p>
      <w:pPr>
        <w:rPr>
          <w:noProof/>
        </w:rPr>
      </w:pPr>
    </w:p>
    <w:p>
      <w:pPr>
        <w:rPr>
          <w:noProof/>
        </w:rPr>
      </w:pPr>
    </w:p>
    <w:p>
      <w:pPr>
        <w:spacing w:before="0" w:after="0"/>
        <w:jc w:val="left"/>
        <w:rPr>
          <w:noProof/>
        </w:rPr>
      </w:pPr>
      <w:r>
        <w:rPr>
          <w:noProof/>
        </w:rPr>
        <w:br w:type="page"/>
      </w:r>
    </w:p>
    <w:p>
      <w:pPr>
        <w:rPr>
          <w:noProof/>
        </w:rPr>
      </w:pPr>
    </w:p>
    <w:p>
      <w:pPr>
        <w:pStyle w:val="ManualHeading4"/>
        <w:rPr>
          <w:noProof/>
        </w:rPr>
      </w:pPr>
      <w:r>
        <w:t>3.2.2.5.</w:t>
      </w:r>
      <w:r>
        <w:tab/>
      </w:r>
      <w:r>
        <w:rPr>
          <w:noProof/>
        </w:rPr>
        <w:t>Estimated impact on DG Home's appropriations</w:t>
      </w:r>
    </w:p>
    <w:p>
      <w:pPr>
        <w:pStyle w:val="ListDash1"/>
        <w:rPr>
          <w:noProof/>
        </w:rPr>
      </w:pPr>
      <w:r>
        <w:rPr>
          <w:noProof/>
        </w:rPr>
        <w:sym w:font="Wingdings" w:char="F0A8"/>
      </w:r>
      <w:r>
        <w:rPr>
          <w:noProof/>
        </w:rPr>
        <w:tab/>
        <w:t xml:space="preserve">The proposal/initiative does not require the use of operational appropriations </w:t>
      </w:r>
    </w:p>
    <w:p>
      <w:pPr>
        <w:pStyle w:val="ListDash1"/>
        <w:rPr>
          <w:noProof/>
        </w:rPr>
      </w:pPr>
      <w:r>
        <w:rPr>
          <w:noProof/>
        </w:rPr>
        <w:sym w:font="Wingdings" w:char="F078"/>
      </w:r>
      <w:r>
        <w:rPr>
          <w:noProof/>
        </w:rPr>
        <w:tab/>
        <w:t>The proposal/initiative requires the use of operational appropriations, as explained below:</w:t>
      </w:r>
    </w:p>
    <w:p>
      <w:pPr>
        <w:jc w:val="right"/>
        <w:rPr>
          <w:noProof/>
          <w:sz w:val="20"/>
        </w:rPr>
      </w:pPr>
      <w:r>
        <w:rPr>
          <w:noProof/>
          <w:sz w:val="20"/>
        </w:rPr>
        <w:t>Commitment appropriations in EUR million (to three decimal places)</w:t>
      </w:r>
    </w:p>
    <w:p>
      <w:pPr>
        <w:rPr>
          <w:noProof/>
        </w:rPr>
      </w:pPr>
    </w:p>
    <w:tbl>
      <w:tblPr>
        <w:tblW w:w="148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22"/>
        <w:gridCol w:w="721"/>
        <w:gridCol w:w="659"/>
        <w:gridCol w:w="303"/>
        <w:gridCol w:w="637"/>
        <w:gridCol w:w="330"/>
        <w:gridCol w:w="637"/>
        <w:gridCol w:w="596"/>
        <w:gridCol w:w="840"/>
        <w:gridCol w:w="596"/>
        <w:gridCol w:w="840"/>
        <w:gridCol w:w="596"/>
        <w:gridCol w:w="772"/>
        <w:gridCol w:w="360"/>
        <w:gridCol w:w="637"/>
        <w:gridCol w:w="360"/>
        <w:gridCol w:w="637"/>
        <w:gridCol w:w="360"/>
        <w:gridCol w:w="637"/>
        <w:gridCol w:w="360"/>
        <w:gridCol w:w="637"/>
        <w:gridCol w:w="596"/>
        <w:gridCol w:w="1320"/>
      </w:tblGrid>
      <w:tr>
        <w:trPr>
          <w:jc w:val="center"/>
        </w:trPr>
        <w:tc>
          <w:tcPr>
            <w:tcW w:w="1422" w:type="dxa"/>
            <w:vMerge w:val="restart"/>
            <w:tcBorders>
              <w:top w:val="single" w:sz="12" w:space="0" w:color="auto"/>
              <w:left w:val="single" w:sz="12" w:space="0" w:color="auto"/>
            </w:tcBorders>
            <w:vAlign w:val="center"/>
          </w:tcPr>
          <w:p>
            <w:pPr>
              <w:ind w:right="-29"/>
              <w:jc w:val="center"/>
              <w:rPr>
                <w:b/>
                <w:noProof/>
                <w:sz w:val="18"/>
                <w:szCs w:val="18"/>
              </w:rPr>
            </w:pPr>
            <w:r>
              <w:rPr>
                <w:b/>
                <w:noProof/>
                <w:sz w:val="18"/>
              </w:rPr>
              <w:t xml:space="preserve">Indicate objectives and outputs </w:t>
            </w:r>
          </w:p>
          <w:p>
            <w:pPr>
              <w:ind w:right="-29"/>
              <w:jc w:val="center"/>
              <w:rPr>
                <w:b/>
                <w:noProof/>
                <w:sz w:val="18"/>
                <w:szCs w:val="18"/>
              </w:rPr>
            </w:pPr>
            <w:r>
              <w:rPr>
                <w:b/>
                <w:noProof/>
                <w:sz w:val="18"/>
                <w:szCs w:val="18"/>
              </w:rPr>
              <w:t>DG Home</w:t>
            </w:r>
          </w:p>
          <w:p>
            <w:pPr>
              <w:ind w:right="-29"/>
              <w:jc w:val="center"/>
              <w:rPr>
                <w:noProof/>
                <w:sz w:val="18"/>
                <w:szCs w:val="18"/>
              </w:rPr>
            </w:pPr>
            <w:r>
              <w:rPr>
                <w:noProof/>
                <w:sz w:val="18"/>
              </w:rPr>
              <w:sym w:font="Wingdings" w:char="F0F2"/>
            </w:r>
          </w:p>
        </w:tc>
        <w:tc>
          <w:tcPr>
            <w:tcW w:w="721" w:type="dxa"/>
            <w:tcBorders>
              <w:top w:val="single" w:sz="12" w:space="0" w:color="auto"/>
            </w:tcBorders>
            <w:vAlign w:val="center"/>
          </w:tcPr>
          <w:p>
            <w:pPr>
              <w:ind w:right="-29"/>
              <w:jc w:val="center"/>
              <w:rPr>
                <w:noProof/>
                <w:sz w:val="18"/>
                <w:szCs w:val="18"/>
              </w:rPr>
            </w:pPr>
          </w:p>
        </w:tc>
        <w:tc>
          <w:tcPr>
            <w:tcW w:w="659" w:type="dxa"/>
            <w:tcBorders>
              <w:top w:val="single" w:sz="12" w:space="0" w:color="auto"/>
            </w:tcBorders>
            <w:vAlign w:val="center"/>
          </w:tcPr>
          <w:p>
            <w:pPr>
              <w:ind w:right="-29"/>
              <w:jc w:val="center"/>
              <w:rPr>
                <w:noProof/>
                <w:sz w:val="18"/>
                <w:szCs w:val="18"/>
              </w:rPr>
            </w:pPr>
          </w:p>
        </w:tc>
        <w:tc>
          <w:tcPr>
            <w:tcW w:w="940" w:type="dxa"/>
            <w:gridSpan w:val="2"/>
            <w:tcBorders>
              <w:top w:val="single" w:sz="12" w:space="0" w:color="auto"/>
              <w:right w:val="single" w:sz="4" w:space="0" w:color="auto"/>
            </w:tcBorders>
            <w:vAlign w:val="center"/>
          </w:tcPr>
          <w:p>
            <w:pPr>
              <w:ind w:right="-29"/>
              <w:jc w:val="center"/>
              <w:rPr>
                <w:noProof/>
                <w:sz w:val="18"/>
                <w:szCs w:val="18"/>
              </w:rPr>
            </w:pPr>
            <w:r>
              <w:rPr>
                <w:noProof/>
                <w:sz w:val="18"/>
              </w:rPr>
              <w:t>Year</w:t>
            </w:r>
            <w:r>
              <w:rPr>
                <w:noProof/>
                <w:sz w:val="22"/>
              </w:rPr>
              <w:br/>
            </w:r>
            <w:r>
              <w:rPr>
                <w:b/>
                <w:noProof/>
                <w:sz w:val="18"/>
              </w:rPr>
              <w:t>2019</w:t>
            </w:r>
          </w:p>
        </w:tc>
        <w:tc>
          <w:tcPr>
            <w:tcW w:w="967" w:type="dxa"/>
            <w:gridSpan w:val="2"/>
            <w:tcBorders>
              <w:top w:val="single" w:sz="12" w:space="0" w:color="auto"/>
              <w:left w:val="single" w:sz="4" w:space="0" w:color="auto"/>
            </w:tcBorders>
            <w:vAlign w:val="center"/>
          </w:tcPr>
          <w:p>
            <w:pPr>
              <w:ind w:right="-29"/>
              <w:jc w:val="center"/>
              <w:rPr>
                <w:noProof/>
                <w:sz w:val="18"/>
                <w:szCs w:val="18"/>
              </w:rPr>
            </w:pPr>
            <w:r>
              <w:rPr>
                <w:noProof/>
                <w:sz w:val="18"/>
              </w:rPr>
              <w:t>Year</w:t>
            </w:r>
            <w:r>
              <w:rPr>
                <w:noProof/>
                <w:sz w:val="22"/>
              </w:rPr>
              <w:br/>
            </w:r>
            <w:r>
              <w:rPr>
                <w:b/>
                <w:noProof/>
                <w:sz w:val="18"/>
              </w:rPr>
              <w:t>2020</w:t>
            </w:r>
          </w:p>
        </w:tc>
        <w:tc>
          <w:tcPr>
            <w:tcW w:w="1436" w:type="dxa"/>
            <w:gridSpan w:val="2"/>
            <w:tcBorders>
              <w:top w:val="single" w:sz="12" w:space="0" w:color="auto"/>
            </w:tcBorders>
            <w:vAlign w:val="center"/>
          </w:tcPr>
          <w:p>
            <w:pPr>
              <w:ind w:right="-29"/>
              <w:jc w:val="center"/>
              <w:rPr>
                <w:noProof/>
                <w:sz w:val="18"/>
                <w:szCs w:val="18"/>
              </w:rPr>
            </w:pPr>
            <w:r>
              <w:rPr>
                <w:noProof/>
                <w:sz w:val="18"/>
              </w:rPr>
              <w:t>Year</w:t>
            </w:r>
            <w:r>
              <w:rPr>
                <w:noProof/>
                <w:sz w:val="22"/>
              </w:rPr>
              <w:br/>
            </w:r>
            <w:r>
              <w:rPr>
                <w:b/>
                <w:noProof/>
                <w:sz w:val="18"/>
              </w:rPr>
              <w:t>2021</w:t>
            </w:r>
          </w:p>
        </w:tc>
        <w:tc>
          <w:tcPr>
            <w:tcW w:w="1436" w:type="dxa"/>
            <w:gridSpan w:val="2"/>
            <w:tcBorders>
              <w:top w:val="single" w:sz="12" w:space="0" w:color="auto"/>
            </w:tcBorders>
            <w:vAlign w:val="center"/>
          </w:tcPr>
          <w:p>
            <w:pPr>
              <w:ind w:right="-29"/>
              <w:jc w:val="center"/>
              <w:rPr>
                <w:noProof/>
                <w:sz w:val="18"/>
                <w:szCs w:val="18"/>
              </w:rPr>
            </w:pPr>
            <w:r>
              <w:rPr>
                <w:noProof/>
                <w:sz w:val="18"/>
              </w:rPr>
              <w:t>Year</w:t>
            </w:r>
            <w:r>
              <w:rPr>
                <w:noProof/>
                <w:sz w:val="22"/>
              </w:rPr>
              <w:br/>
            </w:r>
            <w:r>
              <w:rPr>
                <w:b/>
                <w:noProof/>
                <w:sz w:val="18"/>
              </w:rPr>
              <w:t>2022</w:t>
            </w:r>
          </w:p>
        </w:tc>
        <w:tc>
          <w:tcPr>
            <w:tcW w:w="1368" w:type="dxa"/>
            <w:gridSpan w:val="2"/>
            <w:tcBorders>
              <w:top w:val="single" w:sz="12" w:space="0" w:color="auto"/>
            </w:tcBorders>
            <w:vAlign w:val="center"/>
          </w:tcPr>
          <w:p>
            <w:pPr>
              <w:jc w:val="center"/>
              <w:rPr>
                <w:noProof/>
                <w:sz w:val="18"/>
                <w:szCs w:val="18"/>
              </w:rPr>
            </w:pPr>
            <w:r>
              <w:rPr>
                <w:noProof/>
                <w:sz w:val="18"/>
              </w:rPr>
              <w:t>Year</w:t>
            </w:r>
            <w:r>
              <w:rPr>
                <w:noProof/>
                <w:sz w:val="22"/>
              </w:rPr>
              <w:br/>
            </w:r>
            <w:r>
              <w:rPr>
                <w:b/>
                <w:noProof/>
                <w:sz w:val="18"/>
              </w:rPr>
              <w:t>2023</w:t>
            </w:r>
          </w:p>
        </w:tc>
        <w:tc>
          <w:tcPr>
            <w:tcW w:w="997" w:type="dxa"/>
            <w:gridSpan w:val="2"/>
            <w:tcBorders>
              <w:top w:val="single" w:sz="12" w:space="0" w:color="auto"/>
            </w:tcBorders>
            <w:vAlign w:val="center"/>
          </w:tcPr>
          <w:p>
            <w:pPr>
              <w:jc w:val="center"/>
              <w:rPr>
                <w:noProof/>
                <w:sz w:val="18"/>
                <w:szCs w:val="18"/>
              </w:rPr>
            </w:pPr>
            <w:r>
              <w:rPr>
                <w:noProof/>
                <w:sz w:val="18"/>
              </w:rPr>
              <w:t>Year</w:t>
            </w:r>
            <w:r>
              <w:rPr>
                <w:noProof/>
                <w:sz w:val="22"/>
              </w:rPr>
              <w:br/>
            </w:r>
            <w:r>
              <w:rPr>
                <w:b/>
                <w:noProof/>
                <w:sz w:val="18"/>
              </w:rPr>
              <w:t>2024</w:t>
            </w:r>
          </w:p>
        </w:tc>
        <w:tc>
          <w:tcPr>
            <w:tcW w:w="997" w:type="dxa"/>
            <w:gridSpan w:val="2"/>
            <w:tcBorders>
              <w:top w:val="single" w:sz="12" w:space="0" w:color="auto"/>
            </w:tcBorders>
            <w:vAlign w:val="center"/>
          </w:tcPr>
          <w:p>
            <w:pPr>
              <w:jc w:val="center"/>
              <w:rPr>
                <w:noProof/>
                <w:sz w:val="18"/>
                <w:szCs w:val="18"/>
              </w:rPr>
            </w:pPr>
            <w:r>
              <w:rPr>
                <w:noProof/>
                <w:sz w:val="18"/>
              </w:rPr>
              <w:t>Year</w:t>
            </w:r>
            <w:r>
              <w:rPr>
                <w:noProof/>
                <w:sz w:val="22"/>
              </w:rPr>
              <w:br/>
            </w:r>
            <w:r>
              <w:rPr>
                <w:b/>
                <w:noProof/>
                <w:sz w:val="18"/>
              </w:rPr>
              <w:t>2025</w:t>
            </w:r>
          </w:p>
        </w:tc>
        <w:tc>
          <w:tcPr>
            <w:tcW w:w="997" w:type="dxa"/>
            <w:gridSpan w:val="2"/>
            <w:tcBorders>
              <w:top w:val="single" w:sz="12" w:space="0" w:color="auto"/>
            </w:tcBorders>
          </w:tcPr>
          <w:p>
            <w:pPr>
              <w:ind w:right="-29"/>
              <w:jc w:val="center"/>
              <w:rPr>
                <w:b/>
                <w:noProof/>
                <w:sz w:val="18"/>
              </w:rPr>
            </w:pPr>
            <w:r>
              <w:rPr>
                <w:noProof/>
                <w:sz w:val="18"/>
              </w:rPr>
              <w:t>Year</w:t>
            </w:r>
            <w:r>
              <w:rPr>
                <w:noProof/>
                <w:sz w:val="22"/>
              </w:rPr>
              <w:br/>
            </w:r>
            <w:r>
              <w:rPr>
                <w:b/>
                <w:noProof/>
                <w:sz w:val="18"/>
              </w:rPr>
              <w:t>2026</w:t>
            </w:r>
          </w:p>
        </w:tc>
        <w:tc>
          <w:tcPr>
            <w:tcW w:w="997" w:type="dxa"/>
            <w:gridSpan w:val="2"/>
            <w:tcBorders>
              <w:top w:val="single" w:sz="12" w:space="0" w:color="auto"/>
              <w:right w:val="nil"/>
            </w:tcBorders>
          </w:tcPr>
          <w:p>
            <w:pPr>
              <w:ind w:right="-29"/>
              <w:jc w:val="center"/>
              <w:rPr>
                <w:b/>
                <w:noProof/>
                <w:sz w:val="18"/>
              </w:rPr>
            </w:pPr>
            <w:r>
              <w:rPr>
                <w:noProof/>
                <w:sz w:val="18"/>
              </w:rPr>
              <w:t>Year</w:t>
            </w:r>
            <w:r>
              <w:rPr>
                <w:noProof/>
                <w:sz w:val="22"/>
              </w:rPr>
              <w:br/>
            </w:r>
            <w:r>
              <w:rPr>
                <w:b/>
                <w:noProof/>
                <w:sz w:val="18"/>
              </w:rPr>
              <w:t>2027</w:t>
            </w:r>
          </w:p>
        </w:tc>
        <w:tc>
          <w:tcPr>
            <w:tcW w:w="1916" w:type="dxa"/>
            <w:gridSpan w:val="2"/>
            <w:tcBorders>
              <w:top w:val="single" w:sz="12" w:space="0" w:color="auto"/>
              <w:left w:val="single" w:sz="6" w:space="0" w:color="auto"/>
              <w:bottom w:val="single" w:sz="4" w:space="0" w:color="auto"/>
              <w:right w:val="single" w:sz="12" w:space="0" w:color="auto"/>
            </w:tcBorders>
            <w:vAlign w:val="center"/>
          </w:tcPr>
          <w:p>
            <w:pPr>
              <w:ind w:right="-29"/>
              <w:jc w:val="center"/>
              <w:rPr>
                <w:noProof/>
                <w:sz w:val="18"/>
                <w:szCs w:val="18"/>
              </w:rPr>
            </w:pPr>
            <w:r>
              <w:rPr>
                <w:b/>
                <w:noProof/>
                <w:sz w:val="18"/>
              </w:rPr>
              <w:t>TOTAL</w:t>
            </w:r>
          </w:p>
        </w:tc>
      </w:tr>
      <w:tr>
        <w:trPr>
          <w:gridAfter w:val="22"/>
          <w:wAfter w:w="13431" w:type="dxa"/>
          <w:trHeight w:val="465"/>
          <w:jc w:val="center"/>
        </w:trPr>
        <w:tc>
          <w:tcPr>
            <w:tcW w:w="1422" w:type="dxa"/>
            <w:vMerge/>
            <w:tcBorders>
              <w:left w:val="single" w:sz="12" w:space="0" w:color="auto"/>
            </w:tcBorders>
            <w:vAlign w:val="center"/>
          </w:tcPr>
          <w:p>
            <w:pPr>
              <w:ind w:right="-29"/>
              <w:jc w:val="center"/>
              <w:rPr>
                <w:noProof/>
                <w:sz w:val="18"/>
                <w:szCs w:val="18"/>
              </w:rPr>
            </w:pPr>
          </w:p>
        </w:tc>
      </w:tr>
      <w:tr>
        <w:trPr>
          <w:cantSplit/>
          <w:trHeight w:val="1134"/>
          <w:jc w:val="center"/>
        </w:trPr>
        <w:tc>
          <w:tcPr>
            <w:tcW w:w="1422" w:type="dxa"/>
            <w:vMerge/>
            <w:tcBorders>
              <w:left w:val="single" w:sz="12" w:space="0" w:color="auto"/>
            </w:tcBorders>
            <w:vAlign w:val="center"/>
          </w:tcPr>
          <w:p>
            <w:pPr>
              <w:rPr>
                <w:noProof/>
                <w:sz w:val="18"/>
                <w:szCs w:val="18"/>
              </w:rPr>
            </w:pPr>
          </w:p>
        </w:tc>
        <w:tc>
          <w:tcPr>
            <w:tcW w:w="721" w:type="dxa"/>
            <w:vAlign w:val="center"/>
          </w:tcPr>
          <w:p>
            <w:pPr>
              <w:jc w:val="center"/>
              <w:rPr>
                <w:noProof/>
                <w:sz w:val="18"/>
                <w:szCs w:val="18"/>
              </w:rPr>
            </w:pPr>
            <w:r>
              <w:rPr>
                <w:noProof/>
                <w:sz w:val="18"/>
              </w:rPr>
              <w:t>Type</w:t>
            </w:r>
            <w:r>
              <w:rPr>
                <w:rStyle w:val="FootnoteReference"/>
                <w:noProof/>
              </w:rPr>
              <w:footnoteReference w:id="107"/>
            </w:r>
          </w:p>
          <w:p>
            <w:pPr>
              <w:spacing w:before="0" w:after="0"/>
              <w:jc w:val="center"/>
              <w:rPr>
                <w:noProof/>
                <w:sz w:val="18"/>
                <w:szCs w:val="18"/>
              </w:rPr>
            </w:pPr>
          </w:p>
        </w:tc>
        <w:tc>
          <w:tcPr>
            <w:tcW w:w="659" w:type="dxa"/>
            <w:tcBorders>
              <w:right w:val="single" w:sz="4" w:space="0" w:color="auto"/>
            </w:tcBorders>
            <w:vAlign w:val="center"/>
          </w:tcPr>
          <w:p>
            <w:pPr>
              <w:jc w:val="center"/>
              <w:rPr>
                <w:noProof/>
                <w:sz w:val="18"/>
                <w:szCs w:val="18"/>
              </w:rPr>
            </w:pPr>
            <w:r>
              <w:rPr>
                <w:noProof/>
                <w:sz w:val="18"/>
              </w:rPr>
              <w:t>Average cost</w:t>
            </w:r>
          </w:p>
        </w:tc>
        <w:tc>
          <w:tcPr>
            <w:tcW w:w="303" w:type="dxa"/>
            <w:tcBorders>
              <w:top w:val="dotted" w:sz="4" w:space="0" w:color="auto"/>
              <w:left w:val="single" w:sz="4" w:space="0" w:color="auto"/>
              <w:bottom w:val="dotted" w:sz="4" w:space="0" w:color="auto"/>
              <w:right w:val="nil"/>
            </w:tcBorders>
            <w:shd w:val="pct10" w:color="auto" w:fill="auto"/>
            <w:textDirection w:val="btLr"/>
            <w:vAlign w:val="center"/>
          </w:tcPr>
          <w:p>
            <w:pPr>
              <w:ind w:left="113" w:right="113"/>
              <w:jc w:val="center"/>
              <w:rPr>
                <w:noProof/>
                <w:sz w:val="18"/>
              </w:rPr>
            </w:pPr>
            <w:r>
              <w:rPr>
                <w:noProof/>
                <w:sz w:val="18"/>
              </w:rPr>
              <w:t>No</w:t>
            </w:r>
          </w:p>
        </w:tc>
        <w:tc>
          <w:tcPr>
            <w:tcW w:w="637" w:type="dxa"/>
            <w:tcBorders>
              <w:left w:val="nil"/>
              <w:right w:val="single" w:sz="4" w:space="0" w:color="auto"/>
            </w:tcBorders>
            <w:shd w:val="pct10" w:color="auto" w:fill="auto"/>
            <w:vAlign w:val="center"/>
          </w:tcPr>
          <w:p>
            <w:pPr>
              <w:jc w:val="center"/>
              <w:rPr>
                <w:noProof/>
                <w:sz w:val="18"/>
              </w:rPr>
            </w:pPr>
            <w:r>
              <w:rPr>
                <w:noProof/>
                <w:sz w:val="18"/>
              </w:rPr>
              <w:t>Cost</w:t>
            </w:r>
          </w:p>
        </w:tc>
        <w:tc>
          <w:tcPr>
            <w:tcW w:w="330" w:type="dxa"/>
            <w:tcBorders>
              <w:left w:val="single" w:sz="4" w:space="0" w:color="auto"/>
              <w:right w:val="dashSmallGap" w:sz="4" w:space="0" w:color="auto"/>
            </w:tcBorders>
            <w:shd w:val="pct10" w:color="auto" w:fill="auto"/>
            <w:textDirection w:val="btLr"/>
            <w:vAlign w:val="center"/>
          </w:tcPr>
          <w:p>
            <w:pPr>
              <w:ind w:left="113" w:right="113"/>
              <w:jc w:val="center"/>
              <w:rPr>
                <w:noProof/>
                <w:sz w:val="18"/>
                <w:szCs w:val="18"/>
              </w:rPr>
            </w:pPr>
            <w:r>
              <w:rPr>
                <w:noProof/>
                <w:sz w:val="18"/>
              </w:rPr>
              <w:t>No</w:t>
            </w:r>
          </w:p>
        </w:tc>
        <w:tc>
          <w:tcPr>
            <w:tcW w:w="637" w:type="dxa"/>
            <w:tcBorders>
              <w:left w:val="dashSmallGap" w:sz="4" w:space="0" w:color="auto"/>
            </w:tcBorders>
            <w:shd w:val="pct10" w:color="auto" w:fill="auto"/>
            <w:vAlign w:val="center"/>
          </w:tcPr>
          <w:p>
            <w:pPr>
              <w:jc w:val="center"/>
              <w:rPr>
                <w:noProof/>
                <w:sz w:val="18"/>
                <w:szCs w:val="18"/>
              </w:rPr>
            </w:pPr>
            <w:r>
              <w:rPr>
                <w:noProof/>
                <w:sz w:val="18"/>
              </w:rPr>
              <w:t>Cost</w:t>
            </w:r>
          </w:p>
        </w:tc>
        <w:tc>
          <w:tcPr>
            <w:tcW w:w="596" w:type="dxa"/>
            <w:tcBorders>
              <w:right w:val="dashSmallGap" w:sz="4" w:space="0" w:color="auto"/>
            </w:tcBorders>
            <w:shd w:val="pct10" w:color="auto" w:fill="auto"/>
            <w:textDirection w:val="btLr"/>
            <w:vAlign w:val="center"/>
          </w:tcPr>
          <w:p>
            <w:pPr>
              <w:ind w:left="113" w:right="113"/>
              <w:jc w:val="center"/>
              <w:rPr>
                <w:noProof/>
                <w:sz w:val="18"/>
                <w:szCs w:val="18"/>
              </w:rPr>
            </w:pPr>
            <w:r>
              <w:rPr>
                <w:noProof/>
                <w:sz w:val="18"/>
              </w:rPr>
              <w:t>No</w:t>
            </w:r>
          </w:p>
        </w:tc>
        <w:tc>
          <w:tcPr>
            <w:tcW w:w="840" w:type="dxa"/>
            <w:tcBorders>
              <w:left w:val="dashSmallGap" w:sz="4" w:space="0" w:color="auto"/>
            </w:tcBorders>
            <w:shd w:val="pct10" w:color="auto" w:fill="auto"/>
            <w:vAlign w:val="center"/>
          </w:tcPr>
          <w:p>
            <w:pPr>
              <w:jc w:val="center"/>
              <w:rPr>
                <w:noProof/>
                <w:sz w:val="18"/>
                <w:szCs w:val="18"/>
              </w:rPr>
            </w:pPr>
            <w:r>
              <w:rPr>
                <w:noProof/>
                <w:sz w:val="18"/>
              </w:rPr>
              <w:t>Cost</w:t>
            </w:r>
          </w:p>
        </w:tc>
        <w:tc>
          <w:tcPr>
            <w:tcW w:w="596" w:type="dxa"/>
            <w:tcBorders>
              <w:right w:val="dashSmallGap" w:sz="4" w:space="0" w:color="auto"/>
            </w:tcBorders>
            <w:shd w:val="pct10" w:color="auto" w:fill="auto"/>
            <w:textDirection w:val="btLr"/>
            <w:vAlign w:val="center"/>
          </w:tcPr>
          <w:p>
            <w:pPr>
              <w:ind w:left="113" w:right="113"/>
              <w:jc w:val="center"/>
              <w:rPr>
                <w:noProof/>
                <w:sz w:val="18"/>
                <w:szCs w:val="18"/>
              </w:rPr>
            </w:pPr>
            <w:r>
              <w:rPr>
                <w:noProof/>
                <w:sz w:val="18"/>
              </w:rPr>
              <w:t>No</w:t>
            </w:r>
          </w:p>
        </w:tc>
        <w:tc>
          <w:tcPr>
            <w:tcW w:w="840" w:type="dxa"/>
            <w:tcBorders>
              <w:left w:val="dashSmallGap" w:sz="4" w:space="0" w:color="auto"/>
            </w:tcBorders>
            <w:shd w:val="pct10" w:color="auto" w:fill="auto"/>
            <w:vAlign w:val="center"/>
          </w:tcPr>
          <w:p>
            <w:pPr>
              <w:jc w:val="center"/>
              <w:rPr>
                <w:noProof/>
                <w:sz w:val="18"/>
                <w:szCs w:val="18"/>
              </w:rPr>
            </w:pPr>
            <w:r>
              <w:rPr>
                <w:noProof/>
                <w:sz w:val="18"/>
              </w:rPr>
              <w:t>Cost</w:t>
            </w:r>
          </w:p>
        </w:tc>
        <w:tc>
          <w:tcPr>
            <w:tcW w:w="596" w:type="dxa"/>
            <w:tcBorders>
              <w:right w:val="dashSmallGap" w:sz="4" w:space="0" w:color="auto"/>
            </w:tcBorders>
            <w:shd w:val="pct10" w:color="auto" w:fill="auto"/>
            <w:textDirection w:val="btLr"/>
            <w:vAlign w:val="center"/>
          </w:tcPr>
          <w:p>
            <w:pPr>
              <w:ind w:left="113" w:right="113"/>
              <w:jc w:val="center"/>
              <w:rPr>
                <w:noProof/>
                <w:sz w:val="18"/>
                <w:szCs w:val="18"/>
              </w:rPr>
            </w:pPr>
            <w:r>
              <w:rPr>
                <w:noProof/>
                <w:sz w:val="18"/>
              </w:rPr>
              <w:t>No</w:t>
            </w:r>
          </w:p>
        </w:tc>
        <w:tc>
          <w:tcPr>
            <w:tcW w:w="772" w:type="dxa"/>
            <w:tcBorders>
              <w:left w:val="dashSmallGap" w:sz="4" w:space="0" w:color="auto"/>
            </w:tcBorders>
            <w:shd w:val="pct10" w:color="auto" w:fill="auto"/>
            <w:vAlign w:val="center"/>
          </w:tcPr>
          <w:p>
            <w:pPr>
              <w:jc w:val="center"/>
              <w:rPr>
                <w:noProof/>
                <w:sz w:val="18"/>
                <w:szCs w:val="18"/>
              </w:rPr>
            </w:pPr>
            <w:r>
              <w:rPr>
                <w:noProof/>
                <w:sz w:val="18"/>
              </w:rPr>
              <w:t>Cost</w:t>
            </w:r>
          </w:p>
        </w:tc>
        <w:tc>
          <w:tcPr>
            <w:tcW w:w="360" w:type="dxa"/>
            <w:tcBorders>
              <w:right w:val="dashSmallGap" w:sz="4" w:space="0" w:color="auto"/>
            </w:tcBorders>
            <w:shd w:val="pct10" w:color="auto" w:fill="auto"/>
            <w:textDirection w:val="btLr"/>
            <w:vAlign w:val="center"/>
          </w:tcPr>
          <w:p>
            <w:pPr>
              <w:ind w:left="113" w:right="113"/>
              <w:jc w:val="center"/>
              <w:rPr>
                <w:noProof/>
                <w:sz w:val="18"/>
                <w:szCs w:val="18"/>
              </w:rPr>
            </w:pPr>
            <w:r>
              <w:rPr>
                <w:noProof/>
                <w:sz w:val="18"/>
              </w:rPr>
              <w:t>No</w:t>
            </w:r>
          </w:p>
        </w:tc>
        <w:tc>
          <w:tcPr>
            <w:tcW w:w="637" w:type="dxa"/>
            <w:tcBorders>
              <w:left w:val="dashSmallGap" w:sz="4" w:space="0" w:color="auto"/>
            </w:tcBorders>
            <w:shd w:val="pct10" w:color="auto" w:fill="auto"/>
            <w:vAlign w:val="center"/>
          </w:tcPr>
          <w:p>
            <w:pPr>
              <w:jc w:val="center"/>
              <w:rPr>
                <w:noProof/>
                <w:sz w:val="18"/>
                <w:szCs w:val="18"/>
              </w:rPr>
            </w:pPr>
            <w:r>
              <w:rPr>
                <w:noProof/>
                <w:sz w:val="18"/>
              </w:rPr>
              <w:t>Cost</w:t>
            </w:r>
          </w:p>
        </w:tc>
        <w:tc>
          <w:tcPr>
            <w:tcW w:w="360" w:type="dxa"/>
            <w:tcBorders>
              <w:right w:val="dashSmallGap" w:sz="4" w:space="0" w:color="auto"/>
            </w:tcBorders>
            <w:shd w:val="pct10" w:color="auto" w:fill="auto"/>
            <w:textDirection w:val="btLr"/>
            <w:vAlign w:val="center"/>
          </w:tcPr>
          <w:p>
            <w:pPr>
              <w:ind w:left="113" w:right="113"/>
              <w:jc w:val="center"/>
              <w:rPr>
                <w:noProof/>
                <w:sz w:val="18"/>
                <w:szCs w:val="18"/>
              </w:rPr>
            </w:pPr>
            <w:r>
              <w:rPr>
                <w:noProof/>
                <w:sz w:val="18"/>
              </w:rPr>
              <w:t>No</w:t>
            </w:r>
          </w:p>
        </w:tc>
        <w:tc>
          <w:tcPr>
            <w:tcW w:w="637" w:type="dxa"/>
            <w:tcBorders>
              <w:left w:val="dashSmallGap" w:sz="4" w:space="0" w:color="auto"/>
            </w:tcBorders>
            <w:shd w:val="pct10" w:color="auto" w:fill="auto"/>
            <w:vAlign w:val="center"/>
          </w:tcPr>
          <w:p>
            <w:pPr>
              <w:jc w:val="center"/>
              <w:rPr>
                <w:noProof/>
                <w:sz w:val="18"/>
                <w:szCs w:val="18"/>
              </w:rPr>
            </w:pPr>
            <w:r>
              <w:rPr>
                <w:noProof/>
                <w:sz w:val="18"/>
              </w:rPr>
              <w:t>Cost</w:t>
            </w:r>
          </w:p>
        </w:tc>
        <w:tc>
          <w:tcPr>
            <w:tcW w:w="360" w:type="dxa"/>
            <w:tcBorders>
              <w:right w:val="dashSmallGap" w:sz="4" w:space="0" w:color="auto"/>
            </w:tcBorders>
            <w:shd w:val="pct10" w:color="auto" w:fill="auto"/>
            <w:textDirection w:val="btLr"/>
            <w:vAlign w:val="center"/>
          </w:tcPr>
          <w:p>
            <w:pPr>
              <w:ind w:left="113" w:right="113"/>
              <w:jc w:val="center"/>
              <w:rPr>
                <w:noProof/>
                <w:sz w:val="18"/>
                <w:szCs w:val="18"/>
              </w:rPr>
            </w:pPr>
            <w:r>
              <w:rPr>
                <w:noProof/>
                <w:sz w:val="18"/>
              </w:rPr>
              <w:t>No</w:t>
            </w:r>
          </w:p>
        </w:tc>
        <w:tc>
          <w:tcPr>
            <w:tcW w:w="637" w:type="dxa"/>
            <w:tcBorders>
              <w:left w:val="dashSmallGap" w:sz="4" w:space="0" w:color="auto"/>
            </w:tcBorders>
            <w:shd w:val="pct10" w:color="auto" w:fill="auto"/>
            <w:vAlign w:val="center"/>
          </w:tcPr>
          <w:p>
            <w:pPr>
              <w:jc w:val="center"/>
              <w:rPr>
                <w:noProof/>
                <w:sz w:val="18"/>
                <w:szCs w:val="18"/>
              </w:rPr>
            </w:pPr>
            <w:r>
              <w:rPr>
                <w:noProof/>
                <w:sz w:val="18"/>
              </w:rPr>
              <w:t>Cost</w:t>
            </w:r>
          </w:p>
        </w:tc>
        <w:tc>
          <w:tcPr>
            <w:tcW w:w="360" w:type="dxa"/>
            <w:tcBorders>
              <w:right w:val="dashSmallGap" w:sz="4" w:space="0" w:color="auto"/>
            </w:tcBorders>
            <w:shd w:val="pct10" w:color="auto" w:fill="auto"/>
            <w:textDirection w:val="btLr"/>
            <w:vAlign w:val="center"/>
          </w:tcPr>
          <w:p>
            <w:pPr>
              <w:ind w:left="113" w:right="113"/>
              <w:jc w:val="center"/>
              <w:rPr>
                <w:noProof/>
                <w:sz w:val="18"/>
              </w:rPr>
            </w:pPr>
            <w:r>
              <w:rPr>
                <w:noProof/>
                <w:sz w:val="18"/>
              </w:rPr>
              <w:t>No</w:t>
            </w:r>
          </w:p>
        </w:tc>
        <w:tc>
          <w:tcPr>
            <w:tcW w:w="637" w:type="dxa"/>
            <w:tcBorders>
              <w:left w:val="dashSmallGap" w:sz="4" w:space="0" w:color="auto"/>
            </w:tcBorders>
            <w:shd w:val="pct10" w:color="auto" w:fill="auto"/>
            <w:vAlign w:val="center"/>
          </w:tcPr>
          <w:p>
            <w:pPr>
              <w:jc w:val="center"/>
              <w:rPr>
                <w:noProof/>
                <w:sz w:val="18"/>
              </w:rPr>
            </w:pPr>
            <w:r>
              <w:rPr>
                <w:noProof/>
                <w:sz w:val="18"/>
              </w:rPr>
              <w:t>Cost</w:t>
            </w:r>
          </w:p>
        </w:tc>
        <w:tc>
          <w:tcPr>
            <w:tcW w:w="596" w:type="dxa"/>
            <w:tcBorders>
              <w:right w:val="dashSmallGap" w:sz="4" w:space="0" w:color="auto"/>
            </w:tcBorders>
            <w:shd w:val="pct10" w:color="auto" w:fill="auto"/>
            <w:textDirection w:val="btLr"/>
            <w:vAlign w:val="center"/>
          </w:tcPr>
          <w:p>
            <w:pPr>
              <w:ind w:left="113" w:right="113"/>
              <w:jc w:val="center"/>
              <w:rPr>
                <w:noProof/>
                <w:sz w:val="18"/>
                <w:szCs w:val="18"/>
              </w:rPr>
            </w:pPr>
            <w:r>
              <w:rPr>
                <w:noProof/>
                <w:sz w:val="18"/>
              </w:rPr>
              <w:t>Total No</w:t>
            </w:r>
          </w:p>
        </w:tc>
        <w:tc>
          <w:tcPr>
            <w:tcW w:w="1320" w:type="dxa"/>
            <w:tcBorders>
              <w:left w:val="dashSmallGap" w:sz="4" w:space="0" w:color="auto"/>
              <w:right w:val="single" w:sz="12" w:space="0" w:color="auto"/>
            </w:tcBorders>
            <w:shd w:val="pct10" w:color="auto" w:fill="auto"/>
            <w:vAlign w:val="center"/>
          </w:tcPr>
          <w:p>
            <w:pPr>
              <w:jc w:val="center"/>
              <w:rPr>
                <w:noProof/>
                <w:sz w:val="18"/>
                <w:szCs w:val="18"/>
              </w:rPr>
            </w:pPr>
            <w:r>
              <w:rPr>
                <w:noProof/>
                <w:sz w:val="18"/>
              </w:rPr>
              <w:t>Total cost</w:t>
            </w:r>
          </w:p>
        </w:tc>
      </w:tr>
      <w:tr>
        <w:trPr>
          <w:jc w:val="center"/>
        </w:trPr>
        <w:tc>
          <w:tcPr>
            <w:tcW w:w="2802" w:type="dxa"/>
            <w:gridSpan w:val="3"/>
            <w:tcBorders>
              <w:left w:val="single" w:sz="12" w:space="0" w:color="auto"/>
            </w:tcBorders>
            <w:vAlign w:val="center"/>
          </w:tcPr>
          <w:p>
            <w:pPr>
              <w:spacing w:before="60" w:after="60"/>
              <w:ind w:right="-29"/>
              <w:jc w:val="center"/>
              <w:rPr>
                <w:noProof/>
                <w:sz w:val="18"/>
              </w:rPr>
            </w:pPr>
            <w:r>
              <w:rPr>
                <w:noProof/>
                <w:sz w:val="18"/>
              </w:rPr>
              <w:t>SPECIFIC OBJECTIVE No 1:</w:t>
            </w:r>
          </w:p>
          <w:p>
            <w:pPr>
              <w:spacing w:before="60" w:after="60"/>
              <w:ind w:right="-29"/>
              <w:jc w:val="center"/>
              <w:rPr>
                <w:noProof/>
                <w:sz w:val="18"/>
              </w:rPr>
            </w:pPr>
            <w:r>
              <w:rPr>
                <w:noProof/>
                <w:sz w:val="18"/>
              </w:rPr>
              <w:t>Integration of (Member State) national systems</w:t>
            </w:r>
          </w:p>
          <w:p>
            <w:pPr>
              <w:spacing w:before="60" w:after="60"/>
              <w:ind w:right="-29"/>
              <w:jc w:val="center"/>
              <w:rPr>
                <w:noProof/>
                <w:sz w:val="18"/>
                <w:szCs w:val="18"/>
              </w:rPr>
            </w:pPr>
          </w:p>
        </w:tc>
        <w:tc>
          <w:tcPr>
            <w:tcW w:w="303" w:type="dxa"/>
            <w:tcBorders>
              <w:right w:val="nil"/>
            </w:tcBorders>
          </w:tcPr>
          <w:p>
            <w:pPr>
              <w:spacing w:before="60" w:after="60"/>
              <w:ind w:right="-29"/>
              <w:jc w:val="center"/>
              <w:rPr>
                <w:noProof/>
                <w:sz w:val="18"/>
                <w:szCs w:val="18"/>
              </w:rPr>
            </w:pPr>
          </w:p>
        </w:tc>
        <w:tc>
          <w:tcPr>
            <w:tcW w:w="637" w:type="dxa"/>
            <w:tcBorders>
              <w:left w:val="nil"/>
              <w:bottom w:val="single" w:sz="4" w:space="0" w:color="auto"/>
            </w:tcBorders>
          </w:tcPr>
          <w:p>
            <w:pPr>
              <w:spacing w:before="60" w:after="60"/>
              <w:ind w:right="-29"/>
              <w:jc w:val="center"/>
              <w:rPr>
                <w:noProof/>
                <w:sz w:val="18"/>
                <w:szCs w:val="18"/>
              </w:rPr>
            </w:pPr>
          </w:p>
        </w:tc>
        <w:tc>
          <w:tcPr>
            <w:tcW w:w="330" w:type="dxa"/>
            <w:tcBorders>
              <w:top w:val="nil"/>
              <w:left w:val="nil"/>
              <w:bottom w:val="nil"/>
              <w:right w:val="nil"/>
            </w:tcBorders>
          </w:tcPr>
          <w:p>
            <w:pPr>
              <w:spacing w:before="60" w:after="60"/>
              <w:ind w:right="-29"/>
              <w:jc w:val="center"/>
              <w:rPr>
                <w:noProof/>
                <w:sz w:val="18"/>
                <w:szCs w:val="18"/>
              </w:rPr>
            </w:pPr>
          </w:p>
        </w:tc>
        <w:tc>
          <w:tcPr>
            <w:tcW w:w="637" w:type="dxa"/>
            <w:tcBorders>
              <w:top w:val="nil"/>
              <w:left w:val="nil"/>
              <w:bottom w:val="nil"/>
              <w:right w:val="nil"/>
            </w:tcBorders>
          </w:tcPr>
          <w:p>
            <w:pPr>
              <w:spacing w:before="60" w:after="60"/>
              <w:ind w:right="-29"/>
              <w:jc w:val="center"/>
              <w:rPr>
                <w:noProof/>
                <w:sz w:val="18"/>
                <w:szCs w:val="18"/>
              </w:rPr>
            </w:pPr>
          </w:p>
        </w:tc>
        <w:tc>
          <w:tcPr>
            <w:tcW w:w="596" w:type="dxa"/>
            <w:tcBorders>
              <w:top w:val="nil"/>
              <w:left w:val="nil"/>
              <w:bottom w:val="nil"/>
              <w:right w:val="nil"/>
            </w:tcBorders>
          </w:tcPr>
          <w:p>
            <w:pPr>
              <w:spacing w:before="60" w:after="60"/>
              <w:ind w:right="-29"/>
              <w:jc w:val="center"/>
              <w:rPr>
                <w:noProof/>
                <w:sz w:val="18"/>
                <w:szCs w:val="18"/>
              </w:rPr>
            </w:pPr>
          </w:p>
        </w:tc>
        <w:tc>
          <w:tcPr>
            <w:tcW w:w="840" w:type="dxa"/>
            <w:tcBorders>
              <w:top w:val="nil"/>
              <w:left w:val="nil"/>
              <w:bottom w:val="nil"/>
              <w:right w:val="nil"/>
            </w:tcBorders>
          </w:tcPr>
          <w:p>
            <w:pPr>
              <w:spacing w:before="60" w:after="60"/>
              <w:ind w:right="-29"/>
              <w:jc w:val="center"/>
              <w:rPr>
                <w:noProof/>
                <w:sz w:val="18"/>
                <w:szCs w:val="18"/>
              </w:rPr>
            </w:pPr>
          </w:p>
        </w:tc>
        <w:tc>
          <w:tcPr>
            <w:tcW w:w="596" w:type="dxa"/>
            <w:tcBorders>
              <w:top w:val="nil"/>
              <w:left w:val="nil"/>
              <w:bottom w:val="nil"/>
              <w:right w:val="nil"/>
            </w:tcBorders>
          </w:tcPr>
          <w:p>
            <w:pPr>
              <w:spacing w:before="60" w:after="60"/>
              <w:ind w:right="-29"/>
              <w:jc w:val="center"/>
              <w:rPr>
                <w:noProof/>
                <w:sz w:val="18"/>
                <w:szCs w:val="18"/>
              </w:rPr>
            </w:pPr>
          </w:p>
        </w:tc>
        <w:tc>
          <w:tcPr>
            <w:tcW w:w="840" w:type="dxa"/>
            <w:tcBorders>
              <w:top w:val="nil"/>
              <w:left w:val="nil"/>
              <w:bottom w:val="nil"/>
              <w:right w:val="nil"/>
            </w:tcBorders>
          </w:tcPr>
          <w:p>
            <w:pPr>
              <w:spacing w:before="60" w:after="60"/>
              <w:ind w:right="-29"/>
              <w:jc w:val="center"/>
              <w:rPr>
                <w:noProof/>
                <w:sz w:val="18"/>
                <w:szCs w:val="18"/>
              </w:rPr>
            </w:pPr>
          </w:p>
        </w:tc>
        <w:tc>
          <w:tcPr>
            <w:tcW w:w="596" w:type="dxa"/>
            <w:tcBorders>
              <w:top w:val="nil"/>
              <w:left w:val="nil"/>
              <w:bottom w:val="nil"/>
              <w:right w:val="nil"/>
            </w:tcBorders>
          </w:tcPr>
          <w:p>
            <w:pPr>
              <w:spacing w:before="60" w:after="60"/>
              <w:ind w:right="-29"/>
              <w:jc w:val="center"/>
              <w:rPr>
                <w:noProof/>
                <w:sz w:val="18"/>
                <w:szCs w:val="18"/>
              </w:rPr>
            </w:pPr>
          </w:p>
        </w:tc>
        <w:tc>
          <w:tcPr>
            <w:tcW w:w="772" w:type="dxa"/>
            <w:tcBorders>
              <w:top w:val="nil"/>
              <w:left w:val="nil"/>
              <w:bottom w:val="nil"/>
              <w:right w:val="nil"/>
            </w:tcBorders>
          </w:tcPr>
          <w:p>
            <w:pPr>
              <w:spacing w:before="60" w:after="60"/>
              <w:ind w:right="-29"/>
              <w:jc w:val="center"/>
              <w:rPr>
                <w:noProof/>
                <w:sz w:val="18"/>
                <w:szCs w:val="18"/>
              </w:rPr>
            </w:pPr>
          </w:p>
        </w:tc>
        <w:tc>
          <w:tcPr>
            <w:tcW w:w="360" w:type="dxa"/>
            <w:tcBorders>
              <w:top w:val="nil"/>
              <w:left w:val="nil"/>
              <w:bottom w:val="nil"/>
              <w:right w:val="nil"/>
            </w:tcBorders>
          </w:tcPr>
          <w:p>
            <w:pPr>
              <w:spacing w:before="60" w:after="60"/>
              <w:ind w:right="-29"/>
              <w:jc w:val="center"/>
              <w:rPr>
                <w:noProof/>
                <w:sz w:val="18"/>
                <w:szCs w:val="18"/>
              </w:rPr>
            </w:pPr>
          </w:p>
        </w:tc>
        <w:tc>
          <w:tcPr>
            <w:tcW w:w="637" w:type="dxa"/>
            <w:tcBorders>
              <w:top w:val="nil"/>
              <w:left w:val="nil"/>
              <w:bottom w:val="nil"/>
              <w:right w:val="nil"/>
            </w:tcBorders>
          </w:tcPr>
          <w:p>
            <w:pPr>
              <w:spacing w:before="60" w:after="60"/>
              <w:ind w:right="-29"/>
              <w:jc w:val="center"/>
              <w:rPr>
                <w:noProof/>
                <w:sz w:val="18"/>
                <w:szCs w:val="18"/>
              </w:rPr>
            </w:pPr>
          </w:p>
        </w:tc>
        <w:tc>
          <w:tcPr>
            <w:tcW w:w="360" w:type="dxa"/>
            <w:tcBorders>
              <w:top w:val="nil"/>
              <w:left w:val="nil"/>
              <w:bottom w:val="nil"/>
              <w:right w:val="nil"/>
            </w:tcBorders>
          </w:tcPr>
          <w:p>
            <w:pPr>
              <w:spacing w:before="60" w:after="60"/>
              <w:ind w:right="-29"/>
              <w:jc w:val="center"/>
              <w:rPr>
                <w:noProof/>
                <w:sz w:val="18"/>
                <w:szCs w:val="18"/>
              </w:rPr>
            </w:pPr>
          </w:p>
        </w:tc>
        <w:tc>
          <w:tcPr>
            <w:tcW w:w="637" w:type="dxa"/>
            <w:tcBorders>
              <w:top w:val="nil"/>
              <w:left w:val="nil"/>
              <w:bottom w:val="nil"/>
              <w:right w:val="nil"/>
            </w:tcBorders>
          </w:tcPr>
          <w:p>
            <w:pPr>
              <w:spacing w:before="60" w:after="60"/>
              <w:ind w:right="-29"/>
              <w:jc w:val="center"/>
              <w:rPr>
                <w:noProof/>
                <w:sz w:val="18"/>
                <w:szCs w:val="18"/>
              </w:rPr>
            </w:pPr>
          </w:p>
        </w:tc>
        <w:tc>
          <w:tcPr>
            <w:tcW w:w="360" w:type="dxa"/>
            <w:tcBorders>
              <w:top w:val="nil"/>
              <w:left w:val="nil"/>
              <w:bottom w:val="nil"/>
              <w:right w:val="nil"/>
            </w:tcBorders>
          </w:tcPr>
          <w:p>
            <w:pPr>
              <w:spacing w:before="60" w:after="60"/>
              <w:ind w:right="-29"/>
              <w:jc w:val="center"/>
              <w:rPr>
                <w:noProof/>
                <w:sz w:val="18"/>
                <w:szCs w:val="18"/>
              </w:rPr>
            </w:pPr>
          </w:p>
        </w:tc>
        <w:tc>
          <w:tcPr>
            <w:tcW w:w="637" w:type="dxa"/>
            <w:tcBorders>
              <w:top w:val="nil"/>
              <w:left w:val="nil"/>
              <w:bottom w:val="nil"/>
              <w:right w:val="nil"/>
            </w:tcBorders>
          </w:tcPr>
          <w:p>
            <w:pPr>
              <w:spacing w:before="60" w:after="60"/>
              <w:ind w:right="-29"/>
              <w:jc w:val="center"/>
              <w:rPr>
                <w:noProof/>
                <w:sz w:val="18"/>
                <w:szCs w:val="18"/>
              </w:rPr>
            </w:pPr>
          </w:p>
        </w:tc>
        <w:tc>
          <w:tcPr>
            <w:tcW w:w="997" w:type="dxa"/>
            <w:gridSpan w:val="2"/>
            <w:tcBorders>
              <w:top w:val="nil"/>
              <w:left w:val="nil"/>
              <w:bottom w:val="nil"/>
              <w:right w:val="nil"/>
            </w:tcBorders>
          </w:tcPr>
          <w:p>
            <w:pPr>
              <w:spacing w:before="60" w:after="60"/>
              <w:ind w:right="-29"/>
              <w:jc w:val="center"/>
              <w:rPr>
                <w:noProof/>
                <w:sz w:val="18"/>
                <w:szCs w:val="18"/>
              </w:rPr>
            </w:pPr>
          </w:p>
        </w:tc>
        <w:tc>
          <w:tcPr>
            <w:tcW w:w="596" w:type="dxa"/>
            <w:tcBorders>
              <w:top w:val="nil"/>
              <w:left w:val="nil"/>
              <w:bottom w:val="nil"/>
              <w:right w:val="nil"/>
            </w:tcBorders>
          </w:tcPr>
          <w:p>
            <w:pPr>
              <w:spacing w:before="60" w:after="60"/>
              <w:ind w:right="-29"/>
              <w:jc w:val="center"/>
              <w:rPr>
                <w:noProof/>
                <w:sz w:val="18"/>
                <w:szCs w:val="18"/>
              </w:rPr>
            </w:pPr>
          </w:p>
        </w:tc>
        <w:tc>
          <w:tcPr>
            <w:tcW w:w="1320" w:type="dxa"/>
            <w:tcBorders>
              <w:top w:val="nil"/>
              <w:left w:val="nil"/>
              <w:bottom w:val="single" w:sz="4" w:space="0" w:color="auto"/>
              <w:right w:val="single" w:sz="12" w:space="0" w:color="auto"/>
            </w:tcBorders>
          </w:tcPr>
          <w:p>
            <w:pPr>
              <w:spacing w:before="60" w:after="60"/>
              <w:ind w:right="-29"/>
              <w:jc w:val="center"/>
              <w:rPr>
                <w:noProof/>
                <w:sz w:val="18"/>
                <w:szCs w:val="18"/>
              </w:rPr>
            </w:pPr>
          </w:p>
        </w:tc>
      </w:tr>
      <w:tr>
        <w:trPr>
          <w:trHeight w:hRule="exact" w:val="1068"/>
          <w:jc w:val="center"/>
        </w:trPr>
        <w:tc>
          <w:tcPr>
            <w:tcW w:w="1422" w:type="dxa"/>
            <w:tcBorders>
              <w:left w:val="single" w:sz="12" w:space="0" w:color="auto"/>
            </w:tcBorders>
          </w:tcPr>
          <w:p>
            <w:pPr>
              <w:ind w:right="-29"/>
              <w:jc w:val="center"/>
              <w:rPr>
                <w:noProof/>
                <w:sz w:val="18"/>
                <w:szCs w:val="18"/>
              </w:rPr>
            </w:pPr>
            <w:r>
              <w:rPr>
                <w:noProof/>
                <w:sz w:val="18"/>
                <w:szCs w:val="18"/>
              </w:rPr>
              <w:t xml:space="preserve">NUI ready for use </w:t>
            </w:r>
          </w:p>
        </w:tc>
        <w:tc>
          <w:tcPr>
            <w:tcW w:w="1380" w:type="dxa"/>
            <w:gridSpan w:val="2"/>
          </w:tcPr>
          <w:p>
            <w:pPr>
              <w:ind w:right="-29"/>
              <w:jc w:val="center"/>
              <w:rPr>
                <w:noProof/>
                <w:sz w:val="18"/>
                <w:szCs w:val="18"/>
              </w:rPr>
            </w:pPr>
            <w:r>
              <w:rPr>
                <w:noProof/>
                <w:sz w:val="18"/>
                <w:szCs w:val="18"/>
              </w:rPr>
              <w:t>Customisation NUI - developments</w:t>
            </w:r>
          </w:p>
        </w:tc>
        <w:tc>
          <w:tcPr>
            <w:tcW w:w="303" w:type="dxa"/>
            <w:tcBorders>
              <w:right w:val="dashSmallGap" w:sz="4" w:space="0" w:color="auto"/>
            </w:tcBorders>
          </w:tcPr>
          <w:p>
            <w:pPr>
              <w:ind w:right="-29"/>
              <w:jc w:val="center"/>
              <w:rPr>
                <w:noProof/>
                <w:sz w:val="18"/>
                <w:szCs w:val="18"/>
              </w:rPr>
            </w:pPr>
          </w:p>
        </w:tc>
        <w:tc>
          <w:tcPr>
            <w:tcW w:w="637" w:type="dxa"/>
            <w:tcBorders>
              <w:left w:val="dashSmallGap" w:sz="4" w:space="0" w:color="auto"/>
              <w:bottom w:val="single" w:sz="4" w:space="0" w:color="auto"/>
            </w:tcBorders>
          </w:tcPr>
          <w:p>
            <w:pPr>
              <w:ind w:right="-29"/>
              <w:jc w:val="center"/>
              <w:rPr>
                <w:noProof/>
                <w:sz w:val="18"/>
                <w:szCs w:val="18"/>
              </w:rPr>
            </w:pPr>
          </w:p>
        </w:tc>
        <w:tc>
          <w:tcPr>
            <w:tcW w:w="330" w:type="dxa"/>
            <w:tcBorders>
              <w:right w:val="dashSmallGap" w:sz="4" w:space="0" w:color="auto"/>
            </w:tcBorders>
          </w:tcPr>
          <w:p>
            <w:pPr>
              <w:ind w:right="-29"/>
              <w:jc w:val="center"/>
              <w:rPr>
                <w:noProof/>
                <w:sz w:val="18"/>
                <w:szCs w:val="18"/>
              </w:rPr>
            </w:pPr>
          </w:p>
        </w:tc>
        <w:tc>
          <w:tcPr>
            <w:tcW w:w="637" w:type="dxa"/>
            <w:tcBorders>
              <w:left w:val="dashSmallGap" w:sz="4" w:space="0" w:color="auto"/>
            </w:tcBorders>
          </w:tcPr>
          <w:p>
            <w:pPr>
              <w:ind w:right="-29"/>
              <w:jc w:val="center"/>
              <w:rPr>
                <w:noProof/>
                <w:sz w:val="18"/>
                <w:szCs w:val="18"/>
              </w:rPr>
            </w:pPr>
          </w:p>
        </w:tc>
        <w:tc>
          <w:tcPr>
            <w:tcW w:w="596" w:type="dxa"/>
            <w:tcBorders>
              <w:right w:val="dashSmallGap" w:sz="4" w:space="0" w:color="auto"/>
            </w:tcBorders>
          </w:tcPr>
          <w:p>
            <w:pPr>
              <w:ind w:right="-29"/>
              <w:jc w:val="center"/>
              <w:rPr>
                <w:noProof/>
                <w:sz w:val="18"/>
                <w:szCs w:val="18"/>
              </w:rPr>
            </w:pPr>
            <w:r>
              <w:rPr>
                <w:noProof/>
                <w:sz w:val="18"/>
                <w:szCs w:val="18"/>
              </w:rPr>
              <w:t>30</w:t>
            </w:r>
          </w:p>
        </w:tc>
        <w:tc>
          <w:tcPr>
            <w:tcW w:w="840" w:type="dxa"/>
            <w:tcBorders>
              <w:left w:val="dashSmallGap" w:sz="4" w:space="0" w:color="auto"/>
            </w:tcBorders>
          </w:tcPr>
          <w:p>
            <w:pPr>
              <w:ind w:right="-29"/>
              <w:jc w:val="center"/>
              <w:rPr>
                <w:noProof/>
                <w:sz w:val="18"/>
                <w:szCs w:val="18"/>
              </w:rPr>
            </w:pPr>
            <w:r>
              <w:rPr>
                <w:noProof/>
                <w:sz w:val="18"/>
                <w:szCs w:val="18"/>
              </w:rPr>
              <w:t>3,150</w:t>
            </w:r>
          </w:p>
        </w:tc>
        <w:tc>
          <w:tcPr>
            <w:tcW w:w="596" w:type="dxa"/>
            <w:tcBorders>
              <w:right w:val="dashSmallGap" w:sz="4" w:space="0" w:color="auto"/>
            </w:tcBorders>
          </w:tcPr>
          <w:p>
            <w:pPr>
              <w:ind w:right="-29"/>
              <w:jc w:val="center"/>
              <w:rPr>
                <w:noProof/>
                <w:sz w:val="18"/>
                <w:szCs w:val="18"/>
              </w:rPr>
            </w:pPr>
            <w:r>
              <w:rPr>
                <w:noProof/>
                <w:sz w:val="18"/>
                <w:szCs w:val="18"/>
              </w:rPr>
              <w:t>30</w:t>
            </w:r>
          </w:p>
        </w:tc>
        <w:tc>
          <w:tcPr>
            <w:tcW w:w="840" w:type="dxa"/>
            <w:tcBorders>
              <w:left w:val="dashSmallGap" w:sz="4" w:space="0" w:color="auto"/>
            </w:tcBorders>
          </w:tcPr>
          <w:p>
            <w:pPr>
              <w:ind w:right="-29"/>
              <w:jc w:val="center"/>
              <w:rPr>
                <w:noProof/>
                <w:sz w:val="18"/>
                <w:szCs w:val="18"/>
              </w:rPr>
            </w:pPr>
            <w:r>
              <w:rPr>
                <w:noProof/>
                <w:sz w:val="18"/>
                <w:szCs w:val="18"/>
              </w:rPr>
              <w:t>3,150</w:t>
            </w:r>
          </w:p>
        </w:tc>
        <w:tc>
          <w:tcPr>
            <w:tcW w:w="596" w:type="dxa"/>
            <w:tcBorders>
              <w:right w:val="dashSmallGap" w:sz="4" w:space="0" w:color="auto"/>
            </w:tcBorders>
          </w:tcPr>
          <w:p>
            <w:pPr>
              <w:ind w:right="-29"/>
              <w:jc w:val="center"/>
              <w:rPr>
                <w:noProof/>
                <w:sz w:val="18"/>
                <w:szCs w:val="18"/>
              </w:rPr>
            </w:pPr>
          </w:p>
        </w:tc>
        <w:tc>
          <w:tcPr>
            <w:tcW w:w="772" w:type="dxa"/>
            <w:tcBorders>
              <w:left w:val="dashSmallGap" w:sz="4" w:space="0" w:color="auto"/>
            </w:tcBorders>
          </w:tcPr>
          <w:p>
            <w:pPr>
              <w:ind w:right="-29"/>
              <w:jc w:val="center"/>
              <w:rPr>
                <w:noProof/>
                <w:sz w:val="18"/>
                <w:szCs w:val="18"/>
              </w:rPr>
            </w:pPr>
          </w:p>
        </w:tc>
        <w:tc>
          <w:tcPr>
            <w:tcW w:w="360" w:type="dxa"/>
            <w:tcBorders>
              <w:right w:val="dashSmallGap" w:sz="4" w:space="0" w:color="auto"/>
            </w:tcBorders>
          </w:tcPr>
          <w:p>
            <w:pPr>
              <w:ind w:right="-29"/>
              <w:jc w:val="center"/>
              <w:rPr>
                <w:noProof/>
                <w:sz w:val="18"/>
                <w:szCs w:val="18"/>
              </w:rPr>
            </w:pPr>
          </w:p>
        </w:tc>
        <w:tc>
          <w:tcPr>
            <w:tcW w:w="637" w:type="dxa"/>
            <w:tcBorders>
              <w:left w:val="dashSmallGap" w:sz="4" w:space="0" w:color="auto"/>
            </w:tcBorders>
          </w:tcPr>
          <w:p>
            <w:pPr>
              <w:ind w:right="-29"/>
              <w:jc w:val="center"/>
              <w:rPr>
                <w:noProof/>
                <w:sz w:val="18"/>
                <w:szCs w:val="18"/>
              </w:rPr>
            </w:pPr>
          </w:p>
        </w:tc>
        <w:tc>
          <w:tcPr>
            <w:tcW w:w="360" w:type="dxa"/>
            <w:tcBorders>
              <w:right w:val="dashSmallGap" w:sz="4" w:space="0" w:color="auto"/>
            </w:tcBorders>
          </w:tcPr>
          <w:p>
            <w:pPr>
              <w:ind w:right="-29"/>
              <w:jc w:val="center"/>
              <w:rPr>
                <w:noProof/>
                <w:sz w:val="18"/>
                <w:szCs w:val="18"/>
              </w:rPr>
            </w:pPr>
          </w:p>
        </w:tc>
        <w:tc>
          <w:tcPr>
            <w:tcW w:w="637" w:type="dxa"/>
            <w:tcBorders>
              <w:left w:val="dashSmallGap" w:sz="4" w:space="0" w:color="auto"/>
            </w:tcBorders>
          </w:tcPr>
          <w:p>
            <w:pPr>
              <w:ind w:right="-29"/>
              <w:jc w:val="center"/>
              <w:rPr>
                <w:noProof/>
                <w:sz w:val="18"/>
                <w:szCs w:val="18"/>
              </w:rPr>
            </w:pPr>
          </w:p>
        </w:tc>
        <w:tc>
          <w:tcPr>
            <w:tcW w:w="360" w:type="dxa"/>
            <w:tcBorders>
              <w:right w:val="dashSmallGap" w:sz="4" w:space="0" w:color="auto"/>
            </w:tcBorders>
          </w:tcPr>
          <w:p>
            <w:pPr>
              <w:ind w:right="-29"/>
              <w:jc w:val="center"/>
              <w:rPr>
                <w:noProof/>
                <w:sz w:val="18"/>
                <w:szCs w:val="18"/>
              </w:rPr>
            </w:pPr>
          </w:p>
        </w:tc>
        <w:tc>
          <w:tcPr>
            <w:tcW w:w="637" w:type="dxa"/>
            <w:tcBorders>
              <w:left w:val="dashSmallGap" w:sz="4" w:space="0" w:color="auto"/>
            </w:tcBorders>
          </w:tcPr>
          <w:p>
            <w:pPr>
              <w:ind w:right="-29"/>
              <w:jc w:val="center"/>
              <w:rPr>
                <w:noProof/>
                <w:sz w:val="18"/>
                <w:szCs w:val="18"/>
              </w:rPr>
            </w:pPr>
          </w:p>
        </w:tc>
        <w:tc>
          <w:tcPr>
            <w:tcW w:w="360" w:type="dxa"/>
            <w:tcBorders>
              <w:right w:val="dashSmallGap" w:sz="4" w:space="0" w:color="auto"/>
            </w:tcBorders>
          </w:tcPr>
          <w:p>
            <w:pPr>
              <w:ind w:right="-29"/>
              <w:jc w:val="center"/>
              <w:rPr>
                <w:noProof/>
                <w:sz w:val="18"/>
                <w:szCs w:val="18"/>
              </w:rPr>
            </w:pPr>
          </w:p>
        </w:tc>
        <w:tc>
          <w:tcPr>
            <w:tcW w:w="637" w:type="dxa"/>
            <w:tcBorders>
              <w:left w:val="dashSmallGap" w:sz="4" w:space="0" w:color="auto"/>
              <w:bottom w:val="single" w:sz="4" w:space="0" w:color="auto"/>
            </w:tcBorders>
          </w:tcPr>
          <w:p>
            <w:pPr>
              <w:ind w:right="-29"/>
              <w:jc w:val="center"/>
              <w:rPr>
                <w:noProof/>
                <w:sz w:val="18"/>
                <w:szCs w:val="18"/>
              </w:rPr>
            </w:pPr>
          </w:p>
        </w:tc>
        <w:tc>
          <w:tcPr>
            <w:tcW w:w="596" w:type="dxa"/>
            <w:tcBorders>
              <w:right w:val="dashSmallGap" w:sz="4" w:space="0" w:color="auto"/>
            </w:tcBorders>
          </w:tcPr>
          <w:p>
            <w:pPr>
              <w:ind w:right="-29"/>
              <w:jc w:val="center"/>
              <w:rPr>
                <w:noProof/>
                <w:sz w:val="18"/>
                <w:szCs w:val="18"/>
              </w:rPr>
            </w:pPr>
            <w:r>
              <w:rPr>
                <w:noProof/>
                <w:sz w:val="18"/>
                <w:szCs w:val="18"/>
              </w:rPr>
              <w:t>30</w:t>
            </w:r>
          </w:p>
        </w:tc>
        <w:tc>
          <w:tcPr>
            <w:tcW w:w="1320" w:type="dxa"/>
            <w:tcBorders>
              <w:left w:val="dashSmallGap" w:sz="4" w:space="0" w:color="auto"/>
              <w:bottom w:val="single" w:sz="4" w:space="0" w:color="auto"/>
              <w:right w:val="single" w:sz="12" w:space="0" w:color="auto"/>
            </w:tcBorders>
          </w:tcPr>
          <w:p>
            <w:pPr>
              <w:ind w:right="-29"/>
              <w:jc w:val="center"/>
              <w:rPr>
                <w:noProof/>
                <w:sz w:val="18"/>
                <w:szCs w:val="18"/>
              </w:rPr>
            </w:pPr>
            <w:r>
              <w:rPr>
                <w:noProof/>
                <w:sz w:val="18"/>
                <w:szCs w:val="18"/>
              </w:rPr>
              <w:t>6,300</w:t>
            </w:r>
          </w:p>
        </w:tc>
      </w:tr>
      <w:tr>
        <w:trPr>
          <w:trHeight w:hRule="exact" w:val="842"/>
          <w:jc w:val="center"/>
        </w:trPr>
        <w:tc>
          <w:tcPr>
            <w:tcW w:w="1422" w:type="dxa"/>
            <w:tcBorders>
              <w:left w:val="single" w:sz="12" w:space="0" w:color="auto"/>
            </w:tcBorders>
          </w:tcPr>
          <w:p>
            <w:pPr>
              <w:ind w:right="-29"/>
              <w:rPr>
                <w:noProof/>
                <w:sz w:val="18"/>
                <w:szCs w:val="18"/>
              </w:rPr>
            </w:pPr>
            <w:r>
              <w:rPr>
                <w:noProof/>
                <w:sz w:val="18"/>
                <w:szCs w:val="18"/>
              </w:rPr>
              <w:t>MS systems adapted for interoperability</w:t>
            </w:r>
          </w:p>
        </w:tc>
        <w:tc>
          <w:tcPr>
            <w:tcW w:w="1380" w:type="dxa"/>
            <w:gridSpan w:val="2"/>
          </w:tcPr>
          <w:p>
            <w:pPr>
              <w:ind w:right="-29"/>
              <w:jc w:val="center"/>
              <w:rPr>
                <w:noProof/>
                <w:sz w:val="18"/>
                <w:szCs w:val="18"/>
              </w:rPr>
            </w:pPr>
            <w:r>
              <w:rPr>
                <w:noProof/>
                <w:sz w:val="18"/>
                <w:szCs w:val="18"/>
              </w:rPr>
              <w:t>Integration costs</w:t>
            </w:r>
          </w:p>
        </w:tc>
        <w:tc>
          <w:tcPr>
            <w:tcW w:w="303" w:type="dxa"/>
            <w:tcBorders>
              <w:right w:val="dashSmallGap" w:sz="4" w:space="0" w:color="auto"/>
            </w:tcBorders>
          </w:tcPr>
          <w:p>
            <w:pPr>
              <w:ind w:right="-29"/>
              <w:jc w:val="center"/>
              <w:rPr>
                <w:noProof/>
                <w:sz w:val="18"/>
                <w:szCs w:val="18"/>
              </w:rPr>
            </w:pPr>
          </w:p>
        </w:tc>
        <w:tc>
          <w:tcPr>
            <w:tcW w:w="637" w:type="dxa"/>
            <w:tcBorders>
              <w:left w:val="dashSmallGap" w:sz="4" w:space="0" w:color="auto"/>
              <w:bottom w:val="single" w:sz="4" w:space="0" w:color="auto"/>
            </w:tcBorders>
          </w:tcPr>
          <w:p>
            <w:pPr>
              <w:ind w:right="-29"/>
              <w:jc w:val="center"/>
              <w:rPr>
                <w:noProof/>
                <w:sz w:val="18"/>
                <w:szCs w:val="18"/>
              </w:rPr>
            </w:pPr>
          </w:p>
        </w:tc>
        <w:tc>
          <w:tcPr>
            <w:tcW w:w="330" w:type="dxa"/>
            <w:tcBorders>
              <w:right w:val="dashSmallGap" w:sz="4" w:space="0" w:color="auto"/>
            </w:tcBorders>
          </w:tcPr>
          <w:p>
            <w:pPr>
              <w:ind w:right="-29"/>
              <w:jc w:val="center"/>
              <w:rPr>
                <w:noProof/>
                <w:sz w:val="18"/>
                <w:szCs w:val="18"/>
              </w:rPr>
            </w:pPr>
          </w:p>
        </w:tc>
        <w:tc>
          <w:tcPr>
            <w:tcW w:w="637" w:type="dxa"/>
            <w:tcBorders>
              <w:left w:val="dashSmallGap" w:sz="4" w:space="0" w:color="auto"/>
              <w:bottom w:val="single" w:sz="4" w:space="0" w:color="auto"/>
            </w:tcBorders>
          </w:tcPr>
          <w:p>
            <w:pPr>
              <w:ind w:right="-29"/>
              <w:jc w:val="center"/>
              <w:rPr>
                <w:noProof/>
                <w:sz w:val="18"/>
                <w:szCs w:val="18"/>
              </w:rPr>
            </w:pPr>
          </w:p>
        </w:tc>
        <w:tc>
          <w:tcPr>
            <w:tcW w:w="596" w:type="dxa"/>
            <w:tcBorders>
              <w:right w:val="dashSmallGap" w:sz="4" w:space="0" w:color="auto"/>
            </w:tcBorders>
          </w:tcPr>
          <w:p>
            <w:pPr>
              <w:ind w:right="-29"/>
              <w:jc w:val="center"/>
              <w:rPr>
                <w:noProof/>
                <w:sz w:val="18"/>
                <w:szCs w:val="18"/>
              </w:rPr>
            </w:pPr>
            <w:r>
              <w:rPr>
                <w:noProof/>
                <w:sz w:val="18"/>
                <w:szCs w:val="18"/>
              </w:rPr>
              <w:t>30</w:t>
            </w:r>
          </w:p>
        </w:tc>
        <w:tc>
          <w:tcPr>
            <w:tcW w:w="840" w:type="dxa"/>
            <w:tcBorders>
              <w:left w:val="dashSmallGap" w:sz="4" w:space="0" w:color="auto"/>
              <w:bottom w:val="single" w:sz="4" w:space="0" w:color="auto"/>
            </w:tcBorders>
          </w:tcPr>
          <w:p>
            <w:pPr>
              <w:ind w:right="-29"/>
              <w:jc w:val="center"/>
              <w:rPr>
                <w:noProof/>
                <w:sz w:val="18"/>
                <w:szCs w:val="18"/>
              </w:rPr>
            </w:pPr>
            <w:r>
              <w:rPr>
                <w:noProof/>
                <w:sz w:val="18"/>
                <w:szCs w:val="18"/>
              </w:rPr>
              <w:t>40,000</w:t>
            </w:r>
          </w:p>
        </w:tc>
        <w:tc>
          <w:tcPr>
            <w:tcW w:w="596" w:type="dxa"/>
            <w:tcBorders>
              <w:right w:val="dashSmallGap" w:sz="4" w:space="0" w:color="auto"/>
            </w:tcBorders>
          </w:tcPr>
          <w:p>
            <w:pPr>
              <w:ind w:right="-29"/>
              <w:jc w:val="center"/>
              <w:rPr>
                <w:noProof/>
                <w:sz w:val="18"/>
                <w:szCs w:val="18"/>
              </w:rPr>
            </w:pPr>
            <w:r>
              <w:rPr>
                <w:noProof/>
                <w:sz w:val="18"/>
                <w:szCs w:val="18"/>
              </w:rPr>
              <w:t>30</w:t>
            </w:r>
          </w:p>
        </w:tc>
        <w:tc>
          <w:tcPr>
            <w:tcW w:w="840" w:type="dxa"/>
            <w:tcBorders>
              <w:left w:val="dashSmallGap" w:sz="4" w:space="0" w:color="auto"/>
              <w:bottom w:val="single" w:sz="4" w:space="0" w:color="auto"/>
            </w:tcBorders>
          </w:tcPr>
          <w:p>
            <w:pPr>
              <w:ind w:right="-29"/>
              <w:jc w:val="center"/>
              <w:rPr>
                <w:noProof/>
                <w:sz w:val="18"/>
                <w:szCs w:val="18"/>
              </w:rPr>
            </w:pPr>
            <w:r>
              <w:rPr>
                <w:noProof/>
                <w:sz w:val="18"/>
                <w:szCs w:val="18"/>
              </w:rPr>
              <w:t>40,000</w:t>
            </w:r>
          </w:p>
        </w:tc>
        <w:tc>
          <w:tcPr>
            <w:tcW w:w="596" w:type="dxa"/>
            <w:tcBorders>
              <w:right w:val="dashSmallGap" w:sz="4" w:space="0" w:color="auto"/>
            </w:tcBorders>
          </w:tcPr>
          <w:p>
            <w:pPr>
              <w:ind w:right="-29"/>
              <w:jc w:val="center"/>
              <w:rPr>
                <w:noProof/>
                <w:sz w:val="18"/>
                <w:szCs w:val="18"/>
              </w:rPr>
            </w:pPr>
            <w:r>
              <w:rPr>
                <w:noProof/>
                <w:sz w:val="18"/>
                <w:szCs w:val="18"/>
              </w:rPr>
              <w:t>30</w:t>
            </w:r>
          </w:p>
        </w:tc>
        <w:tc>
          <w:tcPr>
            <w:tcW w:w="772" w:type="dxa"/>
            <w:tcBorders>
              <w:left w:val="dashSmallGap" w:sz="4" w:space="0" w:color="auto"/>
              <w:bottom w:val="single" w:sz="4" w:space="0" w:color="auto"/>
            </w:tcBorders>
          </w:tcPr>
          <w:p>
            <w:pPr>
              <w:ind w:right="-29"/>
              <w:jc w:val="center"/>
              <w:rPr>
                <w:noProof/>
                <w:sz w:val="18"/>
                <w:szCs w:val="18"/>
              </w:rPr>
            </w:pPr>
            <w:r>
              <w:rPr>
                <w:noProof/>
                <w:sz w:val="18"/>
                <w:szCs w:val="18"/>
              </w:rPr>
              <w:t>40,000</w:t>
            </w:r>
          </w:p>
        </w:tc>
        <w:tc>
          <w:tcPr>
            <w:tcW w:w="360" w:type="dxa"/>
            <w:tcBorders>
              <w:right w:val="dashSmallGap" w:sz="4" w:space="0" w:color="auto"/>
            </w:tcBorders>
          </w:tcPr>
          <w:p>
            <w:pPr>
              <w:ind w:right="-29"/>
              <w:jc w:val="center"/>
              <w:rPr>
                <w:noProof/>
                <w:sz w:val="18"/>
                <w:szCs w:val="18"/>
              </w:rPr>
            </w:pPr>
          </w:p>
        </w:tc>
        <w:tc>
          <w:tcPr>
            <w:tcW w:w="637" w:type="dxa"/>
            <w:tcBorders>
              <w:left w:val="dashSmallGap" w:sz="4" w:space="0" w:color="auto"/>
              <w:bottom w:val="single" w:sz="4" w:space="0" w:color="auto"/>
            </w:tcBorders>
          </w:tcPr>
          <w:p>
            <w:pPr>
              <w:ind w:right="-29"/>
              <w:jc w:val="center"/>
              <w:rPr>
                <w:noProof/>
                <w:sz w:val="18"/>
                <w:szCs w:val="18"/>
              </w:rPr>
            </w:pPr>
          </w:p>
        </w:tc>
        <w:tc>
          <w:tcPr>
            <w:tcW w:w="360" w:type="dxa"/>
            <w:tcBorders>
              <w:right w:val="dashSmallGap" w:sz="4" w:space="0" w:color="auto"/>
            </w:tcBorders>
          </w:tcPr>
          <w:p>
            <w:pPr>
              <w:ind w:right="-29"/>
              <w:jc w:val="center"/>
              <w:rPr>
                <w:noProof/>
                <w:sz w:val="18"/>
                <w:szCs w:val="18"/>
              </w:rPr>
            </w:pPr>
          </w:p>
        </w:tc>
        <w:tc>
          <w:tcPr>
            <w:tcW w:w="637" w:type="dxa"/>
            <w:tcBorders>
              <w:left w:val="dashSmallGap" w:sz="4" w:space="0" w:color="auto"/>
              <w:bottom w:val="single" w:sz="4" w:space="0" w:color="auto"/>
            </w:tcBorders>
          </w:tcPr>
          <w:p>
            <w:pPr>
              <w:ind w:right="-29"/>
              <w:jc w:val="center"/>
              <w:rPr>
                <w:noProof/>
                <w:sz w:val="18"/>
                <w:szCs w:val="18"/>
              </w:rPr>
            </w:pPr>
          </w:p>
        </w:tc>
        <w:tc>
          <w:tcPr>
            <w:tcW w:w="360" w:type="dxa"/>
            <w:tcBorders>
              <w:right w:val="dashSmallGap" w:sz="4" w:space="0" w:color="auto"/>
            </w:tcBorders>
          </w:tcPr>
          <w:p>
            <w:pPr>
              <w:ind w:right="-29"/>
              <w:jc w:val="center"/>
              <w:rPr>
                <w:noProof/>
                <w:sz w:val="18"/>
                <w:szCs w:val="18"/>
              </w:rPr>
            </w:pPr>
          </w:p>
        </w:tc>
        <w:tc>
          <w:tcPr>
            <w:tcW w:w="637" w:type="dxa"/>
            <w:tcBorders>
              <w:left w:val="dashSmallGap" w:sz="4" w:space="0" w:color="auto"/>
              <w:bottom w:val="single" w:sz="4" w:space="0" w:color="auto"/>
            </w:tcBorders>
          </w:tcPr>
          <w:p>
            <w:pPr>
              <w:ind w:right="-29"/>
              <w:jc w:val="center"/>
              <w:rPr>
                <w:noProof/>
                <w:sz w:val="18"/>
                <w:szCs w:val="18"/>
              </w:rPr>
            </w:pPr>
          </w:p>
        </w:tc>
        <w:tc>
          <w:tcPr>
            <w:tcW w:w="360" w:type="dxa"/>
            <w:tcBorders>
              <w:right w:val="dashSmallGap" w:sz="4" w:space="0" w:color="auto"/>
            </w:tcBorders>
          </w:tcPr>
          <w:p>
            <w:pPr>
              <w:ind w:right="-29"/>
              <w:jc w:val="center"/>
              <w:rPr>
                <w:noProof/>
                <w:sz w:val="18"/>
                <w:szCs w:val="18"/>
              </w:rPr>
            </w:pPr>
          </w:p>
        </w:tc>
        <w:tc>
          <w:tcPr>
            <w:tcW w:w="637" w:type="dxa"/>
            <w:tcBorders>
              <w:left w:val="dashSmallGap" w:sz="4" w:space="0" w:color="auto"/>
              <w:bottom w:val="single" w:sz="4" w:space="0" w:color="auto"/>
            </w:tcBorders>
          </w:tcPr>
          <w:p>
            <w:pPr>
              <w:ind w:right="-29"/>
              <w:jc w:val="center"/>
              <w:rPr>
                <w:noProof/>
                <w:sz w:val="18"/>
                <w:szCs w:val="18"/>
              </w:rPr>
            </w:pPr>
          </w:p>
        </w:tc>
        <w:tc>
          <w:tcPr>
            <w:tcW w:w="596" w:type="dxa"/>
            <w:tcBorders>
              <w:right w:val="dashSmallGap" w:sz="4" w:space="0" w:color="auto"/>
            </w:tcBorders>
          </w:tcPr>
          <w:p>
            <w:pPr>
              <w:ind w:right="-29"/>
              <w:jc w:val="center"/>
              <w:rPr>
                <w:noProof/>
                <w:sz w:val="18"/>
                <w:szCs w:val="18"/>
              </w:rPr>
            </w:pPr>
            <w:r>
              <w:rPr>
                <w:noProof/>
                <w:sz w:val="18"/>
                <w:szCs w:val="18"/>
              </w:rPr>
              <w:t>30</w:t>
            </w:r>
          </w:p>
        </w:tc>
        <w:tc>
          <w:tcPr>
            <w:tcW w:w="1320" w:type="dxa"/>
            <w:tcBorders>
              <w:left w:val="dashSmallGap" w:sz="4" w:space="0" w:color="auto"/>
              <w:bottom w:val="single" w:sz="4" w:space="0" w:color="auto"/>
              <w:right w:val="single" w:sz="12" w:space="0" w:color="auto"/>
            </w:tcBorders>
          </w:tcPr>
          <w:p>
            <w:pPr>
              <w:ind w:right="-29"/>
              <w:jc w:val="center"/>
              <w:rPr>
                <w:noProof/>
                <w:sz w:val="18"/>
                <w:szCs w:val="18"/>
              </w:rPr>
            </w:pPr>
            <w:r>
              <w:rPr>
                <w:noProof/>
                <w:sz w:val="18"/>
                <w:szCs w:val="18"/>
              </w:rPr>
              <w:t>120,000</w:t>
            </w:r>
          </w:p>
        </w:tc>
      </w:tr>
      <w:tr>
        <w:trPr>
          <w:trHeight w:hRule="exact" w:val="983"/>
          <w:jc w:val="center"/>
        </w:trPr>
        <w:tc>
          <w:tcPr>
            <w:tcW w:w="1422" w:type="dxa"/>
            <w:tcBorders>
              <w:left w:val="single" w:sz="12" w:space="0" w:color="auto"/>
            </w:tcBorders>
          </w:tcPr>
          <w:p>
            <w:pPr>
              <w:ind w:right="-29"/>
              <w:jc w:val="center"/>
              <w:rPr>
                <w:noProof/>
                <w:sz w:val="18"/>
                <w:szCs w:val="18"/>
              </w:rPr>
            </w:pPr>
            <w:r>
              <w:rPr>
                <w:noProof/>
                <w:sz w:val="18"/>
                <w:szCs w:val="18"/>
              </w:rPr>
              <w:t xml:space="preserve">End-users trained </w:t>
            </w:r>
          </w:p>
        </w:tc>
        <w:tc>
          <w:tcPr>
            <w:tcW w:w="1380" w:type="dxa"/>
            <w:gridSpan w:val="2"/>
          </w:tcPr>
          <w:p>
            <w:pPr>
              <w:ind w:right="-29"/>
              <w:jc w:val="center"/>
              <w:rPr>
                <w:noProof/>
                <w:sz w:val="18"/>
                <w:szCs w:val="18"/>
              </w:rPr>
            </w:pPr>
            <w:r>
              <w:rPr>
                <w:noProof/>
                <w:sz w:val="18"/>
                <w:szCs w:val="18"/>
              </w:rPr>
              <w:t>10.000 end—user sessions in total @ €1000 per session</w:t>
            </w:r>
          </w:p>
        </w:tc>
        <w:tc>
          <w:tcPr>
            <w:tcW w:w="303" w:type="dxa"/>
            <w:tcBorders>
              <w:right w:val="dashSmallGap" w:sz="4" w:space="0" w:color="auto"/>
            </w:tcBorders>
          </w:tcPr>
          <w:p>
            <w:pPr>
              <w:ind w:right="-29"/>
              <w:jc w:val="center"/>
              <w:rPr>
                <w:noProof/>
                <w:sz w:val="18"/>
                <w:szCs w:val="18"/>
              </w:rPr>
            </w:pPr>
          </w:p>
        </w:tc>
        <w:tc>
          <w:tcPr>
            <w:tcW w:w="637" w:type="dxa"/>
            <w:tcBorders>
              <w:left w:val="dashSmallGap" w:sz="4" w:space="0" w:color="auto"/>
              <w:bottom w:val="single" w:sz="4" w:space="0" w:color="auto"/>
            </w:tcBorders>
          </w:tcPr>
          <w:p>
            <w:pPr>
              <w:ind w:right="-29"/>
              <w:jc w:val="center"/>
              <w:rPr>
                <w:noProof/>
                <w:sz w:val="18"/>
                <w:szCs w:val="18"/>
              </w:rPr>
            </w:pPr>
          </w:p>
        </w:tc>
        <w:tc>
          <w:tcPr>
            <w:tcW w:w="330" w:type="dxa"/>
            <w:tcBorders>
              <w:right w:val="dashSmallGap" w:sz="4" w:space="0" w:color="auto"/>
            </w:tcBorders>
          </w:tcPr>
          <w:p>
            <w:pPr>
              <w:ind w:right="-29"/>
              <w:jc w:val="center"/>
              <w:rPr>
                <w:noProof/>
                <w:sz w:val="18"/>
                <w:szCs w:val="18"/>
              </w:rPr>
            </w:pPr>
          </w:p>
        </w:tc>
        <w:tc>
          <w:tcPr>
            <w:tcW w:w="637" w:type="dxa"/>
            <w:tcBorders>
              <w:left w:val="dashSmallGap" w:sz="4" w:space="0" w:color="auto"/>
              <w:bottom w:val="single" w:sz="4" w:space="0" w:color="auto"/>
            </w:tcBorders>
          </w:tcPr>
          <w:p>
            <w:pPr>
              <w:ind w:right="-29"/>
              <w:jc w:val="center"/>
              <w:rPr>
                <w:noProof/>
                <w:sz w:val="18"/>
                <w:szCs w:val="18"/>
              </w:rPr>
            </w:pPr>
          </w:p>
        </w:tc>
        <w:tc>
          <w:tcPr>
            <w:tcW w:w="596" w:type="dxa"/>
            <w:tcBorders>
              <w:right w:val="dashSmallGap" w:sz="4" w:space="0" w:color="auto"/>
            </w:tcBorders>
          </w:tcPr>
          <w:p>
            <w:pPr>
              <w:ind w:right="-29"/>
              <w:jc w:val="center"/>
              <w:rPr>
                <w:noProof/>
                <w:sz w:val="18"/>
                <w:szCs w:val="18"/>
              </w:rPr>
            </w:pPr>
          </w:p>
        </w:tc>
        <w:tc>
          <w:tcPr>
            <w:tcW w:w="840" w:type="dxa"/>
            <w:tcBorders>
              <w:top w:val="single" w:sz="4" w:space="0" w:color="auto"/>
              <w:left w:val="dashSmallGap" w:sz="4" w:space="0" w:color="auto"/>
              <w:bottom w:val="single" w:sz="4" w:space="0" w:color="auto"/>
              <w:right w:val="single" w:sz="4" w:space="0" w:color="auto"/>
            </w:tcBorders>
          </w:tcPr>
          <w:p>
            <w:pPr>
              <w:ind w:right="-29"/>
              <w:jc w:val="center"/>
              <w:rPr>
                <w:noProof/>
                <w:sz w:val="18"/>
                <w:szCs w:val="18"/>
              </w:rPr>
            </w:pPr>
          </w:p>
        </w:tc>
        <w:tc>
          <w:tcPr>
            <w:tcW w:w="596" w:type="dxa"/>
            <w:tcBorders>
              <w:left w:val="single" w:sz="4" w:space="0" w:color="auto"/>
              <w:right w:val="dashSmallGap" w:sz="4" w:space="0" w:color="auto"/>
            </w:tcBorders>
          </w:tcPr>
          <w:p>
            <w:pPr>
              <w:ind w:right="-29"/>
              <w:jc w:val="center"/>
              <w:rPr>
                <w:noProof/>
                <w:sz w:val="18"/>
                <w:szCs w:val="18"/>
              </w:rPr>
            </w:pPr>
            <w:r>
              <w:rPr>
                <w:noProof/>
                <w:sz w:val="18"/>
                <w:szCs w:val="18"/>
              </w:rPr>
              <w:t>5000</w:t>
            </w:r>
          </w:p>
        </w:tc>
        <w:tc>
          <w:tcPr>
            <w:tcW w:w="840" w:type="dxa"/>
            <w:tcBorders>
              <w:left w:val="dashSmallGap" w:sz="4" w:space="0" w:color="auto"/>
              <w:bottom w:val="single" w:sz="4" w:space="0" w:color="auto"/>
            </w:tcBorders>
          </w:tcPr>
          <w:p>
            <w:pPr>
              <w:ind w:right="-29"/>
              <w:jc w:val="center"/>
              <w:rPr>
                <w:noProof/>
                <w:sz w:val="18"/>
                <w:szCs w:val="18"/>
              </w:rPr>
            </w:pPr>
            <w:r>
              <w:rPr>
                <w:noProof/>
                <w:sz w:val="18"/>
                <w:szCs w:val="18"/>
              </w:rPr>
              <w:t>5,000</w:t>
            </w:r>
          </w:p>
        </w:tc>
        <w:tc>
          <w:tcPr>
            <w:tcW w:w="596" w:type="dxa"/>
            <w:tcBorders>
              <w:right w:val="dashSmallGap" w:sz="4" w:space="0" w:color="auto"/>
            </w:tcBorders>
          </w:tcPr>
          <w:p>
            <w:pPr>
              <w:ind w:right="-29"/>
              <w:jc w:val="center"/>
              <w:rPr>
                <w:noProof/>
                <w:sz w:val="18"/>
                <w:szCs w:val="18"/>
              </w:rPr>
            </w:pPr>
            <w:r>
              <w:rPr>
                <w:noProof/>
                <w:sz w:val="18"/>
                <w:szCs w:val="18"/>
              </w:rPr>
              <w:t>5000</w:t>
            </w:r>
          </w:p>
        </w:tc>
        <w:tc>
          <w:tcPr>
            <w:tcW w:w="772" w:type="dxa"/>
            <w:tcBorders>
              <w:left w:val="dashSmallGap" w:sz="4" w:space="0" w:color="auto"/>
              <w:bottom w:val="single" w:sz="4" w:space="0" w:color="auto"/>
            </w:tcBorders>
          </w:tcPr>
          <w:p>
            <w:pPr>
              <w:ind w:right="-29"/>
              <w:jc w:val="center"/>
              <w:rPr>
                <w:noProof/>
                <w:sz w:val="18"/>
                <w:szCs w:val="18"/>
              </w:rPr>
            </w:pPr>
            <w:r>
              <w:rPr>
                <w:noProof/>
                <w:sz w:val="18"/>
                <w:szCs w:val="18"/>
              </w:rPr>
              <w:t>5,000</w:t>
            </w:r>
          </w:p>
        </w:tc>
        <w:tc>
          <w:tcPr>
            <w:tcW w:w="360" w:type="dxa"/>
            <w:tcBorders>
              <w:right w:val="dashSmallGap" w:sz="4" w:space="0" w:color="auto"/>
            </w:tcBorders>
          </w:tcPr>
          <w:p>
            <w:pPr>
              <w:ind w:right="-29"/>
              <w:jc w:val="center"/>
              <w:rPr>
                <w:noProof/>
                <w:sz w:val="18"/>
                <w:szCs w:val="18"/>
              </w:rPr>
            </w:pPr>
          </w:p>
        </w:tc>
        <w:tc>
          <w:tcPr>
            <w:tcW w:w="637" w:type="dxa"/>
            <w:tcBorders>
              <w:left w:val="dashSmallGap" w:sz="4" w:space="0" w:color="auto"/>
              <w:bottom w:val="single" w:sz="4" w:space="0" w:color="auto"/>
            </w:tcBorders>
          </w:tcPr>
          <w:p>
            <w:pPr>
              <w:ind w:right="-29"/>
              <w:jc w:val="center"/>
              <w:rPr>
                <w:noProof/>
                <w:sz w:val="18"/>
                <w:szCs w:val="18"/>
              </w:rPr>
            </w:pPr>
          </w:p>
        </w:tc>
        <w:tc>
          <w:tcPr>
            <w:tcW w:w="360" w:type="dxa"/>
            <w:tcBorders>
              <w:right w:val="dashSmallGap" w:sz="4" w:space="0" w:color="auto"/>
            </w:tcBorders>
          </w:tcPr>
          <w:p>
            <w:pPr>
              <w:ind w:right="-29"/>
              <w:jc w:val="center"/>
              <w:rPr>
                <w:noProof/>
                <w:sz w:val="18"/>
                <w:szCs w:val="18"/>
              </w:rPr>
            </w:pPr>
          </w:p>
        </w:tc>
        <w:tc>
          <w:tcPr>
            <w:tcW w:w="637" w:type="dxa"/>
            <w:tcBorders>
              <w:left w:val="dashSmallGap" w:sz="4" w:space="0" w:color="auto"/>
              <w:bottom w:val="single" w:sz="4" w:space="0" w:color="auto"/>
            </w:tcBorders>
          </w:tcPr>
          <w:p>
            <w:pPr>
              <w:ind w:right="-29"/>
              <w:jc w:val="center"/>
              <w:rPr>
                <w:noProof/>
                <w:sz w:val="18"/>
                <w:szCs w:val="18"/>
              </w:rPr>
            </w:pPr>
          </w:p>
        </w:tc>
        <w:tc>
          <w:tcPr>
            <w:tcW w:w="360" w:type="dxa"/>
            <w:tcBorders>
              <w:right w:val="dashSmallGap" w:sz="4" w:space="0" w:color="auto"/>
            </w:tcBorders>
          </w:tcPr>
          <w:p>
            <w:pPr>
              <w:ind w:right="-29"/>
              <w:jc w:val="center"/>
              <w:rPr>
                <w:noProof/>
                <w:sz w:val="18"/>
                <w:szCs w:val="18"/>
              </w:rPr>
            </w:pPr>
          </w:p>
        </w:tc>
        <w:tc>
          <w:tcPr>
            <w:tcW w:w="637" w:type="dxa"/>
            <w:tcBorders>
              <w:left w:val="dashSmallGap" w:sz="4" w:space="0" w:color="auto"/>
              <w:bottom w:val="single" w:sz="4" w:space="0" w:color="auto"/>
            </w:tcBorders>
          </w:tcPr>
          <w:p>
            <w:pPr>
              <w:ind w:right="-29"/>
              <w:jc w:val="center"/>
              <w:rPr>
                <w:noProof/>
                <w:sz w:val="18"/>
                <w:szCs w:val="18"/>
              </w:rPr>
            </w:pPr>
          </w:p>
        </w:tc>
        <w:tc>
          <w:tcPr>
            <w:tcW w:w="360" w:type="dxa"/>
            <w:tcBorders>
              <w:right w:val="dashSmallGap" w:sz="4" w:space="0" w:color="auto"/>
            </w:tcBorders>
          </w:tcPr>
          <w:p>
            <w:pPr>
              <w:ind w:right="-29"/>
              <w:jc w:val="center"/>
              <w:rPr>
                <w:noProof/>
                <w:sz w:val="18"/>
                <w:szCs w:val="18"/>
              </w:rPr>
            </w:pPr>
          </w:p>
        </w:tc>
        <w:tc>
          <w:tcPr>
            <w:tcW w:w="637" w:type="dxa"/>
            <w:tcBorders>
              <w:left w:val="dashSmallGap" w:sz="4" w:space="0" w:color="auto"/>
              <w:bottom w:val="single" w:sz="4" w:space="0" w:color="auto"/>
            </w:tcBorders>
          </w:tcPr>
          <w:p>
            <w:pPr>
              <w:ind w:right="-29"/>
              <w:jc w:val="center"/>
              <w:rPr>
                <w:noProof/>
                <w:sz w:val="18"/>
                <w:szCs w:val="18"/>
              </w:rPr>
            </w:pPr>
          </w:p>
        </w:tc>
        <w:tc>
          <w:tcPr>
            <w:tcW w:w="596" w:type="dxa"/>
            <w:tcBorders>
              <w:right w:val="dashSmallGap" w:sz="4" w:space="0" w:color="auto"/>
            </w:tcBorders>
          </w:tcPr>
          <w:p>
            <w:pPr>
              <w:ind w:right="-29"/>
              <w:jc w:val="center"/>
              <w:rPr>
                <w:noProof/>
                <w:sz w:val="18"/>
                <w:szCs w:val="18"/>
              </w:rPr>
            </w:pPr>
            <w:r>
              <w:rPr>
                <w:noProof/>
                <w:sz w:val="18"/>
                <w:szCs w:val="18"/>
              </w:rPr>
              <w:t>10.000</w:t>
            </w:r>
          </w:p>
        </w:tc>
        <w:tc>
          <w:tcPr>
            <w:tcW w:w="1320" w:type="dxa"/>
            <w:tcBorders>
              <w:left w:val="dashSmallGap" w:sz="4" w:space="0" w:color="auto"/>
              <w:bottom w:val="single" w:sz="4" w:space="0" w:color="auto"/>
              <w:right w:val="single" w:sz="12" w:space="0" w:color="auto"/>
            </w:tcBorders>
          </w:tcPr>
          <w:p>
            <w:pPr>
              <w:ind w:right="-29"/>
              <w:jc w:val="center"/>
              <w:rPr>
                <w:noProof/>
                <w:sz w:val="18"/>
                <w:szCs w:val="18"/>
              </w:rPr>
            </w:pPr>
            <w:r>
              <w:rPr>
                <w:noProof/>
                <w:sz w:val="18"/>
                <w:szCs w:val="18"/>
              </w:rPr>
              <w:t>10,000</w:t>
            </w:r>
          </w:p>
        </w:tc>
      </w:tr>
      <w:tr>
        <w:trPr>
          <w:jc w:val="center"/>
        </w:trPr>
        <w:tc>
          <w:tcPr>
            <w:tcW w:w="2802" w:type="dxa"/>
            <w:gridSpan w:val="3"/>
            <w:tcBorders>
              <w:left w:val="single" w:sz="12" w:space="0" w:color="auto"/>
              <w:bottom w:val="single" w:sz="12" w:space="0" w:color="auto"/>
            </w:tcBorders>
            <w:vAlign w:val="center"/>
          </w:tcPr>
          <w:p>
            <w:pPr>
              <w:ind w:right="-29"/>
              <w:jc w:val="center"/>
              <w:rPr>
                <w:noProof/>
                <w:sz w:val="18"/>
                <w:szCs w:val="18"/>
              </w:rPr>
            </w:pPr>
            <w:r>
              <w:rPr>
                <w:noProof/>
                <w:sz w:val="18"/>
              </w:rPr>
              <w:t>Subtotal for specific objective No 1</w:t>
            </w:r>
          </w:p>
        </w:tc>
        <w:tc>
          <w:tcPr>
            <w:tcW w:w="303" w:type="dxa"/>
            <w:tcBorders>
              <w:bottom w:val="single" w:sz="12" w:space="0" w:color="auto"/>
              <w:right w:val="dashSmallGap" w:sz="4" w:space="0" w:color="auto"/>
            </w:tcBorders>
          </w:tcPr>
          <w:p>
            <w:pPr>
              <w:ind w:right="-29"/>
              <w:jc w:val="center"/>
              <w:rPr>
                <w:noProof/>
                <w:sz w:val="18"/>
                <w:szCs w:val="18"/>
              </w:rPr>
            </w:pPr>
          </w:p>
        </w:tc>
        <w:tc>
          <w:tcPr>
            <w:tcW w:w="637" w:type="dxa"/>
            <w:tcBorders>
              <w:left w:val="dashSmallGap" w:sz="4" w:space="0" w:color="auto"/>
              <w:bottom w:val="single" w:sz="12" w:space="0" w:color="auto"/>
            </w:tcBorders>
          </w:tcPr>
          <w:p>
            <w:pPr>
              <w:ind w:right="-29"/>
              <w:jc w:val="center"/>
              <w:rPr>
                <w:b/>
                <w:noProof/>
                <w:sz w:val="18"/>
                <w:szCs w:val="18"/>
              </w:rPr>
            </w:pPr>
          </w:p>
        </w:tc>
        <w:tc>
          <w:tcPr>
            <w:tcW w:w="330" w:type="dxa"/>
            <w:tcBorders>
              <w:bottom w:val="single" w:sz="12" w:space="0" w:color="auto"/>
              <w:right w:val="dashSmallGap" w:sz="4" w:space="0" w:color="auto"/>
            </w:tcBorders>
          </w:tcPr>
          <w:p>
            <w:pPr>
              <w:ind w:right="-29"/>
              <w:jc w:val="center"/>
              <w:rPr>
                <w:noProof/>
                <w:sz w:val="18"/>
                <w:szCs w:val="18"/>
              </w:rPr>
            </w:pPr>
          </w:p>
        </w:tc>
        <w:tc>
          <w:tcPr>
            <w:tcW w:w="637" w:type="dxa"/>
            <w:tcBorders>
              <w:left w:val="dashSmallGap" w:sz="4" w:space="0" w:color="auto"/>
              <w:bottom w:val="single" w:sz="12" w:space="0" w:color="auto"/>
            </w:tcBorders>
          </w:tcPr>
          <w:p>
            <w:pPr>
              <w:ind w:right="-29"/>
              <w:jc w:val="center"/>
              <w:rPr>
                <w:b/>
                <w:noProof/>
                <w:sz w:val="18"/>
                <w:szCs w:val="18"/>
              </w:rPr>
            </w:pPr>
          </w:p>
        </w:tc>
        <w:tc>
          <w:tcPr>
            <w:tcW w:w="596" w:type="dxa"/>
            <w:tcBorders>
              <w:bottom w:val="single" w:sz="12" w:space="0" w:color="auto"/>
              <w:right w:val="dashSmallGap" w:sz="4" w:space="0" w:color="auto"/>
            </w:tcBorders>
          </w:tcPr>
          <w:p>
            <w:pPr>
              <w:ind w:right="-29"/>
              <w:jc w:val="center"/>
              <w:rPr>
                <w:noProof/>
                <w:sz w:val="18"/>
                <w:szCs w:val="18"/>
              </w:rPr>
            </w:pPr>
          </w:p>
        </w:tc>
        <w:tc>
          <w:tcPr>
            <w:tcW w:w="840" w:type="dxa"/>
            <w:tcBorders>
              <w:left w:val="dashSmallGap" w:sz="4" w:space="0" w:color="auto"/>
              <w:bottom w:val="single" w:sz="12" w:space="0" w:color="auto"/>
            </w:tcBorders>
          </w:tcPr>
          <w:p>
            <w:pPr>
              <w:ind w:right="-29"/>
              <w:jc w:val="center"/>
              <w:rPr>
                <w:b/>
                <w:noProof/>
                <w:sz w:val="18"/>
                <w:szCs w:val="18"/>
              </w:rPr>
            </w:pPr>
            <w:r>
              <w:rPr>
                <w:b/>
                <w:noProof/>
                <w:sz w:val="18"/>
                <w:szCs w:val="18"/>
              </w:rPr>
              <w:t>43,150</w:t>
            </w:r>
          </w:p>
        </w:tc>
        <w:tc>
          <w:tcPr>
            <w:tcW w:w="596" w:type="dxa"/>
            <w:tcBorders>
              <w:bottom w:val="single" w:sz="12" w:space="0" w:color="auto"/>
              <w:right w:val="dashSmallGap" w:sz="4" w:space="0" w:color="auto"/>
            </w:tcBorders>
          </w:tcPr>
          <w:p>
            <w:pPr>
              <w:ind w:right="-29"/>
              <w:jc w:val="center"/>
              <w:rPr>
                <w:noProof/>
                <w:sz w:val="18"/>
                <w:szCs w:val="18"/>
              </w:rPr>
            </w:pPr>
          </w:p>
        </w:tc>
        <w:tc>
          <w:tcPr>
            <w:tcW w:w="840" w:type="dxa"/>
            <w:tcBorders>
              <w:left w:val="dashSmallGap" w:sz="4" w:space="0" w:color="auto"/>
              <w:bottom w:val="single" w:sz="12" w:space="0" w:color="auto"/>
            </w:tcBorders>
          </w:tcPr>
          <w:p>
            <w:pPr>
              <w:ind w:right="-29"/>
              <w:jc w:val="center"/>
              <w:rPr>
                <w:b/>
                <w:noProof/>
                <w:sz w:val="18"/>
                <w:szCs w:val="18"/>
              </w:rPr>
            </w:pPr>
            <w:r>
              <w:rPr>
                <w:b/>
                <w:noProof/>
                <w:sz w:val="18"/>
                <w:szCs w:val="18"/>
              </w:rPr>
              <w:t>48,150</w:t>
            </w:r>
          </w:p>
        </w:tc>
        <w:tc>
          <w:tcPr>
            <w:tcW w:w="596" w:type="dxa"/>
            <w:tcBorders>
              <w:bottom w:val="single" w:sz="12" w:space="0" w:color="auto"/>
              <w:right w:val="dashSmallGap" w:sz="4" w:space="0" w:color="auto"/>
            </w:tcBorders>
          </w:tcPr>
          <w:p>
            <w:pPr>
              <w:ind w:right="-29"/>
              <w:jc w:val="center"/>
              <w:rPr>
                <w:noProof/>
                <w:sz w:val="18"/>
                <w:szCs w:val="18"/>
              </w:rPr>
            </w:pPr>
          </w:p>
        </w:tc>
        <w:tc>
          <w:tcPr>
            <w:tcW w:w="772" w:type="dxa"/>
            <w:tcBorders>
              <w:left w:val="dashSmallGap" w:sz="4" w:space="0" w:color="auto"/>
              <w:bottom w:val="single" w:sz="12" w:space="0" w:color="auto"/>
            </w:tcBorders>
          </w:tcPr>
          <w:p>
            <w:pPr>
              <w:ind w:right="-29"/>
              <w:rPr>
                <w:b/>
                <w:noProof/>
                <w:sz w:val="18"/>
              </w:rPr>
            </w:pPr>
            <w:r>
              <w:rPr>
                <w:b/>
                <w:noProof/>
                <w:sz w:val="18"/>
                <w:szCs w:val="18"/>
              </w:rPr>
              <w:t>45,000</w:t>
            </w:r>
          </w:p>
        </w:tc>
        <w:tc>
          <w:tcPr>
            <w:tcW w:w="360" w:type="dxa"/>
            <w:tcBorders>
              <w:bottom w:val="single" w:sz="12" w:space="0" w:color="auto"/>
              <w:right w:val="dashSmallGap" w:sz="4" w:space="0" w:color="auto"/>
            </w:tcBorders>
          </w:tcPr>
          <w:p>
            <w:pPr>
              <w:ind w:right="-29"/>
              <w:jc w:val="center"/>
              <w:rPr>
                <w:noProof/>
                <w:sz w:val="18"/>
                <w:szCs w:val="18"/>
              </w:rPr>
            </w:pPr>
          </w:p>
        </w:tc>
        <w:tc>
          <w:tcPr>
            <w:tcW w:w="637" w:type="dxa"/>
            <w:tcBorders>
              <w:left w:val="dashSmallGap" w:sz="4" w:space="0" w:color="auto"/>
              <w:bottom w:val="single" w:sz="12" w:space="0" w:color="auto"/>
            </w:tcBorders>
          </w:tcPr>
          <w:p>
            <w:pPr>
              <w:ind w:right="-29"/>
              <w:jc w:val="center"/>
              <w:rPr>
                <w:noProof/>
                <w:sz w:val="18"/>
                <w:szCs w:val="18"/>
              </w:rPr>
            </w:pPr>
          </w:p>
        </w:tc>
        <w:tc>
          <w:tcPr>
            <w:tcW w:w="360" w:type="dxa"/>
            <w:tcBorders>
              <w:bottom w:val="single" w:sz="12" w:space="0" w:color="auto"/>
              <w:right w:val="dashSmallGap" w:sz="4" w:space="0" w:color="auto"/>
            </w:tcBorders>
          </w:tcPr>
          <w:p>
            <w:pPr>
              <w:ind w:right="-29"/>
              <w:jc w:val="center"/>
              <w:rPr>
                <w:noProof/>
                <w:sz w:val="18"/>
                <w:szCs w:val="18"/>
              </w:rPr>
            </w:pPr>
          </w:p>
        </w:tc>
        <w:tc>
          <w:tcPr>
            <w:tcW w:w="637" w:type="dxa"/>
            <w:tcBorders>
              <w:left w:val="dashSmallGap" w:sz="4" w:space="0" w:color="auto"/>
              <w:bottom w:val="single" w:sz="12" w:space="0" w:color="auto"/>
            </w:tcBorders>
          </w:tcPr>
          <w:p>
            <w:pPr>
              <w:ind w:right="-29"/>
              <w:jc w:val="center"/>
              <w:rPr>
                <w:noProof/>
                <w:sz w:val="18"/>
                <w:szCs w:val="18"/>
              </w:rPr>
            </w:pPr>
          </w:p>
        </w:tc>
        <w:tc>
          <w:tcPr>
            <w:tcW w:w="360" w:type="dxa"/>
            <w:tcBorders>
              <w:bottom w:val="single" w:sz="12" w:space="0" w:color="auto"/>
              <w:right w:val="dashSmallGap" w:sz="4" w:space="0" w:color="auto"/>
            </w:tcBorders>
          </w:tcPr>
          <w:p>
            <w:pPr>
              <w:ind w:right="-29"/>
              <w:jc w:val="center"/>
              <w:rPr>
                <w:noProof/>
                <w:sz w:val="18"/>
                <w:szCs w:val="18"/>
              </w:rPr>
            </w:pPr>
          </w:p>
        </w:tc>
        <w:tc>
          <w:tcPr>
            <w:tcW w:w="637" w:type="dxa"/>
            <w:tcBorders>
              <w:left w:val="dashSmallGap" w:sz="4" w:space="0" w:color="auto"/>
              <w:bottom w:val="single" w:sz="12" w:space="0" w:color="auto"/>
            </w:tcBorders>
          </w:tcPr>
          <w:p>
            <w:pPr>
              <w:ind w:right="-29"/>
              <w:jc w:val="center"/>
              <w:rPr>
                <w:noProof/>
                <w:sz w:val="18"/>
                <w:szCs w:val="18"/>
              </w:rPr>
            </w:pPr>
          </w:p>
        </w:tc>
        <w:tc>
          <w:tcPr>
            <w:tcW w:w="360" w:type="dxa"/>
            <w:tcBorders>
              <w:bottom w:val="single" w:sz="12" w:space="0" w:color="auto"/>
              <w:right w:val="dashSmallGap" w:sz="4" w:space="0" w:color="auto"/>
            </w:tcBorders>
          </w:tcPr>
          <w:p>
            <w:pPr>
              <w:ind w:right="-29"/>
              <w:jc w:val="center"/>
              <w:rPr>
                <w:noProof/>
                <w:sz w:val="18"/>
                <w:szCs w:val="18"/>
              </w:rPr>
            </w:pPr>
          </w:p>
        </w:tc>
        <w:tc>
          <w:tcPr>
            <w:tcW w:w="637" w:type="dxa"/>
            <w:tcBorders>
              <w:left w:val="dashSmallGap" w:sz="4" w:space="0" w:color="auto"/>
              <w:bottom w:val="single" w:sz="12" w:space="0" w:color="auto"/>
            </w:tcBorders>
          </w:tcPr>
          <w:p>
            <w:pPr>
              <w:ind w:right="-29"/>
              <w:jc w:val="center"/>
              <w:rPr>
                <w:noProof/>
                <w:sz w:val="18"/>
                <w:szCs w:val="18"/>
              </w:rPr>
            </w:pPr>
          </w:p>
        </w:tc>
        <w:tc>
          <w:tcPr>
            <w:tcW w:w="596" w:type="dxa"/>
            <w:tcBorders>
              <w:bottom w:val="single" w:sz="12" w:space="0" w:color="auto"/>
              <w:right w:val="dashSmallGap" w:sz="4" w:space="0" w:color="auto"/>
            </w:tcBorders>
          </w:tcPr>
          <w:p>
            <w:pPr>
              <w:ind w:right="-29"/>
              <w:jc w:val="center"/>
              <w:rPr>
                <w:noProof/>
                <w:sz w:val="18"/>
                <w:szCs w:val="18"/>
              </w:rPr>
            </w:pPr>
          </w:p>
        </w:tc>
        <w:tc>
          <w:tcPr>
            <w:tcW w:w="1320" w:type="dxa"/>
            <w:tcBorders>
              <w:left w:val="dashSmallGap" w:sz="4" w:space="0" w:color="auto"/>
              <w:bottom w:val="single" w:sz="12" w:space="0" w:color="auto"/>
              <w:right w:val="single" w:sz="12" w:space="0" w:color="auto"/>
            </w:tcBorders>
          </w:tcPr>
          <w:p>
            <w:pPr>
              <w:ind w:right="-29"/>
              <w:jc w:val="center"/>
              <w:rPr>
                <w:b/>
                <w:noProof/>
                <w:sz w:val="18"/>
                <w:szCs w:val="18"/>
              </w:rPr>
            </w:pPr>
            <w:r>
              <w:rPr>
                <w:b/>
                <w:noProof/>
                <w:sz w:val="18"/>
                <w:szCs w:val="18"/>
              </w:rPr>
              <w:t>136,300</w:t>
            </w:r>
          </w:p>
        </w:tc>
      </w:tr>
    </w:tbl>
    <w:p>
      <w:pPr>
        <w:rPr>
          <w:noProof/>
        </w:rPr>
      </w:pPr>
    </w:p>
    <w:p>
      <w:pPr>
        <w:pStyle w:val="ListDash"/>
        <w:rPr>
          <w:noProof/>
        </w:rPr>
      </w:pPr>
      <w:r>
        <w:rPr>
          <w:noProof/>
        </w:rPr>
        <w:t>Specific Objective 1 deals with the funds made available to Member States in order to take the benefit of interoperable central systems. The NUI is customised both when ESP is implemented and when MID becomes operational. Each Member State then has a relatively moderate change (estimated at 150 man-days) to perform in order to adapt to these updated message exchanges with the central systems. More substantial is the change to the contents of the data that interoperability will introduce and which is covered under the 'integration cost'. These funds deal with changes to the sort of messages sent to the central system and for handling the returned answer. For estimating the costs of these changes, a budget of €4 million is allocated per Member State.  This amount is the same as for the EES as there is a comparable amount of work required to adapt integration of national systems with NUI.</w:t>
      </w:r>
    </w:p>
    <w:p>
      <w:pPr>
        <w:pStyle w:val="ListDash"/>
        <w:rPr>
          <w:noProof/>
        </w:rPr>
      </w:pPr>
      <w:r>
        <w:rPr>
          <w:noProof/>
        </w:rPr>
        <w:t>The end-users need to be trained for the systems. This training for a very large end-user population is to be financed on the basis of €1,000 per session of 10 to 20 end-users for the estimated 10.000 sessions to be organised by all Member States in their own premises.</w:t>
      </w:r>
    </w:p>
    <w:p>
      <w:pPr>
        <w:rPr>
          <w:noProof/>
        </w:rPr>
      </w:pPr>
    </w:p>
    <w:p>
      <w:pPr>
        <w:rPr>
          <w:noProof/>
        </w:rPr>
      </w:pPr>
    </w:p>
    <w:p>
      <w:pPr>
        <w:rPr>
          <w:noProof/>
        </w:rPr>
        <w:sectPr>
          <w:pgSz w:w="16840" w:h="11907" w:orient="landscape" w:code="9"/>
          <w:pgMar w:top="1134" w:right="1418" w:bottom="567" w:left="1418" w:header="709" w:footer="709" w:gutter="0"/>
          <w:cols w:space="708"/>
          <w:docGrid w:linePitch="360"/>
        </w:sectPr>
      </w:pPr>
    </w:p>
    <w:p>
      <w:pPr>
        <w:pStyle w:val="ManualHeading3"/>
        <w:rPr>
          <w:bCs/>
          <w:noProof/>
        </w:rPr>
      </w:pPr>
      <w:bookmarkStart w:id="293" w:name="_Toc498514177"/>
      <w:r>
        <w:t>3.2.3.</w:t>
      </w:r>
      <w:r>
        <w:tab/>
      </w:r>
      <w:r>
        <w:rPr>
          <w:noProof/>
        </w:rPr>
        <w:t>Estimated impact on human resources</w:t>
      </w:r>
      <w:bookmarkEnd w:id="293"/>
    </w:p>
    <w:p>
      <w:pPr>
        <w:pStyle w:val="ManualHeading4"/>
        <w:rPr>
          <w:noProof/>
        </w:rPr>
      </w:pPr>
      <w:r>
        <w:t>3.2.3.1.</w:t>
      </w:r>
      <w:r>
        <w:tab/>
      </w:r>
      <w:r>
        <w:rPr>
          <w:noProof/>
        </w:rPr>
        <w:t>EBCG Agency Summary</w:t>
      </w:r>
    </w:p>
    <w:p>
      <w:pPr>
        <w:rPr>
          <w:noProof/>
        </w:rPr>
      </w:pPr>
      <w:r>
        <w:rPr>
          <w:noProof/>
        </w:rPr>
        <w:sym w:font="Wingdings" w:char="F0A8"/>
      </w:r>
      <w:r>
        <w:rPr>
          <w:noProof/>
        </w:rPr>
        <w:tab/>
        <w:t xml:space="preserve">The proposal/initiative does not require the use of appropriations of an administrative nature </w:t>
      </w:r>
    </w:p>
    <w:p>
      <w:pPr>
        <w:rPr>
          <w:noProof/>
        </w:rPr>
      </w:pPr>
      <w:r>
        <w:rPr>
          <w:noProof/>
        </w:rPr>
        <w:sym w:font="Wingdings" w:char="F078"/>
      </w:r>
      <w:r>
        <w:rPr>
          <w:noProof/>
        </w:rPr>
        <w:tab/>
        <w:t>The proposal/initiative requires the use of appropriations of an administrative nature, as explained below:</w:t>
      </w:r>
    </w:p>
    <w:p>
      <w:pPr>
        <w:jc w:val="right"/>
        <w:rPr>
          <w:noProof/>
          <w:sz w:val="20"/>
        </w:rPr>
      </w:pPr>
      <w:r>
        <w:rPr>
          <w:noProof/>
          <w:sz w:val="20"/>
        </w:rPr>
        <w:t>EUR million (to three decimal places)</w:t>
      </w:r>
    </w:p>
    <w:tbl>
      <w:tblPr>
        <w:tblW w:w="10360" w:type="dxa"/>
        <w:tblInd w:w="-61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1456"/>
        <w:gridCol w:w="752"/>
        <w:gridCol w:w="720"/>
        <w:gridCol w:w="720"/>
        <w:gridCol w:w="720"/>
        <w:gridCol w:w="720"/>
        <w:gridCol w:w="720"/>
        <w:gridCol w:w="720"/>
        <w:gridCol w:w="720"/>
        <w:gridCol w:w="840"/>
        <w:gridCol w:w="2272"/>
      </w:tblGrid>
      <w:tr>
        <w:trPr>
          <w:trHeight w:val="574"/>
        </w:trPr>
        <w:tc>
          <w:tcPr>
            <w:tcW w:w="1456" w:type="dxa"/>
          </w:tcPr>
          <w:p>
            <w:pPr>
              <w:spacing w:before="60" w:after="60"/>
              <w:rPr>
                <w:noProof/>
                <w:sz w:val="20"/>
              </w:rPr>
            </w:pPr>
          </w:p>
        </w:tc>
        <w:tc>
          <w:tcPr>
            <w:tcW w:w="752" w:type="dxa"/>
            <w:vAlign w:val="center"/>
          </w:tcPr>
          <w:p>
            <w:pPr>
              <w:spacing w:before="60" w:after="60"/>
              <w:jc w:val="center"/>
              <w:rPr>
                <w:noProof/>
                <w:sz w:val="20"/>
              </w:rPr>
            </w:pPr>
            <w:r>
              <w:rPr>
                <w:noProof/>
                <w:sz w:val="20"/>
              </w:rPr>
              <w:t>Year</w:t>
            </w:r>
            <w:r>
              <w:rPr>
                <w:noProof/>
                <w:sz w:val="22"/>
              </w:rPr>
              <w:br/>
            </w:r>
            <w:r>
              <w:rPr>
                <w:b/>
                <w:noProof/>
                <w:sz w:val="20"/>
              </w:rPr>
              <w:t>2019</w:t>
            </w:r>
          </w:p>
        </w:tc>
        <w:tc>
          <w:tcPr>
            <w:tcW w:w="720" w:type="dxa"/>
            <w:vAlign w:val="center"/>
          </w:tcPr>
          <w:p>
            <w:pPr>
              <w:spacing w:before="60" w:after="60"/>
              <w:jc w:val="center"/>
              <w:rPr>
                <w:noProof/>
                <w:sz w:val="20"/>
              </w:rPr>
            </w:pPr>
            <w:r>
              <w:rPr>
                <w:noProof/>
                <w:sz w:val="20"/>
              </w:rPr>
              <w:t>Year</w:t>
            </w:r>
            <w:r>
              <w:rPr>
                <w:noProof/>
                <w:sz w:val="22"/>
              </w:rPr>
              <w:br/>
            </w:r>
            <w:r>
              <w:rPr>
                <w:b/>
                <w:noProof/>
                <w:sz w:val="20"/>
              </w:rPr>
              <w:t>2020</w:t>
            </w:r>
          </w:p>
        </w:tc>
        <w:tc>
          <w:tcPr>
            <w:tcW w:w="720" w:type="dxa"/>
            <w:vAlign w:val="center"/>
          </w:tcPr>
          <w:p>
            <w:pPr>
              <w:spacing w:before="60" w:after="60"/>
              <w:jc w:val="center"/>
              <w:rPr>
                <w:noProof/>
                <w:sz w:val="20"/>
              </w:rPr>
            </w:pPr>
            <w:r>
              <w:rPr>
                <w:noProof/>
                <w:sz w:val="20"/>
              </w:rPr>
              <w:t>Year</w:t>
            </w:r>
            <w:r>
              <w:rPr>
                <w:noProof/>
                <w:sz w:val="22"/>
              </w:rPr>
              <w:br/>
            </w:r>
            <w:r>
              <w:rPr>
                <w:b/>
                <w:noProof/>
                <w:sz w:val="20"/>
              </w:rPr>
              <w:t>2021</w:t>
            </w:r>
          </w:p>
        </w:tc>
        <w:tc>
          <w:tcPr>
            <w:tcW w:w="720" w:type="dxa"/>
            <w:vAlign w:val="center"/>
          </w:tcPr>
          <w:p>
            <w:pPr>
              <w:spacing w:before="60" w:after="60"/>
              <w:jc w:val="center"/>
              <w:rPr>
                <w:noProof/>
                <w:sz w:val="20"/>
              </w:rPr>
            </w:pPr>
            <w:r>
              <w:rPr>
                <w:noProof/>
                <w:sz w:val="20"/>
              </w:rPr>
              <w:t>Year</w:t>
            </w:r>
            <w:r>
              <w:rPr>
                <w:noProof/>
                <w:sz w:val="22"/>
              </w:rPr>
              <w:br/>
            </w:r>
            <w:r>
              <w:rPr>
                <w:b/>
                <w:noProof/>
                <w:sz w:val="20"/>
              </w:rPr>
              <w:t>2022</w:t>
            </w:r>
          </w:p>
        </w:tc>
        <w:tc>
          <w:tcPr>
            <w:tcW w:w="720" w:type="dxa"/>
            <w:vAlign w:val="center"/>
          </w:tcPr>
          <w:p>
            <w:pPr>
              <w:jc w:val="center"/>
              <w:rPr>
                <w:b/>
                <w:noProof/>
                <w:sz w:val="20"/>
              </w:rPr>
            </w:pPr>
            <w:r>
              <w:rPr>
                <w:noProof/>
                <w:sz w:val="20"/>
              </w:rPr>
              <w:t>Year</w:t>
            </w:r>
            <w:r>
              <w:rPr>
                <w:noProof/>
                <w:sz w:val="22"/>
              </w:rPr>
              <w:br/>
            </w:r>
            <w:r>
              <w:rPr>
                <w:b/>
                <w:noProof/>
                <w:sz w:val="20"/>
              </w:rPr>
              <w:t>2023</w:t>
            </w:r>
          </w:p>
        </w:tc>
        <w:tc>
          <w:tcPr>
            <w:tcW w:w="720" w:type="dxa"/>
            <w:vAlign w:val="center"/>
          </w:tcPr>
          <w:p>
            <w:pPr>
              <w:jc w:val="center"/>
              <w:rPr>
                <w:b/>
                <w:noProof/>
                <w:sz w:val="20"/>
              </w:rPr>
            </w:pPr>
            <w:r>
              <w:rPr>
                <w:noProof/>
                <w:sz w:val="20"/>
              </w:rPr>
              <w:t>Year</w:t>
            </w:r>
            <w:r>
              <w:rPr>
                <w:noProof/>
                <w:sz w:val="22"/>
              </w:rPr>
              <w:br/>
            </w:r>
            <w:r>
              <w:rPr>
                <w:b/>
                <w:noProof/>
                <w:sz w:val="20"/>
              </w:rPr>
              <w:t>2024</w:t>
            </w:r>
          </w:p>
        </w:tc>
        <w:tc>
          <w:tcPr>
            <w:tcW w:w="720" w:type="dxa"/>
            <w:vAlign w:val="center"/>
          </w:tcPr>
          <w:p>
            <w:pPr>
              <w:jc w:val="center"/>
              <w:rPr>
                <w:b/>
                <w:noProof/>
                <w:sz w:val="20"/>
              </w:rPr>
            </w:pPr>
            <w:r>
              <w:rPr>
                <w:noProof/>
                <w:sz w:val="20"/>
              </w:rPr>
              <w:t>Year</w:t>
            </w:r>
            <w:r>
              <w:rPr>
                <w:noProof/>
                <w:sz w:val="22"/>
              </w:rPr>
              <w:br/>
            </w:r>
            <w:r>
              <w:rPr>
                <w:b/>
                <w:noProof/>
                <w:sz w:val="20"/>
              </w:rPr>
              <w:t>2025</w:t>
            </w:r>
          </w:p>
        </w:tc>
        <w:tc>
          <w:tcPr>
            <w:tcW w:w="720" w:type="dxa"/>
            <w:vAlign w:val="center"/>
          </w:tcPr>
          <w:p>
            <w:pPr>
              <w:spacing w:before="60" w:after="60"/>
              <w:jc w:val="center"/>
              <w:rPr>
                <w:b/>
                <w:noProof/>
                <w:sz w:val="20"/>
              </w:rPr>
            </w:pPr>
            <w:r>
              <w:rPr>
                <w:noProof/>
                <w:sz w:val="20"/>
              </w:rPr>
              <w:t>Year</w:t>
            </w:r>
            <w:r>
              <w:rPr>
                <w:noProof/>
                <w:sz w:val="22"/>
              </w:rPr>
              <w:br/>
            </w:r>
            <w:r>
              <w:rPr>
                <w:b/>
                <w:noProof/>
                <w:sz w:val="20"/>
              </w:rPr>
              <w:t>2026</w:t>
            </w:r>
          </w:p>
        </w:tc>
        <w:tc>
          <w:tcPr>
            <w:tcW w:w="840" w:type="dxa"/>
            <w:vAlign w:val="center"/>
          </w:tcPr>
          <w:p>
            <w:pPr>
              <w:spacing w:before="60" w:after="60"/>
              <w:jc w:val="center"/>
              <w:rPr>
                <w:b/>
                <w:noProof/>
                <w:sz w:val="20"/>
              </w:rPr>
            </w:pPr>
            <w:r>
              <w:rPr>
                <w:noProof/>
                <w:sz w:val="20"/>
              </w:rPr>
              <w:t>Year</w:t>
            </w:r>
            <w:r>
              <w:rPr>
                <w:noProof/>
                <w:sz w:val="22"/>
              </w:rPr>
              <w:br/>
            </w:r>
            <w:r>
              <w:rPr>
                <w:b/>
                <w:noProof/>
                <w:sz w:val="20"/>
              </w:rPr>
              <w:t>2027</w:t>
            </w:r>
          </w:p>
        </w:tc>
        <w:tc>
          <w:tcPr>
            <w:tcW w:w="2272" w:type="dxa"/>
            <w:vAlign w:val="center"/>
          </w:tcPr>
          <w:p>
            <w:pPr>
              <w:spacing w:before="60" w:after="60"/>
              <w:jc w:val="center"/>
              <w:rPr>
                <w:b/>
                <w:noProof/>
                <w:sz w:val="20"/>
              </w:rPr>
            </w:pPr>
            <w:r>
              <w:rPr>
                <w:b/>
                <w:noProof/>
                <w:sz w:val="20"/>
              </w:rPr>
              <w:t>TOTAL</w:t>
            </w:r>
          </w:p>
        </w:tc>
      </w:tr>
    </w:tbl>
    <w:p>
      <w:pPr>
        <w:rPr>
          <w:noProof/>
          <w:sz w:val="20"/>
        </w:rPr>
      </w:pPr>
    </w:p>
    <w:tbl>
      <w:tblPr>
        <w:tblW w:w="10327" w:type="dxa"/>
        <w:tblInd w:w="-61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1451"/>
        <w:gridCol w:w="759"/>
        <w:gridCol w:w="720"/>
        <w:gridCol w:w="720"/>
        <w:gridCol w:w="720"/>
        <w:gridCol w:w="720"/>
        <w:gridCol w:w="720"/>
        <w:gridCol w:w="720"/>
        <w:gridCol w:w="720"/>
        <w:gridCol w:w="840"/>
        <w:gridCol w:w="2237"/>
      </w:tblGrid>
      <w:tr>
        <w:trPr>
          <w:trHeight w:val="587"/>
        </w:trPr>
        <w:tc>
          <w:tcPr>
            <w:tcW w:w="1451" w:type="dxa"/>
            <w:shd w:val="clear" w:color="auto" w:fill="CCCCCC"/>
            <w:vAlign w:val="center"/>
          </w:tcPr>
          <w:p>
            <w:pPr>
              <w:spacing w:before="60" w:after="60"/>
              <w:jc w:val="center"/>
              <w:rPr>
                <w:noProof/>
              </w:rPr>
            </w:pPr>
            <w:r>
              <w:rPr>
                <w:noProof/>
                <w:sz w:val="18"/>
              </w:rPr>
              <w:t>Officials (AD Grades)</w:t>
            </w:r>
          </w:p>
        </w:tc>
        <w:tc>
          <w:tcPr>
            <w:tcW w:w="759" w:type="dxa"/>
            <w:vAlign w:val="center"/>
          </w:tcPr>
          <w:p>
            <w:pPr>
              <w:spacing w:before="60" w:after="60"/>
              <w:jc w:val="right"/>
              <w:rPr>
                <w:noProof/>
                <w:sz w:val="20"/>
              </w:rPr>
            </w:pPr>
          </w:p>
        </w:tc>
        <w:tc>
          <w:tcPr>
            <w:tcW w:w="720" w:type="dxa"/>
            <w:vAlign w:val="center"/>
          </w:tcPr>
          <w:p>
            <w:pPr>
              <w:spacing w:before="60" w:after="60"/>
              <w:jc w:val="right"/>
              <w:rPr>
                <w:noProof/>
                <w:sz w:val="20"/>
              </w:rPr>
            </w:pPr>
          </w:p>
        </w:tc>
        <w:tc>
          <w:tcPr>
            <w:tcW w:w="720" w:type="dxa"/>
            <w:vAlign w:val="center"/>
          </w:tcPr>
          <w:p>
            <w:pPr>
              <w:spacing w:before="60" w:after="60"/>
              <w:jc w:val="right"/>
              <w:rPr>
                <w:noProof/>
                <w:sz w:val="20"/>
              </w:rPr>
            </w:pPr>
          </w:p>
        </w:tc>
        <w:tc>
          <w:tcPr>
            <w:tcW w:w="720" w:type="dxa"/>
            <w:vAlign w:val="center"/>
          </w:tcPr>
          <w:p>
            <w:pPr>
              <w:spacing w:before="60" w:after="60"/>
              <w:jc w:val="right"/>
              <w:rPr>
                <w:noProof/>
                <w:sz w:val="20"/>
              </w:rPr>
            </w:pPr>
          </w:p>
        </w:tc>
        <w:tc>
          <w:tcPr>
            <w:tcW w:w="720" w:type="dxa"/>
            <w:vAlign w:val="center"/>
          </w:tcPr>
          <w:p>
            <w:pPr>
              <w:spacing w:before="60" w:after="60"/>
              <w:jc w:val="right"/>
              <w:rPr>
                <w:noProof/>
                <w:sz w:val="20"/>
              </w:rPr>
            </w:pPr>
          </w:p>
        </w:tc>
        <w:tc>
          <w:tcPr>
            <w:tcW w:w="720" w:type="dxa"/>
            <w:vAlign w:val="center"/>
          </w:tcPr>
          <w:p>
            <w:pPr>
              <w:spacing w:before="60" w:after="60"/>
              <w:jc w:val="right"/>
              <w:rPr>
                <w:noProof/>
                <w:sz w:val="20"/>
              </w:rPr>
            </w:pPr>
          </w:p>
        </w:tc>
        <w:tc>
          <w:tcPr>
            <w:tcW w:w="720" w:type="dxa"/>
            <w:vAlign w:val="center"/>
          </w:tcPr>
          <w:p>
            <w:pPr>
              <w:spacing w:before="60" w:after="60"/>
              <w:jc w:val="right"/>
              <w:rPr>
                <w:b/>
                <w:noProof/>
                <w:sz w:val="20"/>
              </w:rPr>
            </w:pPr>
          </w:p>
        </w:tc>
        <w:tc>
          <w:tcPr>
            <w:tcW w:w="720" w:type="dxa"/>
          </w:tcPr>
          <w:p>
            <w:pPr>
              <w:spacing w:before="60" w:after="60"/>
              <w:jc w:val="right"/>
              <w:rPr>
                <w:b/>
                <w:noProof/>
                <w:sz w:val="20"/>
              </w:rPr>
            </w:pPr>
          </w:p>
        </w:tc>
        <w:tc>
          <w:tcPr>
            <w:tcW w:w="840" w:type="dxa"/>
          </w:tcPr>
          <w:p>
            <w:pPr>
              <w:spacing w:before="60" w:after="60"/>
              <w:jc w:val="right"/>
              <w:rPr>
                <w:b/>
                <w:noProof/>
                <w:sz w:val="20"/>
              </w:rPr>
            </w:pPr>
          </w:p>
        </w:tc>
        <w:tc>
          <w:tcPr>
            <w:tcW w:w="2237" w:type="dxa"/>
            <w:vAlign w:val="center"/>
          </w:tcPr>
          <w:p>
            <w:pPr>
              <w:spacing w:before="60" w:after="60"/>
              <w:jc w:val="right"/>
              <w:rPr>
                <w:b/>
                <w:noProof/>
                <w:sz w:val="20"/>
              </w:rPr>
            </w:pPr>
          </w:p>
        </w:tc>
      </w:tr>
      <w:tr>
        <w:trPr>
          <w:trHeight w:val="587"/>
        </w:trPr>
        <w:tc>
          <w:tcPr>
            <w:tcW w:w="1451" w:type="dxa"/>
            <w:vAlign w:val="center"/>
          </w:tcPr>
          <w:p>
            <w:pPr>
              <w:spacing w:before="60" w:after="60"/>
              <w:ind w:left="72"/>
              <w:rPr>
                <w:noProof/>
              </w:rPr>
            </w:pPr>
            <w:r>
              <w:rPr>
                <w:noProof/>
                <w:sz w:val="20"/>
              </w:rPr>
              <w:t>Officials (AST grades)</w:t>
            </w:r>
          </w:p>
        </w:tc>
        <w:tc>
          <w:tcPr>
            <w:tcW w:w="759" w:type="dxa"/>
            <w:vAlign w:val="center"/>
          </w:tcPr>
          <w:p>
            <w:pPr>
              <w:spacing w:before="60" w:after="60"/>
              <w:jc w:val="right"/>
              <w:rPr>
                <w:noProof/>
                <w:sz w:val="20"/>
              </w:rPr>
            </w:pPr>
            <w:r>
              <w:rPr>
                <w:noProof/>
                <w:sz w:val="20"/>
              </w:rPr>
              <w:t>0</w:t>
            </w:r>
          </w:p>
        </w:tc>
        <w:tc>
          <w:tcPr>
            <w:tcW w:w="720" w:type="dxa"/>
            <w:vAlign w:val="center"/>
          </w:tcPr>
          <w:p>
            <w:pPr>
              <w:spacing w:before="60" w:after="60"/>
              <w:jc w:val="right"/>
              <w:rPr>
                <w:noProof/>
                <w:sz w:val="20"/>
              </w:rPr>
            </w:pPr>
          </w:p>
        </w:tc>
        <w:tc>
          <w:tcPr>
            <w:tcW w:w="720" w:type="dxa"/>
            <w:vAlign w:val="center"/>
          </w:tcPr>
          <w:p>
            <w:pPr>
              <w:spacing w:before="60" w:after="60"/>
              <w:jc w:val="right"/>
              <w:rPr>
                <w:noProof/>
                <w:sz w:val="20"/>
              </w:rPr>
            </w:pPr>
          </w:p>
        </w:tc>
        <w:tc>
          <w:tcPr>
            <w:tcW w:w="720" w:type="dxa"/>
            <w:vAlign w:val="center"/>
          </w:tcPr>
          <w:p>
            <w:pPr>
              <w:spacing w:before="60" w:after="60"/>
              <w:jc w:val="right"/>
              <w:rPr>
                <w:noProof/>
                <w:sz w:val="20"/>
              </w:rPr>
            </w:pPr>
          </w:p>
        </w:tc>
        <w:tc>
          <w:tcPr>
            <w:tcW w:w="720" w:type="dxa"/>
            <w:vAlign w:val="center"/>
          </w:tcPr>
          <w:p>
            <w:pPr>
              <w:spacing w:before="60" w:after="60"/>
              <w:jc w:val="right"/>
              <w:rPr>
                <w:noProof/>
                <w:sz w:val="20"/>
              </w:rPr>
            </w:pPr>
          </w:p>
        </w:tc>
        <w:tc>
          <w:tcPr>
            <w:tcW w:w="720" w:type="dxa"/>
            <w:vAlign w:val="center"/>
          </w:tcPr>
          <w:p>
            <w:pPr>
              <w:spacing w:before="60" w:after="60"/>
              <w:jc w:val="right"/>
              <w:rPr>
                <w:noProof/>
                <w:sz w:val="20"/>
              </w:rPr>
            </w:pPr>
          </w:p>
        </w:tc>
        <w:tc>
          <w:tcPr>
            <w:tcW w:w="720" w:type="dxa"/>
            <w:vAlign w:val="center"/>
          </w:tcPr>
          <w:p>
            <w:pPr>
              <w:spacing w:before="60" w:after="60"/>
              <w:jc w:val="right"/>
              <w:rPr>
                <w:b/>
                <w:noProof/>
                <w:sz w:val="20"/>
              </w:rPr>
            </w:pPr>
          </w:p>
        </w:tc>
        <w:tc>
          <w:tcPr>
            <w:tcW w:w="720" w:type="dxa"/>
          </w:tcPr>
          <w:p>
            <w:pPr>
              <w:spacing w:before="60" w:after="60"/>
              <w:jc w:val="right"/>
              <w:rPr>
                <w:b/>
                <w:noProof/>
                <w:sz w:val="20"/>
              </w:rPr>
            </w:pPr>
          </w:p>
        </w:tc>
        <w:tc>
          <w:tcPr>
            <w:tcW w:w="840" w:type="dxa"/>
          </w:tcPr>
          <w:p>
            <w:pPr>
              <w:spacing w:before="60" w:after="60"/>
              <w:jc w:val="right"/>
              <w:rPr>
                <w:b/>
                <w:noProof/>
                <w:sz w:val="20"/>
              </w:rPr>
            </w:pPr>
          </w:p>
        </w:tc>
        <w:tc>
          <w:tcPr>
            <w:tcW w:w="2237" w:type="dxa"/>
            <w:vAlign w:val="center"/>
          </w:tcPr>
          <w:p>
            <w:pPr>
              <w:spacing w:before="60" w:after="60"/>
              <w:jc w:val="right"/>
              <w:rPr>
                <w:b/>
                <w:noProof/>
                <w:sz w:val="20"/>
              </w:rPr>
            </w:pPr>
          </w:p>
        </w:tc>
      </w:tr>
      <w:tr>
        <w:trPr>
          <w:trHeight w:val="587"/>
        </w:trPr>
        <w:tc>
          <w:tcPr>
            <w:tcW w:w="1451" w:type="dxa"/>
            <w:vAlign w:val="center"/>
          </w:tcPr>
          <w:p>
            <w:pPr>
              <w:spacing w:before="60" w:after="60"/>
              <w:ind w:left="72"/>
              <w:rPr>
                <w:noProof/>
              </w:rPr>
            </w:pPr>
            <w:r>
              <w:rPr>
                <w:noProof/>
                <w:sz w:val="20"/>
              </w:rPr>
              <w:t>Contract staff</w:t>
            </w:r>
          </w:p>
        </w:tc>
        <w:tc>
          <w:tcPr>
            <w:tcW w:w="759" w:type="dxa"/>
          </w:tcPr>
          <w:p>
            <w:pPr>
              <w:jc w:val="right"/>
              <w:rPr>
                <w:noProof/>
                <w:sz w:val="22"/>
              </w:rPr>
            </w:pPr>
            <w:r>
              <w:rPr>
                <w:noProof/>
                <w:sz w:val="22"/>
              </w:rPr>
              <w:t>0</w:t>
            </w:r>
          </w:p>
        </w:tc>
        <w:tc>
          <w:tcPr>
            <w:tcW w:w="720" w:type="dxa"/>
          </w:tcPr>
          <w:p>
            <w:pPr>
              <w:jc w:val="right"/>
              <w:rPr>
                <w:noProof/>
                <w:sz w:val="22"/>
              </w:rPr>
            </w:pPr>
            <w:r>
              <w:rPr>
                <w:noProof/>
                <w:sz w:val="22"/>
              </w:rPr>
              <w:t>0</w:t>
            </w:r>
          </w:p>
        </w:tc>
        <w:tc>
          <w:tcPr>
            <w:tcW w:w="720" w:type="dxa"/>
          </w:tcPr>
          <w:p>
            <w:pPr>
              <w:jc w:val="right"/>
              <w:rPr>
                <w:noProof/>
                <w:sz w:val="22"/>
              </w:rPr>
            </w:pPr>
            <w:r>
              <w:rPr>
                <w:noProof/>
                <w:sz w:val="22"/>
              </w:rPr>
              <w:t>0</w:t>
            </w:r>
          </w:p>
        </w:tc>
        <w:tc>
          <w:tcPr>
            <w:tcW w:w="720" w:type="dxa"/>
          </w:tcPr>
          <w:p>
            <w:pPr>
              <w:jc w:val="right"/>
              <w:rPr>
                <w:noProof/>
                <w:sz w:val="22"/>
              </w:rPr>
            </w:pPr>
            <w:r>
              <w:rPr>
                <w:noProof/>
                <w:sz w:val="22"/>
              </w:rPr>
              <w:t>0,350</w:t>
            </w:r>
          </w:p>
        </w:tc>
        <w:tc>
          <w:tcPr>
            <w:tcW w:w="720" w:type="dxa"/>
          </w:tcPr>
          <w:p>
            <w:pPr>
              <w:jc w:val="right"/>
              <w:rPr>
                <w:noProof/>
                <w:sz w:val="22"/>
              </w:rPr>
            </w:pPr>
            <w:r>
              <w:rPr>
                <w:noProof/>
                <w:sz w:val="22"/>
              </w:rPr>
              <w:t>1,400</w:t>
            </w:r>
          </w:p>
        </w:tc>
        <w:tc>
          <w:tcPr>
            <w:tcW w:w="720" w:type="dxa"/>
          </w:tcPr>
          <w:p>
            <w:pPr>
              <w:jc w:val="right"/>
              <w:rPr>
                <w:noProof/>
                <w:sz w:val="22"/>
              </w:rPr>
            </w:pPr>
            <w:r>
              <w:rPr>
                <w:noProof/>
                <w:sz w:val="22"/>
              </w:rPr>
              <w:t>0,233</w:t>
            </w:r>
          </w:p>
        </w:tc>
        <w:tc>
          <w:tcPr>
            <w:tcW w:w="720" w:type="dxa"/>
          </w:tcPr>
          <w:p>
            <w:pPr>
              <w:jc w:val="right"/>
              <w:rPr>
                <w:noProof/>
                <w:sz w:val="22"/>
              </w:rPr>
            </w:pPr>
            <w:r>
              <w:rPr>
                <w:noProof/>
                <w:sz w:val="22"/>
              </w:rPr>
              <w:t>0</w:t>
            </w:r>
          </w:p>
        </w:tc>
        <w:tc>
          <w:tcPr>
            <w:tcW w:w="720" w:type="dxa"/>
          </w:tcPr>
          <w:p>
            <w:pPr>
              <w:jc w:val="right"/>
              <w:rPr>
                <w:noProof/>
                <w:sz w:val="22"/>
              </w:rPr>
            </w:pPr>
            <w:r>
              <w:rPr>
                <w:noProof/>
                <w:sz w:val="22"/>
              </w:rPr>
              <w:t>0</w:t>
            </w:r>
          </w:p>
        </w:tc>
        <w:tc>
          <w:tcPr>
            <w:tcW w:w="840" w:type="dxa"/>
          </w:tcPr>
          <w:p>
            <w:pPr>
              <w:jc w:val="right"/>
              <w:rPr>
                <w:noProof/>
                <w:sz w:val="22"/>
              </w:rPr>
            </w:pPr>
            <w:r>
              <w:rPr>
                <w:noProof/>
                <w:sz w:val="22"/>
              </w:rPr>
              <w:t>0</w:t>
            </w:r>
          </w:p>
        </w:tc>
        <w:tc>
          <w:tcPr>
            <w:tcW w:w="2237" w:type="dxa"/>
          </w:tcPr>
          <w:p>
            <w:pPr>
              <w:jc w:val="center"/>
              <w:rPr>
                <w:noProof/>
                <w:sz w:val="22"/>
              </w:rPr>
            </w:pPr>
            <w:r>
              <w:rPr>
                <w:noProof/>
                <w:sz w:val="22"/>
              </w:rPr>
              <w:t>1,983</w:t>
            </w:r>
          </w:p>
        </w:tc>
      </w:tr>
      <w:tr>
        <w:trPr>
          <w:trHeight w:val="587"/>
        </w:trPr>
        <w:tc>
          <w:tcPr>
            <w:tcW w:w="1451" w:type="dxa"/>
            <w:shd w:val="clear" w:color="auto" w:fill="CCCCCC"/>
            <w:vAlign w:val="center"/>
          </w:tcPr>
          <w:p>
            <w:pPr>
              <w:spacing w:before="60" w:after="60"/>
              <w:jc w:val="center"/>
              <w:rPr>
                <w:noProof/>
              </w:rPr>
            </w:pPr>
            <w:r>
              <w:rPr>
                <w:noProof/>
                <w:sz w:val="18"/>
              </w:rPr>
              <w:t xml:space="preserve">Temporary staff </w:t>
            </w:r>
          </w:p>
        </w:tc>
        <w:tc>
          <w:tcPr>
            <w:tcW w:w="759" w:type="dxa"/>
          </w:tcPr>
          <w:p>
            <w:pPr>
              <w:spacing w:before="60" w:after="60"/>
              <w:jc w:val="right"/>
              <w:rPr>
                <w:noProof/>
                <w:sz w:val="22"/>
              </w:rPr>
            </w:pPr>
            <w:r>
              <w:rPr>
                <w:noProof/>
                <w:sz w:val="22"/>
              </w:rPr>
              <w:t>0</w:t>
            </w:r>
          </w:p>
        </w:tc>
        <w:tc>
          <w:tcPr>
            <w:tcW w:w="720" w:type="dxa"/>
          </w:tcPr>
          <w:p>
            <w:pPr>
              <w:spacing w:before="60" w:after="60"/>
              <w:jc w:val="right"/>
              <w:rPr>
                <w:noProof/>
                <w:sz w:val="22"/>
              </w:rPr>
            </w:pPr>
            <w:r>
              <w:rPr>
                <w:noProof/>
                <w:sz w:val="22"/>
              </w:rPr>
              <w:t>0</w:t>
            </w:r>
          </w:p>
        </w:tc>
        <w:tc>
          <w:tcPr>
            <w:tcW w:w="720" w:type="dxa"/>
          </w:tcPr>
          <w:p>
            <w:pPr>
              <w:spacing w:before="60" w:after="60"/>
              <w:jc w:val="right"/>
              <w:rPr>
                <w:noProof/>
                <w:sz w:val="22"/>
              </w:rPr>
            </w:pPr>
            <w:r>
              <w:rPr>
                <w:noProof/>
                <w:sz w:val="22"/>
              </w:rPr>
              <w:t>0</w:t>
            </w:r>
          </w:p>
        </w:tc>
        <w:tc>
          <w:tcPr>
            <w:tcW w:w="720" w:type="dxa"/>
          </w:tcPr>
          <w:p>
            <w:pPr>
              <w:spacing w:before="60" w:after="60"/>
              <w:jc w:val="right"/>
              <w:rPr>
                <w:noProof/>
                <w:sz w:val="22"/>
              </w:rPr>
            </w:pPr>
            <w:r>
              <w:rPr>
                <w:noProof/>
                <w:sz w:val="22"/>
              </w:rPr>
              <w:t>0</w:t>
            </w:r>
          </w:p>
        </w:tc>
        <w:tc>
          <w:tcPr>
            <w:tcW w:w="720" w:type="dxa"/>
          </w:tcPr>
          <w:p>
            <w:pPr>
              <w:spacing w:before="60" w:after="60"/>
              <w:jc w:val="right"/>
              <w:rPr>
                <w:noProof/>
                <w:sz w:val="22"/>
              </w:rPr>
            </w:pPr>
            <w:r>
              <w:rPr>
                <w:noProof/>
                <w:sz w:val="22"/>
              </w:rPr>
              <w:t>0</w:t>
            </w:r>
          </w:p>
        </w:tc>
        <w:tc>
          <w:tcPr>
            <w:tcW w:w="720" w:type="dxa"/>
          </w:tcPr>
          <w:p>
            <w:pPr>
              <w:spacing w:before="60" w:after="60"/>
              <w:jc w:val="right"/>
              <w:rPr>
                <w:noProof/>
                <w:sz w:val="22"/>
              </w:rPr>
            </w:pPr>
            <w:r>
              <w:rPr>
                <w:noProof/>
                <w:sz w:val="22"/>
              </w:rPr>
              <w:t>0</w:t>
            </w:r>
          </w:p>
        </w:tc>
        <w:tc>
          <w:tcPr>
            <w:tcW w:w="720" w:type="dxa"/>
          </w:tcPr>
          <w:p>
            <w:pPr>
              <w:spacing w:before="60" w:after="60"/>
              <w:jc w:val="right"/>
              <w:rPr>
                <w:noProof/>
                <w:sz w:val="22"/>
              </w:rPr>
            </w:pPr>
            <w:r>
              <w:rPr>
                <w:noProof/>
                <w:sz w:val="22"/>
              </w:rPr>
              <w:t>0</w:t>
            </w:r>
          </w:p>
        </w:tc>
        <w:tc>
          <w:tcPr>
            <w:tcW w:w="720" w:type="dxa"/>
          </w:tcPr>
          <w:p>
            <w:pPr>
              <w:spacing w:before="60" w:after="60"/>
              <w:jc w:val="right"/>
              <w:rPr>
                <w:noProof/>
                <w:sz w:val="22"/>
              </w:rPr>
            </w:pPr>
            <w:r>
              <w:rPr>
                <w:noProof/>
                <w:sz w:val="22"/>
              </w:rPr>
              <w:t>0</w:t>
            </w:r>
          </w:p>
        </w:tc>
        <w:tc>
          <w:tcPr>
            <w:tcW w:w="840" w:type="dxa"/>
          </w:tcPr>
          <w:p>
            <w:pPr>
              <w:spacing w:before="60" w:after="60"/>
              <w:jc w:val="center"/>
              <w:rPr>
                <w:noProof/>
                <w:sz w:val="22"/>
              </w:rPr>
            </w:pPr>
            <w:r>
              <w:rPr>
                <w:noProof/>
                <w:sz w:val="22"/>
              </w:rPr>
              <w:t>0</w:t>
            </w:r>
          </w:p>
        </w:tc>
        <w:tc>
          <w:tcPr>
            <w:tcW w:w="2237" w:type="dxa"/>
          </w:tcPr>
          <w:p>
            <w:pPr>
              <w:spacing w:before="60" w:after="60"/>
              <w:jc w:val="right"/>
              <w:rPr>
                <w:b/>
                <w:noProof/>
                <w:sz w:val="22"/>
              </w:rPr>
            </w:pPr>
            <w:r>
              <w:rPr>
                <w:noProof/>
                <w:sz w:val="22"/>
              </w:rPr>
              <w:t>0</w:t>
            </w:r>
          </w:p>
        </w:tc>
      </w:tr>
      <w:tr>
        <w:trPr>
          <w:trHeight w:val="587"/>
        </w:trPr>
        <w:tc>
          <w:tcPr>
            <w:tcW w:w="1451" w:type="dxa"/>
            <w:shd w:val="clear" w:color="auto" w:fill="CCCCCC"/>
            <w:vAlign w:val="center"/>
          </w:tcPr>
          <w:p>
            <w:pPr>
              <w:spacing w:before="60" w:after="60"/>
              <w:jc w:val="center"/>
              <w:rPr>
                <w:noProof/>
              </w:rPr>
            </w:pPr>
            <w:r>
              <w:rPr>
                <w:noProof/>
                <w:sz w:val="18"/>
              </w:rPr>
              <w:t>Seconded National Experts</w:t>
            </w:r>
          </w:p>
        </w:tc>
        <w:tc>
          <w:tcPr>
            <w:tcW w:w="759" w:type="dxa"/>
            <w:vAlign w:val="center"/>
          </w:tcPr>
          <w:p>
            <w:pPr>
              <w:spacing w:before="60" w:after="60"/>
              <w:jc w:val="right"/>
              <w:rPr>
                <w:noProof/>
                <w:sz w:val="20"/>
              </w:rPr>
            </w:pPr>
          </w:p>
        </w:tc>
        <w:tc>
          <w:tcPr>
            <w:tcW w:w="720" w:type="dxa"/>
            <w:vAlign w:val="center"/>
          </w:tcPr>
          <w:p>
            <w:pPr>
              <w:spacing w:before="60" w:after="60"/>
              <w:jc w:val="right"/>
              <w:rPr>
                <w:noProof/>
                <w:sz w:val="20"/>
              </w:rPr>
            </w:pPr>
          </w:p>
        </w:tc>
        <w:tc>
          <w:tcPr>
            <w:tcW w:w="720" w:type="dxa"/>
            <w:vAlign w:val="center"/>
          </w:tcPr>
          <w:p>
            <w:pPr>
              <w:spacing w:before="60" w:after="60"/>
              <w:jc w:val="right"/>
              <w:rPr>
                <w:noProof/>
                <w:sz w:val="20"/>
              </w:rPr>
            </w:pPr>
          </w:p>
        </w:tc>
        <w:tc>
          <w:tcPr>
            <w:tcW w:w="720" w:type="dxa"/>
            <w:vAlign w:val="center"/>
          </w:tcPr>
          <w:p>
            <w:pPr>
              <w:spacing w:before="60" w:after="60"/>
              <w:jc w:val="right"/>
              <w:rPr>
                <w:noProof/>
                <w:sz w:val="20"/>
              </w:rPr>
            </w:pPr>
          </w:p>
        </w:tc>
        <w:tc>
          <w:tcPr>
            <w:tcW w:w="720" w:type="dxa"/>
            <w:vAlign w:val="center"/>
          </w:tcPr>
          <w:p>
            <w:pPr>
              <w:spacing w:before="60" w:after="60"/>
              <w:jc w:val="right"/>
              <w:rPr>
                <w:noProof/>
                <w:sz w:val="20"/>
              </w:rPr>
            </w:pPr>
          </w:p>
        </w:tc>
        <w:tc>
          <w:tcPr>
            <w:tcW w:w="720" w:type="dxa"/>
            <w:vAlign w:val="center"/>
          </w:tcPr>
          <w:p>
            <w:pPr>
              <w:spacing w:before="60" w:after="60"/>
              <w:jc w:val="right"/>
              <w:rPr>
                <w:noProof/>
                <w:sz w:val="20"/>
              </w:rPr>
            </w:pPr>
          </w:p>
        </w:tc>
        <w:tc>
          <w:tcPr>
            <w:tcW w:w="720" w:type="dxa"/>
            <w:vAlign w:val="center"/>
          </w:tcPr>
          <w:p>
            <w:pPr>
              <w:spacing w:before="60" w:after="60"/>
              <w:jc w:val="right"/>
              <w:rPr>
                <w:b/>
                <w:noProof/>
                <w:sz w:val="20"/>
              </w:rPr>
            </w:pPr>
          </w:p>
        </w:tc>
        <w:tc>
          <w:tcPr>
            <w:tcW w:w="720" w:type="dxa"/>
          </w:tcPr>
          <w:p>
            <w:pPr>
              <w:spacing w:before="60" w:after="60"/>
              <w:jc w:val="right"/>
              <w:rPr>
                <w:b/>
                <w:noProof/>
                <w:sz w:val="20"/>
              </w:rPr>
            </w:pPr>
          </w:p>
        </w:tc>
        <w:tc>
          <w:tcPr>
            <w:tcW w:w="840" w:type="dxa"/>
          </w:tcPr>
          <w:p>
            <w:pPr>
              <w:spacing w:before="60" w:after="60"/>
              <w:jc w:val="right"/>
              <w:rPr>
                <w:b/>
                <w:noProof/>
                <w:sz w:val="20"/>
              </w:rPr>
            </w:pPr>
          </w:p>
        </w:tc>
        <w:tc>
          <w:tcPr>
            <w:tcW w:w="2237" w:type="dxa"/>
            <w:vAlign w:val="center"/>
          </w:tcPr>
          <w:p>
            <w:pPr>
              <w:spacing w:before="60" w:after="60"/>
              <w:jc w:val="right"/>
              <w:rPr>
                <w:b/>
                <w:noProof/>
                <w:sz w:val="20"/>
              </w:rPr>
            </w:pPr>
          </w:p>
        </w:tc>
      </w:tr>
    </w:tbl>
    <w:p>
      <w:pPr>
        <w:pStyle w:val="Text1"/>
        <w:rPr>
          <w:noProof/>
        </w:rPr>
      </w:pPr>
    </w:p>
    <w:tbl>
      <w:tblPr>
        <w:tblW w:w="10301" w:type="dxa"/>
        <w:tblInd w:w="-612" w:type="dxa"/>
        <w:tblLayout w:type="fixed"/>
        <w:tblLook w:val="01E0" w:firstRow="1" w:lastRow="1" w:firstColumn="1" w:lastColumn="1" w:noHBand="0" w:noVBand="0"/>
      </w:tblPr>
      <w:tblGrid>
        <w:gridCol w:w="1448"/>
        <w:gridCol w:w="764"/>
        <w:gridCol w:w="720"/>
        <w:gridCol w:w="720"/>
        <w:gridCol w:w="720"/>
        <w:gridCol w:w="720"/>
        <w:gridCol w:w="720"/>
        <w:gridCol w:w="720"/>
        <w:gridCol w:w="720"/>
        <w:gridCol w:w="840"/>
        <w:gridCol w:w="2209"/>
      </w:tblGrid>
      <w:tr>
        <w:trPr>
          <w:trHeight w:val="575"/>
        </w:trPr>
        <w:tc>
          <w:tcPr>
            <w:tcW w:w="1448" w:type="dxa"/>
            <w:tcBorders>
              <w:top w:val="single" w:sz="12" w:space="0" w:color="auto"/>
              <w:left w:val="single" w:sz="12" w:space="0" w:color="auto"/>
              <w:bottom w:val="single" w:sz="12" w:space="0" w:color="auto"/>
              <w:right w:val="single" w:sz="2" w:space="0" w:color="auto"/>
            </w:tcBorders>
            <w:vAlign w:val="center"/>
          </w:tcPr>
          <w:p>
            <w:pPr>
              <w:spacing w:before="60" w:after="60"/>
              <w:jc w:val="center"/>
              <w:rPr>
                <w:noProof/>
                <w:sz w:val="20"/>
              </w:rPr>
            </w:pPr>
            <w:r>
              <w:rPr>
                <w:b/>
                <w:noProof/>
                <w:sz w:val="20"/>
              </w:rPr>
              <w:t>TOTAL</w:t>
            </w:r>
          </w:p>
        </w:tc>
        <w:tc>
          <w:tcPr>
            <w:tcW w:w="764" w:type="dxa"/>
            <w:tcBorders>
              <w:top w:val="single" w:sz="12" w:space="0" w:color="auto"/>
              <w:left w:val="single" w:sz="2" w:space="0" w:color="auto"/>
              <w:bottom w:val="single" w:sz="12" w:space="0" w:color="auto"/>
              <w:right w:val="single" w:sz="2" w:space="0" w:color="auto"/>
            </w:tcBorders>
            <w:vAlign w:val="center"/>
          </w:tcPr>
          <w:p>
            <w:pPr>
              <w:spacing w:before="60" w:after="60"/>
              <w:jc w:val="center"/>
              <w:rPr>
                <w:b/>
                <w:noProof/>
                <w:sz w:val="22"/>
              </w:rPr>
            </w:pPr>
            <w:r>
              <w:rPr>
                <w:b/>
                <w:noProof/>
                <w:sz w:val="22"/>
              </w:rPr>
              <w:t>0,0</w:t>
            </w:r>
          </w:p>
        </w:tc>
        <w:tc>
          <w:tcPr>
            <w:tcW w:w="720" w:type="dxa"/>
            <w:tcBorders>
              <w:top w:val="single" w:sz="12" w:space="0" w:color="auto"/>
              <w:left w:val="single" w:sz="2" w:space="0" w:color="auto"/>
              <w:bottom w:val="single" w:sz="12" w:space="0" w:color="auto"/>
              <w:right w:val="single" w:sz="2" w:space="0" w:color="auto"/>
            </w:tcBorders>
            <w:vAlign w:val="center"/>
          </w:tcPr>
          <w:p>
            <w:pPr>
              <w:spacing w:before="60" w:after="60"/>
              <w:jc w:val="center"/>
              <w:rPr>
                <w:b/>
                <w:noProof/>
                <w:sz w:val="22"/>
              </w:rPr>
            </w:pPr>
            <w:r>
              <w:rPr>
                <w:b/>
                <w:noProof/>
                <w:sz w:val="22"/>
              </w:rPr>
              <w:t>0,0</w:t>
            </w:r>
          </w:p>
        </w:tc>
        <w:tc>
          <w:tcPr>
            <w:tcW w:w="720" w:type="dxa"/>
            <w:tcBorders>
              <w:top w:val="single" w:sz="12" w:space="0" w:color="auto"/>
              <w:left w:val="single" w:sz="2" w:space="0" w:color="auto"/>
              <w:bottom w:val="single" w:sz="12" w:space="0" w:color="auto"/>
              <w:right w:val="single" w:sz="2" w:space="0" w:color="auto"/>
            </w:tcBorders>
            <w:vAlign w:val="center"/>
          </w:tcPr>
          <w:p>
            <w:pPr>
              <w:spacing w:before="60" w:after="60"/>
              <w:jc w:val="center"/>
              <w:rPr>
                <w:b/>
                <w:noProof/>
                <w:sz w:val="22"/>
              </w:rPr>
            </w:pPr>
            <w:r>
              <w:rPr>
                <w:b/>
                <w:noProof/>
                <w:sz w:val="22"/>
              </w:rPr>
              <w:t>0,0</w:t>
            </w:r>
          </w:p>
        </w:tc>
        <w:tc>
          <w:tcPr>
            <w:tcW w:w="720" w:type="dxa"/>
            <w:tcBorders>
              <w:top w:val="single" w:sz="12" w:space="0" w:color="auto"/>
              <w:left w:val="single" w:sz="2" w:space="0" w:color="auto"/>
              <w:bottom w:val="single" w:sz="12" w:space="0" w:color="auto"/>
              <w:right w:val="single" w:sz="2" w:space="0" w:color="auto"/>
            </w:tcBorders>
            <w:vAlign w:val="center"/>
          </w:tcPr>
          <w:p>
            <w:pPr>
              <w:jc w:val="center"/>
              <w:rPr>
                <w:b/>
                <w:noProof/>
                <w:sz w:val="20"/>
              </w:rPr>
            </w:pPr>
            <w:r>
              <w:rPr>
                <w:b/>
                <w:noProof/>
                <w:sz w:val="20"/>
              </w:rPr>
              <w:t>0,350</w:t>
            </w:r>
          </w:p>
        </w:tc>
        <w:tc>
          <w:tcPr>
            <w:tcW w:w="720" w:type="dxa"/>
            <w:tcBorders>
              <w:top w:val="single" w:sz="12" w:space="0" w:color="auto"/>
              <w:left w:val="single" w:sz="2" w:space="0" w:color="auto"/>
              <w:bottom w:val="single" w:sz="12" w:space="0" w:color="auto"/>
              <w:right w:val="single" w:sz="2" w:space="0" w:color="auto"/>
            </w:tcBorders>
            <w:vAlign w:val="center"/>
          </w:tcPr>
          <w:p>
            <w:pPr>
              <w:jc w:val="center"/>
              <w:rPr>
                <w:b/>
                <w:noProof/>
                <w:sz w:val="20"/>
              </w:rPr>
            </w:pPr>
            <w:r>
              <w:rPr>
                <w:b/>
                <w:noProof/>
                <w:sz w:val="20"/>
              </w:rPr>
              <w:t>1,400</w:t>
            </w:r>
          </w:p>
        </w:tc>
        <w:tc>
          <w:tcPr>
            <w:tcW w:w="720" w:type="dxa"/>
            <w:tcBorders>
              <w:top w:val="single" w:sz="12" w:space="0" w:color="auto"/>
              <w:left w:val="single" w:sz="2" w:space="0" w:color="auto"/>
              <w:bottom w:val="single" w:sz="12" w:space="0" w:color="auto"/>
              <w:right w:val="single" w:sz="2" w:space="0" w:color="auto"/>
            </w:tcBorders>
            <w:vAlign w:val="center"/>
          </w:tcPr>
          <w:p>
            <w:pPr>
              <w:jc w:val="center"/>
              <w:rPr>
                <w:b/>
                <w:noProof/>
                <w:sz w:val="20"/>
              </w:rPr>
            </w:pPr>
            <w:r>
              <w:rPr>
                <w:b/>
                <w:noProof/>
                <w:sz w:val="20"/>
              </w:rPr>
              <w:t>0,233</w:t>
            </w:r>
          </w:p>
        </w:tc>
        <w:tc>
          <w:tcPr>
            <w:tcW w:w="720" w:type="dxa"/>
            <w:tcBorders>
              <w:top w:val="single" w:sz="12" w:space="0" w:color="auto"/>
              <w:left w:val="single" w:sz="2" w:space="0" w:color="auto"/>
              <w:bottom w:val="single" w:sz="12" w:space="0" w:color="auto"/>
              <w:right w:val="single" w:sz="2" w:space="0" w:color="auto"/>
            </w:tcBorders>
            <w:vAlign w:val="center"/>
          </w:tcPr>
          <w:p>
            <w:pPr>
              <w:spacing w:before="60" w:after="60"/>
              <w:jc w:val="center"/>
              <w:rPr>
                <w:b/>
                <w:noProof/>
                <w:sz w:val="22"/>
              </w:rPr>
            </w:pPr>
            <w:r>
              <w:rPr>
                <w:b/>
                <w:noProof/>
                <w:sz w:val="22"/>
              </w:rPr>
              <w:t>0,0</w:t>
            </w:r>
          </w:p>
        </w:tc>
        <w:tc>
          <w:tcPr>
            <w:tcW w:w="720" w:type="dxa"/>
            <w:tcBorders>
              <w:top w:val="single" w:sz="12" w:space="0" w:color="auto"/>
              <w:left w:val="single" w:sz="2" w:space="0" w:color="auto"/>
              <w:bottom w:val="single" w:sz="12" w:space="0" w:color="auto"/>
              <w:right w:val="single" w:sz="2" w:space="0" w:color="auto"/>
            </w:tcBorders>
            <w:vAlign w:val="center"/>
          </w:tcPr>
          <w:p>
            <w:pPr>
              <w:spacing w:before="60" w:after="60"/>
              <w:jc w:val="center"/>
              <w:rPr>
                <w:b/>
                <w:noProof/>
                <w:sz w:val="22"/>
              </w:rPr>
            </w:pPr>
            <w:r>
              <w:rPr>
                <w:b/>
                <w:noProof/>
                <w:sz w:val="22"/>
              </w:rPr>
              <w:t>0,0</w:t>
            </w:r>
          </w:p>
        </w:tc>
        <w:tc>
          <w:tcPr>
            <w:tcW w:w="840" w:type="dxa"/>
            <w:tcBorders>
              <w:top w:val="single" w:sz="12" w:space="0" w:color="auto"/>
              <w:left w:val="single" w:sz="2" w:space="0" w:color="auto"/>
              <w:bottom w:val="single" w:sz="12" w:space="0" w:color="auto"/>
              <w:right w:val="single" w:sz="2" w:space="0" w:color="auto"/>
            </w:tcBorders>
            <w:vAlign w:val="center"/>
          </w:tcPr>
          <w:p>
            <w:pPr>
              <w:spacing w:before="60" w:after="60"/>
              <w:jc w:val="center"/>
              <w:rPr>
                <w:b/>
                <w:noProof/>
                <w:sz w:val="22"/>
              </w:rPr>
            </w:pPr>
            <w:r>
              <w:rPr>
                <w:b/>
                <w:noProof/>
                <w:sz w:val="22"/>
              </w:rPr>
              <w:t>0,0</w:t>
            </w:r>
          </w:p>
        </w:tc>
        <w:tc>
          <w:tcPr>
            <w:tcW w:w="2209" w:type="dxa"/>
            <w:tcBorders>
              <w:top w:val="single" w:sz="12" w:space="0" w:color="auto"/>
              <w:left w:val="single" w:sz="2" w:space="0" w:color="auto"/>
              <w:bottom w:val="single" w:sz="12" w:space="0" w:color="auto"/>
              <w:right w:val="single" w:sz="12" w:space="0" w:color="auto"/>
            </w:tcBorders>
            <w:vAlign w:val="center"/>
          </w:tcPr>
          <w:p>
            <w:pPr>
              <w:spacing w:before="60" w:after="60"/>
              <w:jc w:val="center"/>
              <w:rPr>
                <w:b/>
                <w:noProof/>
                <w:sz w:val="22"/>
              </w:rPr>
            </w:pPr>
            <w:r>
              <w:rPr>
                <w:b/>
                <w:noProof/>
                <w:sz w:val="22"/>
              </w:rPr>
              <w:t>1,983</w:t>
            </w:r>
          </w:p>
        </w:tc>
      </w:tr>
    </w:tbl>
    <w:p>
      <w:pPr>
        <w:rPr>
          <w:noProof/>
        </w:rPr>
      </w:pPr>
    </w:p>
    <w:p>
      <w:pPr>
        <w:pStyle w:val="Text1"/>
        <w:rPr>
          <w:noProof/>
        </w:rPr>
      </w:pPr>
      <w:r>
        <w:rPr>
          <w:noProof/>
        </w:rPr>
        <w:t>The expected work to be carried out by these additional staff to the EBCG is limited in time (2023), more precisely starting 24 months after the availability date of the biometric engine for EES is available). However staff need to be recruited in advance (an average of three months is calculated) which explains the value in 2022. The work done is followed by wrap-up/termination tasks during two months, which explains the staff level in 2024.</w:t>
      </w:r>
    </w:p>
    <w:p>
      <w:pPr>
        <w:pStyle w:val="Text1"/>
        <w:rPr>
          <w:noProof/>
        </w:rPr>
      </w:pPr>
      <w:r>
        <w:rPr>
          <w:noProof/>
        </w:rPr>
        <w:t>The staff level itself is based on 20 persons required for the work to be done (plus 10 persons provided by a contractor and which is reflected in Title 3). The tasks are also assumed to happen over extended working hours and not being limited to standard business hours.  Support and managerial staff are assumed to be provided relying on the resources of the Agency.</w:t>
      </w:r>
    </w:p>
    <w:p>
      <w:pPr>
        <w:pStyle w:val="Text1"/>
        <w:rPr>
          <w:noProof/>
        </w:rPr>
      </w:pPr>
      <w:r>
        <w:rPr>
          <w:noProof/>
        </w:rPr>
        <w:t>The staff number is based on the assumption that about 550.000 fingerprints will have to be assessed taking on average 5 to 10 minutes per case (17.000 prints per year checked).</w:t>
      </w:r>
      <w:r>
        <w:rPr>
          <w:rStyle w:val="FootnoteReference"/>
          <w:noProof/>
        </w:rPr>
        <w:footnoteReference w:id="108"/>
      </w:r>
    </w:p>
    <w:p>
      <w:pPr>
        <w:pStyle w:val="Text1"/>
        <w:ind w:left="0"/>
        <w:rPr>
          <w:noProof/>
        </w:rPr>
      </w:pPr>
      <w:r>
        <w:rPr>
          <w:noProof/>
          <w:lang w:val="en-US"/>
        </w:rPr>
        <w:drawing>
          <wp:inline distT="0" distB="0" distL="0" distR="0">
            <wp:extent cx="5760085" cy="1039694"/>
            <wp:effectExtent l="0" t="0" r="0" b="825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760085" cy="1039694"/>
                    </a:xfrm>
                    <a:prstGeom prst="rect">
                      <a:avLst/>
                    </a:prstGeom>
                    <a:noFill/>
                    <a:ln>
                      <a:noFill/>
                    </a:ln>
                  </pic:spPr>
                </pic:pic>
              </a:graphicData>
            </a:graphic>
          </wp:inline>
        </w:drawing>
      </w:r>
    </w:p>
    <w:p>
      <w:pPr>
        <w:pStyle w:val="Text1"/>
        <w:ind w:left="0"/>
        <w:rPr>
          <w:noProof/>
        </w:rPr>
      </w:pPr>
      <w:r>
        <w:rPr>
          <w:noProof/>
        </w:rPr>
        <w:t>.</w:t>
      </w:r>
    </w:p>
    <w:p>
      <w:pPr>
        <w:pStyle w:val="ManualHeading4"/>
        <w:rPr>
          <w:noProof/>
        </w:rPr>
      </w:pPr>
      <w:r>
        <w:t>3.2.3.2.</w:t>
      </w:r>
      <w:r>
        <w:tab/>
      </w:r>
      <w:r>
        <w:rPr>
          <w:noProof/>
        </w:rPr>
        <w:t>Europol summary</w:t>
      </w:r>
    </w:p>
    <w:p>
      <w:pPr>
        <w:keepNext/>
        <w:rPr>
          <w:noProof/>
        </w:rPr>
      </w:pPr>
      <w:r>
        <w:rPr>
          <w:noProof/>
        </w:rPr>
        <w:sym w:font="Wingdings" w:char="F0A8"/>
      </w:r>
      <w:r>
        <w:rPr>
          <w:noProof/>
        </w:rPr>
        <w:tab/>
        <w:t xml:space="preserve">The proposal/initiative does not require the use of appropriations of an administrative nature </w:t>
      </w:r>
    </w:p>
    <w:p>
      <w:pPr>
        <w:rPr>
          <w:noProof/>
        </w:rPr>
      </w:pPr>
      <w:r>
        <w:rPr>
          <w:noProof/>
        </w:rPr>
        <w:sym w:font="Wingdings" w:char="F078"/>
      </w:r>
      <w:r>
        <w:rPr>
          <w:noProof/>
        </w:rPr>
        <w:tab/>
        <w:t>The proposal/initiative requires the use of appropriations of an administrative nature, as explained below:</w:t>
      </w:r>
    </w:p>
    <w:p>
      <w:pPr>
        <w:rPr>
          <w:noProof/>
          <w:sz w:val="20"/>
        </w:rPr>
      </w:pPr>
      <w:r>
        <w:rPr>
          <w:noProof/>
          <w:sz w:val="20"/>
        </w:rPr>
        <w:t>EUR million (to three decimal places)</w:t>
      </w:r>
    </w:p>
    <w:tbl>
      <w:tblPr>
        <w:tblW w:w="10360" w:type="dxa"/>
        <w:tblInd w:w="-61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1456"/>
        <w:gridCol w:w="752"/>
        <w:gridCol w:w="720"/>
        <w:gridCol w:w="720"/>
        <w:gridCol w:w="720"/>
        <w:gridCol w:w="720"/>
        <w:gridCol w:w="720"/>
        <w:gridCol w:w="720"/>
        <w:gridCol w:w="720"/>
        <w:gridCol w:w="840"/>
        <w:gridCol w:w="2272"/>
      </w:tblGrid>
      <w:tr>
        <w:trPr>
          <w:trHeight w:val="574"/>
        </w:trPr>
        <w:tc>
          <w:tcPr>
            <w:tcW w:w="1456" w:type="dxa"/>
          </w:tcPr>
          <w:p>
            <w:pPr>
              <w:spacing w:before="60" w:after="60"/>
              <w:rPr>
                <w:noProof/>
                <w:sz w:val="20"/>
              </w:rPr>
            </w:pPr>
          </w:p>
        </w:tc>
        <w:tc>
          <w:tcPr>
            <w:tcW w:w="752" w:type="dxa"/>
            <w:vAlign w:val="center"/>
          </w:tcPr>
          <w:p>
            <w:pPr>
              <w:spacing w:before="60" w:after="60"/>
              <w:jc w:val="center"/>
              <w:rPr>
                <w:noProof/>
                <w:sz w:val="20"/>
              </w:rPr>
            </w:pPr>
            <w:r>
              <w:rPr>
                <w:noProof/>
                <w:sz w:val="20"/>
              </w:rPr>
              <w:t>Year</w:t>
            </w:r>
            <w:r>
              <w:rPr>
                <w:noProof/>
                <w:sz w:val="22"/>
              </w:rPr>
              <w:br/>
            </w:r>
            <w:r>
              <w:rPr>
                <w:b/>
                <w:noProof/>
                <w:sz w:val="20"/>
              </w:rPr>
              <w:t>2019</w:t>
            </w:r>
          </w:p>
        </w:tc>
        <w:tc>
          <w:tcPr>
            <w:tcW w:w="720" w:type="dxa"/>
            <w:vAlign w:val="center"/>
          </w:tcPr>
          <w:p>
            <w:pPr>
              <w:spacing w:before="60" w:after="60"/>
              <w:jc w:val="center"/>
              <w:rPr>
                <w:noProof/>
                <w:sz w:val="20"/>
              </w:rPr>
            </w:pPr>
            <w:r>
              <w:rPr>
                <w:noProof/>
                <w:sz w:val="20"/>
              </w:rPr>
              <w:t>Year</w:t>
            </w:r>
            <w:r>
              <w:rPr>
                <w:noProof/>
                <w:sz w:val="22"/>
              </w:rPr>
              <w:br/>
            </w:r>
            <w:r>
              <w:rPr>
                <w:b/>
                <w:noProof/>
                <w:sz w:val="20"/>
              </w:rPr>
              <w:t>2020</w:t>
            </w:r>
          </w:p>
        </w:tc>
        <w:tc>
          <w:tcPr>
            <w:tcW w:w="720" w:type="dxa"/>
            <w:vAlign w:val="center"/>
          </w:tcPr>
          <w:p>
            <w:pPr>
              <w:spacing w:before="60" w:after="60"/>
              <w:jc w:val="center"/>
              <w:rPr>
                <w:noProof/>
                <w:sz w:val="20"/>
              </w:rPr>
            </w:pPr>
            <w:r>
              <w:rPr>
                <w:noProof/>
                <w:sz w:val="20"/>
              </w:rPr>
              <w:t>Year</w:t>
            </w:r>
            <w:r>
              <w:rPr>
                <w:noProof/>
                <w:sz w:val="22"/>
              </w:rPr>
              <w:br/>
            </w:r>
            <w:r>
              <w:rPr>
                <w:b/>
                <w:noProof/>
                <w:sz w:val="20"/>
              </w:rPr>
              <w:t>2021</w:t>
            </w:r>
          </w:p>
        </w:tc>
        <w:tc>
          <w:tcPr>
            <w:tcW w:w="720" w:type="dxa"/>
            <w:vAlign w:val="center"/>
          </w:tcPr>
          <w:p>
            <w:pPr>
              <w:spacing w:before="60" w:after="60"/>
              <w:jc w:val="center"/>
              <w:rPr>
                <w:noProof/>
                <w:sz w:val="20"/>
              </w:rPr>
            </w:pPr>
            <w:r>
              <w:rPr>
                <w:noProof/>
                <w:sz w:val="20"/>
              </w:rPr>
              <w:t>Year</w:t>
            </w:r>
            <w:r>
              <w:rPr>
                <w:noProof/>
                <w:sz w:val="22"/>
              </w:rPr>
              <w:br/>
            </w:r>
            <w:r>
              <w:rPr>
                <w:b/>
                <w:noProof/>
                <w:sz w:val="20"/>
              </w:rPr>
              <w:t>2022</w:t>
            </w:r>
          </w:p>
        </w:tc>
        <w:tc>
          <w:tcPr>
            <w:tcW w:w="720" w:type="dxa"/>
            <w:vAlign w:val="center"/>
          </w:tcPr>
          <w:p>
            <w:pPr>
              <w:jc w:val="center"/>
              <w:rPr>
                <w:b/>
                <w:noProof/>
                <w:sz w:val="20"/>
              </w:rPr>
            </w:pPr>
            <w:r>
              <w:rPr>
                <w:noProof/>
                <w:sz w:val="20"/>
              </w:rPr>
              <w:t>Year</w:t>
            </w:r>
            <w:r>
              <w:rPr>
                <w:noProof/>
                <w:sz w:val="22"/>
              </w:rPr>
              <w:br/>
            </w:r>
            <w:r>
              <w:rPr>
                <w:b/>
                <w:noProof/>
                <w:sz w:val="20"/>
              </w:rPr>
              <w:t>2023</w:t>
            </w:r>
          </w:p>
        </w:tc>
        <w:tc>
          <w:tcPr>
            <w:tcW w:w="720" w:type="dxa"/>
            <w:vAlign w:val="center"/>
          </w:tcPr>
          <w:p>
            <w:pPr>
              <w:jc w:val="center"/>
              <w:rPr>
                <w:b/>
                <w:noProof/>
                <w:sz w:val="20"/>
              </w:rPr>
            </w:pPr>
            <w:r>
              <w:rPr>
                <w:noProof/>
                <w:sz w:val="20"/>
              </w:rPr>
              <w:t>Year</w:t>
            </w:r>
            <w:r>
              <w:rPr>
                <w:noProof/>
                <w:sz w:val="22"/>
              </w:rPr>
              <w:br/>
            </w:r>
            <w:r>
              <w:rPr>
                <w:b/>
                <w:noProof/>
                <w:sz w:val="20"/>
              </w:rPr>
              <w:t>2024</w:t>
            </w:r>
          </w:p>
        </w:tc>
        <w:tc>
          <w:tcPr>
            <w:tcW w:w="720" w:type="dxa"/>
            <w:vAlign w:val="center"/>
          </w:tcPr>
          <w:p>
            <w:pPr>
              <w:jc w:val="center"/>
              <w:rPr>
                <w:b/>
                <w:noProof/>
                <w:sz w:val="20"/>
              </w:rPr>
            </w:pPr>
            <w:r>
              <w:rPr>
                <w:noProof/>
                <w:sz w:val="20"/>
              </w:rPr>
              <w:t>Year</w:t>
            </w:r>
            <w:r>
              <w:rPr>
                <w:noProof/>
                <w:sz w:val="22"/>
              </w:rPr>
              <w:br/>
            </w:r>
            <w:r>
              <w:rPr>
                <w:b/>
                <w:noProof/>
                <w:sz w:val="20"/>
              </w:rPr>
              <w:t>2025</w:t>
            </w:r>
          </w:p>
        </w:tc>
        <w:tc>
          <w:tcPr>
            <w:tcW w:w="720" w:type="dxa"/>
            <w:vAlign w:val="center"/>
          </w:tcPr>
          <w:p>
            <w:pPr>
              <w:spacing w:before="60" w:after="60"/>
              <w:jc w:val="center"/>
              <w:rPr>
                <w:b/>
                <w:noProof/>
                <w:sz w:val="20"/>
              </w:rPr>
            </w:pPr>
            <w:r>
              <w:rPr>
                <w:noProof/>
                <w:sz w:val="20"/>
              </w:rPr>
              <w:t>Year</w:t>
            </w:r>
            <w:r>
              <w:rPr>
                <w:noProof/>
                <w:sz w:val="22"/>
              </w:rPr>
              <w:br/>
            </w:r>
            <w:r>
              <w:rPr>
                <w:b/>
                <w:noProof/>
                <w:sz w:val="20"/>
              </w:rPr>
              <w:t>2026</w:t>
            </w:r>
          </w:p>
        </w:tc>
        <w:tc>
          <w:tcPr>
            <w:tcW w:w="840" w:type="dxa"/>
            <w:vAlign w:val="center"/>
          </w:tcPr>
          <w:p>
            <w:pPr>
              <w:spacing w:before="60" w:after="60"/>
              <w:jc w:val="center"/>
              <w:rPr>
                <w:b/>
                <w:noProof/>
                <w:sz w:val="20"/>
              </w:rPr>
            </w:pPr>
            <w:r>
              <w:rPr>
                <w:noProof/>
                <w:sz w:val="20"/>
              </w:rPr>
              <w:t>Year</w:t>
            </w:r>
            <w:r>
              <w:rPr>
                <w:noProof/>
                <w:sz w:val="22"/>
              </w:rPr>
              <w:br/>
            </w:r>
            <w:r>
              <w:rPr>
                <w:b/>
                <w:noProof/>
                <w:sz w:val="20"/>
              </w:rPr>
              <w:t>2027</w:t>
            </w:r>
          </w:p>
        </w:tc>
        <w:tc>
          <w:tcPr>
            <w:tcW w:w="2272" w:type="dxa"/>
            <w:vAlign w:val="center"/>
          </w:tcPr>
          <w:p>
            <w:pPr>
              <w:spacing w:before="60" w:after="60"/>
              <w:jc w:val="center"/>
              <w:rPr>
                <w:b/>
                <w:noProof/>
                <w:sz w:val="20"/>
              </w:rPr>
            </w:pPr>
            <w:r>
              <w:rPr>
                <w:b/>
                <w:noProof/>
                <w:sz w:val="20"/>
              </w:rPr>
              <w:t>TOTAL</w:t>
            </w:r>
          </w:p>
        </w:tc>
      </w:tr>
    </w:tbl>
    <w:p>
      <w:pPr>
        <w:rPr>
          <w:noProof/>
          <w:sz w:val="20"/>
        </w:rPr>
      </w:pPr>
    </w:p>
    <w:tbl>
      <w:tblPr>
        <w:tblW w:w="10327" w:type="dxa"/>
        <w:tblInd w:w="-61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1451"/>
        <w:gridCol w:w="759"/>
        <w:gridCol w:w="720"/>
        <w:gridCol w:w="720"/>
        <w:gridCol w:w="720"/>
        <w:gridCol w:w="720"/>
        <w:gridCol w:w="720"/>
        <w:gridCol w:w="720"/>
        <w:gridCol w:w="720"/>
        <w:gridCol w:w="840"/>
        <w:gridCol w:w="2237"/>
      </w:tblGrid>
      <w:tr>
        <w:trPr>
          <w:trHeight w:val="587"/>
        </w:trPr>
        <w:tc>
          <w:tcPr>
            <w:tcW w:w="1451" w:type="dxa"/>
            <w:shd w:val="clear" w:color="auto" w:fill="CCCCCC"/>
            <w:vAlign w:val="center"/>
          </w:tcPr>
          <w:p>
            <w:pPr>
              <w:spacing w:before="60" w:after="60"/>
              <w:jc w:val="center"/>
              <w:rPr>
                <w:noProof/>
              </w:rPr>
            </w:pPr>
            <w:r>
              <w:rPr>
                <w:noProof/>
                <w:sz w:val="18"/>
              </w:rPr>
              <w:t>Officials (AD Grades)</w:t>
            </w:r>
          </w:p>
        </w:tc>
        <w:tc>
          <w:tcPr>
            <w:tcW w:w="759" w:type="dxa"/>
            <w:vAlign w:val="center"/>
          </w:tcPr>
          <w:p>
            <w:pPr>
              <w:spacing w:before="60" w:after="60"/>
              <w:jc w:val="right"/>
              <w:rPr>
                <w:noProof/>
                <w:sz w:val="20"/>
              </w:rPr>
            </w:pPr>
          </w:p>
        </w:tc>
        <w:tc>
          <w:tcPr>
            <w:tcW w:w="720" w:type="dxa"/>
            <w:vAlign w:val="center"/>
          </w:tcPr>
          <w:p>
            <w:pPr>
              <w:spacing w:before="60" w:after="60"/>
              <w:jc w:val="right"/>
              <w:rPr>
                <w:noProof/>
                <w:sz w:val="20"/>
              </w:rPr>
            </w:pPr>
          </w:p>
        </w:tc>
        <w:tc>
          <w:tcPr>
            <w:tcW w:w="720" w:type="dxa"/>
            <w:vAlign w:val="center"/>
          </w:tcPr>
          <w:p>
            <w:pPr>
              <w:spacing w:before="60" w:after="60"/>
              <w:jc w:val="right"/>
              <w:rPr>
                <w:noProof/>
                <w:sz w:val="20"/>
              </w:rPr>
            </w:pPr>
          </w:p>
        </w:tc>
        <w:tc>
          <w:tcPr>
            <w:tcW w:w="720" w:type="dxa"/>
            <w:vAlign w:val="center"/>
          </w:tcPr>
          <w:p>
            <w:pPr>
              <w:spacing w:before="60" w:after="60"/>
              <w:jc w:val="right"/>
              <w:rPr>
                <w:noProof/>
                <w:sz w:val="20"/>
              </w:rPr>
            </w:pPr>
          </w:p>
        </w:tc>
        <w:tc>
          <w:tcPr>
            <w:tcW w:w="720" w:type="dxa"/>
            <w:vAlign w:val="center"/>
          </w:tcPr>
          <w:p>
            <w:pPr>
              <w:spacing w:before="60" w:after="60"/>
              <w:jc w:val="right"/>
              <w:rPr>
                <w:noProof/>
                <w:sz w:val="20"/>
              </w:rPr>
            </w:pPr>
          </w:p>
        </w:tc>
        <w:tc>
          <w:tcPr>
            <w:tcW w:w="720" w:type="dxa"/>
            <w:vAlign w:val="center"/>
          </w:tcPr>
          <w:p>
            <w:pPr>
              <w:spacing w:before="60" w:after="60"/>
              <w:jc w:val="right"/>
              <w:rPr>
                <w:noProof/>
                <w:sz w:val="20"/>
              </w:rPr>
            </w:pPr>
          </w:p>
        </w:tc>
        <w:tc>
          <w:tcPr>
            <w:tcW w:w="720" w:type="dxa"/>
            <w:vAlign w:val="center"/>
          </w:tcPr>
          <w:p>
            <w:pPr>
              <w:spacing w:before="60" w:after="60"/>
              <w:jc w:val="right"/>
              <w:rPr>
                <w:b/>
                <w:noProof/>
                <w:sz w:val="20"/>
              </w:rPr>
            </w:pPr>
          </w:p>
        </w:tc>
        <w:tc>
          <w:tcPr>
            <w:tcW w:w="720" w:type="dxa"/>
          </w:tcPr>
          <w:p>
            <w:pPr>
              <w:spacing w:before="60" w:after="60"/>
              <w:jc w:val="right"/>
              <w:rPr>
                <w:b/>
                <w:noProof/>
                <w:sz w:val="20"/>
              </w:rPr>
            </w:pPr>
          </w:p>
        </w:tc>
        <w:tc>
          <w:tcPr>
            <w:tcW w:w="840" w:type="dxa"/>
          </w:tcPr>
          <w:p>
            <w:pPr>
              <w:spacing w:before="60" w:after="60"/>
              <w:jc w:val="right"/>
              <w:rPr>
                <w:b/>
                <w:noProof/>
                <w:sz w:val="20"/>
              </w:rPr>
            </w:pPr>
          </w:p>
        </w:tc>
        <w:tc>
          <w:tcPr>
            <w:tcW w:w="2237" w:type="dxa"/>
            <w:vAlign w:val="center"/>
          </w:tcPr>
          <w:p>
            <w:pPr>
              <w:spacing w:before="60" w:after="60"/>
              <w:jc w:val="right"/>
              <w:rPr>
                <w:b/>
                <w:noProof/>
                <w:sz w:val="20"/>
              </w:rPr>
            </w:pPr>
          </w:p>
        </w:tc>
      </w:tr>
      <w:tr>
        <w:trPr>
          <w:trHeight w:val="587"/>
        </w:trPr>
        <w:tc>
          <w:tcPr>
            <w:tcW w:w="1451" w:type="dxa"/>
            <w:vAlign w:val="center"/>
          </w:tcPr>
          <w:p>
            <w:pPr>
              <w:spacing w:before="60" w:after="60"/>
              <w:ind w:left="72"/>
              <w:rPr>
                <w:noProof/>
              </w:rPr>
            </w:pPr>
            <w:r>
              <w:rPr>
                <w:noProof/>
                <w:sz w:val="20"/>
              </w:rPr>
              <w:t>Officials (AST grades)</w:t>
            </w:r>
          </w:p>
        </w:tc>
        <w:tc>
          <w:tcPr>
            <w:tcW w:w="759" w:type="dxa"/>
            <w:vAlign w:val="center"/>
          </w:tcPr>
          <w:p>
            <w:pPr>
              <w:spacing w:before="60" w:after="60"/>
              <w:jc w:val="right"/>
              <w:rPr>
                <w:noProof/>
                <w:sz w:val="20"/>
              </w:rPr>
            </w:pPr>
            <w:r>
              <w:rPr>
                <w:noProof/>
                <w:sz w:val="20"/>
              </w:rPr>
              <w:t>0</w:t>
            </w:r>
          </w:p>
        </w:tc>
        <w:tc>
          <w:tcPr>
            <w:tcW w:w="720" w:type="dxa"/>
            <w:vAlign w:val="center"/>
          </w:tcPr>
          <w:p>
            <w:pPr>
              <w:spacing w:before="60" w:after="60"/>
              <w:jc w:val="right"/>
              <w:rPr>
                <w:noProof/>
                <w:sz w:val="20"/>
              </w:rPr>
            </w:pPr>
          </w:p>
        </w:tc>
        <w:tc>
          <w:tcPr>
            <w:tcW w:w="720" w:type="dxa"/>
            <w:vAlign w:val="center"/>
          </w:tcPr>
          <w:p>
            <w:pPr>
              <w:spacing w:before="60" w:after="60"/>
              <w:jc w:val="right"/>
              <w:rPr>
                <w:noProof/>
                <w:sz w:val="20"/>
              </w:rPr>
            </w:pPr>
          </w:p>
        </w:tc>
        <w:tc>
          <w:tcPr>
            <w:tcW w:w="720" w:type="dxa"/>
            <w:vAlign w:val="center"/>
          </w:tcPr>
          <w:p>
            <w:pPr>
              <w:spacing w:before="60" w:after="60"/>
              <w:jc w:val="right"/>
              <w:rPr>
                <w:noProof/>
                <w:sz w:val="20"/>
              </w:rPr>
            </w:pPr>
          </w:p>
        </w:tc>
        <w:tc>
          <w:tcPr>
            <w:tcW w:w="720" w:type="dxa"/>
            <w:vAlign w:val="center"/>
          </w:tcPr>
          <w:p>
            <w:pPr>
              <w:spacing w:before="60" w:after="60"/>
              <w:jc w:val="right"/>
              <w:rPr>
                <w:noProof/>
                <w:sz w:val="20"/>
              </w:rPr>
            </w:pPr>
          </w:p>
        </w:tc>
        <w:tc>
          <w:tcPr>
            <w:tcW w:w="720" w:type="dxa"/>
            <w:vAlign w:val="center"/>
          </w:tcPr>
          <w:p>
            <w:pPr>
              <w:spacing w:before="60" w:after="60"/>
              <w:jc w:val="right"/>
              <w:rPr>
                <w:noProof/>
                <w:sz w:val="20"/>
              </w:rPr>
            </w:pPr>
          </w:p>
        </w:tc>
        <w:tc>
          <w:tcPr>
            <w:tcW w:w="720" w:type="dxa"/>
            <w:vAlign w:val="center"/>
          </w:tcPr>
          <w:p>
            <w:pPr>
              <w:spacing w:before="60" w:after="60"/>
              <w:jc w:val="right"/>
              <w:rPr>
                <w:b/>
                <w:noProof/>
                <w:sz w:val="20"/>
              </w:rPr>
            </w:pPr>
          </w:p>
        </w:tc>
        <w:tc>
          <w:tcPr>
            <w:tcW w:w="720" w:type="dxa"/>
          </w:tcPr>
          <w:p>
            <w:pPr>
              <w:spacing w:before="60" w:after="60"/>
              <w:jc w:val="right"/>
              <w:rPr>
                <w:b/>
                <w:noProof/>
                <w:sz w:val="20"/>
              </w:rPr>
            </w:pPr>
          </w:p>
        </w:tc>
        <w:tc>
          <w:tcPr>
            <w:tcW w:w="840" w:type="dxa"/>
          </w:tcPr>
          <w:p>
            <w:pPr>
              <w:spacing w:before="60" w:after="60"/>
              <w:jc w:val="right"/>
              <w:rPr>
                <w:b/>
                <w:noProof/>
                <w:sz w:val="20"/>
              </w:rPr>
            </w:pPr>
          </w:p>
        </w:tc>
        <w:tc>
          <w:tcPr>
            <w:tcW w:w="2237" w:type="dxa"/>
            <w:vAlign w:val="center"/>
          </w:tcPr>
          <w:p>
            <w:pPr>
              <w:spacing w:before="60" w:after="60"/>
              <w:jc w:val="right"/>
              <w:rPr>
                <w:b/>
                <w:noProof/>
                <w:sz w:val="20"/>
              </w:rPr>
            </w:pPr>
          </w:p>
        </w:tc>
      </w:tr>
      <w:tr>
        <w:trPr>
          <w:trHeight w:val="587"/>
        </w:trPr>
        <w:tc>
          <w:tcPr>
            <w:tcW w:w="1451" w:type="dxa"/>
            <w:vAlign w:val="center"/>
          </w:tcPr>
          <w:p>
            <w:pPr>
              <w:spacing w:before="60" w:after="60"/>
              <w:ind w:left="72"/>
              <w:rPr>
                <w:noProof/>
              </w:rPr>
            </w:pPr>
            <w:r>
              <w:rPr>
                <w:noProof/>
                <w:sz w:val="20"/>
              </w:rPr>
              <w:t>Contract staff</w:t>
            </w:r>
          </w:p>
        </w:tc>
        <w:tc>
          <w:tcPr>
            <w:tcW w:w="759" w:type="dxa"/>
          </w:tcPr>
          <w:p>
            <w:pPr>
              <w:spacing w:before="60" w:after="60"/>
              <w:jc w:val="right"/>
              <w:rPr>
                <w:noProof/>
                <w:sz w:val="20"/>
              </w:rPr>
            </w:pPr>
            <w:r>
              <w:rPr>
                <w:rFonts w:ascii="Calibri" w:hAnsi="Calibri"/>
                <w:noProof/>
                <w:color w:val="000000"/>
                <w:sz w:val="22"/>
              </w:rPr>
              <w:t>0,000</w:t>
            </w:r>
          </w:p>
        </w:tc>
        <w:tc>
          <w:tcPr>
            <w:tcW w:w="720" w:type="dxa"/>
          </w:tcPr>
          <w:p>
            <w:pPr>
              <w:spacing w:before="60" w:after="60"/>
              <w:jc w:val="right"/>
              <w:rPr>
                <w:noProof/>
                <w:sz w:val="20"/>
              </w:rPr>
            </w:pPr>
            <w:r>
              <w:rPr>
                <w:rFonts w:ascii="Calibri" w:hAnsi="Calibri"/>
                <w:noProof/>
                <w:color w:val="000000"/>
                <w:sz w:val="22"/>
              </w:rPr>
              <w:t>0,070</w:t>
            </w:r>
          </w:p>
        </w:tc>
        <w:tc>
          <w:tcPr>
            <w:tcW w:w="720" w:type="dxa"/>
          </w:tcPr>
          <w:p>
            <w:pPr>
              <w:spacing w:before="60" w:after="60"/>
              <w:jc w:val="right"/>
              <w:rPr>
                <w:noProof/>
                <w:sz w:val="20"/>
              </w:rPr>
            </w:pPr>
            <w:r>
              <w:rPr>
                <w:rFonts w:ascii="Calibri" w:hAnsi="Calibri"/>
                <w:noProof/>
                <w:color w:val="000000"/>
                <w:sz w:val="22"/>
              </w:rPr>
              <w:t>0,070</w:t>
            </w:r>
          </w:p>
        </w:tc>
        <w:tc>
          <w:tcPr>
            <w:tcW w:w="720" w:type="dxa"/>
          </w:tcPr>
          <w:p>
            <w:pPr>
              <w:spacing w:before="60" w:after="60"/>
              <w:jc w:val="right"/>
              <w:rPr>
                <w:noProof/>
                <w:sz w:val="20"/>
              </w:rPr>
            </w:pPr>
            <w:r>
              <w:rPr>
                <w:rFonts w:ascii="Calibri" w:hAnsi="Calibri"/>
                <w:noProof/>
                <w:color w:val="000000"/>
                <w:sz w:val="22"/>
              </w:rPr>
              <w:t>0,560</w:t>
            </w:r>
          </w:p>
        </w:tc>
        <w:tc>
          <w:tcPr>
            <w:tcW w:w="720" w:type="dxa"/>
          </w:tcPr>
          <w:p>
            <w:pPr>
              <w:spacing w:before="60" w:after="60"/>
              <w:jc w:val="right"/>
              <w:rPr>
                <w:noProof/>
                <w:sz w:val="20"/>
              </w:rPr>
            </w:pPr>
            <w:r>
              <w:rPr>
                <w:rFonts w:ascii="Calibri" w:hAnsi="Calibri"/>
                <w:noProof/>
                <w:color w:val="000000"/>
                <w:sz w:val="22"/>
              </w:rPr>
              <w:t>0,560</w:t>
            </w:r>
          </w:p>
        </w:tc>
        <w:tc>
          <w:tcPr>
            <w:tcW w:w="720" w:type="dxa"/>
          </w:tcPr>
          <w:p>
            <w:pPr>
              <w:spacing w:before="60" w:after="60"/>
              <w:jc w:val="right"/>
              <w:rPr>
                <w:noProof/>
                <w:sz w:val="20"/>
              </w:rPr>
            </w:pPr>
            <w:r>
              <w:rPr>
                <w:rFonts w:ascii="Calibri" w:hAnsi="Calibri"/>
                <w:noProof/>
                <w:color w:val="000000"/>
                <w:sz w:val="22"/>
              </w:rPr>
              <w:t>0,560</w:t>
            </w:r>
          </w:p>
        </w:tc>
        <w:tc>
          <w:tcPr>
            <w:tcW w:w="720" w:type="dxa"/>
          </w:tcPr>
          <w:p>
            <w:pPr>
              <w:spacing w:before="60" w:after="60"/>
              <w:jc w:val="right"/>
              <w:rPr>
                <w:noProof/>
                <w:sz w:val="20"/>
              </w:rPr>
            </w:pPr>
            <w:r>
              <w:rPr>
                <w:rFonts w:ascii="Calibri" w:hAnsi="Calibri"/>
                <w:noProof/>
                <w:color w:val="000000"/>
                <w:sz w:val="22"/>
              </w:rPr>
              <w:t>0,560</w:t>
            </w:r>
          </w:p>
        </w:tc>
        <w:tc>
          <w:tcPr>
            <w:tcW w:w="720" w:type="dxa"/>
          </w:tcPr>
          <w:p>
            <w:pPr>
              <w:spacing w:before="60" w:after="60"/>
              <w:jc w:val="center"/>
              <w:rPr>
                <w:noProof/>
                <w:sz w:val="20"/>
              </w:rPr>
            </w:pPr>
            <w:r>
              <w:rPr>
                <w:rFonts w:ascii="Calibri" w:hAnsi="Calibri"/>
                <w:noProof/>
                <w:color w:val="000000"/>
                <w:sz w:val="22"/>
              </w:rPr>
              <w:t>0,560</w:t>
            </w:r>
          </w:p>
        </w:tc>
        <w:tc>
          <w:tcPr>
            <w:tcW w:w="840" w:type="dxa"/>
          </w:tcPr>
          <w:p>
            <w:pPr>
              <w:spacing w:before="60" w:after="60"/>
              <w:jc w:val="center"/>
              <w:rPr>
                <w:noProof/>
                <w:sz w:val="20"/>
              </w:rPr>
            </w:pPr>
            <w:r>
              <w:rPr>
                <w:rFonts w:ascii="Calibri" w:hAnsi="Calibri"/>
                <w:noProof/>
                <w:color w:val="000000"/>
                <w:sz w:val="22"/>
              </w:rPr>
              <w:t>0,560</w:t>
            </w:r>
          </w:p>
        </w:tc>
        <w:tc>
          <w:tcPr>
            <w:tcW w:w="2237" w:type="dxa"/>
          </w:tcPr>
          <w:p>
            <w:pPr>
              <w:spacing w:before="60" w:after="60"/>
              <w:jc w:val="center"/>
              <w:rPr>
                <w:noProof/>
                <w:sz w:val="20"/>
              </w:rPr>
            </w:pPr>
            <w:r>
              <w:rPr>
                <w:rFonts w:ascii="Calibri" w:hAnsi="Calibri"/>
                <w:noProof/>
                <w:color w:val="000000"/>
                <w:sz w:val="22"/>
              </w:rPr>
              <w:t>3,500</w:t>
            </w:r>
          </w:p>
        </w:tc>
      </w:tr>
      <w:tr>
        <w:trPr>
          <w:trHeight w:val="587"/>
        </w:trPr>
        <w:tc>
          <w:tcPr>
            <w:tcW w:w="1451" w:type="dxa"/>
            <w:shd w:val="clear" w:color="auto" w:fill="CCCCCC"/>
            <w:vAlign w:val="center"/>
          </w:tcPr>
          <w:p>
            <w:pPr>
              <w:spacing w:before="60" w:after="60"/>
              <w:jc w:val="center"/>
              <w:rPr>
                <w:noProof/>
              </w:rPr>
            </w:pPr>
            <w:r>
              <w:rPr>
                <w:noProof/>
                <w:sz w:val="18"/>
              </w:rPr>
              <w:t xml:space="preserve">Temporary staff </w:t>
            </w:r>
          </w:p>
        </w:tc>
        <w:tc>
          <w:tcPr>
            <w:tcW w:w="759" w:type="dxa"/>
          </w:tcPr>
          <w:p>
            <w:pPr>
              <w:spacing w:before="60" w:after="60"/>
              <w:jc w:val="right"/>
              <w:rPr>
                <w:noProof/>
                <w:sz w:val="22"/>
              </w:rPr>
            </w:pPr>
            <w:r>
              <w:rPr>
                <w:rFonts w:ascii="Calibri" w:hAnsi="Calibri"/>
                <w:noProof/>
                <w:color w:val="000000"/>
                <w:sz w:val="22"/>
              </w:rPr>
              <w:t>0,690</w:t>
            </w:r>
          </w:p>
        </w:tc>
        <w:tc>
          <w:tcPr>
            <w:tcW w:w="720" w:type="dxa"/>
          </w:tcPr>
          <w:p>
            <w:pPr>
              <w:spacing w:before="60" w:after="60"/>
              <w:jc w:val="right"/>
              <w:rPr>
                <w:noProof/>
                <w:sz w:val="22"/>
              </w:rPr>
            </w:pPr>
            <w:r>
              <w:rPr>
                <w:rFonts w:ascii="Calibri" w:hAnsi="Calibri"/>
                <w:noProof/>
                <w:color w:val="000000"/>
                <w:sz w:val="22"/>
              </w:rPr>
              <w:t>1,932</w:t>
            </w:r>
          </w:p>
        </w:tc>
        <w:tc>
          <w:tcPr>
            <w:tcW w:w="720" w:type="dxa"/>
          </w:tcPr>
          <w:p>
            <w:pPr>
              <w:spacing w:before="60" w:after="60"/>
              <w:jc w:val="right"/>
              <w:rPr>
                <w:noProof/>
                <w:sz w:val="22"/>
              </w:rPr>
            </w:pPr>
            <w:r>
              <w:rPr>
                <w:rFonts w:ascii="Calibri" w:hAnsi="Calibri"/>
                <w:noProof/>
                <w:color w:val="000000"/>
                <w:sz w:val="22"/>
              </w:rPr>
              <w:t>1,932</w:t>
            </w:r>
          </w:p>
        </w:tc>
        <w:tc>
          <w:tcPr>
            <w:tcW w:w="720" w:type="dxa"/>
          </w:tcPr>
          <w:p>
            <w:pPr>
              <w:spacing w:before="60" w:after="60"/>
              <w:jc w:val="right"/>
              <w:rPr>
                <w:noProof/>
                <w:sz w:val="22"/>
              </w:rPr>
            </w:pPr>
            <w:r>
              <w:rPr>
                <w:rFonts w:ascii="Calibri" w:hAnsi="Calibri"/>
                <w:noProof/>
                <w:color w:val="000000"/>
                <w:sz w:val="22"/>
              </w:rPr>
              <w:t>0,621</w:t>
            </w:r>
          </w:p>
        </w:tc>
        <w:tc>
          <w:tcPr>
            <w:tcW w:w="720" w:type="dxa"/>
          </w:tcPr>
          <w:p>
            <w:pPr>
              <w:spacing w:before="60" w:after="60"/>
              <w:jc w:val="right"/>
              <w:rPr>
                <w:noProof/>
                <w:sz w:val="22"/>
              </w:rPr>
            </w:pPr>
            <w:r>
              <w:rPr>
                <w:rFonts w:ascii="Calibri" w:hAnsi="Calibri"/>
                <w:noProof/>
                <w:color w:val="000000"/>
                <w:sz w:val="22"/>
              </w:rPr>
              <w:t>0,621</w:t>
            </w:r>
          </w:p>
        </w:tc>
        <w:tc>
          <w:tcPr>
            <w:tcW w:w="720" w:type="dxa"/>
          </w:tcPr>
          <w:p>
            <w:pPr>
              <w:spacing w:before="60" w:after="60"/>
              <w:jc w:val="right"/>
              <w:rPr>
                <w:noProof/>
                <w:sz w:val="22"/>
              </w:rPr>
            </w:pPr>
            <w:r>
              <w:rPr>
                <w:rFonts w:ascii="Calibri" w:hAnsi="Calibri"/>
                <w:noProof/>
                <w:color w:val="000000"/>
                <w:sz w:val="22"/>
              </w:rPr>
              <w:t>0,414</w:t>
            </w:r>
          </w:p>
        </w:tc>
        <w:tc>
          <w:tcPr>
            <w:tcW w:w="720" w:type="dxa"/>
          </w:tcPr>
          <w:p>
            <w:pPr>
              <w:spacing w:before="60" w:after="60"/>
              <w:jc w:val="right"/>
              <w:rPr>
                <w:noProof/>
                <w:sz w:val="22"/>
              </w:rPr>
            </w:pPr>
            <w:r>
              <w:rPr>
                <w:rFonts w:ascii="Calibri" w:hAnsi="Calibri"/>
                <w:noProof/>
                <w:color w:val="000000"/>
                <w:sz w:val="22"/>
              </w:rPr>
              <w:t>0,414</w:t>
            </w:r>
          </w:p>
        </w:tc>
        <w:tc>
          <w:tcPr>
            <w:tcW w:w="720" w:type="dxa"/>
          </w:tcPr>
          <w:p>
            <w:pPr>
              <w:spacing w:before="60" w:after="60"/>
              <w:jc w:val="right"/>
              <w:rPr>
                <w:noProof/>
                <w:sz w:val="22"/>
              </w:rPr>
            </w:pPr>
            <w:r>
              <w:rPr>
                <w:rFonts w:ascii="Calibri" w:hAnsi="Calibri"/>
                <w:noProof/>
                <w:color w:val="000000"/>
                <w:sz w:val="22"/>
              </w:rPr>
              <w:t>0,414</w:t>
            </w:r>
          </w:p>
        </w:tc>
        <w:tc>
          <w:tcPr>
            <w:tcW w:w="840" w:type="dxa"/>
          </w:tcPr>
          <w:p>
            <w:pPr>
              <w:spacing w:before="60" w:after="60"/>
              <w:jc w:val="right"/>
              <w:rPr>
                <w:noProof/>
                <w:sz w:val="22"/>
              </w:rPr>
            </w:pPr>
            <w:r>
              <w:rPr>
                <w:rFonts w:ascii="Calibri" w:hAnsi="Calibri"/>
                <w:noProof/>
                <w:color w:val="000000"/>
                <w:sz w:val="22"/>
              </w:rPr>
              <w:t>0,414</w:t>
            </w:r>
          </w:p>
        </w:tc>
        <w:tc>
          <w:tcPr>
            <w:tcW w:w="2237" w:type="dxa"/>
          </w:tcPr>
          <w:p>
            <w:pPr>
              <w:spacing w:before="60" w:after="60"/>
              <w:jc w:val="center"/>
              <w:rPr>
                <w:noProof/>
                <w:sz w:val="22"/>
              </w:rPr>
            </w:pPr>
            <w:r>
              <w:rPr>
                <w:rFonts w:ascii="Calibri" w:hAnsi="Calibri"/>
                <w:noProof/>
                <w:color w:val="000000"/>
                <w:sz w:val="22"/>
              </w:rPr>
              <w:t>7,452</w:t>
            </w:r>
          </w:p>
        </w:tc>
      </w:tr>
      <w:tr>
        <w:trPr>
          <w:trHeight w:val="587"/>
        </w:trPr>
        <w:tc>
          <w:tcPr>
            <w:tcW w:w="1451" w:type="dxa"/>
            <w:shd w:val="clear" w:color="auto" w:fill="CCCCCC"/>
            <w:vAlign w:val="center"/>
          </w:tcPr>
          <w:p>
            <w:pPr>
              <w:spacing w:before="60" w:after="60"/>
              <w:jc w:val="center"/>
              <w:rPr>
                <w:noProof/>
              </w:rPr>
            </w:pPr>
            <w:r>
              <w:rPr>
                <w:noProof/>
                <w:sz w:val="18"/>
              </w:rPr>
              <w:t>Seconded National Experts</w:t>
            </w:r>
          </w:p>
        </w:tc>
        <w:tc>
          <w:tcPr>
            <w:tcW w:w="759" w:type="dxa"/>
            <w:vAlign w:val="center"/>
          </w:tcPr>
          <w:p>
            <w:pPr>
              <w:spacing w:before="60" w:after="60"/>
              <w:jc w:val="right"/>
              <w:rPr>
                <w:noProof/>
                <w:sz w:val="20"/>
              </w:rPr>
            </w:pPr>
          </w:p>
        </w:tc>
        <w:tc>
          <w:tcPr>
            <w:tcW w:w="720" w:type="dxa"/>
            <w:vAlign w:val="center"/>
          </w:tcPr>
          <w:p>
            <w:pPr>
              <w:spacing w:before="60" w:after="60"/>
              <w:jc w:val="right"/>
              <w:rPr>
                <w:noProof/>
                <w:sz w:val="20"/>
              </w:rPr>
            </w:pPr>
          </w:p>
        </w:tc>
        <w:tc>
          <w:tcPr>
            <w:tcW w:w="720" w:type="dxa"/>
            <w:vAlign w:val="center"/>
          </w:tcPr>
          <w:p>
            <w:pPr>
              <w:spacing w:before="60" w:after="60"/>
              <w:jc w:val="right"/>
              <w:rPr>
                <w:noProof/>
                <w:sz w:val="20"/>
              </w:rPr>
            </w:pPr>
          </w:p>
        </w:tc>
        <w:tc>
          <w:tcPr>
            <w:tcW w:w="720" w:type="dxa"/>
            <w:vAlign w:val="center"/>
          </w:tcPr>
          <w:p>
            <w:pPr>
              <w:spacing w:before="60" w:after="60"/>
              <w:jc w:val="right"/>
              <w:rPr>
                <w:noProof/>
                <w:sz w:val="20"/>
              </w:rPr>
            </w:pPr>
          </w:p>
        </w:tc>
        <w:tc>
          <w:tcPr>
            <w:tcW w:w="720" w:type="dxa"/>
            <w:vAlign w:val="center"/>
          </w:tcPr>
          <w:p>
            <w:pPr>
              <w:spacing w:before="60" w:after="60"/>
              <w:jc w:val="right"/>
              <w:rPr>
                <w:noProof/>
                <w:sz w:val="20"/>
              </w:rPr>
            </w:pPr>
          </w:p>
        </w:tc>
        <w:tc>
          <w:tcPr>
            <w:tcW w:w="720" w:type="dxa"/>
            <w:vAlign w:val="center"/>
          </w:tcPr>
          <w:p>
            <w:pPr>
              <w:spacing w:before="60" w:after="60"/>
              <w:jc w:val="right"/>
              <w:rPr>
                <w:noProof/>
                <w:sz w:val="20"/>
              </w:rPr>
            </w:pPr>
          </w:p>
        </w:tc>
        <w:tc>
          <w:tcPr>
            <w:tcW w:w="720" w:type="dxa"/>
            <w:vAlign w:val="center"/>
          </w:tcPr>
          <w:p>
            <w:pPr>
              <w:spacing w:before="60" w:after="60"/>
              <w:jc w:val="right"/>
              <w:rPr>
                <w:b/>
                <w:noProof/>
                <w:sz w:val="20"/>
              </w:rPr>
            </w:pPr>
          </w:p>
        </w:tc>
        <w:tc>
          <w:tcPr>
            <w:tcW w:w="720" w:type="dxa"/>
          </w:tcPr>
          <w:p>
            <w:pPr>
              <w:spacing w:before="60" w:after="60"/>
              <w:jc w:val="right"/>
              <w:rPr>
                <w:b/>
                <w:noProof/>
                <w:sz w:val="20"/>
              </w:rPr>
            </w:pPr>
          </w:p>
        </w:tc>
        <w:tc>
          <w:tcPr>
            <w:tcW w:w="840" w:type="dxa"/>
          </w:tcPr>
          <w:p>
            <w:pPr>
              <w:spacing w:before="60" w:after="60"/>
              <w:jc w:val="right"/>
              <w:rPr>
                <w:b/>
                <w:noProof/>
                <w:sz w:val="20"/>
              </w:rPr>
            </w:pPr>
          </w:p>
        </w:tc>
        <w:tc>
          <w:tcPr>
            <w:tcW w:w="2237" w:type="dxa"/>
            <w:vAlign w:val="center"/>
          </w:tcPr>
          <w:p>
            <w:pPr>
              <w:spacing w:before="60" w:after="60"/>
              <w:jc w:val="right"/>
              <w:rPr>
                <w:b/>
                <w:noProof/>
                <w:sz w:val="20"/>
              </w:rPr>
            </w:pPr>
          </w:p>
        </w:tc>
      </w:tr>
    </w:tbl>
    <w:p>
      <w:pPr>
        <w:rPr>
          <w:noProof/>
          <w:sz w:val="20"/>
        </w:rPr>
      </w:pPr>
    </w:p>
    <w:tbl>
      <w:tblPr>
        <w:tblW w:w="10301" w:type="dxa"/>
        <w:tblInd w:w="-612" w:type="dxa"/>
        <w:tblLayout w:type="fixed"/>
        <w:tblLook w:val="01E0" w:firstRow="1" w:lastRow="1" w:firstColumn="1" w:lastColumn="1" w:noHBand="0" w:noVBand="0"/>
      </w:tblPr>
      <w:tblGrid>
        <w:gridCol w:w="1448"/>
        <w:gridCol w:w="764"/>
        <w:gridCol w:w="720"/>
        <w:gridCol w:w="720"/>
        <w:gridCol w:w="720"/>
        <w:gridCol w:w="720"/>
        <w:gridCol w:w="720"/>
        <w:gridCol w:w="720"/>
        <w:gridCol w:w="720"/>
        <w:gridCol w:w="840"/>
        <w:gridCol w:w="2209"/>
      </w:tblGrid>
      <w:tr>
        <w:trPr>
          <w:trHeight w:val="575"/>
        </w:trPr>
        <w:tc>
          <w:tcPr>
            <w:tcW w:w="1448" w:type="dxa"/>
            <w:tcBorders>
              <w:top w:val="single" w:sz="12" w:space="0" w:color="auto"/>
              <w:left w:val="single" w:sz="12" w:space="0" w:color="auto"/>
              <w:bottom w:val="single" w:sz="12" w:space="0" w:color="auto"/>
              <w:right w:val="single" w:sz="2" w:space="0" w:color="auto"/>
            </w:tcBorders>
            <w:vAlign w:val="center"/>
          </w:tcPr>
          <w:p>
            <w:pPr>
              <w:spacing w:before="60" w:after="60"/>
              <w:jc w:val="center"/>
              <w:rPr>
                <w:noProof/>
                <w:sz w:val="20"/>
              </w:rPr>
            </w:pPr>
            <w:r>
              <w:rPr>
                <w:b/>
                <w:noProof/>
                <w:sz w:val="20"/>
              </w:rPr>
              <w:t>TOTAL</w:t>
            </w:r>
          </w:p>
        </w:tc>
        <w:tc>
          <w:tcPr>
            <w:tcW w:w="764" w:type="dxa"/>
            <w:tcBorders>
              <w:top w:val="single" w:sz="12" w:space="0" w:color="auto"/>
              <w:left w:val="single" w:sz="2" w:space="0" w:color="auto"/>
              <w:bottom w:val="single" w:sz="12" w:space="0" w:color="auto"/>
              <w:right w:val="single" w:sz="2" w:space="0" w:color="auto"/>
            </w:tcBorders>
          </w:tcPr>
          <w:p>
            <w:pPr>
              <w:spacing w:before="60" w:after="60"/>
              <w:jc w:val="right"/>
              <w:rPr>
                <w:b/>
                <w:noProof/>
                <w:sz w:val="22"/>
              </w:rPr>
            </w:pPr>
            <w:r>
              <w:rPr>
                <w:rFonts w:ascii="Calibri" w:hAnsi="Calibri"/>
                <w:b/>
                <w:bCs/>
                <w:noProof/>
                <w:color w:val="000000"/>
                <w:sz w:val="22"/>
              </w:rPr>
              <w:t>0,690</w:t>
            </w:r>
          </w:p>
        </w:tc>
        <w:tc>
          <w:tcPr>
            <w:tcW w:w="720" w:type="dxa"/>
            <w:tcBorders>
              <w:top w:val="single" w:sz="12" w:space="0" w:color="auto"/>
              <w:left w:val="single" w:sz="2" w:space="0" w:color="auto"/>
              <w:bottom w:val="single" w:sz="12" w:space="0" w:color="auto"/>
              <w:right w:val="single" w:sz="2" w:space="0" w:color="auto"/>
            </w:tcBorders>
          </w:tcPr>
          <w:p>
            <w:pPr>
              <w:spacing w:before="60" w:after="60"/>
              <w:jc w:val="right"/>
              <w:rPr>
                <w:b/>
                <w:noProof/>
                <w:sz w:val="22"/>
              </w:rPr>
            </w:pPr>
            <w:r>
              <w:rPr>
                <w:rFonts w:ascii="Calibri" w:hAnsi="Calibri"/>
                <w:b/>
                <w:bCs/>
                <w:noProof/>
                <w:color w:val="000000"/>
                <w:sz w:val="22"/>
              </w:rPr>
              <w:t>2,002</w:t>
            </w:r>
          </w:p>
        </w:tc>
        <w:tc>
          <w:tcPr>
            <w:tcW w:w="720" w:type="dxa"/>
            <w:tcBorders>
              <w:top w:val="single" w:sz="12" w:space="0" w:color="auto"/>
              <w:left w:val="single" w:sz="2" w:space="0" w:color="auto"/>
              <w:bottom w:val="single" w:sz="12" w:space="0" w:color="auto"/>
              <w:right w:val="single" w:sz="2" w:space="0" w:color="auto"/>
            </w:tcBorders>
          </w:tcPr>
          <w:p>
            <w:pPr>
              <w:spacing w:before="60" w:after="60"/>
              <w:jc w:val="right"/>
              <w:rPr>
                <w:b/>
                <w:noProof/>
                <w:sz w:val="22"/>
              </w:rPr>
            </w:pPr>
            <w:r>
              <w:rPr>
                <w:rFonts w:ascii="Calibri" w:hAnsi="Calibri"/>
                <w:b/>
                <w:bCs/>
                <w:noProof/>
                <w:color w:val="000000"/>
                <w:sz w:val="22"/>
              </w:rPr>
              <w:t>2,002</w:t>
            </w:r>
          </w:p>
        </w:tc>
        <w:tc>
          <w:tcPr>
            <w:tcW w:w="720" w:type="dxa"/>
            <w:tcBorders>
              <w:top w:val="single" w:sz="12" w:space="0" w:color="auto"/>
              <w:left w:val="single" w:sz="2" w:space="0" w:color="auto"/>
              <w:bottom w:val="single" w:sz="12" w:space="0" w:color="auto"/>
              <w:right w:val="single" w:sz="2" w:space="0" w:color="auto"/>
            </w:tcBorders>
          </w:tcPr>
          <w:p>
            <w:pPr>
              <w:spacing w:before="60" w:after="60"/>
              <w:jc w:val="right"/>
              <w:rPr>
                <w:b/>
                <w:noProof/>
                <w:sz w:val="22"/>
              </w:rPr>
            </w:pPr>
            <w:r>
              <w:rPr>
                <w:rFonts w:ascii="Calibri" w:hAnsi="Calibri"/>
                <w:b/>
                <w:bCs/>
                <w:noProof/>
                <w:color w:val="000000"/>
                <w:sz w:val="22"/>
              </w:rPr>
              <w:t>1,181</w:t>
            </w:r>
          </w:p>
        </w:tc>
        <w:tc>
          <w:tcPr>
            <w:tcW w:w="720" w:type="dxa"/>
            <w:tcBorders>
              <w:top w:val="single" w:sz="12" w:space="0" w:color="auto"/>
              <w:left w:val="single" w:sz="2" w:space="0" w:color="auto"/>
              <w:bottom w:val="single" w:sz="12" w:space="0" w:color="auto"/>
              <w:right w:val="single" w:sz="2" w:space="0" w:color="auto"/>
            </w:tcBorders>
          </w:tcPr>
          <w:p>
            <w:pPr>
              <w:spacing w:before="60" w:after="60"/>
              <w:jc w:val="right"/>
              <w:rPr>
                <w:b/>
                <w:noProof/>
                <w:sz w:val="22"/>
              </w:rPr>
            </w:pPr>
            <w:r>
              <w:rPr>
                <w:rFonts w:ascii="Calibri" w:hAnsi="Calibri"/>
                <w:b/>
                <w:bCs/>
                <w:noProof/>
                <w:color w:val="000000"/>
                <w:sz w:val="22"/>
              </w:rPr>
              <w:t>1,181</w:t>
            </w:r>
          </w:p>
        </w:tc>
        <w:tc>
          <w:tcPr>
            <w:tcW w:w="720" w:type="dxa"/>
            <w:tcBorders>
              <w:top w:val="single" w:sz="12" w:space="0" w:color="auto"/>
              <w:left w:val="single" w:sz="2" w:space="0" w:color="auto"/>
              <w:bottom w:val="single" w:sz="12" w:space="0" w:color="auto"/>
              <w:right w:val="single" w:sz="2" w:space="0" w:color="auto"/>
            </w:tcBorders>
          </w:tcPr>
          <w:p>
            <w:pPr>
              <w:spacing w:before="60" w:after="60"/>
              <w:jc w:val="right"/>
              <w:rPr>
                <w:b/>
                <w:noProof/>
                <w:sz w:val="22"/>
              </w:rPr>
            </w:pPr>
            <w:r>
              <w:rPr>
                <w:rFonts w:ascii="Calibri" w:hAnsi="Calibri"/>
                <w:b/>
                <w:bCs/>
                <w:noProof/>
                <w:color w:val="000000"/>
                <w:sz w:val="22"/>
              </w:rPr>
              <w:t>0,974</w:t>
            </w:r>
          </w:p>
        </w:tc>
        <w:tc>
          <w:tcPr>
            <w:tcW w:w="720" w:type="dxa"/>
            <w:tcBorders>
              <w:top w:val="single" w:sz="12" w:space="0" w:color="auto"/>
              <w:left w:val="single" w:sz="2" w:space="0" w:color="auto"/>
              <w:bottom w:val="single" w:sz="12" w:space="0" w:color="auto"/>
              <w:right w:val="single" w:sz="2" w:space="0" w:color="auto"/>
            </w:tcBorders>
          </w:tcPr>
          <w:p>
            <w:pPr>
              <w:spacing w:before="60" w:after="60"/>
              <w:jc w:val="right"/>
              <w:rPr>
                <w:b/>
                <w:noProof/>
                <w:sz w:val="22"/>
              </w:rPr>
            </w:pPr>
            <w:r>
              <w:rPr>
                <w:rFonts w:ascii="Calibri" w:hAnsi="Calibri"/>
                <w:b/>
                <w:bCs/>
                <w:noProof/>
                <w:color w:val="000000"/>
                <w:sz w:val="22"/>
              </w:rPr>
              <w:t>0,974</w:t>
            </w:r>
          </w:p>
        </w:tc>
        <w:tc>
          <w:tcPr>
            <w:tcW w:w="720" w:type="dxa"/>
            <w:tcBorders>
              <w:top w:val="single" w:sz="12" w:space="0" w:color="auto"/>
              <w:left w:val="single" w:sz="2" w:space="0" w:color="auto"/>
              <w:bottom w:val="single" w:sz="12" w:space="0" w:color="auto"/>
              <w:right w:val="single" w:sz="2" w:space="0" w:color="auto"/>
            </w:tcBorders>
          </w:tcPr>
          <w:p>
            <w:pPr>
              <w:spacing w:before="60" w:after="60"/>
              <w:jc w:val="right"/>
              <w:rPr>
                <w:b/>
                <w:noProof/>
                <w:sz w:val="22"/>
              </w:rPr>
            </w:pPr>
            <w:r>
              <w:rPr>
                <w:rFonts w:ascii="Calibri" w:hAnsi="Calibri"/>
                <w:b/>
                <w:bCs/>
                <w:noProof/>
                <w:color w:val="000000"/>
                <w:sz w:val="22"/>
              </w:rPr>
              <w:t>0,974</w:t>
            </w:r>
          </w:p>
        </w:tc>
        <w:tc>
          <w:tcPr>
            <w:tcW w:w="840" w:type="dxa"/>
            <w:tcBorders>
              <w:top w:val="single" w:sz="12" w:space="0" w:color="auto"/>
              <w:left w:val="single" w:sz="2" w:space="0" w:color="auto"/>
              <w:bottom w:val="single" w:sz="12" w:space="0" w:color="auto"/>
              <w:right w:val="single" w:sz="2" w:space="0" w:color="auto"/>
            </w:tcBorders>
          </w:tcPr>
          <w:p>
            <w:pPr>
              <w:spacing w:before="60" w:after="60"/>
              <w:jc w:val="right"/>
              <w:rPr>
                <w:b/>
                <w:noProof/>
                <w:sz w:val="22"/>
              </w:rPr>
            </w:pPr>
            <w:r>
              <w:rPr>
                <w:rFonts w:ascii="Calibri" w:hAnsi="Calibri"/>
                <w:b/>
                <w:bCs/>
                <w:noProof/>
                <w:color w:val="000000"/>
                <w:sz w:val="22"/>
              </w:rPr>
              <w:t>0,974</w:t>
            </w:r>
          </w:p>
        </w:tc>
        <w:tc>
          <w:tcPr>
            <w:tcW w:w="2209" w:type="dxa"/>
            <w:tcBorders>
              <w:top w:val="single" w:sz="12" w:space="0" w:color="auto"/>
              <w:left w:val="single" w:sz="2" w:space="0" w:color="auto"/>
              <w:bottom w:val="single" w:sz="12" w:space="0" w:color="auto"/>
              <w:right w:val="single" w:sz="12" w:space="0" w:color="auto"/>
            </w:tcBorders>
          </w:tcPr>
          <w:p>
            <w:pPr>
              <w:spacing w:before="60" w:after="60"/>
              <w:jc w:val="center"/>
              <w:rPr>
                <w:b/>
                <w:noProof/>
                <w:sz w:val="22"/>
              </w:rPr>
            </w:pPr>
            <w:r>
              <w:rPr>
                <w:rFonts w:ascii="Calibri" w:hAnsi="Calibri"/>
                <w:b/>
                <w:bCs/>
                <w:noProof/>
                <w:color w:val="000000"/>
                <w:sz w:val="22"/>
              </w:rPr>
              <w:t>10,952</w:t>
            </w:r>
          </w:p>
        </w:tc>
      </w:tr>
    </w:tbl>
    <w:p>
      <w:pPr>
        <w:pStyle w:val="Text1"/>
        <w:ind w:left="0"/>
        <w:rPr>
          <w:noProof/>
        </w:rPr>
      </w:pPr>
    </w:p>
    <w:p>
      <w:pPr>
        <w:pStyle w:val="Text1"/>
        <w:ind w:left="0"/>
        <w:rPr>
          <w:noProof/>
        </w:rPr>
      </w:pPr>
      <w:r>
        <w:rPr>
          <w:noProof/>
        </w:rPr>
        <w:t>These costs are estimated on the basis of the following staff levels:</w:t>
      </w:r>
    </w:p>
    <w:tbl>
      <w:tblPr>
        <w:tblW w:w="9194" w:type="dxa"/>
        <w:tblInd w:w="93" w:type="dxa"/>
        <w:tblLayout w:type="fixed"/>
        <w:tblLook w:val="04A0" w:firstRow="1" w:lastRow="0" w:firstColumn="1" w:lastColumn="0" w:noHBand="0" w:noVBand="1"/>
      </w:tblPr>
      <w:tblGrid>
        <w:gridCol w:w="2032"/>
        <w:gridCol w:w="705"/>
        <w:gridCol w:w="705"/>
        <w:gridCol w:w="705"/>
        <w:gridCol w:w="705"/>
        <w:gridCol w:w="706"/>
        <w:gridCol w:w="705"/>
        <w:gridCol w:w="705"/>
        <w:gridCol w:w="705"/>
        <w:gridCol w:w="706"/>
        <w:gridCol w:w="815"/>
      </w:tblGrid>
      <w:tr>
        <w:trPr>
          <w:trHeight w:val="315"/>
        </w:trPr>
        <w:tc>
          <w:tcPr>
            <w:tcW w:w="2032" w:type="dxa"/>
            <w:tcBorders>
              <w:top w:val="single" w:sz="4" w:space="0" w:color="auto"/>
              <w:left w:val="single" w:sz="4" w:space="0" w:color="auto"/>
              <w:bottom w:val="single" w:sz="4" w:space="0" w:color="auto"/>
              <w:right w:val="single" w:sz="4" w:space="0" w:color="auto"/>
            </w:tcBorders>
            <w:shd w:val="clear" w:color="000000" w:fill="D9D9D9"/>
            <w:noWrap/>
            <w:vAlign w:val="bottom"/>
          </w:tcPr>
          <w:p>
            <w:pPr>
              <w:rPr>
                <w:noProof/>
              </w:rPr>
            </w:pPr>
            <w:r>
              <w:rPr>
                <w:noProof/>
              </w:rPr>
              <w:t>Number of FTEs for ICT</w:t>
            </w:r>
          </w:p>
        </w:tc>
        <w:tc>
          <w:tcPr>
            <w:tcW w:w="705" w:type="dxa"/>
            <w:tcBorders>
              <w:top w:val="single" w:sz="8" w:space="0" w:color="auto"/>
              <w:left w:val="nil"/>
              <w:bottom w:val="single" w:sz="8" w:space="0" w:color="auto"/>
              <w:right w:val="single" w:sz="4" w:space="0" w:color="auto"/>
            </w:tcBorders>
            <w:shd w:val="clear" w:color="auto" w:fill="auto"/>
            <w:noWrap/>
            <w:vAlign w:val="bottom"/>
          </w:tcPr>
          <w:p>
            <w:pPr>
              <w:spacing w:before="0" w:after="0"/>
              <w:jc w:val="right"/>
              <w:rPr>
                <w:rFonts w:ascii="Calibri" w:hAnsi="Calibri"/>
                <w:noProof/>
                <w:color w:val="000000"/>
                <w:sz w:val="22"/>
              </w:rPr>
            </w:pPr>
            <w:r>
              <w:rPr>
                <w:rFonts w:ascii="Calibri" w:hAnsi="Calibri"/>
                <w:b/>
                <w:bCs/>
                <w:noProof/>
                <w:color w:val="000000"/>
                <w:sz w:val="22"/>
              </w:rPr>
              <w:t>2019</w:t>
            </w:r>
          </w:p>
        </w:tc>
        <w:tc>
          <w:tcPr>
            <w:tcW w:w="705" w:type="dxa"/>
            <w:tcBorders>
              <w:top w:val="single" w:sz="8" w:space="0" w:color="auto"/>
              <w:left w:val="nil"/>
              <w:bottom w:val="single" w:sz="8" w:space="0" w:color="auto"/>
              <w:right w:val="single" w:sz="4" w:space="0" w:color="auto"/>
            </w:tcBorders>
            <w:shd w:val="clear" w:color="auto" w:fill="auto"/>
            <w:noWrap/>
            <w:vAlign w:val="bottom"/>
          </w:tcPr>
          <w:p>
            <w:pPr>
              <w:spacing w:before="0" w:after="0"/>
              <w:jc w:val="right"/>
              <w:rPr>
                <w:rFonts w:ascii="Calibri" w:hAnsi="Calibri"/>
                <w:noProof/>
                <w:color w:val="000000"/>
                <w:sz w:val="22"/>
              </w:rPr>
            </w:pPr>
            <w:r>
              <w:rPr>
                <w:rFonts w:ascii="Calibri" w:hAnsi="Calibri"/>
                <w:b/>
                <w:bCs/>
                <w:noProof/>
                <w:color w:val="000000"/>
                <w:sz w:val="22"/>
              </w:rPr>
              <w:t>2020</w:t>
            </w:r>
          </w:p>
        </w:tc>
        <w:tc>
          <w:tcPr>
            <w:tcW w:w="705" w:type="dxa"/>
            <w:tcBorders>
              <w:top w:val="single" w:sz="8" w:space="0" w:color="auto"/>
              <w:left w:val="nil"/>
              <w:bottom w:val="single" w:sz="8" w:space="0" w:color="auto"/>
              <w:right w:val="single" w:sz="4" w:space="0" w:color="auto"/>
            </w:tcBorders>
            <w:shd w:val="clear" w:color="auto" w:fill="auto"/>
            <w:noWrap/>
            <w:vAlign w:val="bottom"/>
          </w:tcPr>
          <w:p>
            <w:pPr>
              <w:spacing w:before="0" w:after="0"/>
              <w:jc w:val="right"/>
              <w:rPr>
                <w:rFonts w:ascii="Calibri" w:hAnsi="Calibri"/>
                <w:noProof/>
                <w:color w:val="000000"/>
                <w:sz w:val="22"/>
              </w:rPr>
            </w:pPr>
            <w:r>
              <w:rPr>
                <w:rFonts w:ascii="Calibri" w:hAnsi="Calibri"/>
                <w:b/>
                <w:bCs/>
                <w:noProof/>
                <w:color w:val="000000"/>
                <w:sz w:val="22"/>
              </w:rPr>
              <w:t>2021</w:t>
            </w:r>
          </w:p>
        </w:tc>
        <w:tc>
          <w:tcPr>
            <w:tcW w:w="705" w:type="dxa"/>
            <w:tcBorders>
              <w:top w:val="single" w:sz="8" w:space="0" w:color="auto"/>
              <w:left w:val="nil"/>
              <w:bottom w:val="single" w:sz="8" w:space="0" w:color="auto"/>
              <w:right w:val="single" w:sz="4" w:space="0" w:color="auto"/>
            </w:tcBorders>
            <w:shd w:val="clear" w:color="auto" w:fill="auto"/>
            <w:noWrap/>
            <w:vAlign w:val="bottom"/>
          </w:tcPr>
          <w:p>
            <w:pPr>
              <w:spacing w:before="0" w:after="0"/>
              <w:jc w:val="right"/>
              <w:rPr>
                <w:rFonts w:ascii="Calibri" w:hAnsi="Calibri"/>
                <w:noProof/>
                <w:color w:val="000000"/>
                <w:sz w:val="22"/>
              </w:rPr>
            </w:pPr>
            <w:r>
              <w:rPr>
                <w:rFonts w:ascii="Calibri" w:hAnsi="Calibri"/>
                <w:b/>
                <w:bCs/>
                <w:noProof/>
                <w:color w:val="000000"/>
                <w:sz w:val="22"/>
              </w:rPr>
              <w:t>2022</w:t>
            </w:r>
          </w:p>
        </w:tc>
        <w:tc>
          <w:tcPr>
            <w:tcW w:w="706" w:type="dxa"/>
            <w:tcBorders>
              <w:top w:val="single" w:sz="8" w:space="0" w:color="auto"/>
              <w:left w:val="nil"/>
              <w:bottom w:val="single" w:sz="8" w:space="0" w:color="auto"/>
              <w:right w:val="single" w:sz="4" w:space="0" w:color="auto"/>
            </w:tcBorders>
            <w:shd w:val="clear" w:color="auto" w:fill="auto"/>
            <w:noWrap/>
            <w:vAlign w:val="bottom"/>
          </w:tcPr>
          <w:p>
            <w:pPr>
              <w:spacing w:before="0" w:after="0"/>
              <w:jc w:val="right"/>
              <w:rPr>
                <w:rFonts w:ascii="Calibri" w:hAnsi="Calibri"/>
                <w:noProof/>
                <w:color w:val="000000"/>
                <w:sz w:val="22"/>
              </w:rPr>
            </w:pPr>
            <w:r>
              <w:rPr>
                <w:rFonts w:ascii="Calibri" w:hAnsi="Calibri"/>
                <w:b/>
                <w:bCs/>
                <w:noProof/>
                <w:color w:val="000000"/>
                <w:sz w:val="22"/>
              </w:rPr>
              <w:t>2023</w:t>
            </w:r>
          </w:p>
        </w:tc>
        <w:tc>
          <w:tcPr>
            <w:tcW w:w="705" w:type="dxa"/>
            <w:tcBorders>
              <w:top w:val="single" w:sz="8" w:space="0" w:color="auto"/>
              <w:left w:val="nil"/>
              <w:bottom w:val="single" w:sz="8" w:space="0" w:color="auto"/>
              <w:right w:val="single" w:sz="4" w:space="0" w:color="auto"/>
            </w:tcBorders>
            <w:shd w:val="clear" w:color="auto" w:fill="auto"/>
            <w:noWrap/>
            <w:vAlign w:val="bottom"/>
          </w:tcPr>
          <w:p>
            <w:pPr>
              <w:spacing w:before="0" w:after="0"/>
              <w:jc w:val="right"/>
              <w:rPr>
                <w:rFonts w:ascii="Calibri" w:hAnsi="Calibri"/>
                <w:noProof/>
                <w:color w:val="000000"/>
                <w:sz w:val="22"/>
              </w:rPr>
            </w:pPr>
            <w:r>
              <w:rPr>
                <w:rFonts w:ascii="Calibri" w:hAnsi="Calibri"/>
                <w:b/>
                <w:bCs/>
                <w:noProof/>
                <w:color w:val="000000"/>
                <w:sz w:val="22"/>
              </w:rPr>
              <w:t>2024</w:t>
            </w:r>
          </w:p>
        </w:tc>
        <w:tc>
          <w:tcPr>
            <w:tcW w:w="705" w:type="dxa"/>
            <w:tcBorders>
              <w:top w:val="single" w:sz="8" w:space="0" w:color="auto"/>
              <w:left w:val="nil"/>
              <w:bottom w:val="single" w:sz="8" w:space="0" w:color="auto"/>
              <w:right w:val="single" w:sz="4" w:space="0" w:color="auto"/>
            </w:tcBorders>
            <w:shd w:val="clear" w:color="auto" w:fill="auto"/>
            <w:noWrap/>
            <w:vAlign w:val="bottom"/>
          </w:tcPr>
          <w:p>
            <w:pPr>
              <w:spacing w:before="0" w:after="0"/>
              <w:jc w:val="right"/>
              <w:rPr>
                <w:rFonts w:ascii="Calibri" w:hAnsi="Calibri"/>
                <w:noProof/>
                <w:color w:val="000000"/>
                <w:sz w:val="22"/>
              </w:rPr>
            </w:pPr>
            <w:r>
              <w:rPr>
                <w:rFonts w:ascii="Calibri" w:hAnsi="Calibri"/>
                <w:b/>
                <w:bCs/>
                <w:noProof/>
                <w:color w:val="000000"/>
                <w:sz w:val="22"/>
              </w:rPr>
              <w:t>2025</w:t>
            </w:r>
          </w:p>
        </w:tc>
        <w:tc>
          <w:tcPr>
            <w:tcW w:w="705" w:type="dxa"/>
            <w:tcBorders>
              <w:top w:val="single" w:sz="8" w:space="0" w:color="auto"/>
              <w:left w:val="nil"/>
              <w:bottom w:val="single" w:sz="8" w:space="0" w:color="auto"/>
              <w:right w:val="single" w:sz="4" w:space="0" w:color="auto"/>
            </w:tcBorders>
            <w:shd w:val="clear" w:color="auto" w:fill="auto"/>
            <w:noWrap/>
            <w:vAlign w:val="bottom"/>
          </w:tcPr>
          <w:p>
            <w:pPr>
              <w:spacing w:before="0" w:after="0"/>
              <w:jc w:val="right"/>
              <w:rPr>
                <w:rFonts w:ascii="Calibri" w:hAnsi="Calibri"/>
                <w:noProof/>
                <w:color w:val="000000"/>
                <w:sz w:val="22"/>
              </w:rPr>
            </w:pPr>
            <w:r>
              <w:rPr>
                <w:rFonts w:ascii="Calibri" w:hAnsi="Calibri"/>
                <w:b/>
                <w:bCs/>
                <w:noProof/>
                <w:color w:val="000000"/>
                <w:sz w:val="22"/>
              </w:rPr>
              <w:t>2026</w:t>
            </w:r>
          </w:p>
        </w:tc>
        <w:tc>
          <w:tcPr>
            <w:tcW w:w="706" w:type="dxa"/>
            <w:tcBorders>
              <w:top w:val="single" w:sz="8" w:space="0" w:color="auto"/>
              <w:left w:val="nil"/>
              <w:bottom w:val="single" w:sz="8" w:space="0" w:color="auto"/>
              <w:right w:val="single" w:sz="4" w:space="0" w:color="auto"/>
            </w:tcBorders>
            <w:shd w:val="clear" w:color="auto" w:fill="auto"/>
            <w:noWrap/>
            <w:vAlign w:val="bottom"/>
          </w:tcPr>
          <w:p>
            <w:pPr>
              <w:spacing w:before="0" w:after="0"/>
              <w:jc w:val="right"/>
              <w:rPr>
                <w:rFonts w:ascii="Calibri" w:hAnsi="Calibri"/>
                <w:noProof/>
                <w:color w:val="000000"/>
                <w:sz w:val="22"/>
              </w:rPr>
            </w:pPr>
            <w:r>
              <w:rPr>
                <w:rFonts w:ascii="Calibri" w:hAnsi="Calibri"/>
                <w:b/>
                <w:bCs/>
                <w:noProof/>
                <w:color w:val="000000"/>
                <w:sz w:val="22"/>
              </w:rPr>
              <w:t>2027</w:t>
            </w:r>
          </w:p>
        </w:tc>
        <w:tc>
          <w:tcPr>
            <w:tcW w:w="815" w:type="dxa"/>
            <w:tcBorders>
              <w:top w:val="single" w:sz="8" w:space="0" w:color="auto"/>
              <w:left w:val="nil"/>
              <w:bottom w:val="single" w:sz="8" w:space="0" w:color="auto"/>
              <w:right w:val="single" w:sz="4" w:space="0" w:color="auto"/>
            </w:tcBorders>
            <w:shd w:val="clear" w:color="auto" w:fill="auto"/>
            <w:noWrap/>
            <w:vAlign w:val="bottom"/>
          </w:tcPr>
          <w:p>
            <w:pPr>
              <w:spacing w:before="0" w:after="0"/>
              <w:jc w:val="right"/>
              <w:rPr>
                <w:rFonts w:ascii="Calibri" w:hAnsi="Calibri"/>
                <w:noProof/>
                <w:color w:val="000000"/>
                <w:sz w:val="22"/>
              </w:rPr>
            </w:pPr>
            <w:r>
              <w:rPr>
                <w:rFonts w:ascii="Calibri" w:hAnsi="Calibri"/>
                <w:b/>
                <w:bCs/>
                <w:noProof/>
                <w:color w:val="000000"/>
                <w:sz w:val="22"/>
              </w:rPr>
              <w:t>total</w:t>
            </w:r>
          </w:p>
        </w:tc>
      </w:tr>
      <w:tr>
        <w:trPr>
          <w:trHeight w:val="315"/>
        </w:trPr>
        <w:tc>
          <w:tcPr>
            <w:tcW w:w="2032"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pPr>
              <w:rPr>
                <w:rFonts w:ascii="Calibri" w:hAnsi="Calibri"/>
                <w:noProof/>
                <w:color w:val="0070C0"/>
                <w:sz w:val="22"/>
              </w:rPr>
            </w:pPr>
            <w:r>
              <w:rPr>
                <w:rFonts w:ascii="Calibri" w:hAnsi="Calibri"/>
                <w:noProof/>
                <w:color w:val="0070C0"/>
                <w:sz w:val="22"/>
              </w:rPr>
              <w:t xml:space="preserve">Contract Staff </w:t>
            </w:r>
          </w:p>
        </w:tc>
        <w:tc>
          <w:tcPr>
            <w:tcW w:w="705" w:type="dxa"/>
            <w:tcBorders>
              <w:top w:val="single" w:sz="8" w:space="0" w:color="auto"/>
              <w:left w:val="nil"/>
              <w:bottom w:val="single" w:sz="8" w:space="0" w:color="auto"/>
              <w:right w:val="single" w:sz="4" w:space="0" w:color="auto"/>
            </w:tcBorders>
            <w:shd w:val="clear" w:color="auto" w:fill="auto"/>
            <w:noWrap/>
            <w:hideMark/>
          </w:tcPr>
          <w:p>
            <w:pPr>
              <w:spacing w:before="0" w:after="0"/>
              <w:jc w:val="right"/>
              <w:rPr>
                <w:rFonts w:ascii="Calibri" w:hAnsi="Calibri"/>
                <w:noProof/>
                <w:color w:val="000000"/>
                <w:sz w:val="22"/>
              </w:rPr>
            </w:pPr>
            <w:r>
              <w:rPr>
                <w:rFonts w:ascii="Calibri" w:hAnsi="Calibri"/>
                <w:noProof/>
                <w:color w:val="000000"/>
                <w:sz w:val="22"/>
              </w:rPr>
              <w:t>0,0</w:t>
            </w:r>
          </w:p>
        </w:tc>
        <w:tc>
          <w:tcPr>
            <w:tcW w:w="705" w:type="dxa"/>
            <w:tcBorders>
              <w:top w:val="single" w:sz="8" w:space="0" w:color="auto"/>
              <w:left w:val="nil"/>
              <w:bottom w:val="single" w:sz="8" w:space="0" w:color="auto"/>
              <w:right w:val="single" w:sz="4" w:space="0" w:color="auto"/>
            </w:tcBorders>
            <w:shd w:val="clear" w:color="auto" w:fill="auto"/>
            <w:noWrap/>
            <w:hideMark/>
          </w:tcPr>
          <w:p>
            <w:pPr>
              <w:spacing w:before="0" w:after="0"/>
              <w:jc w:val="right"/>
              <w:rPr>
                <w:rFonts w:ascii="Calibri" w:hAnsi="Calibri"/>
                <w:noProof/>
                <w:color w:val="000000"/>
                <w:sz w:val="22"/>
              </w:rPr>
            </w:pPr>
            <w:r>
              <w:rPr>
                <w:rFonts w:ascii="Calibri" w:hAnsi="Calibri"/>
                <w:noProof/>
                <w:color w:val="000000"/>
                <w:sz w:val="22"/>
              </w:rPr>
              <w:t>1,0</w:t>
            </w:r>
          </w:p>
        </w:tc>
        <w:tc>
          <w:tcPr>
            <w:tcW w:w="705" w:type="dxa"/>
            <w:tcBorders>
              <w:top w:val="single" w:sz="8" w:space="0" w:color="auto"/>
              <w:left w:val="nil"/>
              <w:bottom w:val="single" w:sz="8" w:space="0" w:color="auto"/>
              <w:right w:val="single" w:sz="4" w:space="0" w:color="auto"/>
            </w:tcBorders>
            <w:shd w:val="clear" w:color="auto" w:fill="auto"/>
            <w:noWrap/>
            <w:hideMark/>
          </w:tcPr>
          <w:p>
            <w:pPr>
              <w:spacing w:before="0" w:after="0"/>
              <w:jc w:val="right"/>
              <w:rPr>
                <w:rFonts w:ascii="Calibri" w:hAnsi="Calibri"/>
                <w:noProof/>
                <w:color w:val="000000"/>
                <w:sz w:val="22"/>
              </w:rPr>
            </w:pPr>
            <w:r>
              <w:rPr>
                <w:rFonts w:ascii="Calibri" w:hAnsi="Calibri"/>
                <w:noProof/>
                <w:color w:val="000000"/>
                <w:sz w:val="22"/>
              </w:rPr>
              <w:t>1,0</w:t>
            </w:r>
          </w:p>
        </w:tc>
        <w:tc>
          <w:tcPr>
            <w:tcW w:w="705" w:type="dxa"/>
            <w:tcBorders>
              <w:top w:val="single" w:sz="8" w:space="0" w:color="auto"/>
              <w:left w:val="nil"/>
              <w:bottom w:val="single" w:sz="8" w:space="0" w:color="auto"/>
              <w:right w:val="single" w:sz="4" w:space="0" w:color="auto"/>
            </w:tcBorders>
            <w:shd w:val="clear" w:color="auto" w:fill="auto"/>
            <w:noWrap/>
            <w:hideMark/>
          </w:tcPr>
          <w:p>
            <w:pPr>
              <w:spacing w:before="0" w:after="0"/>
              <w:jc w:val="right"/>
              <w:rPr>
                <w:rFonts w:ascii="Calibri" w:hAnsi="Calibri"/>
                <w:noProof/>
                <w:color w:val="000000"/>
                <w:sz w:val="22"/>
              </w:rPr>
            </w:pPr>
            <w:r>
              <w:rPr>
                <w:rFonts w:ascii="Calibri" w:hAnsi="Calibri"/>
                <w:noProof/>
                <w:color w:val="000000"/>
                <w:sz w:val="22"/>
              </w:rPr>
              <w:t>8,0</w:t>
            </w:r>
          </w:p>
        </w:tc>
        <w:tc>
          <w:tcPr>
            <w:tcW w:w="706" w:type="dxa"/>
            <w:tcBorders>
              <w:top w:val="single" w:sz="8" w:space="0" w:color="auto"/>
              <w:left w:val="nil"/>
              <w:bottom w:val="single" w:sz="8" w:space="0" w:color="auto"/>
              <w:right w:val="single" w:sz="4" w:space="0" w:color="auto"/>
            </w:tcBorders>
            <w:shd w:val="clear" w:color="auto" w:fill="auto"/>
            <w:noWrap/>
            <w:hideMark/>
          </w:tcPr>
          <w:p>
            <w:pPr>
              <w:spacing w:before="0" w:after="0"/>
              <w:jc w:val="right"/>
              <w:rPr>
                <w:rFonts w:ascii="Calibri" w:hAnsi="Calibri"/>
                <w:noProof/>
                <w:color w:val="000000"/>
                <w:sz w:val="22"/>
              </w:rPr>
            </w:pPr>
            <w:r>
              <w:rPr>
                <w:rFonts w:ascii="Calibri" w:hAnsi="Calibri"/>
                <w:noProof/>
                <w:color w:val="000000"/>
                <w:sz w:val="22"/>
              </w:rPr>
              <w:t>8,0</w:t>
            </w:r>
          </w:p>
        </w:tc>
        <w:tc>
          <w:tcPr>
            <w:tcW w:w="705" w:type="dxa"/>
            <w:tcBorders>
              <w:top w:val="single" w:sz="8" w:space="0" w:color="auto"/>
              <w:left w:val="nil"/>
              <w:bottom w:val="single" w:sz="8" w:space="0" w:color="auto"/>
              <w:right w:val="single" w:sz="4" w:space="0" w:color="auto"/>
            </w:tcBorders>
            <w:shd w:val="clear" w:color="auto" w:fill="auto"/>
            <w:noWrap/>
            <w:hideMark/>
          </w:tcPr>
          <w:p>
            <w:pPr>
              <w:spacing w:before="0" w:after="0"/>
              <w:jc w:val="right"/>
              <w:rPr>
                <w:rFonts w:ascii="Calibri" w:hAnsi="Calibri"/>
                <w:noProof/>
                <w:color w:val="000000"/>
                <w:sz w:val="22"/>
              </w:rPr>
            </w:pPr>
            <w:r>
              <w:rPr>
                <w:rFonts w:ascii="Calibri" w:hAnsi="Calibri"/>
                <w:noProof/>
                <w:color w:val="000000"/>
                <w:sz w:val="22"/>
              </w:rPr>
              <w:t>8,0</w:t>
            </w:r>
          </w:p>
        </w:tc>
        <w:tc>
          <w:tcPr>
            <w:tcW w:w="705" w:type="dxa"/>
            <w:tcBorders>
              <w:top w:val="single" w:sz="8" w:space="0" w:color="auto"/>
              <w:left w:val="nil"/>
              <w:bottom w:val="single" w:sz="8" w:space="0" w:color="auto"/>
              <w:right w:val="single" w:sz="4" w:space="0" w:color="auto"/>
            </w:tcBorders>
            <w:shd w:val="clear" w:color="auto" w:fill="auto"/>
            <w:noWrap/>
            <w:hideMark/>
          </w:tcPr>
          <w:p>
            <w:pPr>
              <w:spacing w:before="0" w:after="0"/>
              <w:jc w:val="right"/>
              <w:rPr>
                <w:rFonts w:ascii="Calibri" w:hAnsi="Calibri"/>
                <w:noProof/>
                <w:color w:val="000000"/>
                <w:sz w:val="22"/>
              </w:rPr>
            </w:pPr>
            <w:r>
              <w:rPr>
                <w:rFonts w:ascii="Calibri" w:hAnsi="Calibri"/>
                <w:noProof/>
                <w:color w:val="000000"/>
                <w:sz w:val="22"/>
              </w:rPr>
              <w:t>8,0</w:t>
            </w:r>
          </w:p>
        </w:tc>
        <w:tc>
          <w:tcPr>
            <w:tcW w:w="705" w:type="dxa"/>
            <w:tcBorders>
              <w:top w:val="single" w:sz="8" w:space="0" w:color="auto"/>
              <w:left w:val="nil"/>
              <w:bottom w:val="single" w:sz="8" w:space="0" w:color="auto"/>
              <w:right w:val="single" w:sz="4" w:space="0" w:color="auto"/>
            </w:tcBorders>
            <w:shd w:val="clear" w:color="auto" w:fill="auto"/>
            <w:noWrap/>
            <w:hideMark/>
          </w:tcPr>
          <w:p>
            <w:pPr>
              <w:spacing w:before="0" w:after="0"/>
              <w:jc w:val="right"/>
              <w:rPr>
                <w:rFonts w:ascii="Calibri" w:hAnsi="Calibri"/>
                <w:noProof/>
                <w:color w:val="000000"/>
                <w:sz w:val="22"/>
              </w:rPr>
            </w:pPr>
            <w:r>
              <w:rPr>
                <w:rFonts w:ascii="Calibri" w:hAnsi="Calibri"/>
                <w:noProof/>
                <w:color w:val="000000"/>
                <w:sz w:val="22"/>
              </w:rPr>
              <w:t>8,0</w:t>
            </w:r>
          </w:p>
        </w:tc>
        <w:tc>
          <w:tcPr>
            <w:tcW w:w="706" w:type="dxa"/>
            <w:tcBorders>
              <w:top w:val="single" w:sz="8" w:space="0" w:color="auto"/>
              <w:left w:val="nil"/>
              <w:bottom w:val="single" w:sz="8" w:space="0" w:color="auto"/>
              <w:right w:val="single" w:sz="4" w:space="0" w:color="auto"/>
            </w:tcBorders>
            <w:shd w:val="clear" w:color="auto" w:fill="auto"/>
            <w:noWrap/>
            <w:hideMark/>
          </w:tcPr>
          <w:p>
            <w:pPr>
              <w:spacing w:before="0" w:after="0"/>
              <w:jc w:val="right"/>
              <w:rPr>
                <w:rFonts w:ascii="Calibri" w:hAnsi="Calibri"/>
                <w:noProof/>
                <w:color w:val="000000"/>
                <w:sz w:val="22"/>
              </w:rPr>
            </w:pPr>
            <w:r>
              <w:rPr>
                <w:rFonts w:ascii="Calibri" w:hAnsi="Calibri"/>
                <w:noProof/>
                <w:color w:val="000000"/>
                <w:sz w:val="22"/>
              </w:rPr>
              <w:t>8,0</w:t>
            </w:r>
          </w:p>
        </w:tc>
        <w:tc>
          <w:tcPr>
            <w:tcW w:w="815" w:type="dxa"/>
            <w:tcBorders>
              <w:top w:val="single" w:sz="8" w:space="0" w:color="auto"/>
              <w:left w:val="nil"/>
              <w:bottom w:val="single" w:sz="8" w:space="0" w:color="auto"/>
              <w:right w:val="single" w:sz="4" w:space="0" w:color="auto"/>
            </w:tcBorders>
            <w:shd w:val="clear" w:color="auto" w:fill="auto"/>
            <w:noWrap/>
            <w:hideMark/>
          </w:tcPr>
          <w:p>
            <w:pPr>
              <w:spacing w:before="0" w:after="0"/>
              <w:jc w:val="right"/>
              <w:rPr>
                <w:rFonts w:ascii="Calibri" w:hAnsi="Calibri"/>
                <w:noProof/>
                <w:color w:val="000000"/>
                <w:sz w:val="22"/>
              </w:rPr>
            </w:pPr>
            <w:r>
              <w:rPr>
                <w:rFonts w:ascii="Calibri" w:hAnsi="Calibri"/>
                <w:noProof/>
                <w:color w:val="000000"/>
                <w:sz w:val="22"/>
              </w:rPr>
              <w:t>50,0</w:t>
            </w:r>
          </w:p>
        </w:tc>
      </w:tr>
      <w:tr>
        <w:trPr>
          <w:trHeight w:val="315"/>
        </w:trPr>
        <w:tc>
          <w:tcPr>
            <w:tcW w:w="2032" w:type="dxa"/>
            <w:tcBorders>
              <w:top w:val="nil"/>
              <w:left w:val="single" w:sz="4" w:space="0" w:color="auto"/>
              <w:bottom w:val="single" w:sz="4" w:space="0" w:color="auto"/>
              <w:right w:val="single" w:sz="4" w:space="0" w:color="auto"/>
            </w:tcBorders>
            <w:shd w:val="clear" w:color="000000" w:fill="D9D9D9"/>
            <w:noWrap/>
            <w:vAlign w:val="bottom"/>
            <w:hideMark/>
          </w:tcPr>
          <w:p>
            <w:pPr>
              <w:spacing w:before="0" w:after="0"/>
              <w:jc w:val="left"/>
              <w:rPr>
                <w:rFonts w:ascii="Calibri" w:hAnsi="Calibri"/>
                <w:noProof/>
                <w:color w:val="0070C0"/>
                <w:sz w:val="22"/>
              </w:rPr>
            </w:pPr>
            <w:r>
              <w:rPr>
                <w:rFonts w:ascii="Calibri" w:hAnsi="Calibri"/>
                <w:noProof/>
                <w:color w:val="0070C0"/>
                <w:sz w:val="22"/>
              </w:rPr>
              <w:t xml:space="preserve">Temporary staff </w:t>
            </w:r>
          </w:p>
        </w:tc>
        <w:tc>
          <w:tcPr>
            <w:tcW w:w="705" w:type="dxa"/>
            <w:tcBorders>
              <w:top w:val="nil"/>
              <w:left w:val="nil"/>
              <w:bottom w:val="single" w:sz="8" w:space="0" w:color="auto"/>
              <w:right w:val="single" w:sz="4" w:space="0" w:color="auto"/>
            </w:tcBorders>
            <w:shd w:val="clear" w:color="auto" w:fill="auto"/>
            <w:noWrap/>
            <w:hideMark/>
          </w:tcPr>
          <w:p>
            <w:pPr>
              <w:spacing w:before="0" w:after="0"/>
              <w:jc w:val="right"/>
              <w:rPr>
                <w:rFonts w:ascii="Calibri" w:hAnsi="Calibri"/>
                <w:noProof/>
                <w:color w:val="000000"/>
                <w:sz w:val="22"/>
              </w:rPr>
            </w:pPr>
            <w:r>
              <w:rPr>
                <w:rFonts w:ascii="Calibri" w:hAnsi="Calibri"/>
                <w:noProof/>
                <w:color w:val="000000"/>
                <w:sz w:val="22"/>
              </w:rPr>
              <w:t>5,0</w:t>
            </w:r>
          </w:p>
        </w:tc>
        <w:tc>
          <w:tcPr>
            <w:tcW w:w="705" w:type="dxa"/>
            <w:tcBorders>
              <w:top w:val="nil"/>
              <w:left w:val="nil"/>
              <w:bottom w:val="single" w:sz="8" w:space="0" w:color="auto"/>
              <w:right w:val="single" w:sz="4" w:space="0" w:color="auto"/>
            </w:tcBorders>
            <w:shd w:val="clear" w:color="auto" w:fill="auto"/>
            <w:noWrap/>
            <w:hideMark/>
          </w:tcPr>
          <w:p>
            <w:pPr>
              <w:spacing w:before="0" w:after="0"/>
              <w:jc w:val="right"/>
              <w:rPr>
                <w:rFonts w:ascii="Calibri" w:hAnsi="Calibri"/>
                <w:noProof/>
                <w:color w:val="000000"/>
                <w:sz w:val="22"/>
              </w:rPr>
            </w:pPr>
            <w:r>
              <w:rPr>
                <w:rFonts w:ascii="Calibri" w:hAnsi="Calibri"/>
                <w:noProof/>
                <w:color w:val="000000"/>
                <w:sz w:val="22"/>
              </w:rPr>
              <w:t>14,0</w:t>
            </w:r>
          </w:p>
        </w:tc>
        <w:tc>
          <w:tcPr>
            <w:tcW w:w="705" w:type="dxa"/>
            <w:tcBorders>
              <w:top w:val="nil"/>
              <w:left w:val="nil"/>
              <w:bottom w:val="single" w:sz="8" w:space="0" w:color="auto"/>
              <w:right w:val="single" w:sz="4" w:space="0" w:color="auto"/>
            </w:tcBorders>
            <w:shd w:val="clear" w:color="auto" w:fill="auto"/>
            <w:noWrap/>
            <w:hideMark/>
          </w:tcPr>
          <w:p>
            <w:pPr>
              <w:spacing w:before="0" w:after="0"/>
              <w:jc w:val="right"/>
              <w:rPr>
                <w:rFonts w:ascii="Calibri" w:hAnsi="Calibri"/>
                <w:noProof/>
                <w:color w:val="000000"/>
                <w:sz w:val="22"/>
              </w:rPr>
            </w:pPr>
            <w:r>
              <w:rPr>
                <w:rFonts w:ascii="Calibri" w:hAnsi="Calibri"/>
                <w:noProof/>
                <w:color w:val="000000"/>
                <w:sz w:val="22"/>
              </w:rPr>
              <w:t>14,0</w:t>
            </w:r>
          </w:p>
        </w:tc>
        <w:tc>
          <w:tcPr>
            <w:tcW w:w="705" w:type="dxa"/>
            <w:tcBorders>
              <w:top w:val="nil"/>
              <w:left w:val="nil"/>
              <w:bottom w:val="single" w:sz="8" w:space="0" w:color="auto"/>
              <w:right w:val="single" w:sz="4" w:space="0" w:color="auto"/>
            </w:tcBorders>
            <w:shd w:val="clear" w:color="auto" w:fill="auto"/>
            <w:noWrap/>
            <w:hideMark/>
          </w:tcPr>
          <w:p>
            <w:pPr>
              <w:spacing w:before="0" w:after="0"/>
              <w:jc w:val="right"/>
              <w:rPr>
                <w:rFonts w:ascii="Calibri" w:hAnsi="Calibri"/>
                <w:noProof/>
                <w:color w:val="000000"/>
                <w:sz w:val="22"/>
              </w:rPr>
            </w:pPr>
            <w:r>
              <w:rPr>
                <w:rFonts w:ascii="Calibri" w:hAnsi="Calibri"/>
                <w:noProof/>
                <w:color w:val="000000"/>
                <w:sz w:val="22"/>
              </w:rPr>
              <w:t>4,5</w:t>
            </w:r>
          </w:p>
        </w:tc>
        <w:tc>
          <w:tcPr>
            <w:tcW w:w="706" w:type="dxa"/>
            <w:tcBorders>
              <w:top w:val="nil"/>
              <w:left w:val="nil"/>
              <w:bottom w:val="single" w:sz="8" w:space="0" w:color="auto"/>
              <w:right w:val="single" w:sz="4" w:space="0" w:color="auto"/>
            </w:tcBorders>
            <w:shd w:val="clear" w:color="auto" w:fill="auto"/>
            <w:noWrap/>
            <w:hideMark/>
          </w:tcPr>
          <w:p>
            <w:pPr>
              <w:spacing w:before="0" w:after="0"/>
              <w:jc w:val="right"/>
              <w:rPr>
                <w:rFonts w:ascii="Calibri" w:hAnsi="Calibri"/>
                <w:noProof/>
                <w:color w:val="000000"/>
                <w:sz w:val="22"/>
              </w:rPr>
            </w:pPr>
            <w:r>
              <w:rPr>
                <w:rFonts w:ascii="Calibri" w:hAnsi="Calibri"/>
                <w:noProof/>
                <w:color w:val="000000"/>
                <w:sz w:val="22"/>
              </w:rPr>
              <w:t>4,5</w:t>
            </w:r>
          </w:p>
        </w:tc>
        <w:tc>
          <w:tcPr>
            <w:tcW w:w="705" w:type="dxa"/>
            <w:tcBorders>
              <w:top w:val="nil"/>
              <w:left w:val="nil"/>
              <w:bottom w:val="single" w:sz="8" w:space="0" w:color="auto"/>
              <w:right w:val="single" w:sz="4" w:space="0" w:color="auto"/>
            </w:tcBorders>
            <w:shd w:val="clear" w:color="auto" w:fill="auto"/>
            <w:noWrap/>
            <w:hideMark/>
          </w:tcPr>
          <w:p>
            <w:pPr>
              <w:spacing w:before="0" w:after="0"/>
              <w:jc w:val="right"/>
              <w:rPr>
                <w:rFonts w:ascii="Calibri" w:hAnsi="Calibri"/>
                <w:noProof/>
                <w:color w:val="000000"/>
                <w:sz w:val="22"/>
              </w:rPr>
            </w:pPr>
            <w:r>
              <w:rPr>
                <w:rFonts w:ascii="Calibri" w:hAnsi="Calibri"/>
                <w:noProof/>
                <w:color w:val="000000"/>
                <w:sz w:val="22"/>
              </w:rPr>
              <w:t>3,0</w:t>
            </w:r>
          </w:p>
        </w:tc>
        <w:tc>
          <w:tcPr>
            <w:tcW w:w="705" w:type="dxa"/>
            <w:tcBorders>
              <w:top w:val="nil"/>
              <w:left w:val="nil"/>
              <w:bottom w:val="single" w:sz="8" w:space="0" w:color="auto"/>
              <w:right w:val="single" w:sz="4" w:space="0" w:color="auto"/>
            </w:tcBorders>
            <w:shd w:val="clear" w:color="auto" w:fill="auto"/>
            <w:noWrap/>
            <w:hideMark/>
          </w:tcPr>
          <w:p>
            <w:pPr>
              <w:spacing w:before="0" w:after="0"/>
              <w:jc w:val="right"/>
              <w:rPr>
                <w:rFonts w:ascii="Calibri" w:hAnsi="Calibri"/>
                <w:noProof/>
                <w:color w:val="000000"/>
                <w:sz w:val="22"/>
              </w:rPr>
            </w:pPr>
            <w:r>
              <w:rPr>
                <w:rFonts w:ascii="Calibri" w:hAnsi="Calibri"/>
                <w:noProof/>
                <w:color w:val="000000"/>
                <w:sz w:val="22"/>
              </w:rPr>
              <w:t>3,0</w:t>
            </w:r>
          </w:p>
        </w:tc>
        <w:tc>
          <w:tcPr>
            <w:tcW w:w="705" w:type="dxa"/>
            <w:tcBorders>
              <w:top w:val="nil"/>
              <w:left w:val="nil"/>
              <w:bottom w:val="single" w:sz="8" w:space="0" w:color="auto"/>
              <w:right w:val="single" w:sz="4" w:space="0" w:color="auto"/>
            </w:tcBorders>
            <w:shd w:val="clear" w:color="auto" w:fill="auto"/>
            <w:noWrap/>
            <w:hideMark/>
          </w:tcPr>
          <w:p>
            <w:pPr>
              <w:spacing w:before="0" w:after="0"/>
              <w:jc w:val="right"/>
              <w:rPr>
                <w:rFonts w:ascii="Calibri" w:hAnsi="Calibri"/>
                <w:noProof/>
                <w:color w:val="000000"/>
                <w:sz w:val="22"/>
              </w:rPr>
            </w:pPr>
            <w:r>
              <w:rPr>
                <w:rFonts w:ascii="Calibri" w:hAnsi="Calibri"/>
                <w:noProof/>
                <w:color w:val="000000"/>
                <w:sz w:val="22"/>
              </w:rPr>
              <w:t>3,0</w:t>
            </w:r>
          </w:p>
        </w:tc>
        <w:tc>
          <w:tcPr>
            <w:tcW w:w="706" w:type="dxa"/>
            <w:tcBorders>
              <w:top w:val="nil"/>
              <w:left w:val="nil"/>
              <w:bottom w:val="single" w:sz="8" w:space="0" w:color="auto"/>
              <w:right w:val="single" w:sz="4" w:space="0" w:color="auto"/>
            </w:tcBorders>
            <w:shd w:val="clear" w:color="auto" w:fill="auto"/>
            <w:noWrap/>
            <w:hideMark/>
          </w:tcPr>
          <w:p>
            <w:pPr>
              <w:spacing w:before="0" w:after="0"/>
              <w:jc w:val="right"/>
              <w:rPr>
                <w:rFonts w:ascii="Calibri" w:hAnsi="Calibri"/>
                <w:noProof/>
                <w:color w:val="000000"/>
                <w:sz w:val="22"/>
              </w:rPr>
            </w:pPr>
            <w:r>
              <w:rPr>
                <w:rFonts w:ascii="Calibri" w:hAnsi="Calibri"/>
                <w:noProof/>
                <w:color w:val="000000"/>
                <w:sz w:val="22"/>
              </w:rPr>
              <w:t>3,0</w:t>
            </w:r>
          </w:p>
        </w:tc>
        <w:tc>
          <w:tcPr>
            <w:tcW w:w="815" w:type="dxa"/>
            <w:tcBorders>
              <w:top w:val="nil"/>
              <w:left w:val="nil"/>
              <w:bottom w:val="single" w:sz="8" w:space="0" w:color="auto"/>
              <w:right w:val="single" w:sz="4" w:space="0" w:color="auto"/>
            </w:tcBorders>
            <w:shd w:val="clear" w:color="auto" w:fill="auto"/>
            <w:noWrap/>
            <w:hideMark/>
          </w:tcPr>
          <w:p>
            <w:pPr>
              <w:spacing w:before="0" w:after="0"/>
              <w:jc w:val="right"/>
              <w:rPr>
                <w:rFonts w:ascii="Calibri" w:hAnsi="Calibri"/>
                <w:noProof/>
                <w:color w:val="000000"/>
                <w:sz w:val="22"/>
              </w:rPr>
            </w:pPr>
            <w:r>
              <w:rPr>
                <w:rFonts w:ascii="Calibri" w:hAnsi="Calibri"/>
                <w:noProof/>
                <w:color w:val="000000"/>
                <w:sz w:val="22"/>
              </w:rPr>
              <w:t>54,0</w:t>
            </w:r>
          </w:p>
        </w:tc>
      </w:tr>
      <w:tr>
        <w:trPr>
          <w:trHeight w:val="300"/>
        </w:trPr>
        <w:tc>
          <w:tcPr>
            <w:tcW w:w="2032" w:type="dxa"/>
            <w:tcBorders>
              <w:top w:val="nil"/>
              <w:left w:val="nil"/>
              <w:bottom w:val="nil"/>
              <w:right w:val="nil"/>
            </w:tcBorders>
            <w:shd w:val="clear" w:color="auto" w:fill="auto"/>
            <w:noWrap/>
            <w:vAlign w:val="bottom"/>
            <w:hideMark/>
          </w:tcPr>
          <w:p>
            <w:pPr>
              <w:spacing w:before="0" w:after="0"/>
              <w:jc w:val="left"/>
              <w:rPr>
                <w:rFonts w:ascii="Calibri" w:hAnsi="Calibri"/>
                <w:b/>
                <w:bCs/>
                <w:noProof/>
                <w:color w:val="000000"/>
                <w:sz w:val="22"/>
              </w:rPr>
            </w:pPr>
            <w:r>
              <w:rPr>
                <w:rFonts w:ascii="Calibri" w:hAnsi="Calibri"/>
                <w:b/>
                <w:bCs/>
                <w:noProof/>
                <w:color w:val="000000"/>
                <w:sz w:val="22"/>
              </w:rPr>
              <w:t>Total Staff (FTEs)</w:t>
            </w:r>
          </w:p>
        </w:tc>
        <w:tc>
          <w:tcPr>
            <w:tcW w:w="705" w:type="dxa"/>
            <w:tcBorders>
              <w:top w:val="nil"/>
              <w:left w:val="nil"/>
              <w:bottom w:val="nil"/>
              <w:right w:val="nil"/>
            </w:tcBorders>
            <w:shd w:val="clear" w:color="auto" w:fill="auto"/>
            <w:noWrap/>
            <w:vAlign w:val="bottom"/>
            <w:hideMark/>
          </w:tcPr>
          <w:p>
            <w:pPr>
              <w:spacing w:before="0" w:after="0"/>
              <w:jc w:val="right"/>
              <w:rPr>
                <w:rFonts w:ascii="Calibri" w:hAnsi="Calibri"/>
                <w:b/>
                <w:bCs/>
                <w:noProof/>
                <w:color w:val="000000"/>
                <w:sz w:val="22"/>
              </w:rPr>
            </w:pPr>
            <w:r>
              <w:rPr>
                <w:rFonts w:ascii="Calibri" w:hAnsi="Calibri"/>
                <w:b/>
                <w:bCs/>
                <w:noProof/>
                <w:color w:val="000000"/>
                <w:sz w:val="22"/>
              </w:rPr>
              <w:t>5,0</w:t>
            </w:r>
          </w:p>
        </w:tc>
        <w:tc>
          <w:tcPr>
            <w:tcW w:w="705" w:type="dxa"/>
            <w:tcBorders>
              <w:top w:val="nil"/>
              <w:left w:val="nil"/>
              <w:bottom w:val="nil"/>
              <w:right w:val="nil"/>
            </w:tcBorders>
            <w:shd w:val="clear" w:color="auto" w:fill="auto"/>
            <w:noWrap/>
            <w:vAlign w:val="bottom"/>
            <w:hideMark/>
          </w:tcPr>
          <w:p>
            <w:pPr>
              <w:spacing w:before="0" w:after="0"/>
              <w:jc w:val="right"/>
              <w:rPr>
                <w:rFonts w:ascii="Calibri" w:hAnsi="Calibri"/>
                <w:b/>
                <w:bCs/>
                <w:noProof/>
                <w:color w:val="000000"/>
                <w:sz w:val="22"/>
              </w:rPr>
            </w:pPr>
            <w:r>
              <w:rPr>
                <w:rFonts w:ascii="Calibri" w:hAnsi="Calibri"/>
                <w:b/>
                <w:bCs/>
                <w:noProof/>
                <w:color w:val="000000"/>
                <w:sz w:val="22"/>
              </w:rPr>
              <w:t>15,0</w:t>
            </w:r>
          </w:p>
        </w:tc>
        <w:tc>
          <w:tcPr>
            <w:tcW w:w="705" w:type="dxa"/>
            <w:tcBorders>
              <w:top w:val="nil"/>
              <w:left w:val="nil"/>
              <w:bottom w:val="nil"/>
              <w:right w:val="nil"/>
            </w:tcBorders>
            <w:shd w:val="clear" w:color="auto" w:fill="auto"/>
            <w:noWrap/>
            <w:vAlign w:val="bottom"/>
            <w:hideMark/>
          </w:tcPr>
          <w:p>
            <w:pPr>
              <w:spacing w:before="0" w:after="0"/>
              <w:jc w:val="right"/>
              <w:rPr>
                <w:rFonts w:ascii="Calibri" w:hAnsi="Calibri"/>
                <w:b/>
                <w:bCs/>
                <w:noProof/>
                <w:color w:val="000000"/>
                <w:sz w:val="22"/>
              </w:rPr>
            </w:pPr>
            <w:r>
              <w:rPr>
                <w:rFonts w:ascii="Calibri" w:hAnsi="Calibri"/>
                <w:b/>
                <w:bCs/>
                <w:noProof/>
                <w:color w:val="000000"/>
                <w:sz w:val="22"/>
              </w:rPr>
              <w:t>15,0</w:t>
            </w:r>
          </w:p>
        </w:tc>
        <w:tc>
          <w:tcPr>
            <w:tcW w:w="705" w:type="dxa"/>
            <w:tcBorders>
              <w:top w:val="nil"/>
              <w:left w:val="nil"/>
              <w:bottom w:val="nil"/>
              <w:right w:val="nil"/>
            </w:tcBorders>
            <w:shd w:val="clear" w:color="auto" w:fill="auto"/>
            <w:noWrap/>
            <w:vAlign w:val="bottom"/>
            <w:hideMark/>
          </w:tcPr>
          <w:p>
            <w:pPr>
              <w:spacing w:before="0" w:after="0"/>
              <w:jc w:val="right"/>
              <w:rPr>
                <w:rFonts w:ascii="Calibri" w:hAnsi="Calibri"/>
                <w:b/>
                <w:bCs/>
                <w:noProof/>
                <w:color w:val="000000"/>
                <w:sz w:val="22"/>
              </w:rPr>
            </w:pPr>
            <w:r>
              <w:rPr>
                <w:rFonts w:ascii="Calibri" w:hAnsi="Calibri"/>
                <w:b/>
                <w:bCs/>
                <w:noProof/>
                <w:color w:val="000000"/>
                <w:sz w:val="22"/>
              </w:rPr>
              <w:t>12,5</w:t>
            </w:r>
          </w:p>
        </w:tc>
        <w:tc>
          <w:tcPr>
            <w:tcW w:w="706" w:type="dxa"/>
            <w:tcBorders>
              <w:top w:val="nil"/>
              <w:left w:val="nil"/>
              <w:bottom w:val="nil"/>
              <w:right w:val="nil"/>
            </w:tcBorders>
            <w:shd w:val="clear" w:color="auto" w:fill="auto"/>
            <w:noWrap/>
            <w:vAlign w:val="bottom"/>
            <w:hideMark/>
          </w:tcPr>
          <w:p>
            <w:pPr>
              <w:spacing w:before="0" w:after="0"/>
              <w:jc w:val="right"/>
              <w:rPr>
                <w:rFonts w:ascii="Calibri" w:hAnsi="Calibri"/>
                <w:b/>
                <w:bCs/>
                <w:noProof/>
                <w:color w:val="000000"/>
                <w:sz w:val="22"/>
              </w:rPr>
            </w:pPr>
            <w:r>
              <w:rPr>
                <w:rFonts w:ascii="Calibri" w:hAnsi="Calibri"/>
                <w:b/>
                <w:bCs/>
                <w:noProof/>
                <w:color w:val="000000"/>
                <w:sz w:val="22"/>
              </w:rPr>
              <w:t>12,5</w:t>
            </w:r>
          </w:p>
        </w:tc>
        <w:tc>
          <w:tcPr>
            <w:tcW w:w="705" w:type="dxa"/>
            <w:tcBorders>
              <w:top w:val="nil"/>
              <w:left w:val="nil"/>
              <w:bottom w:val="nil"/>
              <w:right w:val="nil"/>
            </w:tcBorders>
            <w:shd w:val="clear" w:color="auto" w:fill="auto"/>
            <w:noWrap/>
            <w:vAlign w:val="bottom"/>
            <w:hideMark/>
          </w:tcPr>
          <w:p>
            <w:pPr>
              <w:spacing w:before="0" w:after="0"/>
              <w:jc w:val="right"/>
              <w:rPr>
                <w:rFonts w:ascii="Calibri" w:hAnsi="Calibri"/>
                <w:b/>
                <w:bCs/>
                <w:noProof/>
                <w:color w:val="000000"/>
                <w:sz w:val="22"/>
              </w:rPr>
            </w:pPr>
            <w:r>
              <w:rPr>
                <w:rFonts w:ascii="Calibri" w:hAnsi="Calibri"/>
                <w:b/>
                <w:bCs/>
                <w:noProof/>
                <w:color w:val="000000"/>
                <w:sz w:val="22"/>
              </w:rPr>
              <w:t>11,0</w:t>
            </w:r>
          </w:p>
        </w:tc>
        <w:tc>
          <w:tcPr>
            <w:tcW w:w="705" w:type="dxa"/>
            <w:tcBorders>
              <w:top w:val="nil"/>
              <w:left w:val="nil"/>
              <w:bottom w:val="nil"/>
              <w:right w:val="nil"/>
            </w:tcBorders>
            <w:shd w:val="clear" w:color="auto" w:fill="auto"/>
            <w:noWrap/>
            <w:vAlign w:val="bottom"/>
            <w:hideMark/>
          </w:tcPr>
          <w:p>
            <w:pPr>
              <w:spacing w:before="0" w:after="0"/>
              <w:jc w:val="right"/>
              <w:rPr>
                <w:rFonts w:ascii="Calibri" w:hAnsi="Calibri"/>
                <w:b/>
                <w:bCs/>
                <w:noProof/>
                <w:color w:val="000000"/>
                <w:sz w:val="22"/>
              </w:rPr>
            </w:pPr>
            <w:r>
              <w:rPr>
                <w:rFonts w:ascii="Calibri" w:hAnsi="Calibri"/>
                <w:b/>
                <w:bCs/>
                <w:noProof/>
                <w:color w:val="000000"/>
                <w:sz w:val="22"/>
              </w:rPr>
              <w:t>11,0</w:t>
            </w:r>
          </w:p>
        </w:tc>
        <w:tc>
          <w:tcPr>
            <w:tcW w:w="705" w:type="dxa"/>
            <w:tcBorders>
              <w:top w:val="nil"/>
              <w:left w:val="nil"/>
              <w:bottom w:val="nil"/>
              <w:right w:val="nil"/>
            </w:tcBorders>
            <w:shd w:val="clear" w:color="auto" w:fill="auto"/>
            <w:noWrap/>
            <w:vAlign w:val="bottom"/>
            <w:hideMark/>
          </w:tcPr>
          <w:p>
            <w:pPr>
              <w:spacing w:before="0" w:after="0"/>
              <w:jc w:val="right"/>
              <w:rPr>
                <w:rFonts w:ascii="Calibri" w:hAnsi="Calibri"/>
                <w:b/>
                <w:bCs/>
                <w:noProof/>
                <w:color w:val="000000"/>
                <w:sz w:val="22"/>
              </w:rPr>
            </w:pPr>
            <w:r>
              <w:rPr>
                <w:rFonts w:ascii="Calibri" w:hAnsi="Calibri"/>
                <w:b/>
                <w:bCs/>
                <w:noProof/>
                <w:color w:val="000000"/>
                <w:sz w:val="22"/>
              </w:rPr>
              <w:t>11,0</w:t>
            </w:r>
          </w:p>
        </w:tc>
        <w:tc>
          <w:tcPr>
            <w:tcW w:w="706" w:type="dxa"/>
            <w:tcBorders>
              <w:top w:val="nil"/>
              <w:left w:val="nil"/>
              <w:bottom w:val="nil"/>
              <w:right w:val="nil"/>
            </w:tcBorders>
            <w:shd w:val="clear" w:color="auto" w:fill="auto"/>
            <w:noWrap/>
            <w:vAlign w:val="bottom"/>
            <w:hideMark/>
          </w:tcPr>
          <w:p>
            <w:pPr>
              <w:spacing w:before="0" w:after="0"/>
              <w:jc w:val="right"/>
              <w:rPr>
                <w:rFonts w:ascii="Calibri" w:hAnsi="Calibri"/>
                <w:b/>
                <w:bCs/>
                <w:noProof/>
                <w:color w:val="000000"/>
                <w:sz w:val="22"/>
              </w:rPr>
            </w:pPr>
            <w:r>
              <w:rPr>
                <w:rFonts w:ascii="Calibri" w:hAnsi="Calibri"/>
                <w:b/>
                <w:bCs/>
                <w:noProof/>
                <w:color w:val="000000"/>
                <w:sz w:val="22"/>
              </w:rPr>
              <w:t>11,0</w:t>
            </w:r>
          </w:p>
        </w:tc>
        <w:tc>
          <w:tcPr>
            <w:tcW w:w="815" w:type="dxa"/>
            <w:tcBorders>
              <w:top w:val="nil"/>
              <w:left w:val="nil"/>
              <w:bottom w:val="nil"/>
              <w:right w:val="nil"/>
            </w:tcBorders>
            <w:shd w:val="clear" w:color="auto" w:fill="auto"/>
            <w:noWrap/>
            <w:vAlign w:val="bottom"/>
            <w:hideMark/>
          </w:tcPr>
          <w:p>
            <w:pPr>
              <w:spacing w:before="0" w:after="0"/>
              <w:jc w:val="right"/>
              <w:rPr>
                <w:rFonts w:ascii="Calibri" w:hAnsi="Calibri"/>
                <w:b/>
                <w:bCs/>
                <w:noProof/>
                <w:color w:val="000000"/>
                <w:sz w:val="22"/>
              </w:rPr>
            </w:pPr>
            <w:r>
              <w:rPr>
                <w:rFonts w:ascii="Calibri" w:hAnsi="Calibri"/>
                <w:b/>
                <w:bCs/>
                <w:noProof/>
                <w:color w:val="000000"/>
                <w:sz w:val="22"/>
              </w:rPr>
              <w:t>104,0</w:t>
            </w:r>
          </w:p>
        </w:tc>
      </w:tr>
    </w:tbl>
    <w:p>
      <w:pPr>
        <w:pStyle w:val="Text1"/>
        <w:ind w:left="0"/>
        <w:rPr>
          <w:noProof/>
        </w:rPr>
      </w:pPr>
    </w:p>
    <w:p>
      <w:pPr>
        <w:rPr>
          <w:noProof/>
        </w:rPr>
      </w:pPr>
    </w:p>
    <w:p>
      <w:pPr>
        <w:rPr>
          <w:noProof/>
        </w:rPr>
      </w:pPr>
      <w:r>
        <w:rPr>
          <w:noProof/>
        </w:rPr>
        <w:t>Additional ICT staff for Europol is envisaged to reinforce Europol information systems in order to accommodate the increased number of queries from ESP and ETIAS and later to maintain the systems 24/7.</w:t>
      </w:r>
    </w:p>
    <w:p>
      <w:pPr>
        <w:pStyle w:val="ListDash"/>
        <w:rPr>
          <w:noProof/>
        </w:rPr>
      </w:pPr>
      <w:r>
        <w:rPr>
          <w:noProof/>
        </w:rPr>
        <w:t xml:space="preserve">For the ESP implementation phase (in 2020 and 2021) there is an additional need for technical experts (architects, engineers, developers, testers). Reduced number of technical experts will be needed for the years 2022 onwards to implement the rest of interoperability components and maintain the systems. </w:t>
      </w:r>
    </w:p>
    <w:p>
      <w:pPr>
        <w:pStyle w:val="ListDash"/>
        <w:rPr>
          <w:noProof/>
        </w:rPr>
      </w:pPr>
      <w:r>
        <w:rPr>
          <w:noProof/>
        </w:rPr>
        <w:t xml:space="preserve">As from second half of 2021, 24/7 ICT system monitoring needs to be implemented to ensure service levels of ESP and ETIAS. This will be done by 2 contract agents, working in 4 shifts 24/7. </w:t>
      </w:r>
    </w:p>
    <w:p>
      <w:pPr>
        <w:pStyle w:val="ListDash"/>
        <w:rPr>
          <w:noProof/>
        </w:rPr>
      </w:pPr>
      <w:r>
        <w:rPr>
          <w:noProof/>
        </w:rPr>
        <w:t>To the extent possible, the profiles have been divided between temporary agents and contract agents. It has to be noted though that due to high security requirements, in several posts it is possible to use temporary agents only.  The request for Temporary Agents will take into account the results of the conciliation on the 2018 budget procedure.</w:t>
      </w:r>
    </w:p>
    <w:p>
      <w:pPr>
        <w:rPr>
          <w:noProof/>
        </w:rPr>
      </w:pPr>
    </w:p>
    <w:p>
      <w:pPr>
        <w:pStyle w:val="ManualHeading4"/>
        <w:rPr>
          <w:noProof/>
        </w:rPr>
      </w:pPr>
      <w:r>
        <w:t>3.2.3.3.</w:t>
      </w:r>
      <w:r>
        <w:tab/>
      </w:r>
      <w:r>
        <w:rPr>
          <w:noProof/>
        </w:rPr>
        <w:t>CEPOL summary</w:t>
      </w:r>
    </w:p>
    <w:p>
      <w:pPr>
        <w:rPr>
          <w:noProof/>
        </w:rPr>
      </w:pPr>
      <w:r>
        <w:rPr>
          <w:noProof/>
        </w:rPr>
        <w:sym w:font="Wingdings" w:char="F0A8"/>
      </w:r>
      <w:r>
        <w:rPr>
          <w:noProof/>
        </w:rPr>
        <w:tab/>
        <w:t xml:space="preserve">The proposal/initiative does not require the use of appropriations of an administrative nature </w:t>
      </w:r>
    </w:p>
    <w:p>
      <w:pPr>
        <w:rPr>
          <w:noProof/>
        </w:rPr>
      </w:pPr>
      <w:r>
        <w:rPr>
          <w:noProof/>
        </w:rPr>
        <w:sym w:font="Wingdings" w:char="F078"/>
      </w:r>
      <w:r>
        <w:rPr>
          <w:noProof/>
        </w:rPr>
        <w:tab/>
        <w:t>The proposal/initiative requires the use of appropriations of an administrative nature, as explained below:</w:t>
      </w:r>
    </w:p>
    <w:p>
      <w:pPr>
        <w:rPr>
          <w:noProof/>
          <w:sz w:val="20"/>
        </w:rPr>
      </w:pPr>
      <w:r>
        <w:rPr>
          <w:noProof/>
          <w:sz w:val="20"/>
        </w:rPr>
        <w:t>EUR million (to three decimal places)</w:t>
      </w:r>
    </w:p>
    <w:tbl>
      <w:tblPr>
        <w:tblW w:w="10360" w:type="dxa"/>
        <w:tblInd w:w="-61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1456"/>
        <w:gridCol w:w="752"/>
        <w:gridCol w:w="720"/>
        <w:gridCol w:w="720"/>
        <w:gridCol w:w="720"/>
        <w:gridCol w:w="720"/>
        <w:gridCol w:w="720"/>
        <w:gridCol w:w="720"/>
        <w:gridCol w:w="720"/>
        <w:gridCol w:w="840"/>
        <w:gridCol w:w="2272"/>
      </w:tblGrid>
      <w:tr>
        <w:trPr>
          <w:trHeight w:val="574"/>
        </w:trPr>
        <w:tc>
          <w:tcPr>
            <w:tcW w:w="1456" w:type="dxa"/>
          </w:tcPr>
          <w:p>
            <w:pPr>
              <w:spacing w:before="60" w:after="60"/>
              <w:rPr>
                <w:noProof/>
                <w:sz w:val="20"/>
              </w:rPr>
            </w:pPr>
          </w:p>
        </w:tc>
        <w:tc>
          <w:tcPr>
            <w:tcW w:w="752" w:type="dxa"/>
            <w:vAlign w:val="center"/>
          </w:tcPr>
          <w:p>
            <w:pPr>
              <w:spacing w:before="60" w:after="60"/>
              <w:jc w:val="center"/>
              <w:rPr>
                <w:noProof/>
                <w:sz w:val="20"/>
              </w:rPr>
            </w:pPr>
            <w:r>
              <w:rPr>
                <w:noProof/>
                <w:sz w:val="20"/>
              </w:rPr>
              <w:t>Year</w:t>
            </w:r>
            <w:r>
              <w:rPr>
                <w:noProof/>
                <w:sz w:val="22"/>
              </w:rPr>
              <w:br/>
            </w:r>
            <w:r>
              <w:rPr>
                <w:b/>
                <w:noProof/>
                <w:sz w:val="20"/>
              </w:rPr>
              <w:t>2019</w:t>
            </w:r>
          </w:p>
        </w:tc>
        <w:tc>
          <w:tcPr>
            <w:tcW w:w="720" w:type="dxa"/>
            <w:vAlign w:val="center"/>
          </w:tcPr>
          <w:p>
            <w:pPr>
              <w:spacing w:before="60" w:after="60"/>
              <w:jc w:val="center"/>
              <w:rPr>
                <w:noProof/>
                <w:sz w:val="20"/>
              </w:rPr>
            </w:pPr>
            <w:r>
              <w:rPr>
                <w:noProof/>
                <w:sz w:val="20"/>
              </w:rPr>
              <w:t>Year</w:t>
            </w:r>
            <w:r>
              <w:rPr>
                <w:noProof/>
                <w:sz w:val="22"/>
              </w:rPr>
              <w:br/>
            </w:r>
            <w:r>
              <w:rPr>
                <w:b/>
                <w:noProof/>
                <w:sz w:val="20"/>
              </w:rPr>
              <w:t>2020</w:t>
            </w:r>
          </w:p>
        </w:tc>
        <w:tc>
          <w:tcPr>
            <w:tcW w:w="720" w:type="dxa"/>
            <w:vAlign w:val="center"/>
          </w:tcPr>
          <w:p>
            <w:pPr>
              <w:spacing w:before="60" w:after="60"/>
              <w:jc w:val="center"/>
              <w:rPr>
                <w:noProof/>
                <w:sz w:val="20"/>
              </w:rPr>
            </w:pPr>
            <w:r>
              <w:rPr>
                <w:noProof/>
                <w:sz w:val="20"/>
              </w:rPr>
              <w:t>Year</w:t>
            </w:r>
            <w:r>
              <w:rPr>
                <w:noProof/>
                <w:sz w:val="22"/>
              </w:rPr>
              <w:br/>
            </w:r>
            <w:r>
              <w:rPr>
                <w:b/>
                <w:noProof/>
                <w:sz w:val="20"/>
              </w:rPr>
              <w:t>2021</w:t>
            </w:r>
          </w:p>
        </w:tc>
        <w:tc>
          <w:tcPr>
            <w:tcW w:w="720" w:type="dxa"/>
            <w:vAlign w:val="center"/>
          </w:tcPr>
          <w:p>
            <w:pPr>
              <w:spacing w:before="60" w:after="60"/>
              <w:jc w:val="center"/>
              <w:rPr>
                <w:noProof/>
                <w:sz w:val="20"/>
              </w:rPr>
            </w:pPr>
            <w:r>
              <w:rPr>
                <w:noProof/>
                <w:sz w:val="20"/>
              </w:rPr>
              <w:t>Year</w:t>
            </w:r>
            <w:r>
              <w:rPr>
                <w:noProof/>
                <w:sz w:val="22"/>
              </w:rPr>
              <w:br/>
            </w:r>
            <w:r>
              <w:rPr>
                <w:b/>
                <w:noProof/>
                <w:sz w:val="20"/>
              </w:rPr>
              <w:t>2022</w:t>
            </w:r>
          </w:p>
        </w:tc>
        <w:tc>
          <w:tcPr>
            <w:tcW w:w="720" w:type="dxa"/>
            <w:vAlign w:val="center"/>
          </w:tcPr>
          <w:p>
            <w:pPr>
              <w:jc w:val="center"/>
              <w:rPr>
                <w:b/>
                <w:noProof/>
                <w:sz w:val="20"/>
              </w:rPr>
            </w:pPr>
            <w:r>
              <w:rPr>
                <w:noProof/>
                <w:sz w:val="20"/>
              </w:rPr>
              <w:t>Year</w:t>
            </w:r>
            <w:r>
              <w:rPr>
                <w:noProof/>
                <w:sz w:val="22"/>
              </w:rPr>
              <w:br/>
            </w:r>
            <w:r>
              <w:rPr>
                <w:b/>
                <w:noProof/>
                <w:sz w:val="20"/>
              </w:rPr>
              <w:t>2023</w:t>
            </w:r>
          </w:p>
        </w:tc>
        <w:tc>
          <w:tcPr>
            <w:tcW w:w="720" w:type="dxa"/>
            <w:vAlign w:val="center"/>
          </w:tcPr>
          <w:p>
            <w:pPr>
              <w:jc w:val="center"/>
              <w:rPr>
                <w:b/>
                <w:noProof/>
                <w:sz w:val="20"/>
              </w:rPr>
            </w:pPr>
            <w:r>
              <w:rPr>
                <w:noProof/>
                <w:sz w:val="20"/>
              </w:rPr>
              <w:t>Year</w:t>
            </w:r>
            <w:r>
              <w:rPr>
                <w:noProof/>
                <w:sz w:val="22"/>
              </w:rPr>
              <w:br/>
            </w:r>
            <w:r>
              <w:rPr>
                <w:b/>
                <w:noProof/>
                <w:sz w:val="20"/>
              </w:rPr>
              <w:t>2024</w:t>
            </w:r>
          </w:p>
        </w:tc>
        <w:tc>
          <w:tcPr>
            <w:tcW w:w="720" w:type="dxa"/>
            <w:vAlign w:val="center"/>
          </w:tcPr>
          <w:p>
            <w:pPr>
              <w:jc w:val="center"/>
              <w:rPr>
                <w:b/>
                <w:noProof/>
                <w:sz w:val="20"/>
              </w:rPr>
            </w:pPr>
            <w:r>
              <w:rPr>
                <w:noProof/>
                <w:sz w:val="20"/>
              </w:rPr>
              <w:t>Year</w:t>
            </w:r>
            <w:r>
              <w:rPr>
                <w:noProof/>
                <w:sz w:val="22"/>
              </w:rPr>
              <w:br/>
            </w:r>
            <w:r>
              <w:rPr>
                <w:b/>
                <w:noProof/>
                <w:sz w:val="20"/>
              </w:rPr>
              <w:t>2025</w:t>
            </w:r>
          </w:p>
        </w:tc>
        <w:tc>
          <w:tcPr>
            <w:tcW w:w="720" w:type="dxa"/>
            <w:vAlign w:val="center"/>
          </w:tcPr>
          <w:p>
            <w:pPr>
              <w:spacing w:before="60" w:after="60"/>
              <w:jc w:val="center"/>
              <w:rPr>
                <w:b/>
                <w:noProof/>
                <w:sz w:val="20"/>
              </w:rPr>
            </w:pPr>
            <w:r>
              <w:rPr>
                <w:noProof/>
                <w:sz w:val="20"/>
              </w:rPr>
              <w:t>Year</w:t>
            </w:r>
            <w:r>
              <w:rPr>
                <w:noProof/>
                <w:sz w:val="22"/>
              </w:rPr>
              <w:br/>
            </w:r>
            <w:r>
              <w:rPr>
                <w:b/>
                <w:noProof/>
                <w:sz w:val="20"/>
              </w:rPr>
              <w:t>2026</w:t>
            </w:r>
          </w:p>
        </w:tc>
        <w:tc>
          <w:tcPr>
            <w:tcW w:w="840" w:type="dxa"/>
            <w:vAlign w:val="center"/>
          </w:tcPr>
          <w:p>
            <w:pPr>
              <w:spacing w:before="60" w:after="60"/>
              <w:jc w:val="center"/>
              <w:rPr>
                <w:b/>
                <w:noProof/>
                <w:sz w:val="20"/>
              </w:rPr>
            </w:pPr>
            <w:r>
              <w:rPr>
                <w:noProof/>
                <w:sz w:val="20"/>
              </w:rPr>
              <w:t>Year</w:t>
            </w:r>
            <w:r>
              <w:rPr>
                <w:noProof/>
                <w:sz w:val="22"/>
              </w:rPr>
              <w:br/>
            </w:r>
            <w:r>
              <w:rPr>
                <w:b/>
                <w:noProof/>
                <w:sz w:val="20"/>
              </w:rPr>
              <w:t>2027</w:t>
            </w:r>
          </w:p>
        </w:tc>
        <w:tc>
          <w:tcPr>
            <w:tcW w:w="2272" w:type="dxa"/>
            <w:vAlign w:val="center"/>
          </w:tcPr>
          <w:p>
            <w:pPr>
              <w:spacing w:before="60" w:after="60"/>
              <w:jc w:val="center"/>
              <w:rPr>
                <w:b/>
                <w:noProof/>
                <w:sz w:val="20"/>
              </w:rPr>
            </w:pPr>
            <w:r>
              <w:rPr>
                <w:b/>
                <w:noProof/>
                <w:sz w:val="20"/>
              </w:rPr>
              <w:t>TOTAL</w:t>
            </w:r>
          </w:p>
        </w:tc>
      </w:tr>
    </w:tbl>
    <w:p>
      <w:pPr>
        <w:rPr>
          <w:noProof/>
          <w:sz w:val="20"/>
        </w:rPr>
      </w:pPr>
    </w:p>
    <w:tbl>
      <w:tblPr>
        <w:tblW w:w="10327" w:type="dxa"/>
        <w:tblInd w:w="-61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1451"/>
        <w:gridCol w:w="759"/>
        <w:gridCol w:w="720"/>
        <w:gridCol w:w="720"/>
        <w:gridCol w:w="720"/>
        <w:gridCol w:w="720"/>
        <w:gridCol w:w="720"/>
        <w:gridCol w:w="720"/>
        <w:gridCol w:w="720"/>
        <w:gridCol w:w="840"/>
        <w:gridCol w:w="2237"/>
      </w:tblGrid>
      <w:tr>
        <w:trPr>
          <w:trHeight w:val="587"/>
        </w:trPr>
        <w:tc>
          <w:tcPr>
            <w:tcW w:w="1451" w:type="dxa"/>
            <w:shd w:val="clear" w:color="auto" w:fill="CCCCCC"/>
            <w:vAlign w:val="center"/>
          </w:tcPr>
          <w:p>
            <w:pPr>
              <w:spacing w:before="60" w:after="60"/>
              <w:jc w:val="center"/>
              <w:rPr>
                <w:noProof/>
              </w:rPr>
            </w:pPr>
            <w:r>
              <w:rPr>
                <w:noProof/>
                <w:sz w:val="18"/>
              </w:rPr>
              <w:t>Officials (AD Grades)</w:t>
            </w:r>
          </w:p>
        </w:tc>
        <w:tc>
          <w:tcPr>
            <w:tcW w:w="759" w:type="dxa"/>
            <w:vAlign w:val="center"/>
          </w:tcPr>
          <w:p>
            <w:pPr>
              <w:spacing w:before="60" w:after="60"/>
              <w:jc w:val="right"/>
              <w:rPr>
                <w:noProof/>
                <w:sz w:val="20"/>
              </w:rPr>
            </w:pPr>
          </w:p>
        </w:tc>
        <w:tc>
          <w:tcPr>
            <w:tcW w:w="720" w:type="dxa"/>
            <w:vAlign w:val="center"/>
          </w:tcPr>
          <w:p>
            <w:pPr>
              <w:spacing w:before="60" w:after="60"/>
              <w:jc w:val="right"/>
              <w:rPr>
                <w:noProof/>
                <w:sz w:val="20"/>
              </w:rPr>
            </w:pPr>
          </w:p>
        </w:tc>
        <w:tc>
          <w:tcPr>
            <w:tcW w:w="720" w:type="dxa"/>
            <w:vAlign w:val="center"/>
          </w:tcPr>
          <w:p>
            <w:pPr>
              <w:spacing w:before="60" w:after="60"/>
              <w:jc w:val="right"/>
              <w:rPr>
                <w:noProof/>
                <w:sz w:val="20"/>
              </w:rPr>
            </w:pPr>
          </w:p>
        </w:tc>
        <w:tc>
          <w:tcPr>
            <w:tcW w:w="720" w:type="dxa"/>
            <w:vAlign w:val="center"/>
          </w:tcPr>
          <w:p>
            <w:pPr>
              <w:spacing w:before="60" w:after="60"/>
              <w:jc w:val="right"/>
              <w:rPr>
                <w:noProof/>
                <w:sz w:val="20"/>
              </w:rPr>
            </w:pPr>
          </w:p>
        </w:tc>
        <w:tc>
          <w:tcPr>
            <w:tcW w:w="720" w:type="dxa"/>
            <w:vAlign w:val="center"/>
          </w:tcPr>
          <w:p>
            <w:pPr>
              <w:spacing w:before="60" w:after="60"/>
              <w:jc w:val="right"/>
              <w:rPr>
                <w:noProof/>
                <w:sz w:val="20"/>
              </w:rPr>
            </w:pPr>
          </w:p>
        </w:tc>
        <w:tc>
          <w:tcPr>
            <w:tcW w:w="720" w:type="dxa"/>
            <w:vAlign w:val="center"/>
          </w:tcPr>
          <w:p>
            <w:pPr>
              <w:spacing w:before="60" w:after="60"/>
              <w:jc w:val="right"/>
              <w:rPr>
                <w:noProof/>
                <w:sz w:val="20"/>
              </w:rPr>
            </w:pPr>
          </w:p>
        </w:tc>
        <w:tc>
          <w:tcPr>
            <w:tcW w:w="720" w:type="dxa"/>
            <w:vAlign w:val="center"/>
          </w:tcPr>
          <w:p>
            <w:pPr>
              <w:spacing w:before="60" w:after="60"/>
              <w:jc w:val="right"/>
              <w:rPr>
                <w:b/>
                <w:noProof/>
                <w:sz w:val="20"/>
              </w:rPr>
            </w:pPr>
          </w:p>
        </w:tc>
        <w:tc>
          <w:tcPr>
            <w:tcW w:w="720" w:type="dxa"/>
          </w:tcPr>
          <w:p>
            <w:pPr>
              <w:spacing w:before="60" w:after="60"/>
              <w:jc w:val="right"/>
              <w:rPr>
                <w:b/>
                <w:noProof/>
                <w:sz w:val="20"/>
              </w:rPr>
            </w:pPr>
          </w:p>
        </w:tc>
        <w:tc>
          <w:tcPr>
            <w:tcW w:w="840" w:type="dxa"/>
          </w:tcPr>
          <w:p>
            <w:pPr>
              <w:spacing w:before="60" w:after="60"/>
              <w:jc w:val="right"/>
              <w:rPr>
                <w:b/>
                <w:noProof/>
                <w:sz w:val="20"/>
              </w:rPr>
            </w:pPr>
          </w:p>
        </w:tc>
        <w:tc>
          <w:tcPr>
            <w:tcW w:w="2237" w:type="dxa"/>
            <w:vAlign w:val="center"/>
          </w:tcPr>
          <w:p>
            <w:pPr>
              <w:spacing w:before="60" w:after="60"/>
              <w:jc w:val="right"/>
              <w:rPr>
                <w:b/>
                <w:noProof/>
                <w:sz w:val="20"/>
              </w:rPr>
            </w:pPr>
          </w:p>
        </w:tc>
      </w:tr>
      <w:tr>
        <w:trPr>
          <w:trHeight w:val="587"/>
        </w:trPr>
        <w:tc>
          <w:tcPr>
            <w:tcW w:w="1451" w:type="dxa"/>
            <w:vAlign w:val="center"/>
          </w:tcPr>
          <w:p>
            <w:pPr>
              <w:spacing w:before="60" w:after="60"/>
              <w:ind w:left="72"/>
              <w:rPr>
                <w:noProof/>
              </w:rPr>
            </w:pPr>
            <w:r>
              <w:rPr>
                <w:noProof/>
                <w:sz w:val="20"/>
              </w:rPr>
              <w:t>Officials (AST grades)</w:t>
            </w:r>
          </w:p>
        </w:tc>
        <w:tc>
          <w:tcPr>
            <w:tcW w:w="759" w:type="dxa"/>
            <w:vAlign w:val="center"/>
          </w:tcPr>
          <w:p>
            <w:pPr>
              <w:spacing w:before="60" w:after="60"/>
              <w:jc w:val="right"/>
              <w:rPr>
                <w:noProof/>
                <w:sz w:val="20"/>
              </w:rPr>
            </w:pPr>
          </w:p>
        </w:tc>
        <w:tc>
          <w:tcPr>
            <w:tcW w:w="720" w:type="dxa"/>
            <w:vAlign w:val="center"/>
          </w:tcPr>
          <w:p>
            <w:pPr>
              <w:spacing w:before="60" w:after="60"/>
              <w:jc w:val="right"/>
              <w:rPr>
                <w:noProof/>
                <w:sz w:val="20"/>
              </w:rPr>
            </w:pPr>
          </w:p>
        </w:tc>
        <w:tc>
          <w:tcPr>
            <w:tcW w:w="720" w:type="dxa"/>
            <w:vAlign w:val="center"/>
          </w:tcPr>
          <w:p>
            <w:pPr>
              <w:spacing w:before="60" w:after="60"/>
              <w:jc w:val="right"/>
              <w:rPr>
                <w:noProof/>
                <w:sz w:val="20"/>
              </w:rPr>
            </w:pPr>
          </w:p>
        </w:tc>
        <w:tc>
          <w:tcPr>
            <w:tcW w:w="720" w:type="dxa"/>
            <w:vAlign w:val="center"/>
          </w:tcPr>
          <w:p>
            <w:pPr>
              <w:spacing w:before="60" w:after="60"/>
              <w:jc w:val="right"/>
              <w:rPr>
                <w:noProof/>
                <w:sz w:val="20"/>
              </w:rPr>
            </w:pPr>
          </w:p>
        </w:tc>
        <w:tc>
          <w:tcPr>
            <w:tcW w:w="720" w:type="dxa"/>
            <w:vAlign w:val="center"/>
          </w:tcPr>
          <w:p>
            <w:pPr>
              <w:spacing w:before="60" w:after="60"/>
              <w:jc w:val="right"/>
              <w:rPr>
                <w:noProof/>
                <w:sz w:val="20"/>
              </w:rPr>
            </w:pPr>
          </w:p>
        </w:tc>
        <w:tc>
          <w:tcPr>
            <w:tcW w:w="720" w:type="dxa"/>
            <w:vAlign w:val="center"/>
          </w:tcPr>
          <w:p>
            <w:pPr>
              <w:spacing w:before="60" w:after="60"/>
              <w:jc w:val="right"/>
              <w:rPr>
                <w:noProof/>
                <w:sz w:val="20"/>
              </w:rPr>
            </w:pPr>
          </w:p>
        </w:tc>
        <w:tc>
          <w:tcPr>
            <w:tcW w:w="720" w:type="dxa"/>
            <w:vAlign w:val="center"/>
          </w:tcPr>
          <w:p>
            <w:pPr>
              <w:spacing w:before="60" w:after="60"/>
              <w:jc w:val="right"/>
              <w:rPr>
                <w:b/>
                <w:noProof/>
                <w:sz w:val="20"/>
              </w:rPr>
            </w:pPr>
          </w:p>
        </w:tc>
        <w:tc>
          <w:tcPr>
            <w:tcW w:w="720" w:type="dxa"/>
          </w:tcPr>
          <w:p>
            <w:pPr>
              <w:spacing w:before="60" w:after="60"/>
              <w:jc w:val="right"/>
              <w:rPr>
                <w:b/>
                <w:noProof/>
                <w:sz w:val="20"/>
              </w:rPr>
            </w:pPr>
          </w:p>
        </w:tc>
        <w:tc>
          <w:tcPr>
            <w:tcW w:w="840" w:type="dxa"/>
          </w:tcPr>
          <w:p>
            <w:pPr>
              <w:spacing w:before="60" w:after="60"/>
              <w:jc w:val="right"/>
              <w:rPr>
                <w:b/>
                <w:noProof/>
                <w:sz w:val="20"/>
              </w:rPr>
            </w:pPr>
          </w:p>
        </w:tc>
        <w:tc>
          <w:tcPr>
            <w:tcW w:w="2237" w:type="dxa"/>
            <w:vAlign w:val="center"/>
          </w:tcPr>
          <w:p>
            <w:pPr>
              <w:spacing w:before="60" w:after="60"/>
              <w:jc w:val="right"/>
              <w:rPr>
                <w:b/>
                <w:noProof/>
                <w:sz w:val="20"/>
              </w:rPr>
            </w:pPr>
          </w:p>
        </w:tc>
      </w:tr>
      <w:tr>
        <w:trPr>
          <w:trHeight w:val="587"/>
        </w:trPr>
        <w:tc>
          <w:tcPr>
            <w:tcW w:w="1451" w:type="dxa"/>
            <w:vAlign w:val="center"/>
          </w:tcPr>
          <w:p>
            <w:pPr>
              <w:spacing w:before="60" w:after="60"/>
              <w:ind w:left="72"/>
              <w:rPr>
                <w:noProof/>
              </w:rPr>
            </w:pPr>
            <w:r>
              <w:rPr>
                <w:noProof/>
                <w:sz w:val="20"/>
              </w:rPr>
              <w:t>Contract staff</w:t>
            </w:r>
          </w:p>
        </w:tc>
        <w:tc>
          <w:tcPr>
            <w:tcW w:w="759" w:type="dxa"/>
          </w:tcPr>
          <w:p>
            <w:pPr>
              <w:spacing w:before="60" w:after="60"/>
              <w:jc w:val="right"/>
              <w:rPr>
                <w:noProof/>
                <w:sz w:val="20"/>
              </w:rPr>
            </w:pPr>
          </w:p>
        </w:tc>
        <w:tc>
          <w:tcPr>
            <w:tcW w:w="720" w:type="dxa"/>
          </w:tcPr>
          <w:p>
            <w:pPr>
              <w:spacing w:before="60" w:after="60"/>
              <w:jc w:val="right"/>
              <w:rPr>
                <w:noProof/>
                <w:sz w:val="20"/>
              </w:rPr>
            </w:pPr>
          </w:p>
        </w:tc>
        <w:tc>
          <w:tcPr>
            <w:tcW w:w="720" w:type="dxa"/>
          </w:tcPr>
          <w:p>
            <w:pPr>
              <w:spacing w:before="60" w:after="60"/>
              <w:jc w:val="right"/>
              <w:rPr>
                <w:noProof/>
                <w:sz w:val="22"/>
              </w:rPr>
            </w:pPr>
            <w:r>
              <w:rPr>
                <w:noProof/>
                <w:sz w:val="22"/>
              </w:rPr>
              <w:t>0,070</w:t>
            </w:r>
          </w:p>
        </w:tc>
        <w:tc>
          <w:tcPr>
            <w:tcW w:w="720" w:type="dxa"/>
          </w:tcPr>
          <w:p>
            <w:pPr>
              <w:spacing w:before="60" w:after="60"/>
              <w:jc w:val="right"/>
              <w:rPr>
                <w:noProof/>
                <w:sz w:val="22"/>
              </w:rPr>
            </w:pPr>
            <w:r>
              <w:rPr>
                <w:noProof/>
                <w:sz w:val="22"/>
              </w:rPr>
              <w:t>0,070</w:t>
            </w:r>
          </w:p>
        </w:tc>
        <w:tc>
          <w:tcPr>
            <w:tcW w:w="720" w:type="dxa"/>
          </w:tcPr>
          <w:p>
            <w:pPr>
              <w:spacing w:before="60" w:after="60"/>
              <w:jc w:val="right"/>
              <w:rPr>
                <w:noProof/>
                <w:sz w:val="22"/>
              </w:rPr>
            </w:pPr>
          </w:p>
        </w:tc>
        <w:tc>
          <w:tcPr>
            <w:tcW w:w="720" w:type="dxa"/>
          </w:tcPr>
          <w:p>
            <w:pPr>
              <w:spacing w:before="60" w:after="60"/>
              <w:jc w:val="right"/>
              <w:rPr>
                <w:noProof/>
                <w:sz w:val="20"/>
              </w:rPr>
            </w:pPr>
          </w:p>
        </w:tc>
        <w:tc>
          <w:tcPr>
            <w:tcW w:w="720" w:type="dxa"/>
          </w:tcPr>
          <w:p>
            <w:pPr>
              <w:spacing w:before="60" w:after="60"/>
              <w:jc w:val="right"/>
              <w:rPr>
                <w:noProof/>
                <w:sz w:val="20"/>
              </w:rPr>
            </w:pPr>
          </w:p>
        </w:tc>
        <w:tc>
          <w:tcPr>
            <w:tcW w:w="720" w:type="dxa"/>
          </w:tcPr>
          <w:p>
            <w:pPr>
              <w:spacing w:before="60" w:after="60"/>
              <w:jc w:val="center"/>
              <w:rPr>
                <w:noProof/>
                <w:sz w:val="20"/>
              </w:rPr>
            </w:pPr>
          </w:p>
        </w:tc>
        <w:tc>
          <w:tcPr>
            <w:tcW w:w="840" w:type="dxa"/>
          </w:tcPr>
          <w:p>
            <w:pPr>
              <w:spacing w:before="60" w:after="60"/>
              <w:jc w:val="center"/>
              <w:rPr>
                <w:noProof/>
                <w:sz w:val="20"/>
              </w:rPr>
            </w:pPr>
          </w:p>
        </w:tc>
        <w:tc>
          <w:tcPr>
            <w:tcW w:w="2237" w:type="dxa"/>
          </w:tcPr>
          <w:p>
            <w:pPr>
              <w:spacing w:before="60" w:after="60"/>
              <w:jc w:val="center"/>
              <w:rPr>
                <w:b/>
                <w:noProof/>
                <w:sz w:val="20"/>
              </w:rPr>
            </w:pPr>
            <w:r>
              <w:rPr>
                <w:b/>
                <w:noProof/>
                <w:sz w:val="22"/>
              </w:rPr>
              <w:t>0,140</w:t>
            </w:r>
          </w:p>
        </w:tc>
      </w:tr>
      <w:tr>
        <w:trPr>
          <w:trHeight w:val="587"/>
        </w:trPr>
        <w:tc>
          <w:tcPr>
            <w:tcW w:w="1451" w:type="dxa"/>
            <w:shd w:val="clear" w:color="auto" w:fill="CCCCCC"/>
            <w:vAlign w:val="center"/>
          </w:tcPr>
          <w:p>
            <w:pPr>
              <w:spacing w:before="60" w:after="60"/>
              <w:jc w:val="center"/>
              <w:rPr>
                <w:noProof/>
              </w:rPr>
            </w:pPr>
            <w:r>
              <w:rPr>
                <w:noProof/>
                <w:sz w:val="18"/>
              </w:rPr>
              <w:t xml:space="preserve">Temporary staff </w:t>
            </w:r>
          </w:p>
        </w:tc>
        <w:tc>
          <w:tcPr>
            <w:tcW w:w="759" w:type="dxa"/>
          </w:tcPr>
          <w:p>
            <w:pPr>
              <w:spacing w:before="60" w:after="60"/>
              <w:jc w:val="right"/>
              <w:rPr>
                <w:noProof/>
                <w:sz w:val="22"/>
              </w:rPr>
            </w:pPr>
          </w:p>
        </w:tc>
        <w:tc>
          <w:tcPr>
            <w:tcW w:w="720" w:type="dxa"/>
          </w:tcPr>
          <w:p>
            <w:pPr>
              <w:spacing w:before="60" w:after="60"/>
              <w:jc w:val="right"/>
              <w:rPr>
                <w:noProof/>
                <w:sz w:val="22"/>
              </w:rPr>
            </w:pPr>
            <w:r>
              <w:rPr>
                <w:noProof/>
                <w:sz w:val="22"/>
              </w:rPr>
              <w:t>0,104</w:t>
            </w:r>
          </w:p>
        </w:tc>
        <w:tc>
          <w:tcPr>
            <w:tcW w:w="720" w:type="dxa"/>
          </w:tcPr>
          <w:p>
            <w:pPr>
              <w:spacing w:before="60" w:after="60"/>
              <w:jc w:val="right"/>
              <w:rPr>
                <w:noProof/>
                <w:sz w:val="22"/>
              </w:rPr>
            </w:pPr>
            <w:r>
              <w:rPr>
                <w:noProof/>
                <w:sz w:val="22"/>
              </w:rPr>
              <w:t xml:space="preserve">0,138 </w:t>
            </w:r>
          </w:p>
        </w:tc>
        <w:tc>
          <w:tcPr>
            <w:tcW w:w="720" w:type="dxa"/>
          </w:tcPr>
          <w:p>
            <w:pPr>
              <w:spacing w:before="60" w:after="60"/>
              <w:jc w:val="right"/>
              <w:rPr>
                <w:noProof/>
                <w:sz w:val="22"/>
              </w:rPr>
            </w:pPr>
            <w:r>
              <w:rPr>
                <w:noProof/>
                <w:sz w:val="22"/>
              </w:rPr>
              <w:t xml:space="preserve">0,138 </w:t>
            </w:r>
          </w:p>
        </w:tc>
        <w:tc>
          <w:tcPr>
            <w:tcW w:w="720" w:type="dxa"/>
          </w:tcPr>
          <w:p>
            <w:pPr>
              <w:spacing w:before="60" w:after="60"/>
              <w:jc w:val="right"/>
              <w:rPr>
                <w:noProof/>
                <w:sz w:val="22"/>
              </w:rPr>
            </w:pPr>
            <w:r>
              <w:rPr>
                <w:noProof/>
                <w:sz w:val="22"/>
              </w:rPr>
              <w:t xml:space="preserve">0,138 </w:t>
            </w:r>
          </w:p>
        </w:tc>
        <w:tc>
          <w:tcPr>
            <w:tcW w:w="720" w:type="dxa"/>
          </w:tcPr>
          <w:p>
            <w:pPr>
              <w:spacing w:before="60" w:after="60"/>
              <w:jc w:val="right"/>
              <w:rPr>
                <w:noProof/>
                <w:sz w:val="22"/>
              </w:rPr>
            </w:pPr>
            <w:r>
              <w:rPr>
                <w:noProof/>
                <w:sz w:val="22"/>
              </w:rPr>
              <w:t xml:space="preserve">0,138 </w:t>
            </w:r>
          </w:p>
        </w:tc>
        <w:tc>
          <w:tcPr>
            <w:tcW w:w="720" w:type="dxa"/>
          </w:tcPr>
          <w:p>
            <w:pPr>
              <w:spacing w:before="60" w:after="60"/>
              <w:jc w:val="right"/>
              <w:rPr>
                <w:noProof/>
                <w:sz w:val="22"/>
              </w:rPr>
            </w:pPr>
            <w:r>
              <w:rPr>
                <w:noProof/>
                <w:sz w:val="22"/>
              </w:rPr>
              <w:t xml:space="preserve">0,138 </w:t>
            </w:r>
          </w:p>
        </w:tc>
        <w:tc>
          <w:tcPr>
            <w:tcW w:w="720" w:type="dxa"/>
          </w:tcPr>
          <w:p>
            <w:pPr>
              <w:spacing w:before="60" w:after="60"/>
              <w:jc w:val="right"/>
              <w:rPr>
                <w:noProof/>
                <w:sz w:val="22"/>
              </w:rPr>
            </w:pPr>
            <w:r>
              <w:rPr>
                <w:noProof/>
                <w:sz w:val="22"/>
              </w:rPr>
              <w:t xml:space="preserve">0,138 </w:t>
            </w:r>
          </w:p>
        </w:tc>
        <w:tc>
          <w:tcPr>
            <w:tcW w:w="840" w:type="dxa"/>
          </w:tcPr>
          <w:p>
            <w:pPr>
              <w:spacing w:before="60" w:after="60"/>
              <w:jc w:val="right"/>
              <w:rPr>
                <w:noProof/>
                <w:sz w:val="22"/>
              </w:rPr>
            </w:pPr>
            <w:r>
              <w:rPr>
                <w:noProof/>
                <w:sz w:val="22"/>
              </w:rPr>
              <w:t xml:space="preserve">0,138 </w:t>
            </w:r>
          </w:p>
        </w:tc>
        <w:tc>
          <w:tcPr>
            <w:tcW w:w="2237" w:type="dxa"/>
          </w:tcPr>
          <w:p>
            <w:pPr>
              <w:spacing w:before="60" w:after="60"/>
              <w:jc w:val="center"/>
              <w:rPr>
                <w:b/>
                <w:noProof/>
                <w:sz w:val="22"/>
              </w:rPr>
            </w:pPr>
            <w:r>
              <w:rPr>
                <w:noProof/>
                <w:sz w:val="22"/>
              </w:rPr>
              <w:t>1,070</w:t>
            </w:r>
          </w:p>
        </w:tc>
      </w:tr>
      <w:tr>
        <w:trPr>
          <w:trHeight w:val="587"/>
        </w:trPr>
        <w:tc>
          <w:tcPr>
            <w:tcW w:w="1451" w:type="dxa"/>
            <w:shd w:val="clear" w:color="auto" w:fill="CCCCCC"/>
            <w:vAlign w:val="center"/>
          </w:tcPr>
          <w:p>
            <w:pPr>
              <w:spacing w:before="60" w:after="60"/>
              <w:jc w:val="center"/>
              <w:rPr>
                <w:noProof/>
              </w:rPr>
            </w:pPr>
            <w:r>
              <w:rPr>
                <w:noProof/>
                <w:sz w:val="18"/>
              </w:rPr>
              <w:t>Seconded National Experts</w:t>
            </w:r>
          </w:p>
        </w:tc>
        <w:tc>
          <w:tcPr>
            <w:tcW w:w="759" w:type="dxa"/>
            <w:vAlign w:val="center"/>
          </w:tcPr>
          <w:p>
            <w:pPr>
              <w:spacing w:before="60" w:after="60"/>
              <w:jc w:val="right"/>
              <w:rPr>
                <w:noProof/>
                <w:sz w:val="20"/>
              </w:rPr>
            </w:pPr>
          </w:p>
        </w:tc>
        <w:tc>
          <w:tcPr>
            <w:tcW w:w="720" w:type="dxa"/>
            <w:vAlign w:val="center"/>
          </w:tcPr>
          <w:p>
            <w:pPr>
              <w:spacing w:before="60" w:after="60"/>
              <w:jc w:val="right"/>
              <w:rPr>
                <w:noProof/>
                <w:sz w:val="20"/>
              </w:rPr>
            </w:pPr>
          </w:p>
        </w:tc>
        <w:tc>
          <w:tcPr>
            <w:tcW w:w="720" w:type="dxa"/>
            <w:vAlign w:val="center"/>
          </w:tcPr>
          <w:p>
            <w:pPr>
              <w:spacing w:before="60" w:after="60"/>
              <w:jc w:val="right"/>
              <w:rPr>
                <w:noProof/>
                <w:sz w:val="20"/>
              </w:rPr>
            </w:pPr>
          </w:p>
        </w:tc>
        <w:tc>
          <w:tcPr>
            <w:tcW w:w="720" w:type="dxa"/>
            <w:vAlign w:val="center"/>
          </w:tcPr>
          <w:p>
            <w:pPr>
              <w:spacing w:before="60" w:after="60"/>
              <w:jc w:val="right"/>
              <w:rPr>
                <w:noProof/>
                <w:sz w:val="20"/>
              </w:rPr>
            </w:pPr>
          </w:p>
        </w:tc>
        <w:tc>
          <w:tcPr>
            <w:tcW w:w="720" w:type="dxa"/>
            <w:vAlign w:val="center"/>
          </w:tcPr>
          <w:p>
            <w:pPr>
              <w:spacing w:before="60" w:after="60"/>
              <w:jc w:val="right"/>
              <w:rPr>
                <w:noProof/>
                <w:sz w:val="20"/>
              </w:rPr>
            </w:pPr>
          </w:p>
        </w:tc>
        <w:tc>
          <w:tcPr>
            <w:tcW w:w="720" w:type="dxa"/>
            <w:vAlign w:val="center"/>
          </w:tcPr>
          <w:p>
            <w:pPr>
              <w:spacing w:before="60" w:after="60"/>
              <w:jc w:val="right"/>
              <w:rPr>
                <w:noProof/>
                <w:sz w:val="20"/>
              </w:rPr>
            </w:pPr>
          </w:p>
        </w:tc>
        <w:tc>
          <w:tcPr>
            <w:tcW w:w="720" w:type="dxa"/>
            <w:vAlign w:val="center"/>
          </w:tcPr>
          <w:p>
            <w:pPr>
              <w:spacing w:before="60" w:after="60"/>
              <w:jc w:val="right"/>
              <w:rPr>
                <w:b/>
                <w:noProof/>
                <w:sz w:val="20"/>
              </w:rPr>
            </w:pPr>
          </w:p>
        </w:tc>
        <w:tc>
          <w:tcPr>
            <w:tcW w:w="720" w:type="dxa"/>
          </w:tcPr>
          <w:p>
            <w:pPr>
              <w:spacing w:before="60" w:after="60"/>
              <w:jc w:val="right"/>
              <w:rPr>
                <w:b/>
                <w:noProof/>
                <w:sz w:val="20"/>
              </w:rPr>
            </w:pPr>
          </w:p>
        </w:tc>
        <w:tc>
          <w:tcPr>
            <w:tcW w:w="840" w:type="dxa"/>
          </w:tcPr>
          <w:p>
            <w:pPr>
              <w:spacing w:before="60" w:after="60"/>
              <w:jc w:val="right"/>
              <w:rPr>
                <w:b/>
                <w:noProof/>
                <w:sz w:val="20"/>
              </w:rPr>
            </w:pPr>
          </w:p>
        </w:tc>
        <w:tc>
          <w:tcPr>
            <w:tcW w:w="2237" w:type="dxa"/>
            <w:vAlign w:val="center"/>
          </w:tcPr>
          <w:p>
            <w:pPr>
              <w:spacing w:before="60" w:after="60"/>
              <w:jc w:val="right"/>
              <w:rPr>
                <w:b/>
                <w:noProof/>
                <w:sz w:val="20"/>
              </w:rPr>
            </w:pPr>
          </w:p>
        </w:tc>
      </w:tr>
    </w:tbl>
    <w:p>
      <w:pPr>
        <w:rPr>
          <w:noProof/>
          <w:sz w:val="20"/>
        </w:rPr>
      </w:pPr>
    </w:p>
    <w:tbl>
      <w:tblPr>
        <w:tblW w:w="10301" w:type="dxa"/>
        <w:tblInd w:w="-612" w:type="dxa"/>
        <w:tblLayout w:type="fixed"/>
        <w:tblLook w:val="01E0" w:firstRow="1" w:lastRow="1" w:firstColumn="1" w:lastColumn="1" w:noHBand="0" w:noVBand="0"/>
      </w:tblPr>
      <w:tblGrid>
        <w:gridCol w:w="1448"/>
        <w:gridCol w:w="764"/>
        <w:gridCol w:w="720"/>
        <w:gridCol w:w="720"/>
        <w:gridCol w:w="720"/>
        <w:gridCol w:w="720"/>
        <w:gridCol w:w="720"/>
        <w:gridCol w:w="720"/>
        <w:gridCol w:w="720"/>
        <w:gridCol w:w="840"/>
        <w:gridCol w:w="2209"/>
      </w:tblGrid>
      <w:tr>
        <w:trPr>
          <w:trHeight w:val="575"/>
        </w:trPr>
        <w:tc>
          <w:tcPr>
            <w:tcW w:w="1448" w:type="dxa"/>
            <w:tcBorders>
              <w:top w:val="single" w:sz="12" w:space="0" w:color="auto"/>
              <w:left w:val="single" w:sz="12" w:space="0" w:color="auto"/>
              <w:bottom w:val="single" w:sz="12" w:space="0" w:color="auto"/>
              <w:right w:val="single" w:sz="2" w:space="0" w:color="auto"/>
            </w:tcBorders>
            <w:vAlign w:val="center"/>
          </w:tcPr>
          <w:p>
            <w:pPr>
              <w:spacing w:before="60" w:after="60"/>
              <w:jc w:val="center"/>
              <w:rPr>
                <w:noProof/>
                <w:sz w:val="20"/>
              </w:rPr>
            </w:pPr>
            <w:r>
              <w:rPr>
                <w:b/>
                <w:noProof/>
                <w:sz w:val="20"/>
              </w:rPr>
              <w:t>TOTAL</w:t>
            </w:r>
          </w:p>
        </w:tc>
        <w:tc>
          <w:tcPr>
            <w:tcW w:w="764" w:type="dxa"/>
            <w:tcBorders>
              <w:top w:val="single" w:sz="12" w:space="0" w:color="auto"/>
              <w:left w:val="single" w:sz="2" w:space="0" w:color="auto"/>
              <w:bottom w:val="single" w:sz="12" w:space="0" w:color="auto"/>
              <w:right w:val="single" w:sz="2" w:space="0" w:color="auto"/>
            </w:tcBorders>
          </w:tcPr>
          <w:p>
            <w:pPr>
              <w:spacing w:before="60" w:after="60"/>
              <w:jc w:val="right"/>
              <w:rPr>
                <w:b/>
                <w:noProof/>
                <w:sz w:val="22"/>
              </w:rPr>
            </w:pPr>
          </w:p>
        </w:tc>
        <w:tc>
          <w:tcPr>
            <w:tcW w:w="720" w:type="dxa"/>
            <w:tcBorders>
              <w:top w:val="single" w:sz="12" w:space="0" w:color="auto"/>
              <w:left w:val="single" w:sz="2" w:space="0" w:color="auto"/>
              <w:bottom w:val="single" w:sz="12" w:space="0" w:color="auto"/>
              <w:right w:val="single" w:sz="2" w:space="0" w:color="auto"/>
            </w:tcBorders>
          </w:tcPr>
          <w:p>
            <w:pPr>
              <w:spacing w:before="60" w:after="60"/>
              <w:jc w:val="right"/>
              <w:rPr>
                <w:b/>
                <w:noProof/>
                <w:sz w:val="22"/>
              </w:rPr>
            </w:pPr>
            <w:r>
              <w:rPr>
                <w:b/>
                <w:noProof/>
                <w:sz w:val="22"/>
              </w:rPr>
              <w:t>0,104</w:t>
            </w:r>
          </w:p>
        </w:tc>
        <w:tc>
          <w:tcPr>
            <w:tcW w:w="720" w:type="dxa"/>
            <w:tcBorders>
              <w:top w:val="single" w:sz="12" w:space="0" w:color="auto"/>
              <w:left w:val="single" w:sz="2" w:space="0" w:color="auto"/>
              <w:bottom w:val="single" w:sz="12" w:space="0" w:color="auto"/>
              <w:right w:val="single" w:sz="2" w:space="0" w:color="auto"/>
            </w:tcBorders>
          </w:tcPr>
          <w:p>
            <w:pPr>
              <w:spacing w:before="60" w:after="60"/>
              <w:jc w:val="right"/>
              <w:rPr>
                <w:b/>
                <w:noProof/>
                <w:sz w:val="22"/>
              </w:rPr>
            </w:pPr>
            <w:r>
              <w:rPr>
                <w:b/>
                <w:noProof/>
                <w:sz w:val="22"/>
              </w:rPr>
              <w:t>0,208</w:t>
            </w:r>
          </w:p>
        </w:tc>
        <w:tc>
          <w:tcPr>
            <w:tcW w:w="720" w:type="dxa"/>
            <w:tcBorders>
              <w:top w:val="single" w:sz="12" w:space="0" w:color="auto"/>
              <w:left w:val="single" w:sz="2" w:space="0" w:color="auto"/>
              <w:bottom w:val="single" w:sz="12" w:space="0" w:color="auto"/>
              <w:right w:val="single" w:sz="2" w:space="0" w:color="auto"/>
            </w:tcBorders>
          </w:tcPr>
          <w:p>
            <w:pPr>
              <w:spacing w:before="60" w:after="60"/>
              <w:jc w:val="right"/>
              <w:rPr>
                <w:b/>
                <w:noProof/>
                <w:sz w:val="22"/>
              </w:rPr>
            </w:pPr>
            <w:r>
              <w:rPr>
                <w:b/>
                <w:noProof/>
                <w:sz w:val="22"/>
              </w:rPr>
              <w:t>0,208</w:t>
            </w:r>
          </w:p>
        </w:tc>
        <w:tc>
          <w:tcPr>
            <w:tcW w:w="720" w:type="dxa"/>
            <w:tcBorders>
              <w:top w:val="single" w:sz="12" w:space="0" w:color="auto"/>
              <w:left w:val="single" w:sz="2" w:space="0" w:color="auto"/>
              <w:bottom w:val="single" w:sz="12" w:space="0" w:color="auto"/>
              <w:right w:val="single" w:sz="2" w:space="0" w:color="auto"/>
            </w:tcBorders>
          </w:tcPr>
          <w:p>
            <w:pPr>
              <w:spacing w:before="60" w:after="60"/>
              <w:jc w:val="right"/>
              <w:rPr>
                <w:b/>
                <w:noProof/>
                <w:sz w:val="22"/>
              </w:rPr>
            </w:pPr>
            <w:r>
              <w:rPr>
                <w:b/>
                <w:noProof/>
                <w:sz w:val="22"/>
              </w:rPr>
              <w:t xml:space="preserve">0,138 </w:t>
            </w:r>
          </w:p>
        </w:tc>
        <w:tc>
          <w:tcPr>
            <w:tcW w:w="720" w:type="dxa"/>
            <w:tcBorders>
              <w:top w:val="single" w:sz="12" w:space="0" w:color="auto"/>
              <w:left w:val="single" w:sz="2" w:space="0" w:color="auto"/>
              <w:bottom w:val="single" w:sz="12" w:space="0" w:color="auto"/>
              <w:right w:val="single" w:sz="2" w:space="0" w:color="auto"/>
            </w:tcBorders>
          </w:tcPr>
          <w:p>
            <w:pPr>
              <w:spacing w:before="60" w:after="60"/>
              <w:jc w:val="right"/>
              <w:rPr>
                <w:b/>
                <w:noProof/>
                <w:sz w:val="22"/>
              </w:rPr>
            </w:pPr>
            <w:r>
              <w:rPr>
                <w:b/>
                <w:noProof/>
                <w:sz w:val="22"/>
              </w:rPr>
              <w:t xml:space="preserve">0,138 </w:t>
            </w:r>
          </w:p>
        </w:tc>
        <w:tc>
          <w:tcPr>
            <w:tcW w:w="720" w:type="dxa"/>
            <w:tcBorders>
              <w:top w:val="single" w:sz="12" w:space="0" w:color="auto"/>
              <w:left w:val="single" w:sz="2" w:space="0" w:color="auto"/>
              <w:bottom w:val="single" w:sz="12" w:space="0" w:color="auto"/>
              <w:right w:val="single" w:sz="2" w:space="0" w:color="auto"/>
            </w:tcBorders>
          </w:tcPr>
          <w:p>
            <w:pPr>
              <w:spacing w:before="60" w:after="60"/>
              <w:jc w:val="right"/>
              <w:rPr>
                <w:b/>
                <w:noProof/>
                <w:sz w:val="22"/>
              </w:rPr>
            </w:pPr>
            <w:r>
              <w:rPr>
                <w:b/>
                <w:noProof/>
                <w:sz w:val="22"/>
              </w:rPr>
              <w:t xml:space="preserve">0,138 </w:t>
            </w:r>
          </w:p>
        </w:tc>
        <w:tc>
          <w:tcPr>
            <w:tcW w:w="720" w:type="dxa"/>
            <w:tcBorders>
              <w:top w:val="single" w:sz="12" w:space="0" w:color="auto"/>
              <w:left w:val="single" w:sz="2" w:space="0" w:color="auto"/>
              <w:bottom w:val="single" w:sz="12" w:space="0" w:color="auto"/>
              <w:right w:val="single" w:sz="2" w:space="0" w:color="auto"/>
            </w:tcBorders>
          </w:tcPr>
          <w:p>
            <w:pPr>
              <w:spacing w:before="60" w:after="60"/>
              <w:jc w:val="right"/>
              <w:rPr>
                <w:b/>
                <w:noProof/>
                <w:sz w:val="22"/>
              </w:rPr>
            </w:pPr>
            <w:r>
              <w:rPr>
                <w:b/>
                <w:noProof/>
                <w:sz w:val="22"/>
              </w:rPr>
              <w:t xml:space="preserve">0,138 </w:t>
            </w:r>
          </w:p>
        </w:tc>
        <w:tc>
          <w:tcPr>
            <w:tcW w:w="840" w:type="dxa"/>
            <w:tcBorders>
              <w:top w:val="single" w:sz="12" w:space="0" w:color="auto"/>
              <w:left w:val="single" w:sz="2" w:space="0" w:color="auto"/>
              <w:bottom w:val="single" w:sz="12" w:space="0" w:color="auto"/>
              <w:right w:val="single" w:sz="2" w:space="0" w:color="auto"/>
            </w:tcBorders>
          </w:tcPr>
          <w:p>
            <w:pPr>
              <w:spacing w:before="60" w:after="60"/>
              <w:jc w:val="right"/>
              <w:rPr>
                <w:b/>
                <w:noProof/>
                <w:sz w:val="22"/>
              </w:rPr>
            </w:pPr>
            <w:r>
              <w:rPr>
                <w:b/>
                <w:noProof/>
                <w:sz w:val="22"/>
              </w:rPr>
              <w:t xml:space="preserve">0,138 </w:t>
            </w:r>
          </w:p>
        </w:tc>
        <w:tc>
          <w:tcPr>
            <w:tcW w:w="2209" w:type="dxa"/>
            <w:tcBorders>
              <w:top w:val="single" w:sz="12" w:space="0" w:color="auto"/>
              <w:left w:val="single" w:sz="2" w:space="0" w:color="auto"/>
              <w:bottom w:val="single" w:sz="12" w:space="0" w:color="auto"/>
              <w:right w:val="single" w:sz="12" w:space="0" w:color="auto"/>
            </w:tcBorders>
          </w:tcPr>
          <w:p>
            <w:pPr>
              <w:spacing w:before="60" w:after="60"/>
              <w:jc w:val="center"/>
              <w:rPr>
                <w:b/>
                <w:noProof/>
                <w:sz w:val="22"/>
              </w:rPr>
            </w:pPr>
            <w:r>
              <w:rPr>
                <w:b/>
                <w:noProof/>
                <w:sz w:val="22"/>
              </w:rPr>
              <w:t xml:space="preserve">1,210 </w:t>
            </w:r>
          </w:p>
        </w:tc>
      </w:tr>
    </w:tbl>
    <w:p>
      <w:pPr>
        <w:pStyle w:val="Text1"/>
        <w:rPr>
          <w:noProof/>
        </w:rPr>
      </w:pPr>
    </w:p>
    <w:p>
      <w:pPr>
        <w:pStyle w:val="Text1"/>
        <w:ind w:left="0"/>
        <w:rPr>
          <w:noProof/>
        </w:rPr>
      </w:pPr>
      <w:bookmarkStart w:id="294" w:name="_Toc498514178"/>
      <w:r>
        <w:rPr>
          <w:noProof/>
        </w:rPr>
        <w:t xml:space="preserve">Additional staff is required as the training for Member State trainers needs to be developed specifically in view of using the interoperability components in operational circumstances. </w:t>
      </w:r>
    </w:p>
    <w:p>
      <w:pPr>
        <w:pStyle w:val="Text1"/>
        <w:ind w:left="0"/>
        <w:rPr>
          <w:noProof/>
        </w:rPr>
      </w:pPr>
      <w:r>
        <w:rPr>
          <w:noProof/>
        </w:rPr>
        <w:t xml:space="preserve">- The development of curriculum and training modules should start at least 8 months before the system is operational. In the first two years after becoming operational, the training is at its most intense. However, it needs to be maintained for a longer period to ensure coherent implementation, based on the experience with the Schengen information system. </w:t>
      </w:r>
    </w:p>
    <w:p>
      <w:pPr>
        <w:pStyle w:val="Text1"/>
        <w:ind w:left="0"/>
        <w:rPr>
          <w:noProof/>
        </w:rPr>
      </w:pPr>
      <w:r>
        <w:rPr>
          <w:noProof/>
        </w:rPr>
        <w:t>- The additional staff is needed to prepare, coordinate and implement the curriculum, residential courses and online course. These courses can only be implemented in addition to CEPOL's existing training catalogue, and therefore additional staff are needed.</w:t>
      </w:r>
    </w:p>
    <w:p>
      <w:pPr>
        <w:pStyle w:val="Text1"/>
        <w:ind w:left="0"/>
        <w:rPr>
          <w:noProof/>
        </w:rPr>
      </w:pPr>
      <w:r>
        <w:rPr>
          <w:noProof/>
        </w:rPr>
        <w:t xml:space="preserve">- It is planned to have one course manager as temporary agent throughout the development and maintenance period who will be supported by one contract agent in the most intense training organisation period. </w:t>
      </w:r>
    </w:p>
    <w:p>
      <w:pPr>
        <w:pStyle w:val="Text1"/>
        <w:rPr>
          <w:noProof/>
        </w:rPr>
      </w:pPr>
    </w:p>
    <w:p>
      <w:pPr>
        <w:pStyle w:val="ManualHeading4"/>
        <w:rPr>
          <w:noProof/>
        </w:rPr>
      </w:pPr>
      <w:r>
        <w:t>3.2.3.4.</w:t>
      </w:r>
      <w:r>
        <w:tab/>
      </w:r>
      <w:r>
        <w:rPr>
          <w:noProof/>
        </w:rPr>
        <w:t>Eu-LISA summary</w:t>
      </w:r>
    </w:p>
    <w:p>
      <w:pPr>
        <w:rPr>
          <w:noProof/>
        </w:rPr>
      </w:pPr>
      <w:r>
        <w:rPr>
          <w:noProof/>
        </w:rPr>
        <w:sym w:font="Wingdings" w:char="F0A8"/>
      </w:r>
      <w:r>
        <w:rPr>
          <w:noProof/>
        </w:rPr>
        <w:tab/>
        <w:t xml:space="preserve">The proposal/initiative does not require the use of appropriations of an administrative nature </w:t>
      </w:r>
    </w:p>
    <w:p>
      <w:pPr>
        <w:rPr>
          <w:noProof/>
        </w:rPr>
      </w:pPr>
      <w:r>
        <w:rPr>
          <w:noProof/>
        </w:rPr>
        <w:sym w:font="Wingdings" w:char="F078"/>
      </w:r>
      <w:r>
        <w:rPr>
          <w:noProof/>
        </w:rPr>
        <w:tab/>
        <w:t>The proposal/initiative requires the use of appropriations of an administrative nature, as explained below:</w:t>
      </w:r>
    </w:p>
    <w:p>
      <w:pPr>
        <w:rPr>
          <w:noProof/>
          <w:sz w:val="20"/>
        </w:rPr>
      </w:pPr>
      <w:r>
        <w:rPr>
          <w:noProof/>
          <w:sz w:val="20"/>
        </w:rPr>
        <w:t>EUR million (to three decimal places)</w:t>
      </w:r>
    </w:p>
    <w:tbl>
      <w:tblPr>
        <w:tblW w:w="10360" w:type="dxa"/>
        <w:tblInd w:w="-61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1456"/>
        <w:gridCol w:w="752"/>
        <w:gridCol w:w="720"/>
        <w:gridCol w:w="720"/>
        <w:gridCol w:w="720"/>
        <w:gridCol w:w="720"/>
        <w:gridCol w:w="720"/>
        <w:gridCol w:w="720"/>
        <w:gridCol w:w="720"/>
        <w:gridCol w:w="840"/>
        <w:gridCol w:w="2272"/>
      </w:tblGrid>
      <w:tr>
        <w:trPr>
          <w:trHeight w:val="574"/>
        </w:trPr>
        <w:tc>
          <w:tcPr>
            <w:tcW w:w="1456" w:type="dxa"/>
          </w:tcPr>
          <w:p>
            <w:pPr>
              <w:spacing w:before="60" w:after="60"/>
              <w:rPr>
                <w:noProof/>
                <w:sz w:val="20"/>
              </w:rPr>
            </w:pPr>
          </w:p>
        </w:tc>
        <w:tc>
          <w:tcPr>
            <w:tcW w:w="752" w:type="dxa"/>
            <w:vAlign w:val="center"/>
          </w:tcPr>
          <w:p>
            <w:pPr>
              <w:spacing w:before="60" w:after="60"/>
              <w:jc w:val="center"/>
              <w:rPr>
                <w:noProof/>
                <w:sz w:val="20"/>
              </w:rPr>
            </w:pPr>
            <w:r>
              <w:rPr>
                <w:noProof/>
                <w:sz w:val="20"/>
              </w:rPr>
              <w:t>Year</w:t>
            </w:r>
            <w:r>
              <w:rPr>
                <w:noProof/>
                <w:sz w:val="22"/>
              </w:rPr>
              <w:br/>
            </w:r>
            <w:r>
              <w:rPr>
                <w:b/>
                <w:noProof/>
                <w:sz w:val="20"/>
              </w:rPr>
              <w:t>2019</w:t>
            </w:r>
          </w:p>
        </w:tc>
        <w:tc>
          <w:tcPr>
            <w:tcW w:w="720" w:type="dxa"/>
            <w:vAlign w:val="center"/>
          </w:tcPr>
          <w:p>
            <w:pPr>
              <w:spacing w:before="60" w:after="60"/>
              <w:jc w:val="center"/>
              <w:rPr>
                <w:noProof/>
                <w:sz w:val="20"/>
              </w:rPr>
            </w:pPr>
            <w:r>
              <w:rPr>
                <w:noProof/>
                <w:sz w:val="20"/>
              </w:rPr>
              <w:t>Year</w:t>
            </w:r>
            <w:r>
              <w:rPr>
                <w:noProof/>
                <w:sz w:val="22"/>
              </w:rPr>
              <w:br/>
            </w:r>
            <w:r>
              <w:rPr>
                <w:b/>
                <w:noProof/>
                <w:sz w:val="20"/>
              </w:rPr>
              <w:t>2020</w:t>
            </w:r>
          </w:p>
        </w:tc>
        <w:tc>
          <w:tcPr>
            <w:tcW w:w="720" w:type="dxa"/>
            <w:vAlign w:val="center"/>
          </w:tcPr>
          <w:p>
            <w:pPr>
              <w:spacing w:before="60" w:after="60"/>
              <w:jc w:val="center"/>
              <w:rPr>
                <w:noProof/>
                <w:sz w:val="20"/>
              </w:rPr>
            </w:pPr>
            <w:r>
              <w:rPr>
                <w:noProof/>
                <w:sz w:val="20"/>
              </w:rPr>
              <w:t>Year</w:t>
            </w:r>
            <w:r>
              <w:rPr>
                <w:noProof/>
                <w:sz w:val="22"/>
              </w:rPr>
              <w:br/>
            </w:r>
            <w:r>
              <w:rPr>
                <w:b/>
                <w:noProof/>
                <w:sz w:val="20"/>
              </w:rPr>
              <w:t>2021</w:t>
            </w:r>
          </w:p>
        </w:tc>
        <w:tc>
          <w:tcPr>
            <w:tcW w:w="720" w:type="dxa"/>
            <w:vAlign w:val="center"/>
          </w:tcPr>
          <w:p>
            <w:pPr>
              <w:spacing w:before="60" w:after="60"/>
              <w:jc w:val="center"/>
              <w:rPr>
                <w:noProof/>
                <w:sz w:val="20"/>
              </w:rPr>
            </w:pPr>
            <w:r>
              <w:rPr>
                <w:noProof/>
                <w:sz w:val="20"/>
              </w:rPr>
              <w:t>Year</w:t>
            </w:r>
            <w:r>
              <w:rPr>
                <w:noProof/>
                <w:sz w:val="22"/>
              </w:rPr>
              <w:br/>
            </w:r>
            <w:r>
              <w:rPr>
                <w:b/>
                <w:noProof/>
                <w:sz w:val="20"/>
              </w:rPr>
              <w:t>2022</w:t>
            </w:r>
          </w:p>
        </w:tc>
        <w:tc>
          <w:tcPr>
            <w:tcW w:w="720" w:type="dxa"/>
            <w:vAlign w:val="center"/>
          </w:tcPr>
          <w:p>
            <w:pPr>
              <w:jc w:val="center"/>
              <w:rPr>
                <w:b/>
                <w:noProof/>
                <w:sz w:val="20"/>
              </w:rPr>
            </w:pPr>
            <w:r>
              <w:rPr>
                <w:noProof/>
                <w:sz w:val="20"/>
              </w:rPr>
              <w:t>Year</w:t>
            </w:r>
            <w:r>
              <w:rPr>
                <w:noProof/>
                <w:sz w:val="22"/>
              </w:rPr>
              <w:br/>
            </w:r>
            <w:r>
              <w:rPr>
                <w:b/>
                <w:noProof/>
                <w:sz w:val="20"/>
              </w:rPr>
              <w:t>2023</w:t>
            </w:r>
          </w:p>
        </w:tc>
        <w:tc>
          <w:tcPr>
            <w:tcW w:w="720" w:type="dxa"/>
            <w:vAlign w:val="center"/>
          </w:tcPr>
          <w:p>
            <w:pPr>
              <w:jc w:val="center"/>
              <w:rPr>
                <w:b/>
                <w:noProof/>
                <w:sz w:val="20"/>
              </w:rPr>
            </w:pPr>
            <w:r>
              <w:rPr>
                <w:noProof/>
                <w:sz w:val="20"/>
              </w:rPr>
              <w:t>Year</w:t>
            </w:r>
            <w:r>
              <w:rPr>
                <w:noProof/>
                <w:sz w:val="22"/>
              </w:rPr>
              <w:br/>
            </w:r>
            <w:r>
              <w:rPr>
                <w:b/>
                <w:noProof/>
                <w:sz w:val="20"/>
              </w:rPr>
              <w:t>2024</w:t>
            </w:r>
          </w:p>
        </w:tc>
        <w:tc>
          <w:tcPr>
            <w:tcW w:w="720" w:type="dxa"/>
            <w:vAlign w:val="center"/>
          </w:tcPr>
          <w:p>
            <w:pPr>
              <w:jc w:val="center"/>
              <w:rPr>
                <w:b/>
                <w:noProof/>
                <w:sz w:val="20"/>
              </w:rPr>
            </w:pPr>
            <w:r>
              <w:rPr>
                <w:noProof/>
                <w:sz w:val="20"/>
              </w:rPr>
              <w:t>Year</w:t>
            </w:r>
            <w:r>
              <w:rPr>
                <w:noProof/>
                <w:sz w:val="22"/>
              </w:rPr>
              <w:br/>
            </w:r>
            <w:r>
              <w:rPr>
                <w:b/>
                <w:noProof/>
                <w:sz w:val="20"/>
              </w:rPr>
              <w:t>2025</w:t>
            </w:r>
          </w:p>
        </w:tc>
        <w:tc>
          <w:tcPr>
            <w:tcW w:w="720" w:type="dxa"/>
            <w:vAlign w:val="center"/>
          </w:tcPr>
          <w:p>
            <w:pPr>
              <w:spacing w:before="60" w:after="60"/>
              <w:jc w:val="center"/>
              <w:rPr>
                <w:b/>
                <w:noProof/>
                <w:sz w:val="20"/>
              </w:rPr>
            </w:pPr>
            <w:r>
              <w:rPr>
                <w:noProof/>
                <w:sz w:val="20"/>
              </w:rPr>
              <w:t>Year</w:t>
            </w:r>
            <w:r>
              <w:rPr>
                <w:noProof/>
                <w:sz w:val="22"/>
              </w:rPr>
              <w:br/>
            </w:r>
            <w:r>
              <w:rPr>
                <w:b/>
                <w:noProof/>
                <w:sz w:val="20"/>
              </w:rPr>
              <w:t>2026</w:t>
            </w:r>
          </w:p>
        </w:tc>
        <w:tc>
          <w:tcPr>
            <w:tcW w:w="840" w:type="dxa"/>
            <w:vAlign w:val="center"/>
          </w:tcPr>
          <w:p>
            <w:pPr>
              <w:spacing w:before="60" w:after="60"/>
              <w:jc w:val="center"/>
              <w:rPr>
                <w:b/>
                <w:noProof/>
                <w:sz w:val="20"/>
              </w:rPr>
            </w:pPr>
            <w:r>
              <w:rPr>
                <w:noProof/>
                <w:sz w:val="20"/>
              </w:rPr>
              <w:t>Year</w:t>
            </w:r>
            <w:r>
              <w:rPr>
                <w:noProof/>
                <w:sz w:val="22"/>
              </w:rPr>
              <w:br/>
            </w:r>
            <w:r>
              <w:rPr>
                <w:b/>
                <w:noProof/>
                <w:sz w:val="20"/>
              </w:rPr>
              <w:t>2027</w:t>
            </w:r>
          </w:p>
        </w:tc>
        <w:tc>
          <w:tcPr>
            <w:tcW w:w="2272" w:type="dxa"/>
            <w:vAlign w:val="center"/>
          </w:tcPr>
          <w:p>
            <w:pPr>
              <w:spacing w:before="60" w:after="60"/>
              <w:jc w:val="center"/>
              <w:rPr>
                <w:b/>
                <w:noProof/>
                <w:sz w:val="20"/>
              </w:rPr>
            </w:pPr>
            <w:r>
              <w:rPr>
                <w:b/>
                <w:noProof/>
                <w:sz w:val="20"/>
              </w:rPr>
              <w:t>TOTAL</w:t>
            </w:r>
          </w:p>
        </w:tc>
      </w:tr>
    </w:tbl>
    <w:p>
      <w:pPr>
        <w:rPr>
          <w:noProof/>
          <w:sz w:val="20"/>
        </w:rPr>
      </w:pPr>
    </w:p>
    <w:tbl>
      <w:tblPr>
        <w:tblW w:w="10327" w:type="dxa"/>
        <w:tblInd w:w="-61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1451"/>
        <w:gridCol w:w="759"/>
        <w:gridCol w:w="720"/>
        <w:gridCol w:w="720"/>
        <w:gridCol w:w="720"/>
        <w:gridCol w:w="720"/>
        <w:gridCol w:w="720"/>
        <w:gridCol w:w="720"/>
        <w:gridCol w:w="720"/>
        <w:gridCol w:w="840"/>
        <w:gridCol w:w="2237"/>
      </w:tblGrid>
      <w:tr>
        <w:trPr>
          <w:trHeight w:val="587"/>
        </w:trPr>
        <w:tc>
          <w:tcPr>
            <w:tcW w:w="1451" w:type="dxa"/>
            <w:shd w:val="clear" w:color="auto" w:fill="CCCCCC"/>
            <w:vAlign w:val="center"/>
          </w:tcPr>
          <w:p>
            <w:pPr>
              <w:spacing w:before="60" w:after="60"/>
              <w:jc w:val="center"/>
              <w:rPr>
                <w:noProof/>
              </w:rPr>
            </w:pPr>
            <w:r>
              <w:rPr>
                <w:noProof/>
                <w:sz w:val="18"/>
              </w:rPr>
              <w:t>Officials (AD Grades)</w:t>
            </w:r>
          </w:p>
        </w:tc>
        <w:tc>
          <w:tcPr>
            <w:tcW w:w="759" w:type="dxa"/>
            <w:vAlign w:val="center"/>
          </w:tcPr>
          <w:p>
            <w:pPr>
              <w:spacing w:before="60" w:after="60"/>
              <w:jc w:val="right"/>
              <w:rPr>
                <w:noProof/>
                <w:sz w:val="20"/>
              </w:rPr>
            </w:pPr>
          </w:p>
        </w:tc>
        <w:tc>
          <w:tcPr>
            <w:tcW w:w="720" w:type="dxa"/>
            <w:vAlign w:val="center"/>
          </w:tcPr>
          <w:p>
            <w:pPr>
              <w:spacing w:before="60" w:after="60"/>
              <w:jc w:val="right"/>
              <w:rPr>
                <w:noProof/>
                <w:sz w:val="20"/>
              </w:rPr>
            </w:pPr>
          </w:p>
        </w:tc>
        <w:tc>
          <w:tcPr>
            <w:tcW w:w="720" w:type="dxa"/>
            <w:vAlign w:val="center"/>
          </w:tcPr>
          <w:p>
            <w:pPr>
              <w:spacing w:before="60" w:after="60"/>
              <w:jc w:val="right"/>
              <w:rPr>
                <w:noProof/>
                <w:sz w:val="20"/>
              </w:rPr>
            </w:pPr>
          </w:p>
        </w:tc>
        <w:tc>
          <w:tcPr>
            <w:tcW w:w="720" w:type="dxa"/>
            <w:vAlign w:val="center"/>
          </w:tcPr>
          <w:p>
            <w:pPr>
              <w:spacing w:before="60" w:after="60"/>
              <w:jc w:val="right"/>
              <w:rPr>
                <w:noProof/>
                <w:sz w:val="20"/>
              </w:rPr>
            </w:pPr>
          </w:p>
        </w:tc>
        <w:tc>
          <w:tcPr>
            <w:tcW w:w="720" w:type="dxa"/>
            <w:vAlign w:val="center"/>
          </w:tcPr>
          <w:p>
            <w:pPr>
              <w:spacing w:before="60" w:after="60"/>
              <w:jc w:val="right"/>
              <w:rPr>
                <w:noProof/>
                <w:sz w:val="20"/>
              </w:rPr>
            </w:pPr>
          </w:p>
        </w:tc>
        <w:tc>
          <w:tcPr>
            <w:tcW w:w="720" w:type="dxa"/>
            <w:vAlign w:val="center"/>
          </w:tcPr>
          <w:p>
            <w:pPr>
              <w:spacing w:before="60" w:after="60"/>
              <w:jc w:val="right"/>
              <w:rPr>
                <w:noProof/>
                <w:sz w:val="20"/>
              </w:rPr>
            </w:pPr>
          </w:p>
        </w:tc>
        <w:tc>
          <w:tcPr>
            <w:tcW w:w="720" w:type="dxa"/>
            <w:vAlign w:val="center"/>
          </w:tcPr>
          <w:p>
            <w:pPr>
              <w:spacing w:before="60" w:after="60"/>
              <w:jc w:val="right"/>
              <w:rPr>
                <w:b/>
                <w:noProof/>
                <w:sz w:val="20"/>
              </w:rPr>
            </w:pPr>
          </w:p>
        </w:tc>
        <w:tc>
          <w:tcPr>
            <w:tcW w:w="720" w:type="dxa"/>
          </w:tcPr>
          <w:p>
            <w:pPr>
              <w:spacing w:before="60" w:after="60"/>
              <w:jc w:val="right"/>
              <w:rPr>
                <w:b/>
                <w:noProof/>
                <w:sz w:val="20"/>
              </w:rPr>
            </w:pPr>
          </w:p>
        </w:tc>
        <w:tc>
          <w:tcPr>
            <w:tcW w:w="840" w:type="dxa"/>
          </w:tcPr>
          <w:p>
            <w:pPr>
              <w:spacing w:before="60" w:after="60"/>
              <w:jc w:val="right"/>
              <w:rPr>
                <w:b/>
                <w:noProof/>
                <w:sz w:val="20"/>
              </w:rPr>
            </w:pPr>
          </w:p>
        </w:tc>
        <w:tc>
          <w:tcPr>
            <w:tcW w:w="2237" w:type="dxa"/>
            <w:vAlign w:val="center"/>
          </w:tcPr>
          <w:p>
            <w:pPr>
              <w:spacing w:before="60" w:after="60"/>
              <w:jc w:val="right"/>
              <w:rPr>
                <w:b/>
                <w:noProof/>
                <w:sz w:val="20"/>
              </w:rPr>
            </w:pPr>
          </w:p>
        </w:tc>
      </w:tr>
      <w:tr>
        <w:trPr>
          <w:trHeight w:val="587"/>
        </w:trPr>
        <w:tc>
          <w:tcPr>
            <w:tcW w:w="1451" w:type="dxa"/>
            <w:vAlign w:val="center"/>
          </w:tcPr>
          <w:p>
            <w:pPr>
              <w:spacing w:before="60" w:after="60"/>
              <w:ind w:left="72"/>
              <w:rPr>
                <w:noProof/>
              </w:rPr>
            </w:pPr>
            <w:r>
              <w:rPr>
                <w:noProof/>
                <w:sz w:val="20"/>
              </w:rPr>
              <w:t>Officials (AST grades)</w:t>
            </w:r>
          </w:p>
        </w:tc>
        <w:tc>
          <w:tcPr>
            <w:tcW w:w="759" w:type="dxa"/>
            <w:vAlign w:val="center"/>
          </w:tcPr>
          <w:p>
            <w:pPr>
              <w:spacing w:before="60" w:after="60"/>
              <w:jc w:val="right"/>
              <w:rPr>
                <w:noProof/>
                <w:sz w:val="20"/>
              </w:rPr>
            </w:pPr>
          </w:p>
        </w:tc>
        <w:tc>
          <w:tcPr>
            <w:tcW w:w="720" w:type="dxa"/>
            <w:vAlign w:val="center"/>
          </w:tcPr>
          <w:p>
            <w:pPr>
              <w:spacing w:before="60" w:after="60"/>
              <w:jc w:val="right"/>
              <w:rPr>
                <w:noProof/>
                <w:sz w:val="20"/>
              </w:rPr>
            </w:pPr>
          </w:p>
        </w:tc>
        <w:tc>
          <w:tcPr>
            <w:tcW w:w="720" w:type="dxa"/>
            <w:vAlign w:val="center"/>
          </w:tcPr>
          <w:p>
            <w:pPr>
              <w:spacing w:before="60" w:after="60"/>
              <w:jc w:val="right"/>
              <w:rPr>
                <w:noProof/>
                <w:sz w:val="20"/>
              </w:rPr>
            </w:pPr>
          </w:p>
        </w:tc>
        <w:tc>
          <w:tcPr>
            <w:tcW w:w="720" w:type="dxa"/>
            <w:vAlign w:val="center"/>
          </w:tcPr>
          <w:p>
            <w:pPr>
              <w:spacing w:before="60" w:after="60"/>
              <w:jc w:val="right"/>
              <w:rPr>
                <w:noProof/>
                <w:sz w:val="20"/>
              </w:rPr>
            </w:pPr>
          </w:p>
        </w:tc>
        <w:tc>
          <w:tcPr>
            <w:tcW w:w="720" w:type="dxa"/>
            <w:vAlign w:val="center"/>
          </w:tcPr>
          <w:p>
            <w:pPr>
              <w:spacing w:before="60" w:after="60"/>
              <w:jc w:val="right"/>
              <w:rPr>
                <w:noProof/>
                <w:sz w:val="20"/>
              </w:rPr>
            </w:pPr>
          </w:p>
        </w:tc>
        <w:tc>
          <w:tcPr>
            <w:tcW w:w="720" w:type="dxa"/>
            <w:vAlign w:val="center"/>
          </w:tcPr>
          <w:p>
            <w:pPr>
              <w:spacing w:before="60" w:after="60"/>
              <w:jc w:val="right"/>
              <w:rPr>
                <w:noProof/>
                <w:sz w:val="20"/>
              </w:rPr>
            </w:pPr>
          </w:p>
        </w:tc>
        <w:tc>
          <w:tcPr>
            <w:tcW w:w="720" w:type="dxa"/>
            <w:vAlign w:val="center"/>
          </w:tcPr>
          <w:p>
            <w:pPr>
              <w:spacing w:before="60" w:after="60"/>
              <w:jc w:val="right"/>
              <w:rPr>
                <w:b/>
                <w:noProof/>
                <w:sz w:val="20"/>
              </w:rPr>
            </w:pPr>
          </w:p>
        </w:tc>
        <w:tc>
          <w:tcPr>
            <w:tcW w:w="720" w:type="dxa"/>
          </w:tcPr>
          <w:p>
            <w:pPr>
              <w:spacing w:before="60" w:after="60"/>
              <w:jc w:val="right"/>
              <w:rPr>
                <w:b/>
                <w:noProof/>
                <w:sz w:val="20"/>
              </w:rPr>
            </w:pPr>
          </w:p>
        </w:tc>
        <w:tc>
          <w:tcPr>
            <w:tcW w:w="840" w:type="dxa"/>
          </w:tcPr>
          <w:p>
            <w:pPr>
              <w:spacing w:before="60" w:after="60"/>
              <w:jc w:val="right"/>
              <w:rPr>
                <w:b/>
                <w:noProof/>
                <w:sz w:val="20"/>
              </w:rPr>
            </w:pPr>
          </w:p>
        </w:tc>
        <w:tc>
          <w:tcPr>
            <w:tcW w:w="2237" w:type="dxa"/>
            <w:vAlign w:val="center"/>
          </w:tcPr>
          <w:p>
            <w:pPr>
              <w:spacing w:before="60" w:after="60"/>
              <w:jc w:val="right"/>
              <w:rPr>
                <w:b/>
                <w:noProof/>
                <w:sz w:val="20"/>
              </w:rPr>
            </w:pPr>
          </w:p>
        </w:tc>
      </w:tr>
      <w:tr>
        <w:trPr>
          <w:trHeight w:val="587"/>
        </w:trPr>
        <w:tc>
          <w:tcPr>
            <w:tcW w:w="1451" w:type="dxa"/>
            <w:vAlign w:val="center"/>
          </w:tcPr>
          <w:p>
            <w:pPr>
              <w:spacing w:before="60" w:after="60"/>
              <w:ind w:left="72"/>
              <w:rPr>
                <w:noProof/>
              </w:rPr>
            </w:pPr>
            <w:r>
              <w:rPr>
                <w:noProof/>
                <w:sz w:val="20"/>
              </w:rPr>
              <w:t>Contract staff</w:t>
            </w:r>
          </w:p>
        </w:tc>
        <w:tc>
          <w:tcPr>
            <w:tcW w:w="759" w:type="dxa"/>
          </w:tcPr>
          <w:p>
            <w:pPr>
              <w:jc w:val="right"/>
              <w:rPr>
                <w:noProof/>
                <w:sz w:val="22"/>
              </w:rPr>
            </w:pPr>
            <w:r>
              <w:rPr>
                <w:noProof/>
                <w:sz w:val="22"/>
              </w:rPr>
              <w:t>0,875</w:t>
            </w:r>
          </w:p>
        </w:tc>
        <w:tc>
          <w:tcPr>
            <w:tcW w:w="720" w:type="dxa"/>
          </w:tcPr>
          <w:p>
            <w:pPr>
              <w:jc w:val="right"/>
              <w:rPr>
                <w:noProof/>
                <w:sz w:val="22"/>
              </w:rPr>
            </w:pPr>
            <w:r>
              <w:rPr>
                <w:noProof/>
                <w:sz w:val="22"/>
              </w:rPr>
              <w:t>1,400</w:t>
            </w:r>
          </w:p>
        </w:tc>
        <w:tc>
          <w:tcPr>
            <w:tcW w:w="720" w:type="dxa"/>
          </w:tcPr>
          <w:p>
            <w:pPr>
              <w:jc w:val="right"/>
              <w:rPr>
                <w:noProof/>
                <w:sz w:val="22"/>
              </w:rPr>
            </w:pPr>
            <w:r>
              <w:rPr>
                <w:noProof/>
                <w:sz w:val="22"/>
              </w:rPr>
              <w:t>1,855</w:t>
            </w:r>
          </w:p>
        </w:tc>
        <w:tc>
          <w:tcPr>
            <w:tcW w:w="720" w:type="dxa"/>
          </w:tcPr>
          <w:p>
            <w:pPr>
              <w:jc w:val="right"/>
              <w:rPr>
                <w:noProof/>
                <w:sz w:val="22"/>
              </w:rPr>
            </w:pPr>
            <w:r>
              <w:rPr>
                <w:noProof/>
                <w:sz w:val="22"/>
              </w:rPr>
              <w:t>2,555</w:t>
            </w:r>
          </w:p>
        </w:tc>
        <w:tc>
          <w:tcPr>
            <w:tcW w:w="720" w:type="dxa"/>
          </w:tcPr>
          <w:p>
            <w:pPr>
              <w:jc w:val="right"/>
              <w:rPr>
                <w:noProof/>
                <w:sz w:val="22"/>
              </w:rPr>
            </w:pPr>
            <w:r>
              <w:rPr>
                <w:noProof/>
                <w:sz w:val="22"/>
              </w:rPr>
              <w:t>2,415</w:t>
            </w:r>
          </w:p>
        </w:tc>
        <w:tc>
          <w:tcPr>
            <w:tcW w:w="720" w:type="dxa"/>
          </w:tcPr>
          <w:p>
            <w:pPr>
              <w:jc w:val="right"/>
              <w:rPr>
                <w:noProof/>
                <w:sz w:val="22"/>
              </w:rPr>
            </w:pPr>
            <w:r>
              <w:rPr>
                <w:noProof/>
                <w:sz w:val="22"/>
              </w:rPr>
              <w:t>2,170</w:t>
            </w:r>
          </w:p>
        </w:tc>
        <w:tc>
          <w:tcPr>
            <w:tcW w:w="720" w:type="dxa"/>
          </w:tcPr>
          <w:p>
            <w:pPr>
              <w:jc w:val="right"/>
              <w:rPr>
                <w:noProof/>
                <w:sz w:val="22"/>
              </w:rPr>
            </w:pPr>
            <w:r>
              <w:rPr>
                <w:noProof/>
                <w:sz w:val="22"/>
              </w:rPr>
              <w:t>2,100</w:t>
            </w:r>
          </w:p>
        </w:tc>
        <w:tc>
          <w:tcPr>
            <w:tcW w:w="720" w:type="dxa"/>
          </w:tcPr>
          <w:p>
            <w:pPr>
              <w:jc w:val="right"/>
              <w:rPr>
                <w:noProof/>
                <w:sz w:val="22"/>
              </w:rPr>
            </w:pPr>
            <w:r>
              <w:rPr>
                <w:noProof/>
                <w:sz w:val="22"/>
              </w:rPr>
              <w:t>2,100</w:t>
            </w:r>
          </w:p>
        </w:tc>
        <w:tc>
          <w:tcPr>
            <w:tcW w:w="840" w:type="dxa"/>
          </w:tcPr>
          <w:p>
            <w:pPr>
              <w:jc w:val="right"/>
              <w:rPr>
                <w:noProof/>
                <w:sz w:val="22"/>
              </w:rPr>
            </w:pPr>
            <w:r>
              <w:rPr>
                <w:noProof/>
                <w:sz w:val="22"/>
              </w:rPr>
              <w:t>2,100</w:t>
            </w:r>
          </w:p>
        </w:tc>
        <w:tc>
          <w:tcPr>
            <w:tcW w:w="2237" w:type="dxa"/>
          </w:tcPr>
          <w:p>
            <w:pPr>
              <w:jc w:val="right"/>
              <w:rPr>
                <w:noProof/>
                <w:sz w:val="22"/>
              </w:rPr>
            </w:pPr>
            <w:r>
              <w:rPr>
                <w:noProof/>
                <w:sz w:val="22"/>
              </w:rPr>
              <w:t>17,570</w:t>
            </w:r>
          </w:p>
        </w:tc>
      </w:tr>
      <w:tr>
        <w:trPr>
          <w:trHeight w:val="587"/>
        </w:trPr>
        <w:tc>
          <w:tcPr>
            <w:tcW w:w="1451" w:type="dxa"/>
            <w:shd w:val="clear" w:color="auto" w:fill="CCCCCC"/>
            <w:vAlign w:val="center"/>
          </w:tcPr>
          <w:p>
            <w:pPr>
              <w:spacing w:before="60" w:after="60"/>
              <w:jc w:val="center"/>
              <w:rPr>
                <w:noProof/>
              </w:rPr>
            </w:pPr>
            <w:r>
              <w:rPr>
                <w:noProof/>
                <w:sz w:val="18"/>
              </w:rPr>
              <w:t xml:space="preserve">Temporary staff </w:t>
            </w:r>
          </w:p>
        </w:tc>
        <w:tc>
          <w:tcPr>
            <w:tcW w:w="759" w:type="dxa"/>
          </w:tcPr>
          <w:p>
            <w:pPr>
              <w:jc w:val="right"/>
              <w:rPr>
                <w:noProof/>
                <w:sz w:val="22"/>
              </w:rPr>
            </w:pPr>
            <w:r>
              <w:rPr>
                <w:noProof/>
                <w:sz w:val="22"/>
              </w:rPr>
              <w:t>2,001</w:t>
            </w:r>
          </w:p>
        </w:tc>
        <w:tc>
          <w:tcPr>
            <w:tcW w:w="720" w:type="dxa"/>
          </w:tcPr>
          <w:p>
            <w:pPr>
              <w:jc w:val="right"/>
              <w:rPr>
                <w:noProof/>
                <w:sz w:val="22"/>
              </w:rPr>
            </w:pPr>
            <w:r>
              <w:rPr>
                <w:noProof/>
                <w:sz w:val="22"/>
              </w:rPr>
              <w:t>3,450</w:t>
            </w:r>
          </w:p>
        </w:tc>
        <w:tc>
          <w:tcPr>
            <w:tcW w:w="720" w:type="dxa"/>
          </w:tcPr>
          <w:p>
            <w:pPr>
              <w:jc w:val="right"/>
              <w:rPr>
                <w:noProof/>
                <w:sz w:val="22"/>
              </w:rPr>
            </w:pPr>
            <w:r>
              <w:rPr>
                <w:noProof/>
                <w:sz w:val="22"/>
              </w:rPr>
              <w:t>4,347</w:t>
            </w:r>
          </w:p>
        </w:tc>
        <w:tc>
          <w:tcPr>
            <w:tcW w:w="720" w:type="dxa"/>
          </w:tcPr>
          <w:p>
            <w:pPr>
              <w:jc w:val="right"/>
              <w:rPr>
                <w:noProof/>
                <w:sz w:val="22"/>
              </w:rPr>
            </w:pPr>
            <w:r>
              <w:rPr>
                <w:noProof/>
                <w:sz w:val="22"/>
              </w:rPr>
              <w:t>4,347</w:t>
            </w:r>
          </w:p>
        </w:tc>
        <w:tc>
          <w:tcPr>
            <w:tcW w:w="720" w:type="dxa"/>
          </w:tcPr>
          <w:p>
            <w:pPr>
              <w:jc w:val="right"/>
              <w:rPr>
                <w:noProof/>
                <w:sz w:val="22"/>
              </w:rPr>
            </w:pPr>
            <w:r>
              <w:rPr>
                <w:noProof/>
                <w:sz w:val="22"/>
              </w:rPr>
              <w:t>4,209</w:t>
            </w:r>
          </w:p>
        </w:tc>
        <w:tc>
          <w:tcPr>
            <w:tcW w:w="720" w:type="dxa"/>
          </w:tcPr>
          <w:p>
            <w:pPr>
              <w:jc w:val="right"/>
              <w:rPr>
                <w:noProof/>
                <w:sz w:val="22"/>
              </w:rPr>
            </w:pPr>
            <w:r>
              <w:rPr>
                <w:noProof/>
                <w:sz w:val="22"/>
              </w:rPr>
              <w:t>3,312</w:t>
            </w:r>
          </w:p>
        </w:tc>
        <w:tc>
          <w:tcPr>
            <w:tcW w:w="720" w:type="dxa"/>
          </w:tcPr>
          <w:p>
            <w:pPr>
              <w:jc w:val="right"/>
              <w:rPr>
                <w:noProof/>
                <w:sz w:val="22"/>
              </w:rPr>
            </w:pPr>
            <w:r>
              <w:rPr>
                <w:noProof/>
                <w:sz w:val="22"/>
              </w:rPr>
              <w:t>3,036</w:t>
            </w:r>
          </w:p>
        </w:tc>
        <w:tc>
          <w:tcPr>
            <w:tcW w:w="720" w:type="dxa"/>
          </w:tcPr>
          <w:p>
            <w:pPr>
              <w:jc w:val="right"/>
              <w:rPr>
                <w:noProof/>
                <w:sz w:val="22"/>
              </w:rPr>
            </w:pPr>
            <w:r>
              <w:rPr>
                <w:noProof/>
                <w:sz w:val="22"/>
              </w:rPr>
              <w:t>3,036</w:t>
            </w:r>
          </w:p>
        </w:tc>
        <w:tc>
          <w:tcPr>
            <w:tcW w:w="840" w:type="dxa"/>
          </w:tcPr>
          <w:p>
            <w:pPr>
              <w:jc w:val="right"/>
              <w:rPr>
                <w:noProof/>
                <w:sz w:val="22"/>
              </w:rPr>
            </w:pPr>
            <w:r>
              <w:rPr>
                <w:noProof/>
                <w:sz w:val="22"/>
              </w:rPr>
              <w:t>3,036</w:t>
            </w:r>
          </w:p>
        </w:tc>
        <w:tc>
          <w:tcPr>
            <w:tcW w:w="2237" w:type="dxa"/>
          </w:tcPr>
          <w:p>
            <w:pPr>
              <w:jc w:val="right"/>
              <w:rPr>
                <w:noProof/>
                <w:sz w:val="22"/>
              </w:rPr>
            </w:pPr>
            <w:r>
              <w:rPr>
                <w:noProof/>
                <w:sz w:val="22"/>
              </w:rPr>
              <w:t>30,774</w:t>
            </w:r>
          </w:p>
        </w:tc>
      </w:tr>
      <w:tr>
        <w:trPr>
          <w:trHeight w:val="587"/>
        </w:trPr>
        <w:tc>
          <w:tcPr>
            <w:tcW w:w="1451" w:type="dxa"/>
            <w:shd w:val="clear" w:color="auto" w:fill="CCCCCC"/>
            <w:vAlign w:val="center"/>
          </w:tcPr>
          <w:p>
            <w:pPr>
              <w:spacing w:before="60" w:after="60"/>
              <w:jc w:val="center"/>
              <w:rPr>
                <w:noProof/>
              </w:rPr>
            </w:pPr>
            <w:r>
              <w:rPr>
                <w:noProof/>
                <w:sz w:val="18"/>
              </w:rPr>
              <w:t>Seconded National Experts</w:t>
            </w:r>
          </w:p>
        </w:tc>
        <w:tc>
          <w:tcPr>
            <w:tcW w:w="759" w:type="dxa"/>
            <w:vAlign w:val="center"/>
          </w:tcPr>
          <w:p>
            <w:pPr>
              <w:spacing w:before="60" w:after="60"/>
              <w:jc w:val="right"/>
              <w:rPr>
                <w:noProof/>
                <w:sz w:val="20"/>
              </w:rPr>
            </w:pPr>
          </w:p>
        </w:tc>
        <w:tc>
          <w:tcPr>
            <w:tcW w:w="720" w:type="dxa"/>
            <w:vAlign w:val="center"/>
          </w:tcPr>
          <w:p>
            <w:pPr>
              <w:spacing w:before="60" w:after="60"/>
              <w:jc w:val="right"/>
              <w:rPr>
                <w:noProof/>
                <w:sz w:val="20"/>
              </w:rPr>
            </w:pPr>
          </w:p>
        </w:tc>
        <w:tc>
          <w:tcPr>
            <w:tcW w:w="720" w:type="dxa"/>
            <w:vAlign w:val="center"/>
          </w:tcPr>
          <w:p>
            <w:pPr>
              <w:spacing w:before="60" w:after="60"/>
              <w:jc w:val="right"/>
              <w:rPr>
                <w:noProof/>
                <w:sz w:val="20"/>
              </w:rPr>
            </w:pPr>
          </w:p>
        </w:tc>
        <w:tc>
          <w:tcPr>
            <w:tcW w:w="720" w:type="dxa"/>
            <w:vAlign w:val="center"/>
          </w:tcPr>
          <w:p>
            <w:pPr>
              <w:spacing w:before="60" w:after="60"/>
              <w:jc w:val="right"/>
              <w:rPr>
                <w:noProof/>
                <w:sz w:val="20"/>
              </w:rPr>
            </w:pPr>
          </w:p>
        </w:tc>
        <w:tc>
          <w:tcPr>
            <w:tcW w:w="720" w:type="dxa"/>
            <w:vAlign w:val="center"/>
          </w:tcPr>
          <w:p>
            <w:pPr>
              <w:spacing w:before="60" w:after="60"/>
              <w:jc w:val="right"/>
              <w:rPr>
                <w:noProof/>
                <w:sz w:val="20"/>
              </w:rPr>
            </w:pPr>
          </w:p>
        </w:tc>
        <w:tc>
          <w:tcPr>
            <w:tcW w:w="720" w:type="dxa"/>
            <w:vAlign w:val="center"/>
          </w:tcPr>
          <w:p>
            <w:pPr>
              <w:spacing w:before="60" w:after="60"/>
              <w:jc w:val="right"/>
              <w:rPr>
                <w:noProof/>
                <w:sz w:val="20"/>
              </w:rPr>
            </w:pPr>
          </w:p>
        </w:tc>
        <w:tc>
          <w:tcPr>
            <w:tcW w:w="720" w:type="dxa"/>
            <w:vAlign w:val="center"/>
          </w:tcPr>
          <w:p>
            <w:pPr>
              <w:spacing w:before="60" w:after="60"/>
              <w:jc w:val="right"/>
              <w:rPr>
                <w:b/>
                <w:noProof/>
                <w:sz w:val="20"/>
              </w:rPr>
            </w:pPr>
          </w:p>
        </w:tc>
        <w:tc>
          <w:tcPr>
            <w:tcW w:w="720" w:type="dxa"/>
          </w:tcPr>
          <w:p>
            <w:pPr>
              <w:spacing w:before="60" w:after="60"/>
              <w:jc w:val="right"/>
              <w:rPr>
                <w:b/>
                <w:noProof/>
                <w:sz w:val="20"/>
              </w:rPr>
            </w:pPr>
          </w:p>
        </w:tc>
        <w:tc>
          <w:tcPr>
            <w:tcW w:w="840" w:type="dxa"/>
          </w:tcPr>
          <w:p>
            <w:pPr>
              <w:spacing w:before="60" w:after="60"/>
              <w:jc w:val="right"/>
              <w:rPr>
                <w:b/>
                <w:noProof/>
                <w:sz w:val="20"/>
              </w:rPr>
            </w:pPr>
          </w:p>
        </w:tc>
        <w:tc>
          <w:tcPr>
            <w:tcW w:w="2237" w:type="dxa"/>
            <w:vAlign w:val="center"/>
          </w:tcPr>
          <w:p>
            <w:pPr>
              <w:spacing w:before="60" w:after="60"/>
              <w:jc w:val="right"/>
              <w:rPr>
                <w:b/>
                <w:noProof/>
                <w:sz w:val="20"/>
              </w:rPr>
            </w:pPr>
          </w:p>
        </w:tc>
      </w:tr>
    </w:tbl>
    <w:p>
      <w:pPr>
        <w:rPr>
          <w:noProof/>
          <w:sz w:val="20"/>
        </w:rPr>
      </w:pPr>
    </w:p>
    <w:tbl>
      <w:tblPr>
        <w:tblW w:w="10301" w:type="dxa"/>
        <w:tblInd w:w="-612" w:type="dxa"/>
        <w:tblLayout w:type="fixed"/>
        <w:tblLook w:val="01E0" w:firstRow="1" w:lastRow="1" w:firstColumn="1" w:lastColumn="1" w:noHBand="0" w:noVBand="0"/>
      </w:tblPr>
      <w:tblGrid>
        <w:gridCol w:w="1448"/>
        <w:gridCol w:w="764"/>
        <w:gridCol w:w="720"/>
        <w:gridCol w:w="720"/>
        <w:gridCol w:w="720"/>
        <w:gridCol w:w="720"/>
        <w:gridCol w:w="720"/>
        <w:gridCol w:w="720"/>
        <w:gridCol w:w="720"/>
        <w:gridCol w:w="840"/>
        <w:gridCol w:w="2209"/>
      </w:tblGrid>
      <w:tr>
        <w:trPr>
          <w:trHeight w:val="575"/>
        </w:trPr>
        <w:tc>
          <w:tcPr>
            <w:tcW w:w="1448" w:type="dxa"/>
            <w:tcBorders>
              <w:top w:val="single" w:sz="12" w:space="0" w:color="auto"/>
              <w:left w:val="single" w:sz="12" w:space="0" w:color="auto"/>
              <w:bottom w:val="single" w:sz="12" w:space="0" w:color="auto"/>
              <w:right w:val="single" w:sz="2" w:space="0" w:color="auto"/>
            </w:tcBorders>
            <w:vAlign w:val="center"/>
          </w:tcPr>
          <w:p>
            <w:pPr>
              <w:spacing w:before="60" w:after="60"/>
              <w:jc w:val="center"/>
              <w:rPr>
                <w:noProof/>
                <w:sz w:val="20"/>
              </w:rPr>
            </w:pPr>
            <w:r>
              <w:rPr>
                <w:b/>
                <w:noProof/>
                <w:sz w:val="20"/>
              </w:rPr>
              <w:t>TOTAL</w:t>
            </w:r>
          </w:p>
        </w:tc>
        <w:tc>
          <w:tcPr>
            <w:tcW w:w="764" w:type="dxa"/>
            <w:tcBorders>
              <w:top w:val="single" w:sz="12" w:space="0" w:color="auto"/>
              <w:left w:val="single" w:sz="2" w:space="0" w:color="auto"/>
              <w:bottom w:val="single" w:sz="12" w:space="0" w:color="auto"/>
              <w:right w:val="single" w:sz="2" w:space="0" w:color="auto"/>
            </w:tcBorders>
          </w:tcPr>
          <w:p>
            <w:pPr>
              <w:jc w:val="right"/>
              <w:rPr>
                <w:b/>
                <w:noProof/>
                <w:sz w:val="22"/>
              </w:rPr>
            </w:pPr>
            <w:r>
              <w:rPr>
                <w:b/>
                <w:noProof/>
                <w:sz w:val="22"/>
              </w:rPr>
              <w:t>2,876</w:t>
            </w:r>
          </w:p>
        </w:tc>
        <w:tc>
          <w:tcPr>
            <w:tcW w:w="720" w:type="dxa"/>
            <w:tcBorders>
              <w:top w:val="single" w:sz="12" w:space="0" w:color="auto"/>
              <w:left w:val="single" w:sz="2" w:space="0" w:color="auto"/>
              <w:bottom w:val="single" w:sz="12" w:space="0" w:color="auto"/>
              <w:right w:val="single" w:sz="2" w:space="0" w:color="auto"/>
            </w:tcBorders>
          </w:tcPr>
          <w:p>
            <w:pPr>
              <w:jc w:val="right"/>
              <w:rPr>
                <w:b/>
                <w:noProof/>
                <w:sz w:val="22"/>
              </w:rPr>
            </w:pPr>
            <w:r>
              <w:rPr>
                <w:b/>
                <w:noProof/>
                <w:sz w:val="22"/>
              </w:rPr>
              <w:t>4,850</w:t>
            </w:r>
          </w:p>
        </w:tc>
        <w:tc>
          <w:tcPr>
            <w:tcW w:w="720" w:type="dxa"/>
            <w:tcBorders>
              <w:top w:val="single" w:sz="12" w:space="0" w:color="auto"/>
              <w:left w:val="single" w:sz="2" w:space="0" w:color="auto"/>
              <w:bottom w:val="single" w:sz="12" w:space="0" w:color="auto"/>
              <w:right w:val="single" w:sz="2" w:space="0" w:color="auto"/>
            </w:tcBorders>
          </w:tcPr>
          <w:p>
            <w:pPr>
              <w:jc w:val="right"/>
              <w:rPr>
                <w:b/>
                <w:noProof/>
                <w:sz w:val="22"/>
              </w:rPr>
            </w:pPr>
            <w:r>
              <w:rPr>
                <w:b/>
                <w:noProof/>
                <w:sz w:val="22"/>
              </w:rPr>
              <w:t>6,202</w:t>
            </w:r>
          </w:p>
        </w:tc>
        <w:tc>
          <w:tcPr>
            <w:tcW w:w="720" w:type="dxa"/>
            <w:tcBorders>
              <w:top w:val="single" w:sz="12" w:space="0" w:color="auto"/>
              <w:left w:val="single" w:sz="2" w:space="0" w:color="auto"/>
              <w:bottom w:val="single" w:sz="12" w:space="0" w:color="auto"/>
              <w:right w:val="single" w:sz="2" w:space="0" w:color="auto"/>
            </w:tcBorders>
          </w:tcPr>
          <w:p>
            <w:pPr>
              <w:jc w:val="right"/>
              <w:rPr>
                <w:b/>
                <w:noProof/>
                <w:sz w:val="22"/>
              </w:rPr>
            </w:pPr>
            <w:r>
              <w:rPr>
                <w:b/>
                <w:noProof/>
                <w:sz w:val="22"/>
              </w:rPr>
              <w:t>6,902</w:t>
            </w:r>
          </w:p>
        </w:tc>
        <w:tc>
          <w:tcPr>
            <w:tcW w:w="720" w:type="dxa"/>
            <w:tcBorders>
              <w:top w:val="single" w:sz="12" w:space="0" w:color="auto"/>
              <w:left w:val="single" w:sz="2" w:space="0" w:color="auto"/>
              <w:bottom w:val="single" w:sz="12" w:space="0" w:color="auto"/>
              <w:right w:val="single" w:sz="2" w:space="0" w:color="auto"/>
            </w:tcBorders>
          </w:tcPr>
          <w:p>
            <w:pPr>
              <w:jc w:val="right"/>
              <w:rPr>
                <w:b/>
                <w:noProof/>
                <w:sz w:val="22"/>
              </w:rPr>
            </w:pPr>
            <w:r>
              <w:rPr>
                <w:b/>
                <w:noProof/>
                <w:sz w:val="22"/>
              </w:rPr>
              <w:t>6,624</w:t>
            </w:r>
          </w:p>
        </w:tc>
        <w:tc>
          <w:tcPr>
            <w:tcW w:w="720" w:type="dxa"/>
            <w:tcBorders>
              <w:top w:val="single" w:sz="12" w:space="0" w:color="auto"/>
              <w:left w:val="single" w:sz="2" w:space="0" w:color="auto"/>
              <w:bottom w:val="single" w:sz="12" w:space="0" w:color="auto"/>
              <w:right w:val="single" w:sz="2" w:space="0" w:color="auto"/>
            </w:tcBorders>
          </w:tcPr>
          <w:p>
            <w:pPr>
              <w:jc w:val="right"/>
              <w:rPr>
                <w:b/>
                <w:noProof/>
                <w:sz w:val="22"/>
              </w:rPr>
            </w:pPr>
            <w:r>
              <w:rPr>
                <w:b/>
                <w:noProof/>
                <w:sz w:val="22"/>
              </w:rPr>
              <w:t>5,482</w:t>
            </w:r>
          </w:p>
        </w:tc>
        <w:tc>
          <w:tcPr>
            <w:tcW w:w="720" w:type="dxa"/>
            <w:tcBorders>
              <w:top w:val="single" w:sz="12" w:space="0" w:color="auto"/>
              <w:left w:val="single" w:sz="2" w:space="0" w:color="auto"/>
              <w:bottom w:val="single" w:sz="12" w:space="0" w:color="auto"/>
              <w:right w:val="single" w:sz="2" w:space="0" w:color="auto"/>
            </w:tcBorders>
          </w:tcPr>
          <w:p>
            <w:pPr>
              <w:jc w:val="right"/>
              <w:rPr>
                <w:b/>
                <w:noProof/>
                <w:sz w:val="22"/>
              </w:rPr>
            </w:pPr>
            <w:r>
              <w:rPr>
                <w:b/>
                <w:noProof/>
                <w:sz w:val="22"/>
              </w:rPr>
              <w:t>5,136</w:t>
            </w:r>
          </w:p>
        </w:tc>
        <w:tc>
          <w:tcPr>
            <w:tcW w:w="720" w:type="dxa"/>
            <w:tcBorders>
              <w:top w:val="single" w:sz="12" w:space="0" w:color="auto"/>
              <w:left w:val="single" w:sz="2" w:space="0" w:color="auto"/>
              <w:bottom w:val="single" w:sz="12" w:space="0" w:color="auto"/>
              <w:right w:val="single" w:sz="2" w:space="0" w:color="auto"/>
            </w:tcBorders>
          </w:tcPr>
          <w:p>
            <w:pPr>
              <w:jc w:val="right"/>
              <w:rPr>
                <w:b/>
                <w:noProof/>
                <w:sz w:val="22"/>
              </w:rPr>
            </w:pPr>
            <w:r>
              <w:rPr>
                <w:b/>
                <w:noProof/>
                <w:sz w:val="22"/>
              </w:rPr>
              <w:t>5,136</w:t>
            </w:r>
          </w:p>
        </w:tc>
        <w:tc>
          <w:tcPr>
            <w:tcW w:w="840" w:type="dxa"/>
            <w:tcBorders>
              <w:top w:val="single" w:sz="12" w:space="0" w:color="auto"/>
              <w:left w:val="single" w:sz="2" w:space="0" w:color="auto"/>
              <w:bottom w:val="single" w:sz="12" w:space="0" w:color="auto"/>
              <w:right w:val="single" w:sz="2" w:space="0" w:color="auto"/>
            </w:tcBorders>
          </w:tcPr>
          <w:p>
            <w:pPr>
              <w:jc w:val="right"/>
              <w:rPr>
                <w:b/>
                <w:noProof/>
                <w:sz w:val="22"/>
              </w:rPr>
            </w:pPr>
            <w:r>
              <w:rPr>
                <w:b/>
                <w:noProof/>
                <w:sz w:val="22"/>
              </w:rPr>
              <w:t>5,136</w:t>
            </w:r>
          </w:p>
        </w:tc>
        <w:tc>
          <w:tcPr>
            <w:tcW w:w="2209" w:type="dxa"/>
            <w:tcBorders>
              <w:top w:val="single" w:sz="12" w:space="0" w:color="auto"/>
              <w:left w:val="single" w:sz="2" w:space="0" w:color="auto"/>
              <w:bottom w:val="single" w:sz="12" w:space="0" w:color="auto"/>
              <w:right w:val="single" w:sz="12" w:space="0" w:color="auto"/>
            </w:tcBorders>
          </w:tcPr>
          <w:p>
            <w:pPr>
              <w:jc w:val="right"/>
              <w:rPr>
                <w:b/>
                <w:noProof/>
                <w:sz w:val="22"/>
              </w:rPr>
            </w:pPr>
            <w:r>
              <w:rPr>
                <w:b/>
                <w:noProof/>
                <w:sz w:val="22"/>
              </w:rPr>
              <w:t>48,344</w:t>
            </w:r>
          </w:p>
        </w:tc>
      </w:tr>
    </w:tbl>
    <w:p>
      <w:pPr>
        <w:pStyle w:val="Text1"/>
        <w:ind w:left="0"/>
        <w:rPr>
          <w:noProof/>
        </w:rPr>
      </w:pPr>
    </w:p>
    <w:p>
      <w:pPr>
        <w:pStyle w:val="ListDash"/>
        <w:rPr>
          <w:noProof/>
        </w:rPr>
      </w:pPr>
      <w:r>
        <w:rPr>
          <w:noProof/>
        </w:rPr>
        <w:t>The staff requirements take into account that the four components and the CRRS constitute a portfolio of projects with dependencies (i.e. a programme). To manage the dependencies between projects, a programme management team is created comprising the programme and project managers and the profiles (often referred to as architects) that need to define the common elements between them. The programme/project realisation also requires profiles for programme and project support.</w:t>
      </w:r>
    </w:p>
    <w:p>
      <w:pPr>
        <w:pStyle w:val="ListDash"/>
        <w:rPr>
          <w:noProof/>
        </w:rPr>
      </w:pPr>
      <w:r>
        <w:rPr>
          <w:noProof/>
        </w:rPr>
        <w:t>The staff requirements per project have been estimated by analogy with previous projects (Visa Information System) and distinguishing the project completion phase and the operational phase.</w:t>
      </w:r>
    </w:p>
    <w:p>
      <w:pPr>
        <w:pStyle w:val="ListDash"/>
        <w:rPr>
          <w:noProof/>
        </w:rPr>
      </w:pPr>
      <w:r>
        <w:rPr>
          <w:noProof/>
        </w:rPr>
        <w:t>The profiles that need to stay on during the operations phase are recruited as temporary agents. The profiles required during programme/project execution are recruited as contract agents. To ensure the expected continuity of tasks and for keeping knowledge within the Agency, the number of posts is spread almost 50/50 over temporary agents and contract agents.</w:t>
      </w:r>
    </w:p>
    <w:p>
      <w:pPr>
        <w:pStyle w:val="ListDash"/>
        <w:rPr>
          <w:noProof/>
        </w:rPr>
      </w:pPr>
      <w:r>
        <w:rPr>
          <w:noProof/>
        </w:rPr>
        <w:t>The assumption is made that there would be no additional staff required to undertake the ECRIS-TCN high availability project and that eu-LISA project staffing is done re-using existing staff from projects that come to completion in that period of time.</w:t>
      </w:r>
    </w:p>
    <w:p>
      <w:pPr>
        <w:pStyle w:val="Text1"/>
        <w:ind w:left="0"/>
        <w:rPr>
          <w:noProof/>
        </w:rPr>
      </w:pPr>
    </w:p>
    <w:p>
      <w:pPr>
        <w:pStyle w:val="Text1"/>
        <w:ind w:left="0"/>
        <w:rPr>
          <w:noProof/>
        </w:rPr>
      </w:pPr>
      <w:r>
        <w:rPr>
          <w:noProof/>
        </w:rPr>
        <w:t>These estimates are based on the following staffing levels:</w:t>
      </w:r>
    </w:p>
    <w:p>
      <w:pPr>
        <w:pStyle w:val="Text1"/>
        <w:ind w:left="0"/>
        <w:rPr>
          <w:noProof/>
        </w:rPr>
      </w:pPr>
      <w:r>
        <w:rPr>
          <w:noProof/>
        </w:rPr>
        <w:t>For contract staff:</w:t>
      </w:r>
    </w:p>
    <w:p>
      <w:pPr>
        <w:pStyle w:val="Text1"/>
        <w:ind w:left="0"/>
        <w:rPr>
          <w:noProof/>
        </w:rPr>
      </w:pPr>
    </w:p>
    <w:p>
      <w:pPr>
        <w:pStyle w:val="Text1"/>
        <w:ind w:left="0"/>
        <w:rPr>
          <w:noProof/>
        </w:rPr>
      </w:pPr>
      <w:r>
        <w:rPr>
          <w:noProof/>
          <w:bdr w:val="single" w:sz="4" w:space="0" w:color="auto"/>
          <w:lang w:val="en-US"/>
        </w:rPr>
        <w:drawing>
          <wp:inline distT="0" distB="0" distL="0" distR="0">
            <wp:extent cx="5760085" cy="4651241"/>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760085" cy="4651241"/>
                    </a:xfrm>
                    <a:prstGeom prst="rect">
                      <a:avLst/>
                    </a:prstGeom>
                    <a:noFill/>
                    <a:ln>
                      <a:noFill/>
                    </a:ln>
                  </pic:spPr>
                </pic:pic>
              </a:graphicData>
            </a:graphic>
          </wp:inline>
        </w:drawing>
      </w:r>
    </w:p>
    <w:p>
      <w:pPr>
        <w:spacing w:before="0" w:after="0"/>
        <w:jc w:val="left"/>
        <w:rPr>
          <w:noProof/>
        </w:rPr>
      </w:pPr>
      <w:r>
        <w:rPr>
          <w:noProof/>
        </w:rPr>
        <w:br w:type="page"/>
      </w:r>
    </w:p>
    <w:p>
      <w:pPr>
        <w:pStyle w:val="Text1"/>
        <w:ind w:left="0"/>
        <w:rPr>
          <w:noProof/>
        </w:rPr>
      </w:pPr>
    </w:p>
    <w:p>
      <w:pPr>
        <w:pStyle w:val="Text1"/>
        <w:keepNext/>
        <w:ind w:left="0"/>
        <w:rPr>
          <w:noProof/>
        </w:rPr>
      </w:pPr>
      <w:r>
        <w:rPr>
          <w:noProof/>
        </w:rPr>
        <w:t>For Temporary Agents:</w:t>
      </w:r>
    </w:p>
    <w:p>
      <w:pPr>
        <w:pStyle w:val="Text1"/>
        <w:ind w:left="0"/>
        <w:rPr>
          <w:noProof/>
        </w:rPr>
      </w:pPr>
    </w:p>
    <w:p>
      <w:pPr>
        <w:pStyle w:val="Text1"/>
        <w:ind w:left="0"/>
        <w:rPr>
          <w:noProof/>
        </w:rPr>
      </w:pPr>
      <w:r>
        <w:rPr>
          <w:noProof/>
          <w:bdr w:val="single" w:sz="4" w:space="0" w:color="auto"/>
          <w:lang w:val="en-US"/>
        </w:rPr>
        <w:drawing>
          <wp:inline distT="0" distB="0" distL="0" distR="0">
            <wp:extent cx="5760085" cy="568247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760085" cy="5682470"/>
                    </a:xfrm>
                    <a:prstGeom prst="rect">
                      <a:avLst/>
                    </a:prstGeom>
                    <a:noFill/>
                    <a:ln>
                      <a:noFill/>
                    </a:ln>
                  </pic:spPr>
                </pic:pic>
              </a:graphicData>
            </a:graphic>
          </wp:inline>
        </w:drawing>
      </w:r>
    </w:p>
    <w:p>
      <w:pPr>
        <w:pStyle w:val="Text1"/>
        <w:ind w:left="0"/>
        <w:rPr>
          <w:noProof/>
        </w:rPr>
      </w:pPr>
    </w:p>
    <w:p>
      <w:pPr>
        <w:spacing w:before="0" w:after="0"/>
        <w:jc w:val="left"/>
        <w:rPr>
          <w:noProof/>
        </w:rPr>
      </w:pPr>
      <w:r>
        <w:rPr>
          <w:noProof/>
        </w:rPr>
        <w:br w:type="page"/>
      </w:r>
    </w:p>
    <w:p>
      <w:pPr>
        <w:pStyle w:val="Text1"/>
        <w:rPr>
          <w:noProof/>
        </w:rPr>
      </w:pPr>
    </w:p>
    <w:p>
      <w:pPr>
        <w:pStyle w:val="ManualHeading3"/>
        <w:rPr>
          <w:bCs/>
          <w:noProof/>
          <w:szCs w:val="24"/>
        </w:rPr>
      </w:pPr>
      <w:r>
        <w:t>3.2.4.</w:t>
      </w:r>
      <w:r>
        <w:tab/>
      </w:r>
      <w:r>
        <w:rPr>
          <w:noProof/>
        </w:rPr>
        <w:t>Estimated impact on appropriations of an administrative nature</w:t>
      </w:r>
      <w:bookmarkEnd w:id="294"/>
    </w:p>
    <w:p>
      <w:pPr>
        <w:pStyle w:val="ManualHeading4"/>
        <w:rPr>
          <w:noProof/>
        </w:rPr>
      </w:pPr>
      <w:r>
        <w:t>3.2.4.1.</w:t>
      </w:r>
      <w:r>
        <w:tab/>
      </w:r>
      <w:r>
        <w:rPr>
          <w:noProof/>
        </w:rPr>
        <w:t>DG Home: Summary</w:t>
      </w:r>
    </w:p>
    <w:p>
      <w:pPr>
        <w:pStyle w:val="ListDash1"/>
        <w:rPr>
          <w:noProof/>
        </w:rPr>
      </w:pPr>
      <w:r>
        <w:rPr>
          <w:noProof/>
        </w:rPr>
        <w:sym w:font="Wingdings" w:char="F0A8"/>
      </w:r>
      <w:r>
        <w:rPr>
          <w:noProof/>
        </w:rPr>
        <w:tab/>
        <w:t xml:space="preserve">The proposal/initiative does not require the use of appropriations of an administrative nature </w:t>
      </w:r>
    </w:p>
    <w:p>
      <w:pPr>
        <w:pStyle w:val="ListDash1"/>
        <w:rPr>
          <w:noProof/>
        </w:rPr>
      </w:pPr>
      <w:r>
        <w:rPr>
          <w:noProof/>
        </w:rPr>
        <w:sym w:font="Wingdings" w:char="F078"/>
      </w:r>
      <w:r>
        <w:rPr>
          <w:noProof/>
        </w:rPr>
        <w:tab/>
        <w:t>The proposal/initiative requires the use of appropriations of an administrative nature, as explained below:</w:t>
      </w:r>
    </w:p>
    <w:p>
      <w:pPr>
        <w:keepNext/>
        <w:rPr>
          <w:noProof/>
          <w:sz w:val="20"/>
        </w:rPr>
      </w:pPr>
      <w:r>
        <w:rPr>
          <w:noProof/>
          <w:sz w:val="20"/>
        </w:rPr>
        <w:t>EUR million (to three decimal places)</w:t>
      </w:r>
    </w:p>
    <w:p>
      <w:pPr>
        <w:keepNext/>
        <w:rPr>
          <w:noProof/>
          <w:sz w:val="20"/>
        </w:rPr>
      </w:pPr>
    </w:p>
    <w:tbl>
      <w:tblPr>
        <w:tblW w:w="10359" w:type="dxa"/>
        <w:tblInd w:w="-61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1813"/>
        <w:gridCol w:w="769"/>
        <w:gridCol w:w="769"/>
        <w:gridCol w:w="735"/>
        <w:gridCol w:w="720"/>
        <w:gridCol w:w="720"/>
        <w:gridCol w:w="720"/>
        <w:gridCol w:w="840"/>
        <w:gridCol w:w="720"/>
        <w:gridCol w:w="840"/>
        <w:gridCol w:w="1713"/>
      </w:tblGrid>
      <w:tr>
        <w:trPr>
          <w:trHeight w:val="607"/>
        </w:trPr>
        <w:tc>
          <w:tcPr>
            <w:tcW w:w="1813" w:type="dxa"/>
          </w:tcPr>
          <w:p>
            <w:pPr>
              <w:keepNext/>
              <w:spacing w:before="60" w:after="60" w:line="200" w:lineRule="exact"/>
              <w:rPr>
                <w:noProof/>
                <w:sz w:val="16"/>
                <w:szCs w:val="16"/>
              </w:rPr>
            </w:pPr>
          </w:p>
        </w:tc>
        <w:tc>
          <w:tcPr>
            <w:tcW w:w="769" w:type="dxa"/>
            <w:vAlign w:val="center"/>
          </w:tcPr>
          <w:p>
            <w:pPr>
              <w:keepNext/>
              <w:spacing w:before="60" w:after="60" w:line="200" w:lineRule="exact"/>
              <w:jc w:val="center"/>
              <w:rPr>
                <w:noProof/>
                <w:sz w:val="16"/>
                <w:szCs w:val="16"/>
              </w:rPr>
            </w:pPr>
            <w:r>
              <w:rPr>
                <w:noProof/>
                <w:sz w:val="16"/>
              </w:rPr>
              <w:t>Year</w:t>
            </w:r>
            <w:r>
              <w:rPr>
                <w:noProof/>
                <w:sz w:val="22"/>
              </w:rPr>
              <w:br/>
            </w:r>
            <w:r>
              <w:rPr>
                <w:b/>
                <w:noProof/>
                <w:sz w:val="16"/>
              </w:rPr>
              <w:t>2019</w:t>
            </w:r>
          </w:p>
        </w:tc>
        <w:tc>
          <w:tcPr>
            <w:tcW w:w="769" w:type="dxa"/>
            <w:vAlign w:val="center"/>
          </w:tcPr>
          <w:p>
            <w:pPr>
              <w:keepNext/>
              <w:spacing w:before="60" w:after="60" w:line="200" w:lineRule="exact"/>
              <w:jc w:val="center"/>
              <w:rPr>
                <w:noProof/>
                <w:sz w:val="16"/>
                <w:szCs w:val="16"/>
              </w:rPr>
            </w:pPr>
            <w:r>
              <w:rPr>
                <w:noProof/>
                <w:sz w:val="16"/>
              </w:rPr>
              <w:t>Year</w:t>
            </w:r>
            <w:r>
              <w:rPr>
                <w:noProof/>
                <w:sz w:val="22"/>
              </w:rPr>
              <w:br/>
            </w:r>
            <w:r>
              <w:rPr>
                <w:b/>
                <w:noProof/>
                <w:sz w:val="16"/>
              </w:rPr>
              <w:t>2020</w:t>
            </w:r>
          </w:p>
        </w:tc>
        <w:tc>
          <w:tcPr>
            <w:tcW w:w="735" w:type="dxa"/>
            <w:vAlign w:val="center"/>
          </w:tcPr>
          <w:p>
            <w:pPr>
              <w:keepNext/>
              <w:spacing w:before="60" w:after="60" w:line="200" w:lineRule="exact"/>
              <w:jc w:val="center"/>
              <w:rPr>
                <w:noProof/>
                <w:sz w:val="16"/>
                <w:szCs w:val="16"/>
              </w:rPr>
            </w:pPr>
            <w:r>
              <w:rPr>
                <w:noProof/>
                <w:sz w:val="16"/>
              </w:rPr>
              <w:t>Year</w:t>
            </w:r>
            <w:r>
              <w:rPr>
                <w:noProof/>
                <w:sz w:val="22"/>
              </w:rPr>
              <w:br/>
            </w:r>
            <w:r>
              <w:rPr>
                <w:b/>
                <w:noProof/>
                <w:sz w:val="16"/>
                <w:szCs w:val="16"/>
              </w:rPr>
              <w:t>2021</w:t>
            </w:r>
          </w:p>
        </w:tc>
        <w:tc>
          <w:tcPr>
            <w:tcW w:w="720" w:type="dxa"/>
            <w:vAlign w:val="center"/>
          </w:tcPr>
          <w:p>
            <w:pPr>
              <w:keepNext/>
              <w:spacing w:before="60" w:after="60" w:line="200" w:lineRule="exact"/>
              <w:jc w:val="center"/>
              <w:rPr>
                <w:noProof/>
                <w:sz w:val="16"/>
                <w:szCs w:val="16"/>
              </w:rPr>
            </w:pPr>
            <w:r>
              <w:rPr>
                <w:noProof/>
                <w:sz w:val="16"/>
              </w:rPr>
              <w:t>Year</w:t>
            </w:r>
            <w:r>
              <w:rPr>
                <w:noProof/>
                <w:sz w:val="22"/>
              </w:rPr>
              <w:br/>
            </w:r>
            <w:r>
              <w:rPr>
                <w:b/>
                <w:noProof/>
                <w:sz w:val="16"/>
                <w:szCs w:val="16"/>
              </w:rPr>
              <w:t>2022</w:t>
            </w:r>
          </w:p>
        </w:tc>
        <w:tc>
          <w:tcPr>
            <w:tcW w:w="720" w:type="dxa"/>
            <w:vAlign w:val="center"/>
          </w:tcPr>
          <w:p>
            <w:pPr>
              <w:keepNext/>
              <w:spacing w:line="200" w:lineRule="exact"/>
              <w:jc w:val="center"/>
              <w:rPr>
                <w:b/>
                <w:noProof/>
                <w:sz w:val="16"/>
                <w:szCs w:val="16"/>
              </w:rPr>
            </w:pPr>
            <w:r>
              <w:rPr>
                <w:noProof/>
                <w:sz w:val="16"/>
              </w:rPr>
              <w:t>Year</w:t>
            </w:r>
            <w:r>
              <w:rPr>
                <w:noProof/>
                <w:sz w:val="22"/>
              </w:rPr>
              <w:br/>
            </w:r>
            <w:r>
              <w:rPr>
                <w:b/>
                <w:noProof/>
                <w:sz w:val="16"/>
                <w:szCs w:val="16"/>
              </w:rPr>
              <w:t>2023</w:t>
            </w:r>
          </w:p>
        </w:tc>
        <w:tc>
          <w:tcPr>
            <w:tcW w:w="720" w:type="dxa"/>
            <w:vAlign w:val="center"/>
          </w:tcPr>
          <w:p>
            <w:pPr>
              <w:keepNext/>
              <w:spacing w:line="200" w:lineRule="exact"/>
              <w:jc w:val="center"/>
              <w:rPr>
                <w:b/>
                <w:noProof/>
                <w:sz w:val="16"/>
                <w:szCs w:val="16"/>
              </w:rPr>
            </w:pPr>
            <w:r>
              <w:rPr>
                <w:noProof/>
                <w:sz w:val="16"/>
              </w:rPr>
              <w:t>Year</w:t>
            </w:r>
            <w:r>
              <w:rPr>
                <w:noProof/>
                <w:sz w:val="22"/>
              </w:rPr>
              <w:br/>
            </w:r>
            <w:r>
              <w:rPr>
                <w:b/>
                <w:noProof/>
                <w:sz w:val="16"/>
                <w:szCs w:val="16"/>
              </w:rPr>
              <w:t>2024</w:t>
            </w:r>
          </w:p>
        </w:tc>
        <w:tc>
          <w:tcPr>
            <w:tcW w:w="840" w:type="dxa"/>
            <w:vAlign w:val="center"/>
          </w:tcPr>
          <w:p>
            <w:pPr>
              <w:keepNext/>
              <w:spacing w:line="200" w:lineRule="exact"/>
              <w:jc w:val="center"/>
              <w:rPr>
                <w:b/>
                <w:noProof/>
                <w:sz w:val="16"/>
                <w:szCs w:val="16"/>
              </w:rPr>
            </w:pPr>
            <w:r>
              <w:rPr>
                <w:noProof/>
                <w:sz w:val="16"/>
              </w:rPr>
              <w:t>Year</w:t>
            </w:r>
            <w:r>
              <w:rPr>
                <w:noProof/>
                <w:sz w:val="22"/>
              </w:rPr>
              <w:br/>
            </w:r>
            <w:r>
              <w:rPr>
                <w:b/>
                <w:noProof/>
                <w:sz w:val="16"/>
                <w:szCs w:val="16"/>
              </w:rPr>
              <w:t>2025</w:t>
            </w:r>
          </w:p>
        </w:tc>
        <w:tc>
          <w:tcPr>
            <w:tcW w:w="720" w:type="dxa"/>
            <w:vAlign w:val="center"/>
          </w:tcPr>
          <w:p>
            <w:pPr>
              <w:keepNext/>
              <w:spacing w:before="60" w:after="60" w:line="200" w:lineRule="exact"/>
              <w:jc w:val="center"/>
              <w:rPr>
                <w:b/>
                <w:noProof/>
                <w:sz w:val="16"/>
              </w:rPr>
            </w:pPr>
            <w:r>
              <w:rPr>
                <w:noProof/>
                <w:sz w:val="16"/>
              </w:rPr>
              <w:t>Year</w:t>
            </w:r>
            <w:r>
              <w:rPr>
                <w:noProof/>
                <w:sz w:val="22"/>
              </w:rPr>
              <w:br/>
            </w:r>
            <w:r>
              <w:rPr>
                <w:b/>
                <w:noProof/>
                <w:sz w:val="16"/>
                <w:szCs w:val="16"/>
              </w:rPr>
              <w:t>2026</w:t>
            </w:r>
          </w:p>
        </w:tc>
        <w:tc>
          <w:tcPr>
            <w:tcW w:w="840" w:type="dxa"/>
            <w:vAlign w:val="center"/>
          </w:tcPr>
          <w:p>
            <w:pPr>
              <w:keepNext/>
              <w:spacing w:before="60" w:after="60" w:line="200" w:lineRule="exact"/>
              <w:jc w:val="center"/>
              <w:rPr>
                <w:b/>
                <w:noProof/>
                <w:sz w:val="16"/>
              </w:rPr>
            </w:pPr>
            <w:r>
              <w:rPr>
                <w:noProof/>
                <w:sz w:val="16"/>
              </w:rPr>
              <w:t>Year</w:t>
            </w:r>
            <w:r>
              <w:rPr>
                <w:noProof/>
                <w:sz w:val="22"/>
              </w:rPr>
              <w:br/>
            </w:r>
            <w:r>
              <w:rPr>
                <w:b/>
                <w:noProof/>
                <w:sz w:val="16"/>
                <w:szCs w:val="16"/>
              </w:rPr>
              <w:t>2027</w:t>
            </w:r>
          </w:p>
        </w:tc>
        <w:tc>
          <w:tcPr>
            <w:tcW w:w="1713" w:type="dxa"/>
            <w:vAlign w:val="center"/>
          </w:tcPr>
          <w:p>
            <w:pPr>
              <w:keepNext/>
              <w:spacing w:before="60" w:after="60" w:line="200" w:lineRule="exact"/>
              <w:jc w:val="center"/>
              <w:rPr>
                <w:b/>
                <w:noProof/>
                <w:sz w:val="16"/>
                <w:szCs w:val="16"/>
              </w:rPr>
            </w:pPr>
            <w:r>
              <w:rPr>
                <w:b/>
                <w:noProof/>
                <w:sz w:val="16"/>
              </w:rPr>
              <w:t>TOTAL</w:t>
            </w:r>
          </w:p>
        </w:tc>
      </w:tr>
    </w:tbl>
    <w:p>
      <w:pPr>
        <w:spacing w:line="200" w:lineRule="exact"/>
        <w:rPr>
          <w:noProof/>
          <w:sz w:val="16"/>
          <w:szCs w:val="16"/>
        </w:rPr>
      </w:pPr>
    </w:p>
    <w:tbl>
      <w:tblPr>
        <w:tblW w:w="10369" w:type="dxa"/>
        <w:tblInd w:w="-61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1801"/>
        <w:gridCol w:w="764"/>
        <w:gridCol w:w="764"/>
        <w:gridCol w:w="762"/>
        <w:gridCol w:w="720"/>
        <w:gridCol w:w="701"/>
        <w:gridCol w:w="764"/>
        <w:gridCol w:w="764"/>
        <w:gridCol w:w="764"/>
        <w:gridCol w:w="873"/>
        <w:gridCol w:w="1692"/>
      </w:tblGrid>
      <w:tr>
        <w:trPr>
          <w:trHeight w:val="585"/>
        </w:trPr>
        <w:tc>
          <w:tcPr>
            <w:tcW w:w="1801" w:type="dxa"/>
            <w:shd w:val="clear" w:color="auto" w:fill="CCCCCC"/>
            <w:vAlign w:val="center"/>
          </w:tcPr>
          <w:p>
            <w:pPr>
              <w:spacing w:before="60" w:after="60" w:line="200" w:lineRule="exact"/>
              <w:jc w:val="center"/>
              <w:rPr>
                <w:b/>
                <w:noProof/>
                <w:sz w:val="16"/>
                <w:szCs w:val="16"/>
              </w:rPr>
            </w:pPr>
            <w:r>
              <w:rPr>
                <w:b/>
                <w:noProof/>
                <w:sz w:val="16"/>
              </w:rPr>
              <w:t>HEADING 5</w:t>
            </w:r>
            <w:r>
              <w:rPr>
                <w:noProof/>
                <w:sz w:val="22"/>
              </w:rPr>
              <w:br/>
            </w:r>
            <w:r>
              <w:rPr>
                <w:b/>
                <w:noProof/>
                <w:sz w:val="16"/>
              </w:rPr>
              <w:t>of the multiannual financial framework</w:t>
            </w:r>
          </w:p>
        </w:tc>
        <w:tc>
          <w:tcPr>
            <w:tcW w:w="764" w:type="dxa"/>
            <w:vAlign w:val="center"/>
          </w:tcPr>
          <w:p>
            <w:pPr>
              <w:spacing w:before="60" w:after="60" w:line="200" w:lineRule="exact"/>
              <w:jc w:val="right"/>
              <w:rPr>
                <w:noProof/>
                <w:sz w:val="16"/>
                <w:szCs w:val="16"/>
              </w:rPr>
            </w:pPr>
          </w:p>
        </w:tc>
        <w:tc>
          <w:tcPr>
            <w:tcW w:w="764" w:type="dxa"/>
            <w:vAlign w:val="center"/>
          </w:tcPr>
          <w:p>
            <w:pPr>
              <w:spacing w:before="60" w:after="60" w:line="200" w:lineRule="exact"/>
              <w:jc w:val="right"/>
              <w:rPr>
                <w:noProof/>
                <w:sz w:val="16"/>
                <w:szCs w:val="16"/>
              </w:rPr>
            </w:pPr>
          </w:p>
        </w:tc>
        <w:tc>
          <w:tcPr>
            <w:tcW w:w="762" w:type="dxa"/>
            <w:vAlign w:val="center"/>
          </w:tcPr>
          <w:p>
            <w:pPr>
              <w:spacing w:before="60" w:after="60" w:line="200" w:lineRule="exact"/>
              <w:jc w:val="right"/>
              <w:rPr>
                <w:noProof/>
                <w:sz w:val="16"/>
                <w:szCs w:val="16"/>
              </w:rPr>
            </w:pPr>
          </w:p>
        </w:tc>
        <w:tc>
          <w:tcPr>
            <w:tcW w:w="720" w:type="dxa"/>
            <w:vAlign w:val="center"/>
          </w:tcPr>
          <w:p>
            <w:pPr>
              <w:spacing w:before="60" w:after="60" w:line="200" w:lineRule="exact"/>
              <w:jc w:val="right"/>
              <w:rPr>
                <w:noProof/>
                <w:sz w:val="16"/>
                <w:szCs w:val="16"/>
              </w:rPr>
            </w:pPr>
          </w:p>
        </w:tc>
        <w:tc>
          <w:tcPr>
            <w:tcW w:w="701" w:type="dxa"/>
            <w:vAlign w:val="center"/>
          </w:tcPr>
          <w:p>
            <w:pPr>
              <w:spacing w:before="60" w:after="60" w:line="200" w:lineRule="exact"/>
              <w:jc w:val="right"/>
              <w:rPr>
                <w:noProof/>
                <w:sz w:val="16"/>
                <w:szCs w:val="16"/>
              </w:rPr>
            </w:pPr>
          </w:p>
        </w:tc>
        <w:tc>
          <w:tcPr>
            <w:tcW w:w="764" w:type="dxa"/>
            <w:vAlign w:val="center"/>
          </w:tcPr>
          <w:p>
            <w:pPr>
              <w:spacing w:before="60" w:after="60" w:line="200" w:lineRule="exact"/>
              <w:jc w:val="right"/>
              <w:rPr>
                <w:noProof/>
                <w:sz w:val="16"/>
                <w:szCs w:val="16"/>
              </w:rPr>
            </w:pPr>
          </w:p>
        </w:tc>
        <w:tc>
          <w:tcPr>
            <w:tcW w:w="764" w:type="dxa"/>
            <w:vAlign w:val="center"/>
          </w:tcPr>
          <w:p>
            <w:pPr>
              <w:spacing w:before="60" w:after="60" w:line="200" w:lineRule="exact"/>
              <w:jc w:val="right"/>
              <w:rPr>
                <w:b/>
                <w:noProof/>
                <w:sz w:val="16"/>
                <w:szCs w:val="16"/>
              </w:rPr>
            </w:pPr>
          </w:p>
        </w:tc>
        <w:tc>
          <w:tcPr>
            <w:tcW w:w="764" w:type="dxa"/>
            <w:vAlign w:val="center"/>
          </w:tcPr>
          <w:p>
            <w:pPr>
              <w:spacing w:before="60" w:after="60" w:line="200" w:lineRule="exact"/>
              <w:jc w:val="center"/>
              <w:rPr>
                <w:b/>
                <w:noProof/>
                <w:sz w:val="16"/>
                <w:szCs w:val="16"/>
              </w:rPr>
            </w:pPr>
          </w:p>
        </w:tc>
        <w:tc>
          <w:tcPr>
            <w:tcW w:w="873" w:type="dxa"/>
            <w:vAlign w:val="center"/>
          </w:tcPr>
          <w:p>
            <w:pPr>
              <w:spacing w:before="60" w:after="60" w:line="200" w:lineRule="exact"/>
              <w:jc w:val="right"/>
              <w:rPr>
                <w:b/>
                <w:noProof/>
                <w:sz w:val="16"/>
                <w:szCs w:val="16"/>
              </w:rPr>
            </w:pPr>
          </w:p>
        </w:tc>
        <w:tc>
          <w:tcPr>
            <w:tcW w:w="1692" w:type="dxa"/>
            <w:vAlign w:val="center"/>
          </w:tcPr>
          <w:p>
            <w:pPr>
              <w:spacing w:before="60" w:after="60" w:line="200" w:lineRule="exact"/>
              <w:jc w:val="right"/>
              <w:rPr>
                <w:b/>
                <w:noProof/>
                <w:sz w:val="16"/>
                <w:szCs w:val="16"/>
              </w:rPr>
            </w:pPr>
          </w:p>
        </w:tc>
      </w:tr>
      <w:tr>
        <w:trPr>
          <w:trHeight w:val="585"/>
        </w:trPr>
        <w:tc>
          <w:tcPr>
            <w:tcW w:w="1801" w:type="dxa"/>
            <w:vAlign w:val="center"/>
          </w:tcPr>
          <w:p>
            <w:pPr>
              <w:spacing w:before="60" w:after="60" w:line="200" w:lineRule="exact"/>
              <w:ind w:left="72"/>
              <w:jc w:val="left"/>
              <w:rPr>
                <w:noProof/>
                <w:sz w:val="16"/>
              </w:rPr>
            </w:pPr>
            <w:r>
              <w:rPr>
                <w:noProof/>
                <w:sz w:val="16"/>
              </w:rPr>
              <w:t>Human resources DG HOME</w:t>
            </w:r>
          </w:p>
        </w:tc>
        <w:tc>
          <w:tcPr>
            <w:tcW w:w="764" w:type="dxa"/>
          </w:tcPr>
          <w:p>
            <w:pPr>
              <w:spacing w:before="60" w:after="60" w:line="200" w:lineRule="exact"/>
              <w:jc w:val="center"/>
              <w:rPr>
                <w:noProof/>
                <w:sz w:val="20"/>
              </w:rPr>
            </w:pPr>
            <w:r>
              <w:rPr>
                <w:noProof/>
                <w:sz w:val="20"/>
              </w:rPr>
              <w:t xml:space="preserve">0,690 </w:t>
            </w:r>
          </w:p>
        </w:tc>
        <w:tc>
          <w:tcPr>
            <w:tcW w:w="764" w:type="dxa"/>
          </w:tcPr>
          <w:p>
            <w:pPr>
              <w:spacing w:before="60" w:after="60" w:line="200" w:lineRule="exact"/>
              <w:jc w:val="center"/>
              <w:rPr>
                <w:noProof/>
                <w:sz w:val="20"/>
              </w:rPr>
            </w:pPr>
            <w:r>
              <w:rPr>
                <w:noProof/>
                <w:sz w:val="20"/>
              </w:rPr>
              <w:t xml:space="preserve">0,690 </w:t>
            </w:r>
          </w:p>
        </w:tc>
        <w:tc>
          <w:tcPr>
            <w:tcW w:w="762" w:type="dxa"/>
          </w:tcPr>
          <w:p>
            <w:pPr>
              <w:spacing w:before="60" w:after="60" w:line="200" w:lineRule="exact"/>
              <w:jc w:val="center"/>
              <w:rPr>
                <w:noProof/>
                <w:sz w:val="20"/>
              </w:rPr>
            </w:pPr>
            <w:r>
              <w:rPr>
                <w:noProof/>
                <w:sz w:val="20"/>
              </w:rPr>
              <w:t xml:space="preserve">0,690 </w:t>
            </w:r>
          </w:p>
        </w:tc>
        <w:tc>
          <w:tcPr>
            <w:tcW w:w="720" w:type="dxa"/>
          </w:tcPr>
          <w:p>
            <w:pPr>
              <w:spacing w:before="60" w:after="60" w:line="200" w:lineRule="exact"/>
              <w:jc w:val="center"/>
              <w:rPr>
                <w:noProof/>
                <w:sz w:val="20"/>
              </w:rPr>
            </w:pPr>
            <w:r>
              <w:rPr>
                <w:noProof/>
                <w:sz w:val="20"/>
              </w:rPr>
              <w:t xml:space="preserve">0,690 </w:t>
            </w:r>
          </w:p>
        </w:tc>
        <w:tc>
          <w:tcPr>
            <w:tcW w:w="701" w:type="dxa"/>
          </w:tcPr>
          <w:p>
            <w:pPr>
              <w:spacing w:before="60" w:after="60" w:line="200" w:lineRule="exact"/>
              <w:jc w:val="center"/>
              <w:rPr>
                <w:noProof/>
                <w:sz w:val="20"/>
              </w:rPr>
            </w:pPr>
            <w:r>
              <w:rPr>
                <w:noProof/>
                <w:sz w:val="20"/>
              </w:rPr>
              <w:t xml:space="preserve">0,690 </w:t>
            </w:r>
          </w:p>
        </w:tc>
        <w:tc>
          <w:tcPr>
            <w:tcW w:w="764" w:type="dxa"/>
          </w:tcPr>
          <w:p>
            <w:pPr>
              <w:spacing w:before="60" w:after="60" w:line="200" w:lineRule="exact"/>
              <w:jc w:val="center"/>
              <w:rPr>
                <w:noProof/>
                <w:sz w:val="20"/>
              </w:rPr>
            </w:pPr>
            <w:r>
              <w:rPr>
                <w:noProof/>
                <w:sz w:val="20"/>
              </w:rPr>
              <w:t xml:space="preserve">0,690 </w:t>
            </w:r>
          </w:p>
        </w:tc>
        <w:tc>
          <w:tcPr>
            <w:tcW w:w="764" w:type="dxa"/>
          </w:tcPr>
          <w:p>
            <w:pPr>
              <w:spacing w:before="60" w:after="60" w:line="200" w:lineRule="exact"/>
              <w:jc w:val="center"/>
              <w:rPr>
                <w:noProof/>
                <w:sz w:val="20"/>
              </w:rPr>
            </w:pPr>
            <w:r>
              <w:rPr>
                <w:noProof/>
                <w:sz w:val="20"/>
              </w:rPr>
              <w:t xml:space="preserve">0,276 </w:t>
            </w:r>
          </w:p>
        </w:tc>
        <w:tc>
          <w:tcPr>
            <w:tcW w:w="764" w:type="dxa"/>
          </w:tcPr>
          <w:p>
            <w:pPr>
              <w:spacing w:before="60" w:after="60" w:line="200" w:lineRule="exact"/>
              <w:jc w:val="center"/>
              <w:rPr>
                <w:noProof/>
                <w:sz w:val="20"/>
              </w:rPr>
            </w:pPr>
            <w:r>
              <w:rPr>
                <w:noProof/>
                <w:sz w:val="20"/>
              </w:rPr>
              <w:t xml:space="preserve">0,276 </w:t>
            </w:r>
          </w:p>
        </w:tc>
        <w:tc>
          <w:tcPr>
            <w:tcW w:w="873" w:type="dxa"/>
          </w:tcPr>
          <w:p>
            <w:pPr>
              <w:spacing w:before="60" w:after="60" w:line="200" w:lineRule="exact"/>
              <w:jc w:val="center"/>
              <w:rPr>
                <w:noProof/>
                <w:sz w:val="20"/>
              </w:rPr>
            </w:pPr>
            <w:r>
              <w:rPr>
                <w:noProof/>
                <w:sz w:val="20"/>
              </w:rPr>
              <w:t xml:space="preserve">0,276 </w:t>
            </w:r>
          </w:p>
        </w:tc>
        <w:tc>
          <w:tcPr>
            <w:tcW w:w="1692" w:type="dxa"/>
          </w:tcPr>
          <w:p>
            <w:pPr>
              <w:spacing w:before="60" w:after="60" w:line="200" w:lineRule="exact"/>
              <w:jc w:val="center"/>
              <w:rPr>
                <w:b/>
                <w:noProof/>
                <w:sz w:val="20"/>
              </w:rPr>
            </w:pPr>
            <w:r>
              <w:rPr>
                <w:noProof/>
                <w:sz w:val="20"/>
              </w:rPr>
              <w:t xml:space="preserve">4,968 </w:t>
            </w:r>
          </w:p>
        </w:tc>
      </w:tr>
      <w:tr>
        <w:trPr>
          <w:trHeight w:val="585"/>
        </w:trPr>
        <w:tc>
          <w:tcPr>
            <w:tcW w:w="1801" w:type="dxa"/>
            <w:vAlign w:val="center"/>
          </w:tcPr>
          <w:p>
            <w:pPr>
              <w:spacing w:before="60" w:after="60" w:line="200" w:lineRule="exact"/>
              <w:ind w:left="72"/>
              <w:jc w:val="left"/>
              <w:rPr>
                <w:noProof/>
                <w:sz w:val="16"/>
                <w:szCs w:val="16"/>
              </w:rPr>
            </w:pPr>
            <w:r>
              <w:rPr>
                <w:noProof/>
                <w:sz w:val="16"/>
              </w:rPr>
              <w:t>Other administrative expenditure</w:t>
            </w:r>
          </w:p>
        </w:tc>
        <w:tc>
          <w:tcPr>
            <w:tcW w:w="764" w:type="dxa"/>
          </w:tcPr>
          <w:p>
            <w:pPr>
              <w:spacing w:before="60" w:after="60" w:line="200" w:lineRule="exact"/>
              <w:jc w:val="center"/>
              <w:rPr>
                <w:noProof/>
                <w:sz w:val="20"/>
                <w:szCs w:val="16"/>
              </w:rPr>
            </w:pPr>
            <w:r>
              <w:rPr>
                <w:noProof/>
                <w:sz w:val="20"/>
              </w:rPr>
              <w:t xml:space="preserve">0,323 </w:t>
            </w:r>
          </w:p>
        </w:tc>
        <w:tc>
          <w:tcPr>
            <w:tcW w:w="764" w:type="dxa"/>
          </w:tcPr>
          <w:p>
            <w:pPr>
              <w:spacing w:before="60" w:after="60" w:line="200" w:lineRule="exact"/>
              <w:jc w:val="center"/>
              <w:rPr>
                <w:noProof/>
                <w:sz w:val="20"/>
                <w:szCs w:val="16"/>
              </w:rPr>
            </w:pPr>
            <w:r>
              <w:rPr>
                <w:noProof/>
                <w:sz w:val="20"/>
              </w:rPr>
              <w:t xml:space="preserve">0,323 </w:t>
            </w:r>
          </w:p>
        </w:tc>
        <w:tc>
          <w:tcPr>
            <w:tcW w:w="762" w:type="dxa"/>
          </w:tcPr>
          <w:p>
            <w:pPr>
              <w:spacing w:before="60" w:after="60" w:line="200" w:lineRule="exact"/>
              <w:jc w:val="center"/>
              <w:rPr>
                <w:noProof/>
                <w:sz w:val="20"/>
                <w:szCs w:val="16"/>
              </w:rPr>
            </w:pPr>
            <w:r>
              <w:rPr>
                <w:noProof/>
                <w:sz w:val="20"/>
              </w:rPr>
              <w:t xml:space="preserve">0,323 </w:t>
            </w:r>
          </w:p>
        </w:tc>
        <w:tc>
          <w:tcPr>
            <w:tcW w:w="720" w:type="dxa"/>
          </w:tcPr>
          <w:p>
            <w:pPr>
              <w:spacing w:before="60" w:after="60" w:line="200" w:lineRule="exact"/>
              <w:jc w:val="center"/>
              <w:rPr>
                <w:noProof/>
                <w:sz w:val="20"/>
                <w:szCs w:val="16"/>
              </w:rPr>
            </w:pPr>
            <w:r>
              <w:rPr>
                <w:noProof/>
                <w:sz w:val="20"/>
              </w:rPr>
              <w:t xml:space="preserve">0,323 </w:t>
            </w:r>
          </w:p>
        </w:tc>
        <w:tc>
          <w:tcPr>
            <w:tcW w:w="701" w:type="dxa"/>
          </w:tcPr>
          <w:p>
            <w:pPr>
              <w:spacing w:before="60" w:after="60" w:line="200" w:lineRule="exact"/>
              <w:jc w:val="center"/>
              <w:rPr>
                <w:noProof/>
                <w:sz w:val="20"/>
                <w:szCs w:val="16"/>
              </w:rPr>
            </w:pPr>
            <w:r>
              <w:rPr>
                <w:noProof/>
                <w:sz w:val="20"/>
              </w:rPr>
              <w:t xml:space="preserve">0,323 </w:t>
            </w:r>
          </w:p>
        </w:tc>
        <w:tc>
          <w:tcPr>
            <w:tcW w:w="764" w:type="dxa"/>
          </w:tcPr>
          <w:p>
            <w:pPr>
              <w:spacing w:before="60" w:after="60" w:line="200" w:lineRule="exact"/>
              <w:jc w:val="center"/>
              <w:rPr>
                <w:noProof/>
                <w:sz w:val="20"/>
                <w:szCs w:val="16"/>
              </w:rPr>
            </w:pPr>
            <w:r>
              <w:rPr>
                <w:noProof/>
                <w:sz w:val="20"/>
              </w:rPr>
              <w:t xml:space="preserve">0,323 </w:t>
            </w:r>
          </w:p>
        </w:tc>
        <w:tc>
          <w:tcPr>
            <w:tcW w:w="764" w:type="dxa"/>
          </w:tcPr>
          <w:p>
            <w:pPr>
              <w:spacing w:before="60" w:after="60" w:line="200" w:lineRule="exact"/>
              <w:jc w:val="center"/>
              <w:rPr>
                <w:noProof/>
                <w:sz w:val="20"/>
                <w:szCs w:val="16"/>
              </w:rPr>
            </w:pPr>
            <w:r>
              <w:rPr>
                <w:noProof/>
                <w:sz w:val="20"/>
              </w:rPr>
              <w:t xml:space="preserve">0,263 </w:t>
            </w:r>
          </w:p>
        </w:tc>
        <w:tc>
          <w:tcPr>
            <w:tcW w:w="764" w:type="dxa"/>
          </w:tcPr>
          <w:p>
            <w:pPr>
              <w:spacing w:before="60" w:after="60" w:line="200" w:lineRule="exact"/>
              <w:jc w:val="center"/>
              <w:rPr>
                <w:noProof/>
                <w:sz w:val="20"/>
                <w:szCs w:val="16"/>
              </w:rPr>
            </w:pPr>
            <w:r>
              <w:rPr>
                <w:noProof/>
                <w:sz w:val="20"/>
              </w:rPr>
              <w:t xml:space="preserve">0,263 </w:t>
            </w:r>
          </w:p>
        </w:tc>
        <w:tc>
          <w:tcPr>
            <w:tcW w:w="873" w:type="dxa"/>
          </w:tcPr>
          <w:p>
            <w:pPr>
              <w:spacing w:before="60" w:after="60" w:line="200" w:lineRule="exact"/>
              <w:jc w:val="center"/>
              <w:rPr>
                <w:noProof/>
                <w:sz w:val="20"/>
                <w:szCs w:val="16"/>
              </w:rPr>
            </w:pPr>
            <w:r>
              <w:rPr>
                <w:noProof/>
                <w:sz w:val="20"/>
              </w:rPr>
              <w:t xml:space="preserve">0,263 </w:t>
            </w:r>
          </w:p>
        </w:tc>
        <w:tc>
          <w:tcPr>
            <w:tcW w:w="1692" w:type="dxa"/>
          </w:tcPr>
          <w:p>
            <w:pPr>
              <w:spacing w:before="60" w:after="60" w:line="200" w:lineRule="exact"/>
              <w:jc w:val="center"/>
              <w:rPr>
                <w:b/>
                <w:noProof/>
                <w:sz w:val="20"/>
                <w:szCs w:val="16"/>
              </w:rPr>
            </w:pPr>
            <w:r>
              <w:rPr>
                <w:noProof/>
                <w:sz w:val="20"/>
              </w:rPr>
              <w:t xml:space="preserve">2,727 </w:t>
            </w:r>
          </w:p>
        </w:tc>
      </w:tr>
      <w:tr>
        <w:trPr>
          <w:trHeight w:val="585"/>
        </w:trPr>
        <w:tc>
          <w:tcPr>
            <w:tcW w:w="1801" w:type="dxa"/>
            <w:shd w:val="clear" w:color="auto" w:fill="CCCCCC"/>
            <w:vAlign w:val="center"/>
          </w:tcPr>
          <w:p>
            <w:pPr>
              <w:spacing w:before="60" w:after="60" w:line="200" w:lineRule="exact"/>
              <w:jc w:val="center"/>
              <w:rPr>
                <w:b/>
                <w:noProof/>
                <w:sz w:val="16"/>
                <w:szCs w:val="16"/>
              </w:rPr>
            </w:pPr>
            <w:r>
              <w:rPr>
                <w:b/>
                <w:noProof/>
                <w:sz w:val="16"/>
              </w:rPr>
              <w:t>Subtotal HEADING 5</w:t>
            </w:r>
            <w:r>
              <w:rPr>
                <w:noProof/>
                <w:sz w:val="22"/>
              </w:rPr>
              <w:br/>
            </w:r>
            <w:r>
              <w:rPr>
                <w:b/>
                <w:noProof/>
                <w:sz w:val="16"/>
              </w:rPr>
              <w:t xml:space="preserve">of the multiannual financial framework </w:t>
            </w:r>
          </w:p>
        </w:tc>
        <w:tc>
          <w:tcPr>
            <w:tcW w:w="764" w:type="dxa"/>
          </w:tcPr>
          <w:p>
            <w:pPr>
              <w:spacing w:before="60" w:after="60" w:line="200" w:lineRule="exact"/>
              <w:rPr>
                <w:noProof/>
                <w:sz w:val="20"/>
              </w:rPr>
            </w:pPr>
            <w:r>
              <w:rPr>
                <w:noProof/>
                <w:sz w:val="20"/>
              </w:rPr>
              <w:t xml:space="preserve">1,013 </w:t>
            </w:r>
          </w:p>
        </w:tc>
        <w:tc>
          <w:tcPr>
            <w:tcW w:w="764" w:type="dxa"/>
          </w:tcPr>
          <w:p>
            <w:pPr>
              <w:spacing w:before="60" w:after="60" w:line="200" w:lineRule="exact"/>
              <w:rPr>
                <w:noProof/>
                <w:sz w:val="20"/>
              </w:rPr>
            </w:pPr>
            <w:r>
              <w:rPr>
                <w:noProof/>
                <w:sz w:val="20"/>
              </w:rPr>
              <w:t xml:space="preserve">1,013 </w:t>
            </w:r>
          </w:p>
        </w:tc>
        <w:tc>
          <w:tcPr>
            <w:tcW w:w="762" w:type="dxa"/>
          </w:tcPr>
          <w:p>
            <w:pPr>
              <w:spacing w:before="60" w:after="60" w:line="200" w:lineRule="exact"/>
              <w:rPr>
                <w:noProof/>
                <w:sz w:val="20"/>
              </w:rPr>
            </w:pPr>
            <w:r>
              <w:rPr>
                <w:noProof/>
                <w:sz w:val="20"/>
              </w:rPr>
              <w:t xml:space="preserve">1,013 </w:t>
            </w:r>
          </w:p>
        </w:tc>
        <w:tc>
          <w:tcPr>
            <w:tcW w:w="720" w:type="dxa"/>
          </w:tcPr>
          <w:p>
            <w:pPr>
              <w:spacing w:before="60" w:after="60" w:line="200" w:lineRule="exact"/>
              <w:rPr>
                <w:noProof/>
                <w:sz w:val="20"/>
              </w:rPr>
            </w:pPr>
            <w:r>
              <w:rPr>
                <w:noProof/>
                <w:sz w:val="20"/>
              </w:rPr>
              <w:t xml:space="preserve">1,013 </w:t>
            </w:r>
          </w:p>
        </w:tc>
        <w:tc>
          <w:tcPr>
            <w:tcW w:w="701" w:type="dxa"/>
          </w:tcPr>
          <w:p>
            <w:pPr>
              <w:spacing w:before="60" w:after="60" w:line="200" w:lineRule="exact"/>
              <w:rPr>
                <w:noProof/>
                <w:sz w:val="20"/>
              </w:rPr>
            </w:pPr>
            <w:r>
              <w:rPr>
                <w:noProof/>
                <w:sz w:val="20"/>
              </w:rPr>
              <w:t xml:space="preserve">1,013 </w:t>
            </w:r>
          </w:p>
        </w:tc>
        <w:tc>
          <w:tcPr>
            <w:tcW w:w="764" w:type="dxa"/>
          </w:tcPr>
          <w:p>
            <w:pPr>
              <w:spacing w:before="60" w:after="60" w:line="200" w:lineRule="exact"/>
              <w:rPr>
                <w:noProof/>
                <w:sz w:val="20"/>
              </w:rPr>
            </w:pPr>
            <w:r>
              <w:rPr>
                <w:noProof/>
                <w:sz w:val="20"/>
              </w:rPr>
              <w:t xml:space="preserve">1,013 </w:t>
            </w:r>
          </w:p>
        </w:tc>
        <w:tc>
          <w:tcPr>
            <w:tcW w:w="764" w:type="dxa"/>
          </w:tcPr>
          <w:p>
            <w:pPr>
              <w:spacing w:before="60" w:after="60" w:line="200" w:lineRule="exact"/>
              <w:rPr>
                <w:noProof/>
                <w:sz w:val="20"/>
              </w:rPr>
            </w:pPr>
            <w:r>
              <w:rPr>
                <w:noProof/>
                <w:sz w:val="20"/>
              </w:rPr>
              <w:t xml:space="preserve">0,539 </w:t>
            </w:r>
          </w:p>
        </w:tc>
        <w:tc>
          <w:tcPr>
            <w:tcW w:w="764" w:type="dxa"/>
          </w:tcPr>
          <w:p>
            <w:pPr>
              <w:spacing w:before="60" w:after="60" w:line="200" w:lineRule="exact"/>
              <w:rPr>
                <w:noProof/>
                <w:sz w:val="20"/>
              </w:rPr>
            </w:pPr>
            <w:r>
              <w:rPr>
                <w:noProof/>
                <w:sz w:val="20"/>
              </w:rPr>
              <w:t xml:space="preserve">0,539 </w:t>
            </w:r>
          </w:p>
        </w:tc>
        <w:tc>
          <w:tcPr>
            <w:tcW w:w="873" w:type="dxa"/>
          </w:tcPr>
          <w:p>
            <w:pPr>
              <w:spacing w:before="60" w:after="60" w:line="200" w:lineRule="exact"/>
              <w:rPr>
                <w:noProof/>
                <w:sz w:val="20"/>
              </w:rPr>
            </w:pPr>
            <w:r>
              <w:rPr>
                <w:noProof/>
                <w:sz w:val="20"/>
              </w:rPr>
              <w:t xml:space="preserve">0,539 </w:t>
            </w:r>
          </w:p>
        </w:tc>
        <w:tc>
          <w:tcPr>
            <w:tcW w:w="1692" w:type="dxa"/>
          </w:tcPr>
          <w:p>
            <w:pPr>
              <w:spacing w:before="60" w:after="60" w:line="200" w:lineRule="exact"/>
              <w:jc w:val="center"/>
              <w:rPr>
                <w:b/>
                <w:noProof/>
                <w:sz w:val="20"/>
              </w:rPr>
            </w:pPr>
            <w:r>
              <w:rPr>
                <w:noProof/>
                <w:sz w:val="20"/>
              </w:rPr>
              <w:t xml:space="preserve">7,695 </w:t>
            </w:r>
          </w:p>
        </w:tc>
      </w:tr>
    </w:tbl>
    <w:p>
      <w:pPr>
        <w:spacing w:line="200" w:lineRule="exact"/>
        <w:rPr>
          <w:noProof/>
          <w:sz w:val="16"/>
          <w:szCs w:val="16"/>
        </w:rPr>
      </w:pPr>
    </w:p>
    <w:tbl>
      <w:tblPr>
        <w:tblW w:w="10407" w:type="dxa"/>
        <w:tblInd w:w="-61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1807"/>
        <w:gridCol w:w="767"/>
        <w:gridCol w:w="767"/>
        <w:gridCol w:w="747"/>
        <w:gridCol w:w="677"/>
        <w:gridCol w:w="767"/>
        <w:gridCol w:w="767"/>
        <w:gridCol w:w="767"/>
        <w:gridCol w:w="767"/>
        <w:gridCol w:w="876"/>
        <w:gridCol w:w="1698"/>
      </w:tblGrid>
      <w:tr>
        <w:trPr>
          <w:trHeight w:val="590"/>
        </w:trPr>
        <w:tc>
          <w:tcPr>
            <w:tcW w:w="1807" w:type="dxa"/>
            <w:shd w:val="clear" w:color="auto" w:fill="CCCCCC"/>
            <w:vAlign w:val="center"/>
          </w:tcPr>
          <w:p>
            <w:pPr>
              <w:spacing w:before="60" w:after="60" w:line="200" w:lineRule="exact"/>
              <w:jc w:val="center"/>
              <w:rPr>
                <w:noProof/>
                <w:sz w:val="16"/>
                <w:szCs w:val="16"/>
              </w:rPr>
            </w:pPr>
            <w:r>
              <w:rPr>
                <w:b/>
                <w:noProof/>
                <w:sz w:val="16"/>
              </w:rPr>
              <w:t>Outside HEADING 5</w:t>
            </w:r>
            <w:r>
              <w:rPr>
                <w:rStyle w:val="FootnoteReference"/>
                <w:noProof/>
              </w:rPr>
              <w:footnoteReference w:id="109"/>
            </w:r>
            <w:r>
              <w:rPr>
                <w:noProof/>
                <w:sz w:val="22"/>
              </w:rPr>
              <w:br/>
            </w:r>
            <w:r>
              <w:rPr>
                <w:b/>
                <w:noProof/>
                <w:sz w:val="16"/>
              </w:rPr>
              <w:t xml:space="preserve">of the multiannual financial framework </w:t>
            </w:r>
          </w:p>
          <w:p>
            <w:pPr>
              <w:spacing w:before="0" w:after="0" w:line="200" w:lineRule="exact"/>
              <w:jc w:val="center"/>
              <w:rPr>
                <w:b/>
                <w:noProof/>
                <w:sz w:val="16"/>
                <w:szCs w:val="16"/>
              </w:rPr>
            </w:pPr>
          </w:p>
        </w:tc>
        <w:tc>
          <w:tcPr>
            <w:tcW w:w="767" w:type="dxa"/>
            <w:vAlign w:val="center"/>
          </w:tcPr>
          <w:p>
            <w:pPr>
              <w:spacing w:before="60" w:after="60" w:line="200" w:lineRule="exact"/>
              <w:jc w:val="right"/>
              <w:rPr>
                <w:noProof/>
                <w:sz w:val="16"/>
                <w:szCs w:val="16"/>
              </w:rPr>
            </w:pPr>
            <w:r>
              <w:rPr>
                <w:noProof/>
                <w:sz w:val="16"/>
                <w:szCs w:val="16"/>
              </w:rPr>
              <w:t>(not used )</w:t>
            </w:r>
          </w:p>
        </w:tc>
        <w:tc>
          <w:tcPr>
            <w:tcW w:w="767" w:type="dxa"/>
            <w:vAlign w:val="center"/>
          </w:tcPr>
          <w:p>
            <w:pPr>
              <w:spacing w:before="60" w:after="60" w:line="200" w:lineRule="exact"/>
              <w:jc w:val="right"/>
              <w:rPr>
                <w:noProof/>
                <w:sz w:val="16"/>
                <w:szCs w:val="16"/>
              </w:rPr>
            </w:pPr>
          </w:p>
        </w:tc>
        <w:tc>
          <w:tcPr>
            <w:tcW w:w="747" w:type="dxa"/>
            <w:vAlign w:val="center"/>
          </w:tcPr>
          <w:p>
            <w:pPr>
              <w:spacing w:before="60" w:after="60" w:line="200" w:lineRule="exact"/>
              <w:jc w:val="right"/>
              <w:rPr>
                <w:noProof/>
                <w:sz w:val="16"/>
                <w:szCs w:val="16"/>
              </w:rPr>
            </w:pPr>
          </w:p>
        </w:tc>
        <w:tc>
          <w:tcPr>
            <w:tcW w:w="677" w:type="dxa"/>
            <w:vAlign w:val="center"/>
          </w:tcPr>
          <w:p>
            <w:pPr>
              <w:spacing w:before="60" w:after="60" w:line="200" w:lineRule="exact"/>
              <w:jc w:val="right"/>
              <w:rPr>
                <w:noProof/>
                <w:sz w:val="16"/>
                <w:szCs w:val="16"/>
              </w:rPr>
            </w:pPr>
          </w:p>
        </w:tc>
        <w:tc>
          <w:tcPr>
            <w:tcW w:w="767" w:type="dxa"/>
            <w:vAlign w:val="center"/>
          </w:tcPr>
          <w:p>
            <w:pPr>
              <w:spacing w:before="60" w:after="60" w:line="200" w:lineRule="exact"/>
              <w:jc w:val="right"/>
              <w:rPr>
                <w:noProof/>
                <w:sz w:val="16"/>
                <w:szCs w:val="16"/>
              </w:rPr>
            </w:pPr>
          </w:p>
        </w:tc>
        <w:tc>
          <w:tcPr>
            <w:tcW w:w="767" w:type="dxa"/>
            <w:vAlign w:val="center"/>
          </w:tcPr>
          <w:p>
            <w:pPr>
              <w:spacing w:before="60" w:after="60" w:line="200" w:lineRule="exact"/>
              <w:jc w:val="right"/>
              <w:rPr>
                <w:noProof/>
                <w:sz w:val="16"/>
                <w:szCs w:val="16"/>
              </w:rPr>
            </w:pPr>
          </w:p>
        </w:tc>
        <w:tc>
          <w:tcPr>
            <w:tcW w:w="767" w:type="dxa"/>
            <w:vAlign w:val="center"/>
          </w:tcPr>
          <w:p>
            <w:pPr>
              <w:spacing w:before="60" w:after="60" w:line="200" w:lineRule="exact"/>
              <w:jc w:val="right"/>
              <w:rPr>
                <w:b/>
                <w:noProof/>
                <w:sz w:val="16"/>
                <w:szCs w:val="16"/>
              </w:rPr>
            </w:pPr>
          </w:p>
        </w:tc>
        <w:tc>
          <w:tcPr>
            <w:tcW w:w="767" w:type="dxa"/>
            <w:vAlign w:val="center"/>
          </w:tcPr>
          <w:p>
            <w:pPr>
              <w:spacing w:before="60" w:after="60" w:line="200" w:lineRule="exact"/>
              <w:jc w:val="right"/>
              <w:rPr>
                <w:b/>
                <w:noProof/>
                <w:sz w:val="16"/>
                <w:szCs w:val="16"/>
              </w:rPr>
            </w:pPr>
          </w:p>
        </w:tc>
        <w:tc>
          <w:tcPr>
            <w:tcW w:w="876" w:type="dxa"/>
            <w:vAlign w:val="center"/>
          </w:tcPr>
          <w:p>
            <w:pPr>
              <w:spacing w:before="60" w:after="60" w:line="200" w:lineRule="exact"/>
              <w:jc w:val="right"/>
              <w:rPr>
                <w:b/>
                <w:noProof/>
                <w:sz w:val="16"/>
                <w:szCs w:val="16"/>
              </w:rPr>
            </w:pPr>
          </w:p>
        </w:tc>
        <w:tc>
          <w:tcPr>
            <w:tcW w:w="1698" w:type="dxa"/>
            <w:vAlign w:val="center"/>
          </w:tcPr>
          <w:p>
            <w:pPr>
              <w:spacing w:before="60" w:after="60" w:line="200" w:lineRule="exact"/>
              <w:jc w:val="right"/>
              <w:rPr>
                <w:b/>
                <w:noProof/>
                <w:sz w:val="16"/>
                <w:szCs w:val="16"/>
              </w:rPr>
            </w:pPr>
          </w:p>
        </w:tc>
      </w:tr>
      <w:tr>
        <w:trPr>
          <w:trHeight w:val="590"/>
        </w:trPr>
        <w:tc>
          <w:tcPr>
            <w:tcW w:w="1807" w:type="dxa"/>
            <w:vAlign w:val="center"/>
          </w:tcPr>
          <w:p>
            <w:pPr>
              <w:spacing w:before="60" w:after="60" w:line="200" w:lineRule="exact"/>
              <w:ind w:left="72"/>
              <w:jc w:val="left"/>
              <w:rPr>
                <w:noProof/>
                <w:sz w:val="16"/>
                <w:szCs w:val="16"/>
              </w:rPr>
            </w:pPr>
            <w:r>
              <w:rPr>
                <w:noProof/>
                <w:sz w:val="16"/>
              </w:rPr>
              <w:t xml:space="preserve">Human resources </w:t>
            </w:r>
          </w:p>
        </w:tc>
        <w:tc>
          <w:tcPr>
            <w:tcW w:w="767" w:type="dxa"/>
            <w:vAlign w:val="center"/>
          </w:tcPr>
          <w:p>
            <w:pPr>
              <w:spacing w:before="60" w:after="60" w:line="200" w:lineRule="exact"/>
              <w:jc w:val="right"/>
              <w:rPr>
                <w:noProof/>
                <w:sz w:val="16"/>
                <w:szCs w:val="16"/>
              </w:rPr>
            </w:pPr>
          </w:p>
        </w:tc>
        <w:tc>
          <w:tcPr>
            <w:tcW w:w="767" w:type="dxa"/>
            <w:vAlign w:val="center"/>
          </w:tcPr>
          <w:p>
            <w:pPr>
              <w:spacing w:before="60" w:after="60" w:line="200" w:lineRule="exact"/>
              <w:jc w:val="right"/>
              <w:rPr>
                <w:noProof/>
                <w:sz w:val="16"/>
                <w:szCs w:val="16"/>
              </w:rPr>
            </w:pPr>
          </w:p>
        </w:tc>
        <w:tc>
          <w:tcPr>
            <w:tcW w:w="747" w:type="dxa"/>
            <w:vAlign w:val="center"/>
          </w:tcPr>
          <w:p>
            <w:pPr>
              <w:spacing w:before="60" w:after="60" w:line="200" w:lineRule="exact"/>
              <w:jc w:val="right"/>
              <w:rPr>
                <w:noProof/>
                <w:sz w:val="16"/>
                <w:szCs w:val="16"/>
              </w:rPr>
            </w:pPr>
          </w:p>
        </w:tc>
        <w:tc>
          <w:tcPr>
            <w:tcW w:w="677" w:type="dxa"/>
            <w:vAlign w:val="center"/>
          </w:tcPr>
          <w:p>
            <w:pPr>
              <w:spacing w:before="60" w:after="60" w:line="200" w:lineRule="exact"/>
              <w:jc w:val="right"/>
              <w:rPr>
                <w:noProof/>
                <w:sz w:val="16"/>
                <w:szCs w:val="16"/>
              </w:rPr>
            </w:pPr>
          </w:p>
        </w:tc>
        <w:tc>
          <w:tcPr>
            <w:tcW w:w="767" w:type="dxa"/>
            <w:vAlign w:val="center"/>
          </w:tcPr>
          <w:p>
            <w:pPr>
              <w:spacing w:before="60" w:after="60" w:line="200" w:lineRule="exact"/>
              <w:jc w:val="right"/>
              <w:rPr>
                <w:noProof/>
                <w:sz w:val="16"/>
                <w:szCs w:val="16"/>
              </w:rPr>
            </w:pPr>
          </w:p>
        </w:tc>
        <w:tc>
          <w:tcPr>
            <w:tcW w:w="767" w:type="dxa"/>
            <w:vAlign w:val="center"/>
          </w:tcPr>
          <w:p>
            <w:pPr>
              <w:spacing w:before="60" w:after="60" w:line="200" w:lineRule="exact"/>
              <w:jc w:val="right"/>
              <w:rPr>
                <w:noProof/>
                <w:sz w:val="16"/>
                <w:szCs w:val="16"/>
              </w:rPr>
            </w:pPr>
          </w:p>
        </w:tc>
        <w:tc>
          <w:tcPr>
            <w:tcW w:w="767" w:type="dxa"/>
            <w:vAlign w:val="center"/>
          </w:tcPr>
          <w:p>
            <w:pPr>
              <w:spacing w:before="60" w:after="60" w:line="200" w:lineRule="exact"/>
              <w:jc w:val="right"/>
              <w:rPr>
                <w:b/>
                <w:noProof/>
                <w:sz w:val="16"/>
                <w:szCs w:val="16"/>
              </w:rPr>
            </w:pPr>
          </w:p>
        </w:tc>
        <w:tc>
          <w:tcPr>
            <w:tcW w:w="767" w:type="dxa"/>
            <w:vAlign w:val="center"/>
          </w:tcPr>
          <w:p>
            <w:pPr>
              <w:spacing w:before="60" w:after="60" w:line="200" w:lineRule="exact"/>
              <w:jc w:val="right"/>
              <w:rPr>
                <w:b/>
                <w:noProof/>
                <w:sz w:val="16"/>
                <w:szCs w:val="16"/>
              </w:rPr>
            </w:pPr>
          </w:p>
        </w:tc>
        <w:tc>
          <w:tcPr>
            <w:tcW w:w="876" w:type="dxa"/>
          </w:tcPr>
          <w:p>
            <w:pPr>
              <w:spacing w:before="60" w:after="60" w:line="200" w:lineRule="exact"/>
              <w:jc w:val="right"/>
              <w:rPr>
                <w:b/>
                <w:noProof/>
                <w:sz w:val="16"/>
                <w:szCs w:val="16"/>
              </w:rPr>
            </w:pPr>
          </w:p>
        </w:tc>
        <w:tc>
          <w:tcPr>
            <w:tcW w:w="1698" w:type="dxa"/>
          </w:tcPr>
          <w:p>
            <w:pPr>
              <w:spacing w:before="60" w:after="60" w:line="200" w:lineRule="exact"/>
              <w:jc w:val="right"/>
              <w:rPr>
                <w:b/>
                <w:noProof/>
                <w:sz w:val="16"/>
                <w:szCs w:val="16"/>
              </w:rPr>
            </w:pPr>
          </w:p>
        </w:tc>
      </w:tr>
      <w:tr>
        <w:trPr>
          <w:trHeight w:val="590"/>
        </w:trPr>
        <w:tc>
          <w:tcPr>
            <w:tcW w:w="1807" w:type="dxa"/>
            <w:vAlign w:val="center"/>
          </w:tcPr>
          <w:p>
            <w:pPr>
              <w:spacing w:before="60" w:after="60" w:line="200" w:lineRule="exact"/>
              <w:ind w:left="72"/>
              <w:jc w:val="left"/>
              <w:rPr>
                <w:noProof/>
                <w:sz w:val="16"/>
                <w:szCs w:val="16"/>
              </w:rPr>
            </w:pPr>
            <w:r>
              <w:rPr>
                <w:noProof/>
                <w:sz w:val="16"/>
              </w:rPr>
              <w:t xml:space="preserve">Other expenditure </w:t>
            </w:r>
            <w:r>
              <w:rPr>
                <w:noProof/>
                <w:sz w:val="22"/>
              </w:rPr>
              <w:br/>
            </w:r>
            <w:r>
              <w:rPr>
                <w:noProof/>
                <w:sz w:val="16"/>
              </w:rPr>
              <w:t>of an administrative nature</w:t>
            </w:r>
          </w:p>
        </w:tc>
        <w:tc>
          <w:tcPr>
            <w:tcW w:w="767" w:type="dxa"/>
            <w:vAlign w:val="center"/>
          </w:tcPr>
          <w:p>
            <w:pPr>
              <w:spacing w:before="60" w:after="60" w:line="200" w:lineRule="exact"/>
              <w:jc w:val="right"/>
              <w:rPr>
                <w:noProof/>
                <w:sz w:val="16"/>
                <w:szCs w:val="16"/>
              </w:rPr>
            </w:pPr>
          </w:p>
        </w:tc>
        <w:tc>
          <w:tcPr>
            <w:tcW w:w="767" w:type="dxa"/>
            <w:vAlign w:val="center"/>
          </w:tcPr>
          <w:p>
            <w:pPr>
              <w:spacing w:before="60" w:after="60" w:line="200" w:lineRule="exact"/>
              <w:jc w:val="right"/>
              <w:rPr>
                <w:noProof/>
                <w:sz w:val="16"/>
                <w:szCs w:val="16"/>
              </w:rPr>
            </w:pPr>
          </w:p>
        </w:tc>
        <w:tc>
          <w:tcPr>
            <w:tcW w:w="747" w:type="dxa"/>
            <w:vAlign w:val="center"/>
          </w:tcPr>
          <w:p>
            <w:pPr>
              <w:spacing w:before="60" w:after="60" w:line="200" w:lineRule="exact"/>
              <w:jc w:val="right"/>
              <w:rPr>
                <w:noProof/>
                <w:sz w:val="16"/>
                <w:szCs w:val="16"/>
              </w:rPr>
            </w:pPr>
          </w:p>
        </w:tc>
        <w:tc>
          <w:tcPr>
            <w:tcW w:w="677" w:type="dxa"/>
            <w:vAlign w:val="center"/>
          </w:tcPr>
          <w:p>
            <w:pPr>
              <w:spacing w:before="60" w:after="60" w:line="200" w:lineRule="exact"/>
              <w:jc w:val="right"/>
              <w:rPr>
                <w:noProof/>
                <w:sz w:val="16"/>
                <w:szCs w:val="16"/>
              </w:rPr>
            </w:pPr>
          </w:p>
        </w:tc>
        <w:tc>
          <w:tcPr>
            <w:tcW w:w="767" w:type="dxa"/>
            <w:vAlign w:val="center"/>
          </w:tcPr>
          <w:p>
            <w:pPr>
              <w:spacing w:before="60" w:after="60" w:line="200" w:lineRule="exact"/>
              <w:jc w:val="right"/>
              <w:rPr>
                <w:noProof/>
                <w:sz w:val="16"/>
                <w:szCs w:val="16"/>
              </w:rPr>
            </w:pPr>
          </w:p>
        </w:tc>
        <w:tc>
          <w:tcPr>
            <w:tcW w:w="767" w:type="dxa"/>
            <w:vAlign w:val="center"/>
          </w:tcPr>
          <w:p>
            <w:pPr>
              <w:spacing w:before="60" w:after="60" w:line="200" w:lineRule="exact"/>
              <w:jc w:val="right"/>
              <w:rPr>
                <w:noProof/>
                <w:sz w:val="16"/>
                <w:szCs w:val="16"/>
              </w:rPr>
            </w:pPr>
          </w:p>
        </w:tc>
        <w:tc>
          <w:tcPr>
            <w:tcW w:w="767" w:type="dxa"/>
            <w:vAlign w:val="center"/>
          </w:tcPr>
          <w:p>
            <w:pPr>
              <w:spacing w:before="60" w:after="60" w:line="200" w:lineRule="exact"/>
              <w:jc w:val="right"/>
              <w:rPr>
                <w:b/>
                <w:noProof/>
                <w:sz w:val="16"/>
                <w:szCs w:val="16"/>
              </w:rPr>
            </w:pPr>
          </w:p>
        </w:tc>
        <w:tc>
          <w:tcPr>
            <w:tcW w:w="767" w:type="dxa"/>
            <w:vAlign w:val="center"/>
          </w:tcPr>
          <w:p>
            <w:pPr>
              <w:spacing w:before="60" w:after="60" w:line="200" w:lineRule="exact"/>
              <w:jc w:val="right"/>
              <w:rPr>
                <w:b/>
                <w:noProof/>
                <w:sz w:val="16"/>
                <w:szCs w:val="16"/>
              </w:rPr>
            </w:pPr>
          </w:p>
        </w:tc>
        <w:tc>
          <w:tcPr>
            <w:tcW w:w="876" w:type="dxa"/>
          </w:tcPr>
          <w:p>
            <w:pPr>
              <w:spacing w:before="60" w:after="60" w:line="200" w:lineRule="exact"/>
              <w:jc w:val="right"/>
              <w:rPr>
                <w:b/>
                <w:noProof/>
                <w:sz w:val="16"/>
                <w:szCs w:val="16"/>
              </w:rPr>
            </w:pPr>
          </w:p>
        </w:tc>
        <w:tc>
          <w:tcPr>
            <w:tcW w:w="1698" w:type="dxa"/>
          </w:tcPr>
          <w:p>
            <w:pPr>
              <w:spacing w:before="60" w:after="60" w:line="200" w:lineRule="exact"/>
              <w:jc w:val="right"/>
              <w:rPr>
                <w:b/>
                <w:noProof/>
                <w:sz w:val="16"/>
                <w:szCs w:val="16"/>
              </w:rPr>
            </w:pPr>
          </w:p>
        </w:tc>
      </w:tr>
      <w:tr>
        <w:trPr>
          <w:trHeight w:val="590"/>
        </w:trPr>
        <w:tc>
          <w:tcPr>
            <w:tcW w:w="1807" w:type="dxa"/>
            <w:shd w:val="clear" w:color="auto" w:fill="CCCCCC"/>
            <w:vAlign w:val="center"/>
          </w:tcPr>
          <w:p>
            <w:pPr>
              <w:spacing w:before="60" w:after="60" w:line="200" w:lineRule="exact"/>
              <w:jc w:val="center"/>
              <w:rPr>
                <w:b/>
                <w:noProof/>
                <w:sz w:val="16"/>
                <w:szCs w:val="16"/>
              </w:rPr>
            </w:pPr>
            <w:r>
              <w:rPr>
                <w:b/>
                <w:noProof/>
                <w:sz w:val="16"/>
              </w:rPr>
              <w:t xml:space="preserve">Subtotal </w:t>
            </w:r>
            <w:r>
              <w:rPr>
                <w:noProof/>
                <w:sz w:val="22"/>
              </w:rPr>
              <w:br/>
            </w:r>
            <w:r>
              <w:rPr>
                <w:b/>
                <w:noProof/>
                <w:sz w:val="16"/>
              </w:rPr>
              <w:t>outside HEADING 5</w:t>
            </w:r>
            <w:r>
              <w:rPr>
                <w:noProof/>
                <w:sz w:val="22"/>
              </w:rPr>
              <w:br/>
            </w:r>
            <w:r>
              <w:rPr>
                <w:b/>
                <w:noProof/>
                <w:sz w:val="16"/>
              </w:rPr>
              <w:t xml:space="preserve">of the multiannual financial framework </w:t>
            </w:r>
          </w:p>
        </w:tc>
        <w:tc>
          <w:tcPr>
            <w:tcW w:w="767" w:type="dxa"/>
            <w:vAlign w:val="center"/>
          </w:tcPr>
          <w:p>
            <w:pPr>
              <w:spacing w:before="60" w:after="60" w:line="200" w:lineRule="exact"/>
              <w:jc w:val="right"/>
              <w:rPr>
                <w:noProof/>
                <w:sz w:val="16"/>
                <w:szCs w:val="16"/>
              </w:rPr>
            </w:pPr>
          </w:p>
        </w:tc>
        <w:tc>
          <w:tcPr>
            <w:tcW w:w="767" w:type="dxa"/>
            <w:vAlign w:val="center"/>
          </w:tcPr>
          <w:p>
            <w:pPr>
              <w:spacing w:before="60" w:after="60" w:line="200" w:lineRule="exact"/>
              <w:jc w:val="right"/>
              <w:rPr>
                <w:noProof/>
                <w:sz w:val="16"/>
                <w:szCs w:val="16"/>
              </w:rPr>
            </w:pPr>
          </w:p>
        </w:tc>
        <w:tc>
          <w:tcPr>
            <w:tcW w:w="747" w:type="dxa"/>
            <w:vAlign w:val="center"/>
          </w:tcPr>
          <w:p>
            <w:pPr>
              <w:spacing w:before="60" w:after="60" w:line="200" w:lineRule="exact"/>
              <w:jc w:val="right"/>
              <w:rPr>
                <w:noProof/>
                <w:sz w:val="16"/>
                <w:szCs w:val="16"/>
              </w:rPr>
            </w:pPr>
          </w:p>
        </w:tc>
        <w:tc>
          <w:tcPr>
            <w:tcW w:w="677" w:type="dxa"/>
            <w:vAlign w:val="center"/>
          </w:tcPr>
          <w:p>
            <w:pPr>
              <w:spacing w:before="60" w:after="60" w:line="200" w:lineRule="exact"/>
              <w:jc w:val="right"/>
              <w:rPr>
                <w:noProof/>
                <w:sz w:val="16"/>
                <w:szCs w:val="16"/>
              </w:rPr>
            </w:pPr>
          </w:p>
        </w:tc>
        <w:tc>
          <w:tcPr>
            <w:tcW w:w="767" w:type="dxa"/>
            <w:vAlign w:val="center"/>
          </w:tcPr>
          <w:p>
            <w:pPr>
              <w:spacing w:before="60" w:after="60" w:line="200" w:lineRule="exact"/>
              <w:jc w:val="right"/>
              <w:rPr>
                <w:noProof/>
                <w:sz w:val="16"/>
                <w:szCs w:val="16"/>
              </w:rPr>
            </w:pPr>
          </w:p>
        </w:tc>
        <w:tc>
          <w:tcPr>
            <w:tcW w:w="767" w:type="dxa"/>
            <w:vAlign w:val="center"/>
          </w:tcPr>
          <w:p>
            <w:pPr>
              <w:spacing w:before="60" w:after="60" w:line="200" w:lineRule="exact"/>
              <w:jc w:val="right"/>
              <w:rPr>
                <w:noProof/>
                <w:sz w:val="16"/>
                <w:szCs w:val="16"/>
              </w:rPr>
            </w:pPr>
          </w:p>
        </w:tc>
        <w:tc>
          <w:tcPr>
            <w:tcW w:w="767" w:type="dxa"/>
            <w:vAlign w:val="center"/>
          </w:tcPr>
          <w:p>
            <w:pPr>
              <w:spacing w:before="60" w:after="60" w:line="200" w:lineRule="exact"/>
              <w:jc w:val="right"/>
              <w:rPr>
                <w:b/>
                <w:noProof/>
                <w:sz w:val="16"/>
                <w:szCs w:val="16"/>
              </w:rPr>
            </w:pPr>
          </w:p>
        </w:tc>
        <w:tc>
          <w:tcPr>
            <w:tcW w:w="767" w:type="dxa"/>
            <w:vAlign w:val="center"/>
          </w:tcPr>
          <w:p>
            <w:pPr>
              <w:spacing w:before="60" w:after="60" w:line="200" w:lineRule="exact"/>
              <w:jc w:val="right"/>
              <w:rPr>
                <w:b/>
                <w:noProof/>
                <w:sz w:val="16"/>
                <w:szCs w:val="16"/>
              </w:rPr>
            </w:pPr>
          </w:p>
        </w:tc>
        <w:tc>
          <w:tcPr>
            <w:tcW w:w="876" w:type="dxa"/>
            <w:vAlign w:val="center"/>
          </w:tcPr>
          <w:p>
            <w:pPr>
              <w:spacing w:before="60" w:after="60" w:line="200" w:lineRule="exact"/>
              <w:jc w:val="right"/>
              <w:rPr>
                <w:b/>
                <w:noProof/>
                <w:sz w:val="16"/>
                <w:szCs w:val="16"/>
              </w:rPr>
            </w:pPr>
          </w:p>
        </w:tc>
        <w:tc>
          <w:tcPr>
            <w:tcW w:w="1698" w:type="dxa"/>
          </w:tcPr>
          <w:p>
            <w:pPr>
              <w:spacing w:before="60" w:after="60" w:line="200" w:lineRule="exact"/>
              <w:jc w:val="right"/>
              <w:rPr>
                <w:b/>
                <w:noProof/>
                <w:sz w:val="16"/>
                <w:szCs w:val="16"/>
              </w:rPr>
            </w:pPr>
          </w:p>
        </w:tc>
      </w:tr>
    </w:tbl>
    <w:p>
      <w:pPr>
        <w:spacing w:line="200" w:lineRule="exact"/>
        <w:rPr>
          <w:noProof/>
          <w:sz w:val="16"/>
          <w:szCs w:val="16"/>
        </w:rPr>
      </w:pPr>
    </w:p>
    <w:tbl>
      <w:tblPr>
        <w:tblW w:w="10438" w:type="dxa"/>
        <w:tblInd w:w="-612" w:type="dxa"/>
        <w:tblLayout w:type="fixed"/>
        <w:tblLook w:val="01E0" w:firstRow="1" w:lastRow="1" w:firstColumn="1" w:lastColumn="1" w:noHBand="0" w:noVBand="0"/>
      </w:tblPr>
      <w:tblGrid>
        <w:gridCol w:w="1813"/>
        <w:gridCol w:w="769"/>
        <w:gridCol w:w="769"/>
        <w:gridCol w:w="735"/>
        <w:gridCol w:w="693"/>
        <w:gridCol w:w="769"/>
        <w:gridCol w:w="769"/>
        <w:gridCol w:w="769"/>
        <w:gridCol w:w="769"/>
        <w:gridCol w:w="879"/>
        <w:gridCol w:w="1704"/>
      </w:tblGrid>
      <w:tr>
        <w:trPr>
          <w:trHeight w:val="562"/>
        </w:trPr>
        <w:tc>
          <w:tcPr>
            <w:tcW w:w="1813" w:type="dxa"/>
            <w:tcBorders>
              <w:top w:val="single" w:sz="12" w:space="0" w:color="auto"/>
              <w:left w:val="single" w:sz="12" w:space="0" w:color="auto"/>
              <w:bottom w:val="single" w:sz="12" w:space="0" w:color="auto"/>
              <w:right w:val="single" w:sz="2" w:space="0" w:color="auto"/>
            </w:tcBorders>
            <w:vAlign w:val="center"/>
          </w:tcPr>
          <w:p>
            <w:pPr>
              <w:spacing w:before="60" w:after="60" w:line="200" w:lineRule="exact"/>
              <w:jc w:val="center"/>
              <w:rPr>
                <w:noProof/>
                <w:sz w:val="16"/>
                <w:szCs w:val="16"/>
              </w:rPr>
            </w:pPr>
            <w:r>
              <w:rPr>
                <w:b/>
                <w:noProof/>
                <w:sz w:val="16"/>
              </w:rPr>
              <w:t>TOTAL</w:t>
            </w:r>
          </w:p>
        </w:tc>
        <w:tc>
          <w:tcPr>
            <w:tcW w:w="769" w:type="dxa"/>
            <w:tcBorders>
              <w:top w:val="single" w:sz="12" w:space="0" w:color="auto"/>
              <w:left w:val="single" w:sz="2" w:space="0" w:color="auto"/>
              <w:bottom w:val="single" w:sz="12" w:space="0" w:color="auto"/>
              <w:right w:val="single" w:sz="2" w:space="0" w:color="auto"/>
            </w:tcBorders>
          </w:tcPr>
          <w:p>
            <w:pPr>
              <w:spacing w:before="60" w:after="60" w:line="200" w:lineRule="exact"/>
              <w:jc w:val="center"/>
              <w:rPr>
                <w:b/>
                <w:noProof/>
                <w:sz w:val="20"/>
              </w:rPr>
            </w:pPr>
            <w:r>
              <w:rPr>
                <w:b/>
                <w:noProof/>
                <w:sz w:val="20"/>
              </w:rPr>
              <w:t xml:space="preserve">1,013 </w:t>
            </w:r>
          </w:p>
        </w:tc>
        <w:tc>
          <w:tcPr>
            <w:tcW w:w="769" w:type="dxa"/>
            <w:tcBorders>
              <w:top w:val="single" w:sz="12" w:space="0" w:color="auto"/>
              <w:left w:val="single" w:sz="2" w:space="0" w:color="auto"/>
              <w:bottom w:val="single" w:sz="12" w:space="0" w:color="auto"/>
              <w:right w:val="single" w:sz="2" w:space="0" w:color="auto"/>
            </w:tcBorders>
          </w:tcPr>
          <w:p>
            <w:pPr>
              <w:spacing w:before="60" w:after="60" w:line="200" w:lineRule="exact"/>
              <w:jc w:val="center"/>
              <w:rPr>
                <w:b/>
                <w:noProof/>
                <w:sz w:val="20"/>
              </w:rPr>
            </w:pPr>
            <w:r>
              <w:rPr>
                <w:b/>
                <w:noProof/>
                <w:sz w:val="20"/>
              </w:rPr>
              <w:t xml:space="preserve">1,013 </w:t>
            </w:r>
          </w:p>
        </w:tc>
        <w:tc>
          <w:tcPr>
            <w:tcW w:w="735" w:type="dxa"/>
            <w:tcBorders>
              <w:top w:val="single" w:sz="12" w:space="0" w:color="auto"/>
              <w:left w:val="single" w:sz="2" w:space="0" w:color="auto"/>
              <w:bottom w:val="single" w:sz="12" w:space="0" w:color="auto"/>
              <w:right w:val="single" w:sz="2" w:space="0" w:color="auto"/>
            </w:tcBorders>
          </w:tcPr>
          <w:p>
            <w:pPr>
              <w:spacing w:before="60" w:after="60" w:line="200" w:lineRule="exact"/>
              <w:jc w:val="center"/>
              <w:rPr>
                <w:b/>
                <w:noProof/>
                <w:sz w:val="20"/>
              </w:rPr>
            </w:pPr>
            <w:r>
              <w:rPr>
                <w:b/>
                <w:noProof/>
                <w:sz w:val="20"/>
              </w:rPr>
              <w:t xml:space="preserve">1,013 </w:t>
            </w:r>
          </w:p>
        </w:tc>
        <w:tc>
          <w:tcPr>
            <w:tcW w:w="693" w:type="dxa"/>
            <w:tcBorders>
              <w:top w:val="single" w:sz="12" w:space="0" w:color="auto"/>
              <w:left w:val="single" w:sz="2" w:space="0" w:color="auto"/>
              <w:bottom w:val="single" w:sz="12" w:space="0" w:color="auto"/>
              <w:right w:val="single" w:sz="2" w:space="0" w:color="auto"/>
            </w:tcBorders>
          </w:tcPr>
          <w:p>
            <w:pPr>
              <w:spacing w:before="60" w:after="60" w:line="200" w:lineRule="exact"/>
              <w:jc w:val="center"/>
              <w:rPr>
                <w:b/>
                <w:noProof/>
                <w:sz w:val="20"/>
              </w:rPr>
            </w:pPr>
            <w:r>
              <w:rPr>
                <w:b/>
                <w:noProof/>
                <w:sz w:val="20"/>
              </w:rPr>
              <w:t xml:space="preserve">1,013 </w:t>
            </w:r>
          </w:p>
        </w:tc>
        <w:tc>
          <w:tcPr>
            <w:tcW w:w="769" w:type="dxa"/>
            <w:tcBorders>
              <w:top w:val="single" w:sz="12" w:space="0" w:color="auto"/>
              <w:left w:val="single" w:sz="2" w:space="0" w:color="auto"/>
              <w:bottom w:val="single" w:sz="12" w:space="0" w:color="auto"/>
              <w:right w:val="single" w:sz="2" w:space="0" w:color="auto"/>
            </w:tcBorders>
          </w:tcPr>
          <w:p>
            <w:pPr>
              <w:spacing w:before="60" w:after="60" w:line="200" w:lineRule="exact"/>
              <w:jc w:val="center"/>
              <w:rPr>
                <w:b/>
                <w:noProof/>
                <w:sz w:val="20"/>
              </w:rPr>
            </w:pPr>
            <w:r>
              <w:rPr>
                <w:b/>
                <w:noProof/>
                <w:sz w:val="20"/>
              </w:rPr>
              <w:t xml:space="preserve">1,013 </w:t>
            </w:r>
          </w:p>
        </w:tc>
        <w:tc>
          <w:tcPr>
            <w:tcW w:w="769" w:type="dxa"/>
            <w:tcBorders>
              <w:top w:val="single" w:sz="12" w:space="0" w:color="auto"/>
              <w:left w:val="single" w:sz="2" w:space="0" w:color="auto"/>
              <w:bottom w:val="single" w:sz="12" w:space="0" w:color="auto"/>
              <w:right w:val="single" w:sz="2" w:space="0" w:color="auto"/>
            </w:tcBorders>
          </w:tcPr>
          <w:p>
            <w:pPr>
              <w:spacing w:before="60" w:after="60" w:line="200" w:lineRule="exact"/>
              <w:jc w:val="center"/>
              <w:rPr>
                <w:b/>
                <w:noProof/>
                <w:sz w:val="20"/>
              </w:rPr>
            </w:pPr>
            <w:r>
              <w:rPr>
                <w:b/>
                <w:noProof/>
                <w:sz w:val="20"/>
              </w:rPr>
              <w:t xml:space="preserve">1,013 </w:t>
            </w:r>
          </w:p>
        </w:tc>
        <w:tc>
          <w:tcPr>
            <w:tcW w:w="769" w:type="dxa"/>
            <w:tcBorders>
              <w:top w:val="single" w:sz="12" w:space="0" w:color="auto"/>
              <w:left w:val="single" w:sz="2" w:space="0" w:color="auto"/>
              <w:bottom w:val="single" w:sz="12" w:space="0" w:color="auto"/>
              <w:right w:val="single" w:sz="2" w:space="0" w:color="auto"/>
            </w:tcBorders>
          </w:tcPr>
          <w:p>
            <w:pPr>
              <w:spacing w:before="60" w:after="60" w:line="200" w:lineRule="exact"/>
              <w:jc w:val="center"/>
              <w:rPr>
                <w:b/>
                <w:noProof/>
                <w:sz w:val="20"/>
              </w:rPr>
            </w:pPr>
            <w:r>
              <w:rPr>
                <w:b/>
                <w:noProof/>
                <w:sz w:val="20"/>
              </w:rPr>
              <w:t xml:space="preserve">0,539 </w:t>
            </w:r>
          </w:p>
        </w:tc>
        <w:tc>
          <w:tcPr>
            <w:tcW w:w="769" w:type="dxa"/>
            <w:tcBorders>
              <w:top w:val="single" w:sz="12" w:space="0" w:color="auto"/>
              <w:left w:val="single" w:sz="2" w:space="0" w:color="auto"/>
              <w:bottom w:val="single" w:sz="12" w:space="0" w:color="auto"/>
              <w:right w:val="single" w:sz="12" w:space="0" w:color="auto"/>
            </w:tcBorders>
          </w:tcPr>
          <w:p>
            <w:pPr>
              <w:spacing w:before="60" w:after="60" w:line="200" w:lineRule="exact"/>
              <w:jc w:val="center"/>
              <w:rPr>
                <w:b/>
                <w:noProof/>
                <w:sz w:val="20"/>
              </w:rPr>
            </w:pPr>
            <w:r>
              <w:rPr>
                <w:b/>
                <w:noProof/>
                <w:sz w:val="20"/>
              </w:rPr>
              <w:t xml:space="preserve">0,539 </w:t>
            </w:r>
          </w:p>
        </w:tc>
        <w:tc>
          <w:tcPr>
            <w:tcW w:w="879" w:type="dxa"/>
            <w:tcBorders>
              <w:top w:val="single" w:sz="12" w:space="0" w:color="auto"/>
              <w:left w:val="single" w:sz="2" w:space="0" w:color="auto"/>
              <w:bottom w:val="single" w:sz="12" w:space="0" w:color="auto"/>
              <w:right w:val="single" w:sz="12" w:space="0" w:color="auto"/>
            </w:tcBorders>
          </w:tcPr>
          <w:p>
            <w:pPr>
              <w:spacing w:before="60" w:after="60" w:line="200" w:lineRule="exact"/>
              <w:jc w:val="center"/>
              <w:rPr>
                <w:b/>
                <w:noProof/>
                <w:sz w:val="20"/>
              </w:rPr>
            </w:pPr>
            <w:r>
              <w:rPr>
                <w:b/>
                <w:noProof/>
                <w:sz w:val="20"/>
              </w:rPr>
              <w:t xml:space="preserve">0,539 </w:t>
            </w:r>
          </w:p>
        </w:tc>
        <w:tc>
          <w:tcPr>
            <w:tcW w:w="1704" w:type="dxa"/>
            <w:tcBorders>
              <w:top w:val="single" w:sz="12" w:space="0" w:color="auto"/>
              <w:left w:val="single" w:sz="2" w:space="0" w:color="auto"/>
              <w:bottom w:val="single" w:sz="12" w:space="0" w:color="auto"/>
              <w:right w:val="single" w:sz="12" w:space="0" w:color="auto"/>
            </w:tcBorders>
          </w:tcPr>
          <w:p>
            <w:pPr>
              <w:spacing w:before="60" w:after="60" w:line="200" w:lineRule="exact"/>
              <w:jc w:val="center"/>
              <w:rPr>
                <w:b/>
                <w:noProof/>
                <w:sz w:val="20"/>
              </w:rPr>
            </w:pPr>
            <w:r>
              <w:rPr>
                <w:b/>
                <w:noProof/>
                <w:sz w:val="20"/>
              </w:rPr>
              <w:t xml:space="preserve">7,695 </w:t>
            </w:r>
          </w:p>
        </w:tc>
      </w:tr>
    </w:tbl>
    <w:p>
      <w:pPr>
        <w:rPr>
          <w:noProof/>
          <w:sz w:val="20"/>
        </w:rPr>
      </w:pPr>
    </w:p>
    <w:p>
      <w:pPr>
        <w:rPr>
          <w:noProof/>
          <w:sz w:val="20"/>
        </w:rPr>
      </w:pPr>
    </w:p>
    <w:p>
      <w:pPr>
        <w:rPr>
          <w:noProof/>
          <w:sz w:val="18"/>
        </w:rPr>
        <w:sectPr>
          <w:headerReference w:type="default" r:id="rId28"/>
          <w:footerReference w:type="default" r:id="rId29"/>
          <w:headerReference w:type="first" r:id="rId30"/>
          <w:footerReference w:type="first" r:id="rId31"/>
          <w:pgSz w:w="11907" w:h="16840"/>
          <w:pgMar w:top="1134" w:right="1418" w:bottom="1134" w:left="1418" w:header="709" w:footer="709" w:gutter="0"/>
          <w:cols w:space="708"/>
          <w:docGrid w:linePitch="360"/>
        </w:sectPr>
      </w:pPr>
      <w:r>
        <w:rPr>
          <w:noProof/>
          <w:sz w:val="18"/>
        </w:rPr>
        <w:t>.</w:t>
      </w:r>
    </w:p>
    <w:p>
      <w:pPr>
        <w:pStyle w:val="ManualHeading4"/>
        <w:rPr>
          <w:bCs/>
          <w:noProof/>
          <w:szCs w:val="24"/>
        </w:rPr>
      </w:pPr>
      <w:r>
        <w:t>3.2.4.2.</w:t>
      </w:r>
      <w:r>
        <w:tab/>
      </w:r>
      <w:r>
        <w:rPr>
          <w:noProof/>
        </w:rPr>
        <w:t>Estimated requirements of human resources</w:t>
      </w:r>
    </w:p>
    <w:p>
      <w:pPr>
        <w:pStyle w:val="ListDash1"/>
        <w:rPr>
          <w:noProof/>
        </w:rPr>
      </w:pPr>
      <w:r>
        <w:rPr>
          <w:noProof/>
        </w:rPr>
        <w:sym w:font="Wingdings" w:char="F0A8"/>
      </w:r>
      <w:r>
        <w:rPr>
          <w:noProof/>
        </w:rPr>
        <w:tab/>
        <w:t xml:space="preserve">The proposal/initiative does not require the use of human resources. </w:t>
      </w:r>
    </w:p>
    <w:p>
      <w:pPr>
        <w:pStyle w:val="ListDash1"/>
        <w:rPr>
          <w:noProof/>
        </w:rPr>
      </w:pPr>
      <w:r>
        <w:rPr>
          <w:noProof/>
        </w:rPr>
        <w:sym w:font="Wingdings" w:char="F078"/>
      </w:r>
      <w:r>
        <w:rPr>
          <w:noProof/>
        </w:rPr>
        <w:tab/>
        <w:t>The proposal/initiative requires the use of human resources, as explained below:</w:t>
      </w:r>
    </w:p>
    <w:p>
      <w:pPr>
        <w:spacing w:after="60"/>
        <w:jc w:val="right"/>
        <w:rPr>
          <w:i/>
          <w:noProof/>
          <w:sz w:val="20"/>
        </w:rPr>
      </w:pPr>
      <w:r>
        <w:rPr>
          <w:i/>
          <w:noProof/>
          <w:sz w:val="20"/>
        </w:rPr>
        <w:t>Estimate to be expressed in full time equivalent units</w:t>
      </w:r>
    </w:p>
    <w:tbl>
      <w:tblPr>
        <w:tblW w:w="4914"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593"/>
        <w:gridCol w:w="29"/>
        <w:gridCol w:w="677"/>
        <w:gridCol w:w="1320"/>
        <w:gridCol w:w="621"/>
        <w:gridCol w:w="622"/>
        <w:gridCol w:w="599"/>
        <w:gridCol w:w="615"/>
        <w:gridCol w:w="597"/>
        <w:gridCol w:w="599"/>
        <w:gridCol w:w="599"/>
        <w:gridCol w:w="602"/>
        <w:gridCol w:w="778"/>
        <w:gridCol w:w="876"/>
      </w:tblGrid>
      <w:tr>
        <w:trPr>
          <w:trHeight w:val="289"/>
          <w:jc w:val="center"/>
        </w:trPr>
        <w:tc>
          <w:tcPr>
            <w:tcW w:w="1435" w:type="pct"/>
            <w:gridSpan w:val="4"/>
            <w:tcBorders>
              <w:left w:val="single" w:sz="6" w:space="0" w:color="auto"/>
            </w:tcBorders>
            <w:shd w:val="clear" w:color="auto" w:fill="auto"/>
          </w:tcPr>
          <w:p>
            <w:pPr>
              <w:spacing w:before="40" w:after="40"/>
              <w:rPr>
                <w:i/>
                <w:noProof/>
                <w:sz w:val="16"/>
                <w:szCs w:val="16"/>
              </w:rPr>
            </w:pPr>
          </w:p>
        </w:tc>
        <w:tc>
          <w:tcPr>
            <w:tcW w:w="340" w:type="pct"/>
            <w:vAlign w:val="center"/>
          </w:tcPr>
          <w:p>
            <w:pPr>
              <w:spacing w:before="20" w:after="20"/>
              <w:jc w:val="center"/>
              <w:rPr>
                <w:noProof/>
                <w:sz w:val="16"/>
                <w:szCs w:val="16"/>
              </w:rPr>
            </w:pPr>
            <w:r>
              <w:rPr>
                <w:noProof/>
                <w:sz w:val="16"/>
              </w:rPr>
              <w:t>Year</w:t>
            </w:r>
            <w:r>
              <w:rPr>
                <w:noProof/>
                <w:sz w:val="22"/>
              </w:rPr>
              <w:br/>
            </w:r>
            <w:r>
              <w:rPr>
                <w:b/>
                <w:noProof/>
                <w:sz w:val="16"/>
              </w:rPr>
              <w:t>2019</w:t>
            </w:r>
          </w:p>
        </w:tc>
        <w:tc>
          <w:tcPr>
            <w:tcW w:w="341" w:type="pct"/>
            <w:shd w:val="clear" w:color="auto" w:fill="auto"/>
            <w:vAlign w:val="center"/>
          </w:tcPr>
          <w:p>
            <w:pPr>
              <w:spacing w:before="20" w:after="20"/>
              <w:jc w:val="center"/>
              <w:rPr>
                <w:noProof/>
                <w:sz w:val="16"/>
                <w:szCs w:val="16"/>
              </w:rPr>
            </w:pPr>
            <w:r>
              <w:rPr>
                <w:noProof/>
                <w:sz w:val="16"/>
              </w:rPr>
              <w:t>Year</w:t>
            </w:r>
            <w:r>
              <w:rPr>
                <w:noProof/>
                <w:sz w:val="22"/>
              </w:rPr>
              <w:br/>
            </w:r>
            <w:r>
              <w:rPr>
                <w:b/>
                <w:noProof/>
                <w:sz w:val="16"/>
              </w:rPr>
              <w:t>2020</w:t>
            </w:r>
          </w:p>
        </w:tc>
        <w:tc>
          <w:tcPr>
            <w:tcW w:w="328" w:type="pct"/>
            <w:shd w:val="clear" w:color="auto" w:fill="auto"/>
            <w:vAlign w:val="center"/>
          </w:tcPr>
          <w:p>
            <w:pPr>
              <w:spacing w:before="20" w:after="20"/>
              <w:jc w:val="center"/>
              <w:rPr>
                <w:b/>
                <w:noProof/>
                <w:sz w:val="16"/>
                <w:szCs w:val="16"/>
              </w:rPr>
            </w:pPr>
            <w:r>
              <w:rPr>
                <w:noProof/>
                <w:sz w:val="16"/>
                <w:szCs w:val="16"/>
              </w:rPr>
              <w:t>Year</w:t>
            </w:r>
            <w:r>
              <w:rPr>
                <w:noProof/>
                <w:sz w:val="16"/>
                <w:szCs w:val="16"/>
              </w:rPr>
              <w:br/>
            </w:r>
            <w:r>
              <w:rPr>
                <w:b/>
                <w:noProof/>
                <w:sz w:val="16"/>
                <w:szCs w:val="16"/>
              </w:rPr>
              <w:t>2021</w:t>
            </w:r>
          </w:p>
        </w:tc>
        <w:tc>
          <w:tcPr>
            <w:tcW w:w="337" w:type="pct"/>
            <w:shd w:val="clear" w:color="auto" w:fill="auto"/>
            <w:vAlign w:val="center"/>
          </w:tcPr>
          <w:p>
            <w:pPr>
              <w:spacing w:before="20" w:after="20"/>
              <w:jc w:val="center"/>
              <w:rPr>
                <w:b/>
                <w:noProof/>
                <w:sz w:val="16"/>
                <w:szCs w:val="16"/>
              </w:rPr>
            </w:pPr>
            <w:r>
              <w:rPr>
                <w:noProof/>
                <w:sz w:val="16"/>
                <w:szCs w:val="16"/>
              </w:rPr>
              <w:t>Year</w:t>
            </w:r>
            <w:r>
              <w:rPr>
                <w:b/>
                <w:noProof/>
                <w:sz w:val="16"/>
                <w:szCs w:val="16"/>
              </w:rPr>
              <w:br/>
              <w:t>2022</w:t>
            </w:r>
          </w:p>
        </w:tc>
        <w:tc>
          <w:tcPr>
            <w:tcW w:w="327" w:type="pct"/>
            <w:shd w:val="clear" w:color="auto" w:fill="auto"/>
            <w:vAlign w:val="center"/>
          </w:tcPr>
          <w:p>
            <w:pPr>
              <w:jc w:val="center"/>
              <w:rPr>
                <w:b/>
                <w:noProof/>
                <w:sz w:val="16"/>
                <w:szCs w:val="16"/>
              </w:rPr>
            </w:pPr>
            <w:r>
              <w:rPr>
                <w:noProof/>
                <w:sz w:val="16"/>
                <w:szCs w:val="16"/>
              </w:rPr>
              <w:t>Year</w:t>
            </w:r>
            <w:r>
              <w:rPr>
                <w:b/>
                <w:noProof/>
                <w:sz w:val="16"/>
                <w:szCs w:val="16"/>
              </w:rPr>
              <w:br/>
              <w:t>2023</w:t>
            </w:r>
          </w:p>
        </w:tc>
        <w:tc>
          <w:tcPr>
            <w:tcW w:w="328" w:type="pct"/>
            <w:shd w:val="clear" w:color="auto" w:fill="auto"/>
            <w:vAlign w:val="center"/>
          </w:tcPr>
          <w:p>
            <w:pPr>
              <w:jc w:val="center"/>
              <w:rPr>
                <w:b/>
                <w:noProof/>
                <w:sz w:val="16"/>
                <w:szCs w:val="16"/>
              </w:rPr>
            </w:pPr>
            <w:r>
              <w:rPr>
                <w:noProof/>
                <w:sz w:val="16"/>
                <w:szCs w:val="16"/>
              </w:rPr>
              <w:t>Year</w:t>
            </w:r>
            <w:r>
              <w:rPr>
                <w:b/>
                <w:noProof/>
                <w:sz w:val="16"/>
                <w:szCs w:val="16"/>
              </w:rPr>
              <w:br/>
              <w:t>2024</w:t>
            </w:r>
          </w:p>
        </w:tc>
        <w:tc>
          <w:tcPr>
            <w:tcW w:w="328" w:type="pct"/>
            <w:shd w:val="clear" w:color="auto" w:fill="auto"/>
            <w:vAlign w:val="center"/>
          </w:tcPr>
          <w:p>
            <w:pPr>
              <w:jc w:val="center"/>
              <w:rPr>
                <w:b/>
                <w:noProof/>
                <w:sz w:val="16"/>
                <w:szCs w:val="16"/>
              </w:rPr>
            </w:pPr>
            <w:r>
              <w:rPr>
                <w:noProof/>
                <w:sz w:val="16"/>
                <w:szCs w:val="16"/>
              </w:rPr>
              <w:t>Year</w:t>
            </w:r>
            <w:r>
              <w:rPr>
                <w:b/>
                <w:noProof/>
                <w:sz w:val="16"/>
                <w:szCs w:val="16"/>
              </w:rPr>
              <w:br/>
              <w:t>2025</w:t>
            </w:r>
          </w:p>
        </w:tc>
        <w:tc>
          <w:tcPr>
            <w:tcW w:w="330" w:type="pct"/>
            <w:tcBorders>
              <w:right w:val="nil"/>
            </w:tcBorders>
            <w:shd w:val="clear" w:color="auto" w:fill="auto"/>
          </w:tcPr>
          <w:p>
            <w:pPr>
              <w:jc w:val="center"/>
              <w:rPr>
                <w:noProof/>
                <w:sz w:val="16"/>
                <w:szCs w:val="16"/>
              </w:rPr>
            </w:pPr>
            <w:r>
              <w:rPr>
                <w:noProof/>
                <w:sz w:val="16"/>
                <w:szCs w:val="16"/>
              </w:rPr>
              <w:t>Year</w:t>
            </w:r>
            <w:r>
              <w:rPr>
                <w:b/>
                <w:noProof/>
                <w:sz w:val="16"/>
                <w:szCs w:val="16"/>
              </w:rPr>
              <w:br/>
              <w:t>2026</w:t>
            </w:r>
          </w:p>
        </w:tc>
        <w:tc>
          <w:tcPr>
            <w:tcW w:w="426" w:type="pct"/>
            <w:tcBorders>
              <w:right w:val="nil"/>
            </w:tcBorders>
          </w:tcPr>
          <w:p>
            <w:pPr>
              <w:jc w:val="center"/>
              <w:rPr>
                <w:noProof/>
                <w:sz w:val="16"/>
                <w:szCs w:val="16"/>
              </w:rPr>
            </w:pPr>
            <w:r>
              <w:rPr>
                <w:noProof/>
                <w:sz w:val="16"/>
                <w:szCs w:val="16"/>
              </w:rPr>
              <w:t>Year</w:t>
            </w:r>
            <w:r>
              <w:rPr>
                <w:b/>
                <w:noProof/>
                <w:sz w:val="16"/>
                <w:szCs w:val="16"/>
              </w:rPr>
              <w:br/>
              <w:t>2027</w:t>
            </w:r>
          </w:p>
        </w:tc>
        <w:tc>
          <w:tcPr>
            <w:tcW w:w="480" w:type="pct"/>
            <w:tcBorders>
              <w:right w:val="single" w:sz="6" w:space="0" w:color="auto"/>
            </w:tcBorders>
          </w:tcPr>
          <w:p>
            <w:pPr>
              <w:jc w:val="center"/>
              <w:rPr>
                <w:b/>
                <w:noProof/>
                <w:sz w:val="16"/>
                <w:szCs w:val="16"/>
              </w:rPr>
            </w:pPr>
            <w:r>
              <w:rPr>
                <w:b/>
                <w:noProof/>
                <w:sz w:val="16"/>
                <w:szCs w:val="16"/>
              </w:rPr>
              <w:t>TOTAL</w:t>
            </w:r>
          </w:p>
        </w:tc>
      </w:tr>
      <w:tr>
        <w:trPr>
          <w:trHeight w:val="289"/>
          <w:jc w:val="center"/>
        </w:trPr>
        <w:tc>
          <w:tcPr>
            <w:tcW w:w="341" w:type="pct"/>
            <w:gridSpan w:val="2"/>
            <w:tcBorders>
              <w:left w:val="single" w:sz="6" w:space="0" w:color="auto"/>
            </w:tcBorders>
          </w:tcPr>
          <w:p>
            <w:pPr>
              <w:spacing w:before="20" w:after="20"/>
              <w:rPr>
                <w:b/>
                <w:noProof/>
                <w:sz w:val="16"/>
              </w:rPr>
            </w:pPr>
          </w:p>
        </w:tc>
        <w:tc>
          <w:tcPr>
            <w:tcW w:w="4179" w:type="pct"/>
            <w:gridSpan w:val="11"/>
            <w:tcBorders>
              <w:left w:val="single" w:sz="6" w:space="0" w:color="auto"/>
            </w:tcBorders>
            <w:shd w:val="clear" w:color="auto" w:fill="auto"/>
          </w:tcPr>
          <w:p>
            <w:pPr>
              <w:jc w:val="left"/>
              <w:rPr>
                <w:noProof/>
                <w:sz w:val="16"/>
                <w:szCs w:val="16"/>
              </w:rPr>
            </w:pPr>
            <w:r>
              <w:rPr>
                <w:b/>
                <w:noProof/>
                <w:sz w:val="16"/>
              </w:rPr>
              <w:sym w:font="Wingdings" w:char="F09F"/>
            </w:r>
            <w:r>
              <w:rPr>
                <w:b/>
                <w:noProof/>
                <w:sz w:val="16"/>
              </w:rPr>
              <w:t xml:space="preserve"> Establishment plan posts (officials and temporary staff)</w:t>
            </w:r>
          </w:p>
        </w:tc>
        <w:tc>
          <w:tcPr>
            <w:tcW w:w="480" w:type="pct"/>
            <w:tcBorders>
              <w:right w:val="single" w:sz="6" w:space="0" w:color="auto"/>
            </w:tcBorders>
          </w:tcPr>
          <w:p>
            <w:pPr>
              <w:jc w:val="center"/>
              <w:rPr>
                <w:noProof/>
                <w:sz w:val="16"/>
                <w:szCs w:val="16"/>
              </w:rPr>
            </w:pPr>
          </w:p>
        </w:tc>
      </w:tr>
      <w:tr>
        <w:trPr>
          <w:trHeight w:val="289"/>
          <w:jc w:val="center"/>
        </w:trPr>
        <w:tc>
          <w:tcPr>
            <w:tcW w:w="1435" w:type="pct"/>
            <w:gridSpan w:val="4"/>
            <w:tcBorders>
              <w:left w:val="single" w:sz="6" w:space="0" w:color="auto"/>
            </w:tcBorders>
            <w:shd w:val="clear" w:color="auto" w:fill="auto"/>
            <w:vAlign w:val="center"/>
          </w:tcPr>
          <w:p>
            <w:pPr>
              <w:spacing w:beforeLines="20" w:before="48" w:afterLines="20" w:after="48"/>
              <w:ind w:left="134"/>
              <w:jc w:val="left"/>
              <w:rPr>
                <w:b/>
                <w:noProof/>
                <w:sz w:val="16"/>
                <w:szCs w:val="16"/>
              </w:rPr>
            </w:pPr>
            <w:r>
              <w:rPr>
                <w:noProof/>
                <w:sz w:val="16"/>
              </w:rPr>
              <w:t>18 01 01 01 (Headquarters and Commission’s Representation Offices) DG HOME</w:t>
            </w:r>
          </w:p>
        </w:tc>
        <w:tc>
          <w:tcPr>
            <w:tcW w:w="340" w:type="pct"/>
          </w:tcPr>
          <w:p>
            <w:pPr>
              <w:spacing w:beforeLines="20" w:before="48" w:afterLines="20" w:after="48"/>
              <w:jc w:val="center"/>
              <w:rPr>
                <w:noProof/>
                <w:sz w:val="22"/>
              </w:rPr>
            </w:pPr>
            <w:r>
              <w:rPr>
                <w:noProof/>
                <w:sz w:val="22"/>
              </w:rPr>
              <w:t xml:space="preserve">5,0 </w:t>
            </w:r>
          </w:p>
        </w:tc>
        <w:tc>
          <w:tcPr>
            <w:tcW w:w="341" w:type="pct"/>
            <w:shd w:val="clear" w:color="auto" w:fill="auto"/>
          </w:tcPr>
          <w:p>
            <w:pPr>
              <w:spacing w:beforeLines="20" w:before="48" w:afterLines="20" w:after="48"/>
              <w:jc w:val="center"/>
              <w:rPr>
                <w:noProof/>
                <w:sz w:val="22"/>
              </w:rPr>
            </w:pPr>
            <w:r>
              <w:rPr>
                <w:noProof/>
                <w:sz w:val="22"/>
              </w:rPr>
              <w:t xml:space="preserve">5,0 </w:t>
            </w:r>
          </w:p>
        </w:tc>
        <w:tc>
          <w:tcPr>
            <w:tcW w:w="328" w:type="pct"/>
            <w:shd w:val="clear" w:color="auto" w:fill="auto"/>
          </w:tcPr>
          <w:p>
            <w:pPr>
              <w:spacing w:beforeLines="20" w:before="48" w:afterLines="20" w:after="48"/>
              <w:jc w:val="center"/>
              <w:rPr>
                <w:noProof/>
                <w:sz w:val="22"/>
              </w:rPr>
            </w:pPr>
            <w:r>
              <w:rPr>
                <w:noProof/>
                <w:sz w:val="22"/>
              </w:rPr>
              <w:t xml:space="preserve">5,0 </w:t>
            </w:r>
          </w:p>
        </w:tc>
        <w:tc>
          <w:tcPr>
            <w:tcW w:w="337" w:type="pct"/>
            <w:shd w:val="clear" w:color="auto" w:fill="auto"/>
          </w:tcPr>
          <w:p>
            <w:pPr>
              <w:spacing w:beforeLines="20" w:before="48" w:afterLines="20" w:after="48"/>
              <w:jc w:val="center"/>
              <w:rPr>
                <w:noProof/>
                <w:sz w:val="22"/>
              </w:rPr>
            </w:pPr>
            <w:r>
              <w:rPr>
                <w:noProof/>
                <w:sz w:val="22"/>
              </w:rPr>
              <w:t xml:space="preserve">5,0 </w:t>
            </w:r>
          </w:p>
        </w:tc>
        <w:tc>
          <w:tcPr>
            <w:tcW w:w="327" w:type="pct"/>
            <w:shd w:val="clear" w:color="auto" w:fill="auto"/>
          </w:tcPr>
          <w:p>
            <w:pPr>
              <w:spacing w:beforeLines="20" w:before="48" w:afterLines="20" w:after="48"/>
              <w:jc w:val="center"/>
              <w:rPr>
                <w:noProof/>
                <w:sz w:val="22"/>
              </w:rPr>
            </w:pPr>
            <w:r>
              <w:rPr>
                <w:noProof/>
                <w:sz w:val="22"/>
              </w:rPr>
              <w:t xml:space="preserve">5,0 </w:t>
            </w:r>
          </w:p>
        </w:tc>
        <w:tc>
          <w:tcPr>
            <w:tcW w:w="328" w:type="pct"/>
            <w:shd w:val="clear" w:color="auto" w:fill="auto"/>
          </w:tcPr>
          <w:p>
            <w:pPr>
              <w:spacing w:beforeLines="20" w:before="48" w:afterLines="20" w:after="48"/>
              <w:jc w:val="center"/>
              <w:rPr>
                <w:noProof/>
                <w:sz w:val="22"/>
              </w:rPr>
            </w:pPr>
            <w:r>
              <w:rPr>
                <w:noProof/>
                <w:sz w:val="22"/>
              </w:rPr>
              <w:t xml:space="preserve">5,0 </w:t>
            </w:r>
          </w:p>
        </w:tc>
        <w:tc>
          <w:tcPr>
            <w:tcW w:w="328" w:type="pct"/>
            <w:shd w:val="clear" w:color="auto" w:fill="auto"/>
          </w:tcPr>
          <w:p>
            <w:pPr>
              <w:spacing w:beforeLines="20" w:before="48" w:afterLines="20" w:after="48"/>
              <w:jc w:val="center"/>
              <w:rPr>
                <w:noProof/>
                <w:sz w:val="22"/>
              </w:rPr>
            </w:pPr>
            <w:r>
              <w:rPr>
                <w:noProof/>
                <w:sz w:val="22"/>
              </w:rPr>
              <w:t xml:space="preserve">2,0 </w:t>
            </w:r>
          </w:p>
        </w:tc>
        <w:tc>
          <w:tcPr>
            <w:tcW w:w="330" w:type="pct"/>
            <w:tcBorders>
              <w:right w:val="nil"/>
            </w:tcBorders>
            <w:shd w:val="clear" w:color="auto" w:fill="auto"/>
          </w:tcPr>
          <w:p>
            <w:pPr>
              <w:spacing w:beforeLines="20" w:before="48" w:afterLines="20" w:after="48"/>
              <w:jc w:val="center"/>
              <w:rPr>
                <w:noProof/>
                <w:sz w:val="22"/>
              </w:rPr>
            </w:pPr>
            <w:r>
              <w:rPr>
                <w:noProof/>
                <w:sz w:val="22"/>
              </w:rPr>
              <w:t xml:space="preserve">2,0 </w:t>
            </w:r>
          </w:p>
        </w:tc>
        <w:tc>
          <w:tcPr>
            <w:tcW w:w="426" w:type="pct"/>
            <w:tcBorders>
              <w:right w:val="nil"/>
            </w:tcBorders>
          </w:tcPr>
          <w:p>
            <w:pPr>
              <w:spacing w:beforeLines="20" w:before="48" w:afterLines="20" w:after="48"/>
              <w:jc w:val="center"/>
              <w:rPr>
                <w:noProof/>
                <w:sz w:val="22"/>
              </w:rPr>
            </w:pPr>
            <w:r>
              <w:rPr>
                <w:noProof/>
                <w:sz w:val="22"/>
              </w:rPr>
              <w:t xml:space="preserve">2,0 </w:t>
            </w:r>
          </w:p>
        </w:tc>
        <w:tc>
          <w:tcPr>
            <w:tcW w:w="480" w:type="pct"/>
            <w:tcBorders>
              <w:right w:val="single" w:sz="6" w:space="0" w:color="auto"/>
            </w:tcBorders>
          </w:tcPr>
          <w:p>
            <w:pPr>
              <w:spacing w:beforeLines="20" w:before="48" w:afterLines="20" w:after="48"/>
              <w:jc w:val="center"/>
              <w:rPr>
                <w:noProof/>
                <w:sz w:val="22"/>
              </w:rPr>
            </w:pPr>
            <w:r>
              <w:rPr>
                <w:noProof/>
                <w:sz w:val="22"/>
              </w:rPr>
              <w:t xml:space="preserve">36,0 </w:t>
            </w:r>
          </w:p>
        </w:tc>
      </w:tr>
      <w:tr>
        <w:trPr>
          <w:trHeight w:val="289"/>
          <w:jc w:val="center"/>
        </w:trPr>
        <w:tc>
          <w:tcPr>
            <w:tcW w:w="1435" w:type="pct"/>
            <w:gridSpan w:val="4"/>
            <w:tcBorders>
              <w:left w:val="single" w:sz="6" w:space="0" w:color="auto"/>
            </w:tcBorders>
            <w:shd w:val="clear" w:color="auto" w:fill="auto"/>
            <w:vAlign w:val="center"/>
          </w:tcPr>
          <w:p>
            <w:pPr>
              <w:spacing w:beforeLines="20" w:before="48" w:afterLines="20" w:after="48"/>
              <w:ind w:left="134"/>
              <w:jc w:val="left"/>
              <w:rPr>
                <w:noProof/>
                <w:sz w:val="16"/>
                <w:szCs w:val="16"/>
              </w:rPr>
            </w:pPr>
            <w:r>
              <w:rPr>
                <w:noProof/>
                <w:sz w:val="16"/>
              </w:rPr>
              <w:t>XX 01 01 02 (Delegations)</w:t>
            </w:r>
          </w:p>
        </w:tc>
        <w:tc>
          <w:tcPr>
            <w:tcW w:w="340" w:type="pct"/>
          </w:tcPr>
          <w:p>
            <w:pPr>
              <w:spacing w:beforeLines="20" w:before="48" w:afterLines="20" w:after="48"/>
              <w:jc w:val="center"/>
              <w:rPr>
                <w:noProof/>
                <w:sz w:val="16"/>
                <w:szCs w:val="16"/>
              </w:rPr>
            </w:pPr>
          </w:p>
        </w:tc>
        <w:tc>
          <w:tcPr>
            <w:tcW w:w="341" w:type="pct"/>
            <w:shd w:val="clear" w:color="auto" w:fill="auto"/>
            <w:vAlign w:val="center"/>
          </w:tcPr>
          <w:p>
            <w:pPr>
              <w:spacing w:beforeLines="20" w:before="48" w:afterLines="20" w:after="48"/>
              <w:jc w:val="center"/>
              <w:rPr>
                <w:noProof/>
                <w:sz w:val="16"/>
                <w:szCs w:val="16"/>
              </w:rPr>
            </w:pPr>
          </w:p>
        </w:tc>
        <w:tc>
          <w:tcPr>
            <w:tcW w:w="328" w:type="pct"/>
            <w:shd w:val="clear" w:color="auto" w:fill="auto"/>
            <w:vAlign w:val="center"/>
          </w:tcPr>
          <w:p>
            <w:pPr>
              <w:spacing w:beforeLines="20" w:before="48" w:afterLines="20" w:after="48"/>
              <w:jc w:val="center"/>
              <w:rPr>
                <w:noProof/>
                <w:sz w:val="16"/>
                <w:szCs w:val="16"/>
              </w:rPr>
            </w:pPr>
          </w:p>
        </w:tc>
        <w:tc>
          <w:tcPr>
            <w:tcW w:w="337" w:type="pct"/>
            <w:shd w:val="clear" w:color="auto" w:fill="auto"/>
            <w:vAlign w:val="center"/>
          </w:tcPr>
          <w:p>
            <w:pPr>
              <w:spacing w:beforeLines="20" w:before="48" w:afterLines="20" w:after="48"/>
              <w:jc w:val="center"/>
              <w:rPr>
                <w:noProof/>
                <w:sz w:val="16"/>
                <w:szCs w:val="16"/>
              </w:rPr>
            </w:pPr>
          </w:p>
        </w:tc>
        <w:tc>
          <w:tcPr>
            <w:tcW w:w="327" w:type="pct"/>
            <w:shd w:val="clear" w:color="auto" w:fill="auto"/>
            <w:vAlign w:val="center"/>
          </w:tcPr>
          <w:p>
            <w:pPr>
              <w:spacing w:beforeLines="20" w:before="48" w:afterLines="20" w:after="48"/>
              <w:jc w:val="center"/>
              <w:rPr>
                <w:noProof/>
                <w:sz w:val="16"/>
                <w:szCs w:val="16"/>
              </w:rPr>
            </w:pPr>
          </w:p>
        </w:tc>
        <w:tc>
          <w:tcPr>
            <w:tcW w:w="328" w:type="pct"/>
            <w:shd w:val="clear" w:color="auto" w:fill="auto"/>
            <w:vAlign w:val="center"/>
          </w:tcPr>
          <w:p>
            <w:pPr>
              <w:spacing w:beforeLines="20" w:before="48" w:afterLines="20" w:after="48"/>
              <w:jc w:val="center"/>
              <w:rPr>
                <w:noProof/>
                <w:sz w:val="16"/>
                <w:szCs w:val="16"/>
              </w:rPr>
            </w:pPr>
          </w:p>
        </w:tc>
        <w:tc>
          <w:tcPr>
            <w:tcW w:w="328" w:type="pct"/>
            <w:shd w:val="clear" w:color="auto" w:fill="auto"/>
            <w:vAlign w:val="center"/>
          </w:tcPr>
          <w:p>
            <w:pPr>
              <w:spacing w:beforeLines="20" w:before="48" w:afterLines="20" w:after="48"/>
              <w:jc w:val="center"/>
              <w:rPr>
                <w:noProof/>
                <w:sz w:val="16"/>
                <w:szCs w:val="16"/>
              </w:rPr>
            </w:pPr>
          </w:p>
        </w:tc>
        <w:tc>
          <w:tcPr>
            <w:tcW w:w="330" w:type="pct"/>
            <w:tcBorders>
              <w:right w:val="nil"/>
            </w:tcBorders>
            <w:shd w:val="clear" w:color="auto" w:fill="auto"/>
            <w:vAlign w:val="center"/>
          </w:tcPr>
          <w:p>
            <w:pPr>
              <w:spacing w:beforeLines="20" w:before="48" w:afterLines="20" w:after="48"/>
              <w:jc w:val="center"/>
              <w:rPr>
                <w:noProof/>
                <w:sz w:val="16"/>
                <w:szCs w:val="16"/>
              </w:rPr>
            </w:pPr>
          </w:p>
        </w:tc>
        <w:tc>
          <w:tcPr>
            <w:tcW w:w="426" w:type="pct"/>
            <w:tcBorders>
              <w:right w:val="nil"/>
            </w:tcBorders>
          </w:tcPr>
          <w:p>
            <w:pPr>
              <w:spacing w:beforeLines="20" w:before="48" w:afterLines="20" w:after="48"/>
              <w:jc w:val="center"/>
              <w:rPr>
                <w:noProof/>
                <w:sz w:val="16"/>
                <w:szCs w:val="16"/>
              </w:rPr>
            </w:pPr>
          </w:p>
        </w:tc>
        <w:tc>
          <w:tcPr>
            <w:tcW w:w="480" w:type="pct"/>
            <w:tcBorders>
              <w:right w:val="single" w:sz="6" w:space="0" w:color="auto"/>
            </w:tcBorders>
          </w:tcPr>
          <w:p>
            <w:pPr>
              <w:spacing w:beforeLines="20" w:before="48" w:afterLines="20" w:after="48"/>
              <w:jc w:val="center"/>
              <w:rPr>
                <w:noProof/>
                <w:sz w:val="16"/>
                <w:szCs w:val="16"/>
              </w:rPr>
            </w:pPr>
          </w:p>
        </w:tc>
      </w:tr>
      <w:tr>
        <w:trPr>
          <w:trHeight w:val="289"/>
          <w:jc w:val="center"/>
        </w:trPr>
        <w:tc>
          <w:tcPr>
            <w:tcW w:w="1435" w:type="pct"/>
            <w:gridSpan w:val="4"/>
            <w:tcBorders>
              <w:left w:val="single" w:sz="6" w:space="0" w:color="auto"/>
            </w:tcBorders>
            <w:shd w:val="clear" w:color="auto" w:fill="auto"/>
            <w:vAlign w:val="center"/>
          </w:tcPr>
          <w:p>
            <w:pPr>
              <w:spacing w:beforeLines="20" w:before="48" w:afterLines="20" w:after="48"/>
              <w:ind w:left="134"/>
              <w:jc w:val="left"/>
              <w:rPr>
                <w:noProof/>
                <w:sz w:val="16"/>
                <w:szCs w:val="16"/>
              </w:rPr>
            </w:pPr>
            <w:r>
              <w:rPr>
                <w:noProof/>
                <w:sz w:val="16"/>
              </w:rPr>
              <w:t>XX 01 05 01 (Indirect research)</w:t>
            </w:r>
          </w:p>
        </w:tc>
        <w:tc>
          <w:tcPr>
            <w:tcW w:w="340" w:type="pct"/>
          </w:tcPr>
          <w:p>
            <w:pPr>
              <w:spacing w:beforeLines="20" w:before="48" w:afterLines="20" w:after="48"/>
              <w:jc w:val="center"/>
              <w:rPr>
                <w:noProof/>
                <w:sz w:val="16"/>
                <w:szCs w:val="16"/>
              </w:rPr>
            </w:pPr>
          </w:p>
        </w:tc>
        <w:tc>
          <w:tcPr>
            <w:tcW w:w="341" w:type="pct"/>
            <w:shd w:val="clear" w:color="auto" w:fill="auto"/>
            <w:vAlign w:val="center"/>
          </w:tcPr>
          <w:p>
            <w:pPr>
              <w:spacing w:beforeLines="20" w:before="48" w:afterLines="20" w:after="48"/>
              <w:jc w:val="center"/>
              <w:rPr>
                <w:noProof/>
                <w:sz w:val="16"/>
                <w:szCs w:val="16"/>
              </w:rPr>
            </w:pPr>
          </w:p>
        </w:tc>
        <w:tc>
          <w:tcPr>
            <w:tcW w:w="328" w:type="pct"/>
            <w:shd w:val="clear" w:color="auto" w:fill="auto"/>
            <w:vAlign w:val="center"/>
          </w:tcPr>
          <w:p>
            <w:pPr>
              <w:spacing w:beforeLines="20" w:before="48" w:afterLines="20" w:after="48"/>
              <w:jc w:val="center"/>
              <w:rPr>
                <w:noProof/>
                <w:sz w:val="16"/>
                <w:szCs w:val="16"/>
              </w:rPr>
            </w:pPr>
          </w:p>
        </w:tc>
        <w:tc>
          <w:tcPr>
            <w:tcW w:w="337" w:type="pct"/>
            <w:shd w:val="clear" w:color="auto" w:fill="auto"/>
            <w:vAlign w:val="center"/>
          </w:tcPr>
          <w:p>
            <w:pPr>
              <w:spacing w:beforeLines="20" w:before="48" w:afterLines="20" w:after="48"/>
              <w:jc w:val="center"/>
              <w:rPr>
                <w:noProof/>
                <w:sz w:val="16"/>
                <w:szCs w:val="16"/>
              </w:rPr>
            </w:pPr>
          </w:p>
        </w:tc>
        <w:tc>
          <w:tcPr>
            <w:tcW w:w="327" w:type="pct"/>
            <w:shd w:val="clear" w:color="auto" w:fill="auto"/>
            <w:vAlign w:val="center"/>
          </w:tcPr>
          <w:p>
            <w:pPr>
              <w:spacing w:beforeLines="20" w:before="48" w:afterLines="20" w:after="48"/>
              <w:jc w:val="center"/>
              <w:rPr>
                <w:noProof/>
                <w:sz w:val="16"/>
                <w:szCs w:val="16"/>
              </w:rPr>
            </w:pPr>
          </w:p>
        </w:tc>
        <w:tc>
          <w:tcPr>
            <w:tcW w:w="328" w:type="pct"/>
            <w:shd w:val="clear" w:color="auto" w:fill="auto"/>
            <w:vAlign w:val="center"/>
          </w:tcPr>
          <w:p>
            <w:pPr>
              <w:spacing w:beforeLines="20" w:before="48" w:afterLines="20" w:after="48"/>
              <w:jc w:val="center"/>
              <w:rPr>
                <w:noProof/>
                <w:sz w:val="16"/>
                <w:szCs w:val="16"/>
              </w:rPr>
            </w:pPr>
          </w:p>
        </w:tc>
        <w:tc>
          <w:tcPr>
            <w:tcW w:w="328" w:type="pct"/>
            <w:shd w:val="clear" w:color="auto" w:fill="auto"/>
            <w:vAlign w:val="center"/>
          </w:tcPr>
          <w:p>
            <w:pPr>
              <w:spacing w:beforeLines="20" w:before="48" w:afterLines="20" w:after="48"/>
              <w:jc w:val="center"/>
              <w:rPr>
                <w:noProof/>
                <w:sz w:val="16"/>
                <w:szCs w:val="16"/>
              </w:rPr>
            </w:pPr>
          </w:p>
        </w:tc>
        <w:tc>
          <w:tcPr>
            <w:tcW w:w="330" w:type="pct"/>
            <w:tcBorders>
              <w:right w:val="nil"/>
            </w:tcBorders>
            <w:shd w:val="clear" w:color="auto" w:fill="auto"/>
            <w:vAlign w:val="center"/>
          </w:tcPr>
          <w:p>
            <w:pPr>
              <w:spacing w:beforeLines="20" w:before="48" w:afterLines="20" w:after="48"/>
              <w:jc w:val="center"/>
              <w:rPr>
                <w:noProof/>
                <w:sz w:val="16"/>
                <w:szCs w:val="16"/>
              </w:rPr>
            </w:pPr>
          </w:p>
        </w:tc>
        <w:tc>
          <w:tcPr>
            <w:tcW w:w="426" w:type="pct"/>
            <w:tcBorders>
              <w:right w:val="nil"/>
            </w:tcBorders>
          </w:tcPr>
          <w:p>
            <w:pPr>
              <w:spacing w:beforeLines="20" w:before="48" w:afterLines="20" w:after="48"/>
              <w:jc w:val="center"/>
              <w:rPr>
                <w:noProof/>
                <w:sz w:val="16"/>
                <w:szCs w:val="16"/>
              </w:rPr>
            </w:pPr>
          </w:p>
        </w:tc>
        <w:tc>
          <w:tcPr>
            <w:tcW w:w="480" w:type="pct"/>
            <w:tcBorders>
              <w:right w:val="single" w:sz="6" w:space="0" w:color="auto"/>
            </w:tcBorders>
          </w:tcPr>
          <w:p>
            <w:pPr>
              <w:spacing w:beforeLines="20" w:before="48" w:afterLines="20" w:after="48"/>
              <w:jc w:val="center"/>
              <w:rPr>
                <w:noProof/>
                <w:sz w:val="16"/>
                <w:szCs w:val="16"/>
              </w:rPr>
            </w:pPr>
          </w:p>
        </w:tc>
      </w:tr>
      <w:tr>
        <w:trPr>
          <w:trHeight w:val="289"/>
          <w:jc w:val="center"/>
        </w:trPr>
        <w:tc>
          <w:tcPr>
            <w:tcW w:w="1435" w:type="pct"/>
            <w:gridSpan w:val="4"/>
            <w:tcBorders>
              <w:left w:val="single" w:sz="6" w:space="0" w:color="auto"/>
            </w:tcBorders>
            <w:shd w:val="clear" w:color="auto" w:fill="auto"/>
            <w:vAlign w:val="center"/>
          </w:tcPr>
          <w:p>
            <w:pPr>
              <w:spacing w:beforeLines="20" w:before="48" w:afterLines="20" w:after="48"/>
              <w:ind w:left="134"/>
              <w:jc w:val="left"/>
              <w:rPr>
                <w:noProof/>
                <w:sz w:val="16"/>
                <w:szCs w:val="16"/>
              </w:rPr>
            </w:pPr>
            <w:r>
              <w:rPr>
                <w:noProof/>
                <w:sz w:val="16"/>
              </w:rPr>
              <w:t>10 01 05 01 (Direct research)</w:t>
            </w:r>
          </w:p>
        </w:tc>
        <w:tc>
          <w:tcPr>
            <w:tcW w:w="340" w:type="pct"/>
            <w:vAlign w:val="center"/>
          </w:tcPr>
          <w:p>
            <w:pPr>
              <w:spacing w:beforeLines="20" w:before="48" w:afterLines="20" w:after="48"/>
              <w:jc w:val="center"/>
              <w:rPr>
                <w:noProof/>
                <w:sz w:val="16"/>
                <w:szCs w:val="16"/>
              </w:rPr>
            </w:pPr>
          </w:p>
        </w:tc>
        <w:tc>
          <w:tcPr>
            <w:tcW w:w="341" w:type="pct"/>
            <w:shd w:val="clear" w:color="auto" w:fill="auto"/>
            <w:vAlign w:val="center"/>
          </w:tcPr>
          <w:p>
            <w:pPr>
              <w:spacing w:beforeLines="20" w:before="48" w:afterLines="20" w:after="48"/>
              <w:jc w:val="center"/>
              <w:rPr>
                <w:noProof/>
                <w:sz w:val="16"/>
                <w:szCs w:val="16"/>
              </w:rPr>
            </w:pPr>
          </w:p>
        </w:tc>
        <w:tc>
          <w:tcPr>
            <w:tcW w:w="328" w:type="pct"/>
            <w:shd w:val="clear" w:color="auto" w:fill="auto"/>
            <w:vAlign w:val="center"/>
          </w:tcPr>
          <w:p>
            <w:pPr>
              <w:spacing w:beforeLines="20" w:before="48" w:afterLines="20" w:after="48"/>
              <w:jc w:val="center"/>
              <w:rPr>
                <w:noProof/>
                <w:sz w:val="16"/>
                <w:szCs w:val="16"/>
              </w:rPr>
            </w:pPr>
          </w:p>
        </w:tc>
        <w:tc>
          <w:tcPr>
            <w:tcW w:w="337" w:type="pct"/>
            <w:shd w:val="clear" w:color="auto" w:fill="auto"/>
            <w:vAlign w:val="center"/>
          </w:tcPr>
          <w:p>
            <w:pPr>
              <w:spacing w:beforeLines="20" w:before="48" w:afterLines="20" w:after="48"/>
              <w:jc w:val="center"/>
              <w:rPr>
                <w:noProof/>
                <w:sz w:val="16"/>
                <w:szCs w:val="16"/>
              </w:rPr>
            </w:pPr>
          </w:p>
        </w:tc>
        <w:tc>
          <w:tcPr>
            <w:tcW w:w="327" w:type="pct"/>
            <w:shd w:val="clear" w:color="auto" w:fill="auto"/>
            <w:vAlign w:val="center"/>
          </w:tcPr>
          <w:p>
            <w:pPr>
              <w:spacing w:beforeLines="20" w:before="48" w:afterLines="20" w:after="48"/>
              <w:jc w:val="center"/>
              <w:rPr>
                <w:noProof/>
                <w:sz w:val="16"/>
                <w:szCs w:val="16"/>
              </w:rPr>
            </w:pPr>
          </w:p>
        </w:tc>
        <w:tc>
          <w:tcPr>
            <w:tcW w:w="328" w:type="pct"/>
            <w:shd w:val="clear" w:color="auto" w:fill="auto"/>
            <w:vAlign w:val="center"/>
          </w:tcPr>
          <w:p>
            <w:pPr>
              <w:spacing w:beforeLines="20" w:before="48" w:afterLines="20" w:after="48"/>
              <w:jc w:val="center"/>
              <w:rPr>
                <w:noProof/>
                <w:sz w:val="16"/>
                <w:szCs w:val="16"/>
              </w:rPr>
            </w:pPr>
          </w:p>
        </w:tc>
        <w:tc>
          <w:tcPr>
            <w:tcW w:w="328" w:type="pct"/>
            <w:shd w:val="clear" w:color="auto" w:fill="auto"/>
            <w:vAlign w:val="center"/>
          </w:tcPr>
          <w:p>
            <w:pPr>
              <w:spacing w:beforeLines="20" w:before="48" w:afterLines="20" w:after="48"/>
              <w:jc w:val="center"/>
              <w:rPr>
                <w:noProof/>
                <w:sz w:val="16"/>
                <w:szCs w:val="16"/>
              </w:rPr>
            </w:pPr>
          </w:p>
        </w:tc>
        <w:tc>
          <w:tcPr>
            <w:tcW w:w="330" w:type="pct"/>
            <w:tcBorders>
              <w:right w:val="nil"/>
            </w:tcBorders>
            <w:shd w:val="clear" w:color="auto" w:fill="auto"/>
            <w:vAlign w:val="center"/>
          </w:tcPr>
          <w:p>
            <w:pPr>
              <w:spacing w:beforeLines="20" w:before="48" w:afterLines="20" w:after="48"/>
              <w:jc w:val="center"/>
              <w:rPr>
                <w:noProof/>
                <w:sz w:val="16"/>
                <w:szCs w:val="16"/>
              </w:rPr>
            </w:pPr>
          </w:p>
        </w:tc>
        <w:tc>
          <w:tcPr>
            <w:tcW w:w="426" w:type="pct"/>
            <w:tcBorders>
              <w:right w:val="nil"/>
            </w:tcBorders>
          </w:tcPr>
          <w:p>
            <w:pPr>
              <w:spacing w:beforeLines="20" w:before="48" w:afterLines="20" w:after="48"/>
              <w:jc w:val="center"/>
              <w:rPr>
                <w:noProof/>
                <w:sz w:val="16"/>
                <w:szCs w:val="16"/>
              </w:rPr>
            </w:pPr>
          </w:p>
        </w:tc>
        <w:tc>
          <w:tcPr>
            <w:tcW w:w="480" w:type="pct"/>
            <w:tcBorders>
              <w:right w:val="single" w:sz="6" w:space="0" w:color="auto"/>
            </w:tcBorders>
          </w:tcPr>
          <w:p>
            <w:pPr>
              <w:spacing w:beforeLines="20" w:before="48" w:afterLines="20" w:after="48"/>
              <w:jc w:val="center"/>
              <w:rPr>
                <w:noProof/>
                <w:sz w:val="16"/>
                <w:szCs w:val="16"/>
              </w:rPr>
            </w:pPr>
          </w:p>
        </w:tc>
      </w:tr>
      <w:tr>
        <w:trPr>
          <w:trHeight w:val="289"/>
          <w:jc w:val="center"/>
        </w:trPr>
        <w:tc>
          <w:tcPr>
            <w:tcW w:w="325" w:type="pct"/>
            <w:tcBorders>
              <w:left w:val="single" w:sz="6" w:space="0" w:color="auto"/>
            </w:tcBorders>
            <w:shd w:val="clear" w:color="auto" w:fill="auto"/>
            <w:vAlign w:val="center"/>
          </w:tcPr>
          <w:p>
            <w:pPr>
              <w:spacing w:beforeLines="20" w:before="48" w:afterLines="20" w:after="48"/>
              <w:ind w:left="134"/>
              <w:jc w:val="left"/>
              <w:rPr>
                <w:noProof/>
                <w:sz w:val="16"/>
              </w:rPr>
            </w:pPr>
          </w:p>
        </w:tc>
        <w:tc>
          <w:tcPr>
            <w:tcW w:w="4195" w:type="pct"/>
            <w:gridSpan w:val="12"/>
            <w:tcBorders>
              <w:left w:val="single" w:sz="6" w:space="0" w:color="auto"/>
            </w:tcBorders>
            <w:shd w:val="clear" w:color="auto" w:fill="auto"/>
            <w:vAlign w:val="center"/>
          </w:tcPr>
          <w:p>
            <w:pPr>
              <w:spacing w:beforeLines="20" w:before="48" w:afterLines="20" w:after="48"/>
              <w:jc w:val="left"/>
              <w:rPr>
                <w:noProof/>
                <w:sz w:val="16"/>
                <w:szCs w:val="16"/>
              </w:rPr>
            </w:pPr>
            <w:r>
              <w:rPr>
                <w:b/>
                <w:noProof/>
                <w:sz w:val="16"/>
              </w:rPr>
              <w:sym w:font="Wingdings" w:char="F09F"/>
            </w:r>
            <w:r>
              <w:rPr>
                <w:b/>
                <w:noProof/>
                <w:sz w:val="16"/>
              </w:rPr>
              <w:t xml:space="preserve"> External staff (in Full Time Equivalent unit: FTE)</w:t>
            </w:r>
            <w:r>
              <w:rPr>
                <w:rStyle w:val="FootnoteReference"/>
                <w:noProof/>
              </w:rPr>
              <w:footnoteReference w:id="110"/>
            </w:r>
          </w:p>
        </w:tc>
        <w:tc>
          <w:tcPr>
            <w:tcW w:w="480" w:type="pct"/>
            <w:tcBorders>
              <w:right w:val="single" w:sz="6" w:space="0" w:color="auto"/>
            </w:tcBorders>
          </w:tcPr>
          <w:p>
            <w:pPr>
              <w:spacing w:beforeLines="20" w:before="48" w:afterLines="20" w:after="48"/>
              <w:jc w:val="center"/>
              <w:rPr>
                <w:noProof/>
                <w:sz w:val="16"/>
                <w:szCs w:val="16"/>
              </w:rPr>
            </w:pPr>
          </w:p>
        </w:tc>
      </w:tr>
      <w:tr>
        <w:trPr>
          <w:trHeight w:val="289"/>
          <w:jc w:val="center"/>
        </w:trPr>
        <w:tc>
          <w:tcPr>
            <w:tcW w:w="1435" w:type="pct"/>
            <w:gridSpan w:val="4"/>
            <w:tcBorders>
              <w:left w:val="single" w:sz="6" w:space="0" w:color="auto"/>
            </w:tcBorders>
            <w:shd w:val="clear" w:color="auto" w:fill="auto"/>
            <w:vAlign w:val="center"/>
          </w:tcPr>
          <w:p>
            <w:pPr>
              <w:spacing w:beforeLines="20" w:before="48" w:afterLines="20" w:after="48"/>
              <w:ind w:left="136"/>
              <w:jc w:val="left"/>
              <w:rPr>
                <w:noProof/>
                <w:sz w:val="16"/>
                <w:szCs w:val="16"/>
              </w:rPr>
            </w:pPr>
            <w:r>
              <w:rPr>
                <w:noProof/>
                <w:sz w:val="16"/>
              </w:rPr>
              <w:t xml:space="preserve">XX 01 02 02 (AC, AL, END, INT and JED in the delegations) </w:t>
            </w:r>
          </w:p>
        </w:tc>
        <w:tc>
          <w:tcPr>
            <w:tcW w:w="340" w:type="pct"/>
            <w:vAlign w:val="center"/>
          </w:tcPr>
          <w:p>
            <w:pPr>
              <w:spacing w:beforeLines="20" w:before="48" w:afterLines="20" w:after="48"/>
              <w:jc w:val="center"/>
              <w:rPr>
                <w:noProof/>
                <w:sz w:val="16"/>
                <w:szCs w:val="16"/>
              </w:rPr>
            </w:pPr>
          </w:p>
        </w:tc>
        <w:tc>
          <w:tcPr>
            <w:tcW w:w="341" w:type="pct"/>
            <w:shd w:val="clear" w:color="auto" w:fill="auto"/>
            <w:vAlign w:val="center"/>
          </w:tcPr>
          <w:p>
            <w:pPr>
              <w:spacing w:beforeLines="20" w:before="48" w:afterLines="20" w:after="48"/>
              <w:jc w:val="center"/>
              <w:rPr>
                <w:noProof/>
                <w:sz w:val="16"/>
                <w:szCs w:val="16"/>
              </w:rPr>
            </w:pPr>
          </w:p>
        </w:tc>
        <w:tc>
          <w:tcPr>
            <w:tcW w:w="328" w:type="pct"/>
            <w:shd w:val="clear" w:color="auto" w:fill="auto"/>
            <w:vAlign w:val="center"/>
          </w:tcPr>
          <w:p>
            <w:pPr>
              <w:spacing w:beforeLines="20" w:before="48" w:afterLines="20" w:after="48"/>
              <w:jc w:val="center"/>
              <w:rPr>
                <w:noProof/>
                <w:sz w:val="16"/>
                <w:szCs w:val="16"/>
              </w:rPr>
            </w:pPr>
          </w:p>
        </w:tc>
        <w:tc>
          <w:tcPr>
            <w:tcW w:w="337" w:type="pct"/>
            <w:shd w:val="clear" w:color="auto" w:fill="auto"/>
            <w:vAlign w:val="center"/>
          </w:tcPr>
          <w:p>
            <w:pPr>
              <w:spacing w:beforeLines="20" w:before="48" w:afterLines="20" w:after="48"/>
              <w:jc w:val="center"/>
              <w:rPr>
                <w:noProof/>
                <w:sz w:val="16"/>
                <w:szCs w:val="16"/>
              </w:rPr>
            </w:pPr>
          </w:p>
        </w:tc>
        <w:tc>
          <w:tcPr>
            <w:tcW w:w="327" w:type="pct"/>
            <w:shd w:val="clear" w:color="auto" w:fill="auto"/>
            <w:vAlign w:val="center"/>
          </w:tcPr>
          <w:p>
            <w:pPr>
              <w:spacing w:beforeLines="20" w:before="48" w:afterLines="20" w:after="48"/>
              <w:jc w:val="center"/>
              <w:rPr>
                <w:noProof/>
                <w:sz w:val="16"/>
                <w:szCs w:val="16"/>
              </w:rPr>
            </w:pPr>
          </w:p>
        </w:tc>
        <w:tc>
          <w:tcPr>
            <w:tcW w:w="328" w:type="pct"/>
            <w:tcBorders>
              <w:right w:val="nil"/>
            </w:tcBorders>
            <w:shd w:val="clear" w:color="auto" w:fill="auto"/>
            <w:vAlign w:val="center"/>
          </w:tcPr>
          <w:p>
            <w:pPr>
              <w:spacing w:beforeLines="20" w:before="48" w:afterLines="20" w:after="48"/>
              <w:jc w:val="center"/>
              <w:rPr>
                <w:noProof/>
                <w:sz w:val="16"/>
                <w:szCs w:val="16"/>
              </w:rPr>
            </w:pPr>
          </w:p>
        </w:tc>
        <w:tc>
          <w:tcPr>
            <w:tcW w:w="328" w:type="pct"/>
            <w:tcBorders>
              <w:right w:val="nil"/>
            </w:tcBorders>
            <w:shd w:val="clear" w:color="auto" w:fill="auto"/>
            <w:vAlign w:val="center"/>
          </w:tcPr>
          <w:p>
            <w:pPr>
              <w:spacing w:beforeLines="20" w:before="48" w:afterLines="20" w:after="48"/>
              <w:jc w:val="center"/>
              <w:rPr>
                <w:noProof/>
                <w:sz w:val="16"/>
                <w:szCs w:val="16"/>
              </w:rPr>
            </w:pPr>
          </w:p>
        </w:tc>
        <w:tc>
          <w:tcPr>
            <w:tcW w:w="330" w:type="pct"/>
            <w:tcBorders>
              <w:right w:val="nil"/>
            </w:tcBorders>
            <w:shd w:val="clear" w:color="auto" w:fill="auto"/>
            <w:vAlign w:val="center"/>
          </w:tcPr>
          <w:p>
            <w:pPr>
              <w:spacing w:beforeLines="20" w:before="48" w:afterLines="20" w:after="48"/>
              <w:jc w:val="center"/>
              <w:rPr>
                <w:noProof/>
                <w:sz w:val="16"/>
                <w:szCs w:val="16"/>
              </w:rPr>
            </w:pPr>
          </w:p>
        </w:tc>
        <w:tc>
          <w:tcPr>
            <w:tcW w:w="426" w:type="pct"/>
            <w:tcBorders>
              <w:right w:val="nil"/>
            </w:tcBorders>
            <w:vAlign w:val="center"/>
          </w:tcPr>
          <w:p>
            <w:pPr>
              <w:spacing w:beforeLines="20" w:before="48" w:afterLines="20" w:after="48"/>
              <w:jc w:val="center"/>
              <w:rPr>
                <w:noProof/>
                <w:sz w:val="16"/>
                <w:szCs w:val="16"/>
              </w:rPr>
            </w:pPr>
          </w:p>
        </w:tc>
        <w:tc>
          <w:tcPr>
            <w:tcW w:w="480" w:type="pct"/>
            <w:tcBorders>
              <w:right w:val="single" w:sz="6" w:space="0" w:color="auto"/>
            </w:tcBorders>
            <w:vAlign w:val="center"/>
          </w:tcPr>
          <w:p>
            <w:pPr>
              <w:spacing w:beforeLines="20" w:before="48" w:afterLines="20" w:after="48"/>
              <w:jc w:val="center"/>
              <w:rPr>
                <w:noProof/>
                <w:sz w:val="16"/>
                <w:szCs w:val="16"/>
              </w:rPr>
            </w:pPr>
          </w:p>
        </w:tc>
      </w:tr>
      <w:tr>
        <w:trPr>
          <w:trHeight w:val="289"/>
          <w:jc w:val="center"/>
        </w:trPr>
        <w:tc>
          <w:tcPr>
            <w:tcW w:w="712" w:type="pct"/>
            <w:gridSpan w:val="3"/>
            <w:vMerge w:val="restart"/>
            <w:tcBorders>
              <w:left w:val="single" w:sz="6" w:space="0" w:color="auto"/>
            </w:tcBorders>
            <w:shd w:val="clear" w:color="auto" w:fill="auto"/>
            <w:vAlign w:val="center"/>
          </w:tcPr>
          <w:p>
            <w:pPr>
              <w:spacing w:beforeLines="20" w:before="48" w:afterLines="20" w:after="48"/>
              <w:ind w:left="136"/>
              <w:jc w:val="left"/>
              <w:rPr>
                <w:b/>
                <w:noProof/>
                <w:sz w:val="16"/>
                <w:szCs w:val="16"/>
              </w:rPr>
            </w:pPr>
            <w:r>
              <w:rPr>
                <w:b/>
                <w:noProof/>
                <w:sz w:val="16"/>
                <w:szCs w:val="16"/>
              </w:rPr>
              <w:t>XX</w:t>
            </w:r>
            <w:r>
              <w:rPr>
                <w:noProof/>
                <w:sz w:val="16"/>
                <w:szCs w:val="16"/>
              </w:rPr>
              <w:t xml:space="preserve"> 01 04 </w:t>
            </w:r>
            <w:r>
              <w:rPr>
                <w:b/>
                <w:noProof/>
                <w:sz w:val="16"/>
                <w:szCs w:val="16"/>
              </w:rPr>
              <w:t>yy</w:t>
            </w:r>
            <w:r>
              <w:rPr>
                <w:b/>
                <w:i/>
                <w:noProof/>
                <w:sz w:val="16"/>
              </w:rPr>
              <w:t xml:space="preserve"> </w:t>
            </w:r>
            <w:r>
              <w:rPr>
                <w:rStyle w:val="FootnoteReference"/>
                <w:noProof/>
              </w:rPr>
              <w:footnoteReference w:id="111"/>
            </w:r>
          </w:p>
          <w:p>
            <w:pPr>
              <w:spacing w:beforeLines="20" w:before="48" w:afterLines="20" w:after="48"/>
              <w:ind w:left="136"/>
              <w:jc w:val="left"/>
              <w:rPr>
                <w:b/>
                <w:noProof/>
                <w:sz w:val="16"/>
                <w:szCs w:val="16"/>
              </w:rPr>
            </w:pPr>
          </w:p>
        </w:tc>
        <w:tc>
          <w:tcPr>
            <w:tcW w:w="723" w:type="pct"/>
            <w:shd w:val="clear" w:color="auto" w:fill="auto"/>
            <w:vAlign w:val="center"/>
          </w:tcPr>
          <w:p>
            <w:pPr>
              <w:spacing w:beforeLines="20" w:before="48" w:afterLines="20" w:after="48"/>
              <w:ind w:left="136"/>
              <w:jc w:val="left"/>
              <w:rPr>
                <w:b/>
                <w:noProof/>
                <w:sz w:val="16"/>
                <w:szCs w:val="16"/>
              </w:rPr>
            </w:pPr>
            <w:r>
              <w:rPr>
                <w:noProof/>
                <w:sz w:val="16"/>
              </w:rPr>
              <w:t>- at Headquarters</w:t>
            </w:r>
          </w:p>
          <w:p>
            <w:pPr>
              <w:spacing w:beforeLines="20" w:before="48" w:afterLines="20" w:after="48"/>
              <w:ind w:left="136"/>
              <w:jc w:val="left"/>
              <w:rPr>
                <w:b/>
                <w:noProof/>
                <w:sz w:val="16"/>
                <w:szCs w:val="16"/>
              </w:rPr>
            </w:pPr>
          </w:p>
        </w:tc>
        <w:tc>
          <w:tcPr>
            <w:tcW w:w="340" w:type="pct"/>
            <w:vAlign w:val="center"/>
          </w:tcPr>
          <w:p>
            <w:pPr>
              <w:spacing w:beforeLines="20" w:before="48" w:afterLines="20" w:after="48"/>
              <w:jc w:val="center"/>
              <w:rPr>
                <w:noProof/>
                <w:sz w:val="16"/>
                <w:szCs w:val="16"/>
              </w:rPr>
            </w:pPr>
          </w:p>
        </w:tc>
        <w:tc>
          <w:tcPr>
            <w:tcW w:w="341" w:type="pct"/>
            <w:shd w:val="clear" w:color="auto" w:fill="auto"/>
            <w:vAlign w:val="center"/>
          </w:tcPr>
          <w:p>
            <w:pPr>
              <w:spacing w:beforeLines="20" w:before="48" w:afterLines="20" w:after="48"/>
              <w:jc w:val="center"/>
              <w:rPr>
                <w:noProof/>
                <w:sz w:val="16"/>
                <w:szCs w:val="16"/>
              </w:rPr>
            </w:pPr>
          </w:p>
        </w:tc>
        <w:tc>
          <w:tcPr>
            <w:tcW w:w="328" w:type="pct"/>
            <w:shd w:val="clear" w:color="auto" w:fill="auto"/>
            <w:vAlign w:val="center"/>
          </w:tcPr>
          <w:p>
            <w:pPr>
              <w:spacing w:beforeLines="20" w:before="48" w:afterLines="20" w:after="48"/>
              <w:jc w:val="center"/>
              <w:rPr>
                <w:noProof/>
                <w:sz w:val="16"/>
                <w:szCs w:val="16"/>
              </w:rPr>
            </w:pPr>
          </w:p>
        </w:tc>
        <w:tc>
          <w:tcPr>
            <w:tcW w:w="337" w:type="pct"/>
            <w:shd w:val="clear" w:color="auto" w:fill="auto"/>
            <w:vAlign w:val="center"/>
          </w:tcPr>
          <w:p>
            <w:pPr>
              <w:spacing w:beforeLines="20" w:before="48" w:afterLines="20" w:after="48"/>
              <w:jc w:val="center"/>
              <w:rPr>
                <w:noProof/>
                <w:sz w:val="16"/>
                <w:szCs w:val="16"/>
              </w:rPr>
            </w:pPr>
          </w:p>
        </w:tc>
        <w:tc>
          <w:tcPr>
            <w:tcW w:w="327" w:type="pct"/>
            <w:shd w:val="clear" w:color="auto" w:fill="auto"/>
            <w:vAlign w:val="center"/>
          </w:tcPr>
          <w:p>
            <w:pPr>
              <w:spacing w:beforeLines="20" w:before="48" w:afterLines="20" w:after="48"/>
              <w:jc w:val="center"/>
              <w:rPr>
                <w:noProof/>
                <w:sz w:val="16"/>
                <w:szCs w:val="16"/>
              </w:rPr>
            </w:pPr>
          </w:p>
        </w:tc>
        <w:tc>
          <w:tcPr>
            <w:tcW w:w="328" w:type="pct"/>
            <w:tcBorders>
              <w:right w:val="nil"/>
            </w:tcBorders>
            <w:shd w:val="clear" w:color="auto" w:fill="auto"/>
            <w:vAlign w:val="center"/>
          </w:tcPr>
          <w:p>
            <w:pPr>
              <w:spacing w:beforeLines="20" w:before="48" w:afterLines="20" w:after="48"/>
              <w:jc w:val="center"/>
              <w:rPr>
                <w:noProof/>
                <w:sz w:val="16"/>
                <w:szCs w:val="16"/>
              </w:rPr>
            </w:pPr>
          </w:p>
        </w:tc>
        <w:tc>
          <w:tcPr>
            <w:tcW w:w="328" w:type="pct"/>
            <w:tcBorders>
              <w:right w:val="nil"/>
            </w:tcBorders>
            <w:shd w:val="clear" w:color="auto" w:fill="auto"/>
            <w:vAlign w:val="center"/>
          </w:tcPr>
          <w:p>
            <w:pPr>
              <w:spacing w:beforeLines="20" w:before="48" w:afterLines="20" w:after="48"/>
              <w:jc w:val="center"/>
              <w:rPr>
                <w:noProof/>
                <w:sz w:val="16"/>
                <w:szCs w:val="16"/>
              </w:rPr>
            </w:pPr>
          </w:p>
        </w:tc>
        <w:tc>
          <w:tcPr>
            <w:tcW w:w="330" w:type="pct"/>
            <w:tcBorders>
              <w:right w:val="nil"/>
            </w:tcBorders>
            <w:shd w:val="clear" w:color="auto" w:fill="auto"/>
            <w:vAlign w:val="center"/>
          </w:tcPr>
          <w:p>
            <w:pPr>
              <w:spacing w:beforeLines="20" w:before="48" w:afterLines="20" w:after="48"/>
              <w:jc w:val="center"/>
              <w:rPr>
                <w:noProof/>
                <w:sz w:val="16"/>
                <w:szCs w:val="16"/>
              </w:rPr>
            </w:pPr>
          </w:p>
        </w:tc>
        <w:tc>
          <w:tcPr>
            <w:tcW w:w="426" w:type="pct"/>
            <w:tcBorders>
              <w:right w:val="nil"/>
            </w:tcBorders>
            <w:vAlign w:val="center"/>
          </w:tcPr>
          <w:p>
            <w:pPr>
              <w:spacing w:beforeLines="20" w:before="48" w:afterLines="20" w:after="48"/>
              <w:jc w:val="center"/>
              <w:rPr>
                <w:noProof/>
                <w:sz w:val="16"/>
                <w:szCs w:val="16"/>
              </w:rPr>
            </w:pPr>
          </w:p>
        </w:tc>
        <w:tc>
          <w:tcPr>
            <w:tcW w:w="480" w:type="pct"/>
            <w:tcBorders>
              <w:right w:val="single" w:sz="6" w:space="0" w:color="auto"/>
            </w:tcBorders>
            <w:vAlign w:val="center"/>
          </w:tcPr>
          <w:p>
            <w:pPr>
              <w:spacing w:beforeLines="20" w:before="48" w:afterLines="20" w:after="48"/>
              <w:jc w:val="center"/>
              <w:rPr>
                <w:noProof/>
                <w:sz w:val="16"/>
                <w:szCs w:val="16"/>
              </w:rPr>
            </w:pPr>
          </w:p>
        </w:tc>
      </w:tr>
      <w:tr>
        <w:trPr>
          <w:trHeight w:val="289"/>
          <w:jc w:val="center"/>
        </w:trPr>
        <w:tc>
          <w:tcPr>
            <w:tcW w:w="712" w:type="pct"/>
            <w:gridSpan w:val="3"/>
            <w:vMerge/>
            <w:tcBorders>
              <w:left w:val="single" w:sz="6" w:space="0" w:color="auto"/>
            </w:tcBorders>
            <w:shd w:val="clear" w:color="auto" w:fill="auto"/>
            <w:vAlign w:val="center"/>
          </w:tcPr>
          <w:p>
            <w:pPr>
              <w:numPr>
                <w:ilvl w:val="0"/>
                <w:numId w:val="4"/>
              </w:numPr>
              <w:tabs>
                <w:tab w:val="clear" w:pos="709"/>
              </w:tabs>
              <w:spacing w:beforeLines="20" w:before="48" w:afterLines="20" w:after="48"/>
              <w:ind w:left="136" w:firstLine="0"/>
              <w:jc w:val="left"/>
              <w:rPr>
                <w:b/>
                <w:noProof/>
                <w:sz w:val="16"/>
                <w:szCs w:val="16"/>
              </w:rPr>
            </w:pPr>
          </w:p>
        </w:tc>
        <w:tc>
          <w:tcPr>
            <w:tcW w:w="723" w:type="pct"/>
            <w:shd w:val="clear" w:color="auto" w:fill="auto"/>
            <w:vAlign w:val="center"/>
          </w:tcPr>
          <w:p>
            <w:pPr>
              <w:spacing w:beforeLines="20" w:before="48" w:afterLines="20" w:after="48"/>
              <w:ind w:left="136"/>
              <w:jc w:val="left"/>
              <w:rPr>
                <w:b/>
                <w:noProof/>
                <w:sz w:val="16"/>
                <w:szCs w:val="16"/>
              </w:rPr>
            </w:pPr>
            <w:r>
              <w:rPr>
                <w:noProof/>
                <w:sz w:val="16"/>
              </w:rPr>
              <w:t xml:space="preserve">- in Delegations </w:t>
            </w:r>
          </w:p>
        </w:tc>
        <w:tc>
          <w:tcPr>
            <w:tcW w:w="340" w:type="pct"/>
            <w:vAlign w:val="center"/>
          </w:tcPr>
          <w:p>
            <w:pPr>
              <w:spacing w:beforeLines="20" w:before="48" w:afterLines="20" w:after="48"/>
              <w:jc w:val="center"/>
              <w:rPr>
                <w:noProof/>
                <w:sz w:val="16"/>
                <w:szCs w:val="16"/>
              </w:rPr>
            </w:pPr>
          </w:p>
        </w:tc>
        <w:tc>
          <w:tcPr>
            <w:tcW w:w="341" w:type="pct"/>
            <w:shd w:val="clear" w:color="auto" w:fill="auto"/>
            <w:vAlign w:val="center"/>
          </w:tcPr>
          <w:p>
            <w:pPr>
              <w:spacing w:beforeLines="20" w:before="48" w:afterLines="20" w:after="48"/>
              <w:jc w:val="center"/>
              <w:rPr>
                <w:noProof/>
                <w:sz w:val="16"/>
                <w:szCs w:val="16"/>
              </w:rPr>
            </w:pPr>
          </w:p>
        </w:tc>
        <w:tc>
          <w:tcPr>
            <w:tcW w:w="328" w:type="pct"/>
            <w:shd w:val="clear" w:color="auto" w:fill="auto"/>
            <w:vAlign w:val="center"/>
          </w:tcPr>
          <w:p>
            <w:pPr>
              <w:spacing w:beforeLines="20" w:before="48" w:afterLines="20" w:after="48"/>
              <w:jc w:val="center"/>
              <w:rPr>
                <w:noProof/>
                <w:sz w:val="16"/>
                <w:szCs w:val="16"/>
              </w:rPr>
            </w:pPr>
          </w:p>
        </w:tc>
        <w:tc>
          <w:tcPr>
            <w:tcW w:w="337" w:type="pct"/>
            <w:shd w:val="clear" w:color="auto" w:fill="auto"/>
            <w:vAlign w:val="center"/>
          </w:tcPr>
          <w:p>
            <w:pPr>
              <w:spacing w:beforeLines="20" w:before="48" w:afterLines="20" w:after="48"/>
              <w:jc w:val="center"/>
              <w:rPr>
                <w:noProof/>
                <w:sz w:val="16"/>
                <w:szCs w:val="16"/>
              </w:rPr>
            </w:pPr>
          </w:p>
        </w:tc>
        <w:tc>
          <w:tcPr>
            <w:tcW w:w="327" w:type="pct"/>
            <w:shd w:val="clear" w:color="auto" w:fill="auto"/>
            <w:vAlign w:val="center"/>
          </w:tcPr>
          <w:p>
            <w:pPr>
              <w:spacing w:beforeLines="20" w:before="48" w:afterLines="20" w:after="48"/>
              <w:jc w:val="center"/>
              <w:rPr>
                <w:noProof/>
                <w:sz w:val="16"/>
                <w:szCs w:val="16"/>
              </w:rPr>
            </w:pPr>
          </w:p>
        </w:tc>
        <w:tc>
          <w:tcPr>
            <w:tcW w:w="328" w:type="pct"/>
            <w:tcBorders>
              <w:right w:val="nil"/>
            </w:tcBorders>
            <w:shd w:val="clear" w:color="auto" w:fill="auto"/>
            <w:vAlign w:val="center"/>
          </w:tcPr>
          <w:p>
            <w:pPr>
              <w:spacing w:beforeLines="20" w:before="48" w:afterLines="20" w:after="48"/>
              <w:jc w:val="center"/>
              <w:rPr>
                <w:noProof/>
                <w:sz w:val="16"/>
                <w:szCs w:val="16"/>
              </w:rPr>
            </w:pPr>
          </w:p>
        </w:tc>
        <w:tc>
          <w:tcPr>
            <w:tcW w:w="328" w:type="pct"/>
            <w:tcBorders>
              <w:right w:val="nil"/>
            </w:tcBorders>
            <w:shd w:val="clear" w:color="auto" w:fill="auto"/>
            <w:vAlign w:val="center"/>
          </w:tcPr>
          <w:p>
            <w:pPr>
              <w:spacing w:beforeLines="20" w:before="48" w:afterLines="20" w:after="48"/>
              <w:jc w:val="center"/>
              <w:rPr>
                <w:noProof/>
                <w:sz w:val="16"/>
                <w:szCs w:val="16"/>
              </w:rPr>
            </w:pPr>
          </w:p>
        </w:tc>
        <w:tc>
          <w:tcPr>
            <w:tcW w:w="330" w:type="pct"/>
            <w:tcBorders>
              <w:right w:val="nil"/>
            </w:tcBorders>
            <w:shd w:val="clear" w:color="auto" w:fill="auto"/>
            <w:vAlign w:val="center"/>
          </w:tcPr>
          <w:p>
            <w:pPr>
              <w:spacing w:beforeLines="20" w:before="48" w:afterLines="20" w:after="48"/>
              <w:jc w:val="center"/>
              <w:rPr>
                <w:noProof/>
                <w:sz w:val="16"/>
                <w:szCs w:val="16"/>
              </w:rPr>
            </w:pPr>
          </w:p>
        </w:tc>
        <w:tc>
          <w:tcPr>
            <w:tcW w:w="426" w:type="pct"/>
            <w:tcBorders>
              <w:right w:val="nil"/>
            </w:tcBorders>
            <w:vAlign w:val="center"/>
          </w:tcPr>
          <w:p>
            <w:pPr>
              <w:spacing w:beforeLines="20" w:before="48" w:afterLines="20" w:after="48"/>
              <w:jc w:val="center"/>
              <w:rPr>
                <w:noProof/>
                <w:sz w:val="16"/>
                <w:szCs w:val="16"/>
              </w:rPr>
            </w:pPr>
          </w:p>
        </w:tc>
        <w:tc>
          <w:tcPr>
            <w:tcW w:w="480" w:type="pct"/>
            <w:tcBorders>
              <w:right w:val="single" w:sz="6" w:space="0" w:color="auto"/>
            </w:tcBorders>
            <w:vAlign w:val="center"/>
          </w:tcPr>
          <w:p>
            <w:pPr>
              <w:spacing w:beforeLines="20" w:before="48" w:afterLines="20" w:after="48"/>
              <w:jc w:val="center"/>
              <w:rPr>
                <w:noProof/>
                <w:sz w:val="16"/>
                <w:szCs w:val="16"/>
              </w:rPr>
            </w:pPr>
          </w:p>
        </w:tc>
      </w:tr>
      <w:tr>
        <w:trPr>
          <w:trHeight w:val="289"/>
          <w:jc w:val="center"/>
        </w:trPr>
        <w:tc>
          <w:tcPr>
            <w:tcW w:w="1435" w:type="pct"/>
            <w:gridSpan w:val="4"/>
            <w:tcBorders>
              <w:left w:val="single" w:sz="6" w:space="0" w:color="auto"/>
            </w:tcBorders>
            <w:shd w:val="clear" w:color="auto" w:fill="auto"/>
            <w:vAlign w:val="center"/>
          </w:tcPr>
          <w:p>
            <w:pPr>
              <w:spacing w:beforeLines="20" w:before="48" w:afterLines="20" w:after="48"/>
              <w:ind w:left="136"/>
              <w:jc w:val="left"/>
              <w:rPr>
                <w:noProof/>
                <w:sz w:val="16"/>
                <w:szCs w:val="16"/>
              </w:rPr>
            </w:pPr>
            <w:r>
              <w:rPr>
                <w:b/>
                <w:noProof/>
                <w:sz w:val="16"/>
                <w:szCs w:val="16"/>
              </w:rPr>
              <w:t>XX</w:t>
            </w:r>
            <w:r>
              <w:rPr>
                <w:noProof/>
                <w:sz w:val="16"/>
                <w:szCs w:val="16"/>
              </w:rPr>
              <w:t xml:space="preserve"> 01 05 02 (AC, END, INT - Indirect research)</w:t>
            </w:r>
          </w:p>
        </w:tc>
        <w:tc>
          <w:tcPr>
            <w:tcW w:w="340" w:type="pct"/>
          </w:tcPr>
          <w:p>
            <w:pPr>
              <w:spacing w:beforeLines="20" w:before="48" w:afterLines="20" w:after="48"/>
              <w:jc w:val="center"/>
              <w:rPr>
                <w:noProof/>
                <w:sz w:val="16"/>
                <w:szCs w:val="16"/>
              </w:rPr>
            </w:pPr>
          </w:p>
        </w:tc>
        <w:tc>
          <w:tcPr>
            <w:tcW w:w="341" w:type="pct"/>
            <w:shd w:val="clear" w:color="auto" w:fill="auto"/>
            <w:vAlign w:val="center"/>
          </w:tcPr>
          <w:p>
            <w:pPr>
              <w:spacing w:beforeLines="20" w:before="48" w:afterLines="20" w:after="48"/>
              <w:jc w:val="center"/>
              <w:rPr>
                <w:noProof/>
                <w:sz w:val="16"/>
                <w:szCs w:val="16"/>
              </w:rPr>
            </w:pPr>
          </w:p>
        </w:tc>
        <w:tc>
          <w:tcPr>
            <w:tcW w:w="328" w:type="pct"/>
            <w:shd w:val="clear" w:color="auto" w:fill="auto"/>
            <w:vAlign w:val="center"/>
          </w:tcPr>
          <w:p>
            <w:pPr>
              <w:spacing w:beforeLines="20" w:before="48" w:afterLines="20" w:after="48"/>
              <w:jc w:val="center"/>
              <w:rPr>
                <w:noProof/>
                <w:sz w:val="16"/>
                <w:szCs w:val="16"/>
              </w:rPr>
            </w:pPr>
          </w:p>
        </w:tc>
        <w:tc>
          <w:tcPr>
            <w:tcW w:w="337" w:type="pct"/>
            <w:shd w:val="clear" w:color="auto" w:fill="auto"/>
            <w:vAlign w:val="center"/>
          </w:tcPr>
          <w:p>
            <w:pPr>
              <w:spacing w:beforeLines="20" w:before="48" w:afterLines="20" w:after="48"/>
              <w:jc w:val="center"/>
              <w:rPr>
                <w:noProof/>
                <w:sz w:val="16"/>
                <w:szCs w:val="16"/>
              </w:rPr>
            </w:pPr>
          </w:p>
        </w:tc>
        <w:tc>
          <w:tcPr>
            <w:tcW w:w="327" w:type="pct"/>
            <w:shd w:val="clear" w:color="auto" w:fill="auto"/>
            <w:vAlign w:val="center"/>
          </w:tcPr>
          <w:p>
            <w:pPr>
              <w:spacing w:beforeLines="20" w:before="48" w:afterLines="20" w:after="48"/>
              <w:jc w:val="center"/>
              <w:rPr>
                <w:noProof/>
                <w:sz w:val="16"/>
                <w:szCs w:val="16"/>
              </w:rPr>
            </w:pPr>
          </w:p>
        </w:tc>
        <w:tc>
          <w:tcPr>
            <w:tcW w:w="328" w:type="pct"/>
            <w:tcBorders>
              <w:right w:val="nil"/>
            </w:tcBorders>
            <w:shd w:val="clear" w:color="auto" w:fill="auto"/>
            <w:vAlign w:val="center"/>
          </w:tcPr>
          <w:p>
            <w:pPr>
              <w:spacing w:beforeLines="20" w:before="48" w:afterLines="20" w:after="48"/>
              <w:jc w:val="center"/>
              <w:rPr>
                <w:noProof/>
                <w:sz w:val="16"/>
                <w:szCs w:val="16"/>
              </w:rPr>
            </w:pPr>
          </w:p>
        </w:tc>
        <w:tc>
          <w:tcPr>
            <w:tcW w:w="328" w:type="pct"/>
            <w:tcBorders>
              <w:right w:val="nil"/>
            </w:tcBorders>
            <w:shd w:val="clear" w:color="auto" w:fill="auto"/>
            <w:vAlign w:val="center"/>
          </w:tcPr>
          <w:p>
            <w:pPr>
              <w:spacing w:beforeLines="20" w:before="48" w:afterLines="20" w:after="48"/>
              <w:jc w:val="center"/>
              <w:rPr>
                <w:noProof/>
                <w:sz w:val="16"/>
                <w:szCs w:val="16"/>
              </w:rPr>
            </w:pPr>
          </w:p>
        </w:tc>
        <w:tc>
          <w:tcPr>
            <w:tcW w:w="330" w:type="pct"/>
            <w:tcBorders>
              <w:right w:val="nil"/>
            </w:tcBorders>
            <w:shd w:val="clear" w:color="auto" w:fill="auto"/>
            <w:vAlign w:val="center"/>
          </w:tcPr>
          <w:p>
            <w:pPr>
              <w:spacing w:beforeLines="20" w:before="48" w:afterLines="20" w:after="48"/>
              <w:jc w:val="center"/>
              <w:rPr>
                <w:noProof/>
                <w:sz w:val="16"/>
                <w:szCs w:val="16"/>
              </w:rPr>
            </w:pPr>
          </w:p>
        </w:tc>
        <w:tc>
          <w:tcPr>
            <w:tcW w:w="426" w:type="pct"/>
            <w:tcBorders>
              <w:right w:val="nil"/>
            </w:tcBorders>
            <w:vAlign w:val="center"/>
          </w:tcPr>
          <w:p>
            <w:pPr>
              <w:spacing w:beforeLines="20" w:before="48" w:afterLines="20" w:after="48"/>
              <w:jc w:val="center"/>
              <w:rPr>
                <w:noProof/>
                <w:sz w:val="16"/>
                <w:szCs w:val="16"/>
              </w:rPr>
            </w:pPr>
          </w:p>
        </w:tc>
        <w:tc>
          <w:tcPr>
            <w:tcW w:w="480" w:type="pct"/>
            <w:tcBorders>
              <w:right w:val="single" w:sz="6" w:space="0" w:color="auto"/>
            </w:tcBorders>
            <w:vAlign w:val="center"/>
          </w:tcPr>
          <w:p>
            <w:pPr>
              <w:spacing w:beforeLines="20" w:before="48" w:afterLines="20" w:after="48"/>
              <w:jc w:val="center"/>
              <w:rPr>
                <w:noProof/>
                <w:sz w:val="16"/>
                <w:szCs w:val="16"/>
              </w:rPr>
            </w:pPr>
          </w:p>
        </w:tc>
      </w:tr>
      <w:tr>
        <w:trPr>
          <w:trHeight w:val="289"/>
          <w:jc w:val="center"/>
        </w:trPr>
        <w:tc>
          <w:tcPr>
            <w:tcW w:w="1435" w:type="pct"/>
            <w:gridSpan w:val="4"/>
            <w:tcBorders>
              <w:left w:val="single" w:sz="6" w:space="0" w:color="auto"/>
            </w:tcBorders>
            <w:shd w:val="clear" w:color="auto" w:fill="auto"/>
            <w:vAlign w:val="center"/>
          </w:tcPr>
          <w:p>
            <w:pPr>
              <w:spacing w:beforeLines="20" w:before="48" w:afterLines="20" w:after="48"/>
              <w:ind w:left="136"/>
              <w:jc w:val="left"/>
              <w:rPr>
                <w:noProof/>
                <w:sz w:val="16"/>
                <w:szCs w:val="16"/>
              </w:rPr>
            </w:pPr>
            <w:r>
              <w:rPr>
                <w:noProof/>
                <w:sz w:val="16"/>
              </w:rPr>
              <w:t>10 01 05 02 (AC, END, INT - Direct research)</w:t>
            </w:r>
          </w:p>
        </w:tc>
        <w:tc>
          <w:tcPr>
            <w:tcW w:w="340" w:type="pct"/>
          </w:tcPr>
          <w:p>
            <w:pPr>
              <w:spacing w:beforeLines="20" w:before="48" w:afterLines="20" w:after="48"/>
              <w:jc w:val="center"/>
              <w:rPr>
                <w:noProof/>
                <w:sz w:val="16"/>
                <w:szCs w:val="16"/>
              </w:rPr>
            </w:pPr>
          </w:p>
        </w:tc>
        <w:tc>
          <w:tcPr>
            <w:tcW w:w="341" w:type="pct"/>
            <w:shd w:val="clear" w:color="auto" w:fill="auto"/>
            <w:vAlign w:val="center"/>
          </w:tcPr>
          <w:p>
            <w:pPr>
              <w:spacing w:beforeLines="20" w:before="48" w:afterLines="20" w:after="48"/>
              <w:jc w:val="center"/>
              <w:rPr>
                <w:noProof/>
                <w:sz w:val="16"/>
                <w:szCs w:val="16"/>
              </w:rPr>
            </w:pPr>
          </w:p>
        </w:tc>
        <w:tc>
          <w:tcPr>
            <w:tcW w:w="328" w:type="pct"/>
            <w:shd w:val="clear" w:color="auto" w:fill="auto"/>
            <w:vAlign w:val="center"/>
          </w:tcPr>
          <w:p>
            <w:pPr>
              <w:spacing w:beforeLines="20" w:before="48" w:afterLines="20" w:after="48"/>
              <w:jc w:val="center"/>
              <w:rPr>
                <w:noProof/>
                <w:sz w:val="16"/>
                <w:szCs w:val="16"/>
              </w:rPr>
            </w:pPr>
          </w:p>
        </w:tc>
        <w:tc>
          <w:tcPr>
            <w:tcW w:w="337" w:type="pct"/>
            <w:shd w:val="clear" w:color="auto" w:fill="auto"/>
            <w:vAlign w:val="center"/>
          </w:tcPr>
          <w:p>
            <w:pPr>
              <w:spacing w:beforeLines="20" w:before="48" w:afterLines="20" w:after="48"/>
              <w:jc w:val="center"/>
              <w:rPr>
                <w:noProof/>
                <w:sz w:val="16"/>
                <w:szCs w:val="16"/>
              </w:rPr>
            </w:pPr>
          </w:p>
        </w:tc>
        <w:tc>
          <w:tcPr>
            <w:tcW w:w="327" w:type="pct"/>
            <w:shd w:val="clear" w:color="auto" w:fill="auto"/>
            <w:vAlign w:val="center"/>
          </w:tcPr>
          <w:p>
            <w:pPr>
              <w:spacing w:beforeLines="20" w:before="48" w:afterLines="20" w:after="48"/>
              <w:jc w:val="center"/>
              <w:rPr>
                <w:noProof/>
                <w:sz w:val="16"/>
                <w:szCs w:val="16"/>
              </w:rPr>
            </w:pPr>
          </w:p>
        </w:tc>
        <w:tc>
          <w:tcPr>
            <w:tcW w:w="328" w:type="pct"/>
            <w:tcBorders>
              <w:right w:val="nil"/>
            </w:tcBorders>
            <w:shd w:val="clear" w:color="auto" w:fill="auto"/>
            <w:vAlign w:val="center"/>
          </w:tcPr>
          <w:p>
            <w:pPr>
              <w:spacing w:beforeLines="20" w:before="48" w:afterLines="20" w:after="48"/>
              <w:jc w:val="center"/>
              <w:rPr>
                <w:noProof/>
                <w:sz w:val="16"/>
                <w:szCs w:val="16"/>
              </w:rPr>
            </w:pPr>
          </w:p>
        </w:tc>
        <w:tc>
          <w:tcPr>
            <w:tcW w:w="328" w:type="pct"/>
            <w:tcBorders>
              <w:right w:val="nil"/>
            </w:tcBorders>
            <w:shd w:val="clear" w:color="auto" w:fill="auto"/>
            <w:vAlign w:val="center"/>
          </w:tcPr>
          <w:p>
            <w:pPr>
              <w:spacing w:beforeLines="20" w:before="48" w:afterLines="20" w:after="48"/>
              <w:jc w:val="center"/>
              <w:rPr>
                <w:noProof/>
                <w:sz w:val="16"/>
                <w:szCs w:val="16"/>
              </w:rPr>
            </w:pPr>
          </w:p>
        </w:tc>
        <w:tc>
          <w:tcPr>
            <w:tcW w:w="330" w:type="pct"/>
            <w:tcBorders>
              <w:right w:val="nil"/>
            </w:tcBorders>
            <w:shd w:val="clear" w:color="auto" w:fill="auto"/>
            <w:vAlign w:val="center"/>
          </w:tcPr>
          <w:p>
            <w:pPr>
              <w:spacing w:beforeLines="20" w:before="48" w:afterLines="20" w:after="48"/>
              <w:jc w:val="center"/>
              <w:rPr>
                <w:noProof/>
                <w:sz w:val="16"/>
                <w:szCs w:val="16"/>
              </w:rPr>
            </w:pPr>
          </w:p>
        </w:tc>
        <w:tc>
          <w:tcPr>
            <w:tcW w:w="426" w:type="pct"/>
            <w:tcBorders>
              <w:right w:val="nil"/>
            </w:tcBorders>
            <w:vAlign w:val="center"/>
          </w:tcPr>
          <w:p>
            <w:pPr>
              <w:spacing w:beforeLines="20" w:before="48" w:afterLines="20" w:after="48"/>
              <w:jc w:val="center"/>
              <w:rPr>
                <w:noProof/>
                <w:sz w:val="16"/>
                <w:szCs w:val="16"/>
              </w:rPr>
            </w:pPr>
          </w:p>
        </w:tc>
        <w:tc>
          <w:tcPr>
            <w:tcW w:w="480" w:type="pct"/>
            <w:tcBorders>
              <w:right w:val="single" w:sz="6" w:space="0" w:color="auto"/>
            </w:tcBorders>
            <w:vAlign w:val="center"/>
          </w:tcPr>
          <w:p>
            <w:pPr>
              <w:spacing w:beforeLines="20" w:before="48" w:afterLines="20" w:after="48"/>
              <w:jc w:val="center"/>
              <w:rPr>
                <w:noProof/>
                <w:sz w:val="16"/>
                <w:szCs w:val="16"/>
              </w:rPr>
            </w:pPr>
          </w:p>
        </w:tc>
      </w:tr>
      <w:tr>
        <w:trPr>
          <w:trHeight w:val="289"/>
          <w:jc w:val="center"/>
        </w:trPr>
        <w:tc>
          <w:tcPr>
            <w:tcW w:w="1435" w:type="pct"/>
            <w:gridSpan w:val="4"/>
            <w:tcBorders>
              <w:left w:val="single" w:sz="6" w:space="0" w:color="auto"/>
              <w:bottom w:val="double" w:sz="4" w:space="0" w:color="auto"/>
            </w:tcBorders>
            <w:shd w:val="clear" w:color="auto" w:fill="auto"/>
            <w:vAlign w:val="center"/>
          </w:tcPr>
          <w:p>
            <w:pPr>
              <w:spacing w:beforeLines="20" w:before="48" w:afterLines="20" w:after="48"/>
              <w:ind w:left="134"/>
              <w:jc w:val="left"/>
              <w:rPr>
                <w:noProof/>
                <w:sz w:val="16"/>
                <w:szCs w:val="16"/>
              </w:rPr>
            </w:pPr>
            <w:r>
              <w:rPr>
                <w:noProof/>
                <w:sz w:val="16"/>
              </w:rPr>
              <w:t>Other budget lines (specify)</w:t>
            </w:r>
          </w:p>
        </w:tc>
        <w:tc>
          <w:tcPr>
            <w:tcW w:w="340" w:type="pct"/>
            <w:tcBorders>
              <w:bottom w:val="double" w:sz="4" w:space="0" w:color="auto"/>
            </w:tcBorders>
          </w:tcPr>
          <w:p>
            <w:pPr>
              <w:spacing w:beforeLines="20" w:before="48" w:afterLines="20" w:after="48"/>
              <w:jc w:val="center"/>
              <w:rPr>
                <w:noProof/>
                <w:sz w:val="16"/>
                <w:szCs w:val="16"/>
              </w:rPr>
            </w:pPr>
          </w:p>
        </w:tc>
        <w:tc>
          <w:tcPr>
            <w:tcW w:w="341" w:type="pct"/>
            <w:tcBorders>
              <w:bottom w:val="double" w:sz="4" w:space="0" w:color="auto"/>
            </w:tcBorders>
            <w:shd w:val="clear" w:color="auto" w:fill="auto"/>
            <w:vAlign w:val="center"/>
          </w:tcPr>
          <w:p>
            <w:pPr>
              <w:spacing w:beforeLines="20" w:before="48" w:afterLines="20" w:after="48"/>
              <w:jc w:val="center"/>
              <w:rPr>
                <w:noProof/>
                <w:sz w:val="16"/>
                <w:szCs w:val="16"/>
              </w:rPr>
            </w:pPr>
          </w:p>
        </w:tc>
        <w:tc>
          <w:tcPr>
            <w:tcW w:w="328" w:type="pct"/>
            <w:tcBorders>
              <w:bottom w:val="double" w:sz="4" w:space="0" w:color="auto"/>
            </w:tcBorders>
            <w:shd w:val="clear" w:color="auto" w:fill="auto"/>
            <w:vAlign w:val="center"/>
          </w:tcPr>
          <w:p>
            <w:pPr>
              <w:spacing w:beforeLines="20" w:before="48" w:afterLines="20" w:after="48"/>
              <w:jc w:val="center"/>
              <w:rPr>
                <w:noProof/>
                <w:sz w:val="16"/>
                <w:szCs w:val="16"/>
              </w:rPr>
            </w:pPr>
          </w:p>
        </w:tc>
        <w:tc>
          <w:tcPr>
            <w:tcW w:w="337" w:type="pct"/>
            <w:tcBorders>
              <w:bottom w:val="double" w:sz="4" w:space="0" w:color="auto"/>
            </w:tcBorders>
            <w:shd w:val="clear" w:color="auto" w:fill="auto"/>
            <w:vAlign w:val="center"/>
          </w:tcPr>
          <w:p>
            <w:pPr>
              <w:spacing w:beforeLines="20" w:before="48" w:afterLines="20" w:after="48"/>
              <w:jc w:val="center"/>
              <w:rPr>
                <w:noProof/>
                <w:sz w:val="16"/>
                <w:szCs w:val="16"/>
              </w:rPr>
            </w:pPr>
          </w:p>
        </w:tc>
        <w:tc>
          <w:tcPr>
            <w:tcW w:w="327" w:type="pct"/>
            <w:tcBorders>
              <w:bottom w:val="double" w:sz="4" w:space="0" w:color="auto"/>
            </w:tcBorders>
            <w:shd w:val="clear" w:color="auto" w:fill="auto"/>
            <w:vAlign w:val="center"/>
          </w:tcPr>
          <w:p>
            <w:pPr>
              <w:spacing w:beforeLines="20" w:before="48" w:afterLines="20" w:after="48"/>
              <w:jc w:val="center"/>
              <w:rPr>
                <w:noProof/>
                <w:sz w:val="16"/>
                <w:szCs w:val="16"/>
              </w:rPr>
            </w:pPr>
          </w:p>
        </w:tc>
        <w:tc>
          <w:tcPr>
            <w:tcW w:w="328" w:type="pct"/>
            <w:tcBorders>
              <w:bottom w:val="double" w:sz="4" w:space="0" w:color="auto"/>
              <w:right w:val="nil"/>
            </w:tcBorders>
            <w:shd w:val="clear" w:color="auto" w:fill="auto"/>
            <w:vAlign w:val="center"/>
          </w:tcPr>
          <w:p>
            <w:pPr>
              <w:spacing w:beforeLines="20" w:before="48" w:afterLines="20" w:after="48"/>
              <w:jc w:val="center"/>
              <w:rPr>
                <w:noProof/>
                <w:sz w:val="16"/>
                <w:szCs w:val="16"/>
              </w:rPr>
            </w:pPr>
          </w:p>
        </w:tc>
        <w:tc>
          <w:tcPr>
            <w:tcW w:w="328" w:type="pct"/>
            <w:tcBorders>
              <w:bottom w:val="double" w:sz="4" w:space="0" w:color="auto"/>
              <w:right w:val="nil"/>
            </w:tcBorders>
            <w:shd w:val="clear" w:color="auto" w:fill="auto"/>
            <w:vAlign w:val="center"/>
          </w:tcPr>
          <w:p>
            <w:pPr>
              <w:spacing w:beforeLines="20" w:before="48" w:afterLines="20" w:after="48"/>
              <w:jc w:val="center"/>
              <w:rPr>
                <w:noProof/>
                <w:sz w:val="16"/>
                <w:szCs w:val="16"/>
              </w:rPr>
            </w:pPr>
          </w:p>
        </w:tc>
        <w:tc>
          <w:tcPr>
            <w:tcW w:w="330" w:type="pct"/>
            <w:tcBorders>
              <w:bottom w:val="double" w:sz="4" w:space="0" w:color="auto"/>
              <w:right w:val="nil"/>
            </w:tcBorders>
            <w:shd w:val="clear" w:color="auto" w:fill="auto"/>
            <w:vAlign w:val="center"/>
          </w:tcPr>
          <w:p>
            <w:pPr>
              <w:spacing w:beforeLines="20" w:before="48" w:afterLines="20" w:after="48"/>
              <w:jc w:val="center"/>
              <w:rPr>
                <w:noProof/>
                <w:sz w:val="16"/>
                <w:szCs w:val="16"/>
              </w:rPr>
            </w:pPr>
          </w:p>
        </w:tc>
        <w:tc>
          <w:tcPr>
            <w:tcW w:w="426" w:type="pct"/>
            <w:tcBorders>
              <w:bottom w:val="double" w:sz="4" w:space="0" w:color="auto"/>
              <w:right w:val="nil"/>
            </w:tcBorders>
          </w:tcPr>
          <w:p>
            <w:pPr>
              <w:spacing w:beforeLines="20" w:before="48" w:afterLines="20" w:after="48"/>
              <w:jc w:val="center"/>
              <w:rPr>
                <w:noProof/>
                <w:sz w:val="16"/>
                <w:szCs w:val="16"/>
              </w:rPr>
            </w:pPr>
          </w:p>
        </w:tc>
        <w:tc>
          <w:tcPr>
            <w:tcW w:w="480" w:type="pct"/>
            <w:tcBorders>
              <w:bottom w:val="double" w:sz="4" w:space="0" w:color="auto"/>
              <w:right w:val="single" w:sz="6" w:space="0" w:color="auto"/>
            </w:tcBorders>
          </w:tcPr>
          <w:p>
            <w:pPr>
              <w:spacing w:beforeLines="20" w:before="48" w:afterLines="20" w:after="48"/>
              <w:jc w:val="center"/>
              <w:rPr>
                <w:noProof/>
                <w:sz w:val="16"/>
                <w:szCs w:val="16"/>
              </w:rPr>
            </w:pPr>
          </w:p>
        </w:tc>
      </w:tr>
      <w:tr>
        <w:trPr>
          <w:trHeight w:val="289"/>
          <w:jc w:val="center"/>
        </w:trPr>
        <w:tc>
          <w:tcPr>
            <w:tcW w:w="1435" w:type="pct"/>
            <w:gridSpan w:val="4"/>
            <w:tcBorders>
              <w:top w:val="double" w:sz="4" w:space="0" w:color="auto"/>
              <w:left w:val="single" w:sz="6" w:space="0" w:color="auto"/>
            </w:tcBorders>
            <w:shd w:val="clear" w:color="auto" w:fill="auto"/>
            <w:vAlign w:val="center"/>
          </w:tcPr>
          <w:p>
            <w:pPr>
              <w:spacing w:beforeLines="20" w:before="48" w:afterLines="20" w:after="48"/>
              <w:ind w:left="136"/>
              <w:jc w:val="left"/>
              <w:rPr>
                <w:noProof/>
                <w:sz w:val="16"/>
                <w:szCs w:val="16"/>
              </w:rPr>
            </w:pPr>
            <w:r>
              <w:rPr>
                <w:b/>
                <w:noProof/>
                <w:sz w:val="16"/>
              </w:rPr>
              <w:t>TOTAL</w:t>
            </w:r>
          </w:p>
        </w:tc>
        <w:tc>
          <w:tcPr>
            <w:tcW w:w="340" w:type="pct"/>
            <w:tcBorders>
              <w:top w:val="double" w:sz="4" w:space="0" w:color="auto"/>
            </w:tcBorders>
          </w:tcPr>
          <w:p>
            <w:pPr>
              <w:spacing w:beforeLines="20" w:before="48" w:afterLines="20" w:after="48"/>
              <w:jc w:val="center"/>
              <w:rPr>
                <w:b/>
                <w:noProof/>
                <w:sz w:val="22"/>
              </w:rPr>
            </w:pPr>
            <w:r>
              <w:rPr>
                <w:b/>
                <w:noProof/>
                <w:sz w:val="22"/>
              </w:rPr>
              <w:t xml:space="preserve">5,0 </w:t>
            </w:r>
          </w:p>
        </w:tc>
        <w:tc>
          <w:tcPr>
            <w:tcW w:w="341" w:type="pct"/>
            <w:tcBorders>
              <w:top w:val="double" w:sz="4" w:space="0" w:color="auto"/>
            </w:tcBorders>
            <w:shd w:val="clear" w:color="auto" w:fill="auto"/>
          </w:tcPr>
          <w:p>
            <w:pPr>
              <w:spacing w:beforeLines="20" w:before="48" w:afterLines="20" w:after="48"/>
              <w:jc w:val="center"/>
              <w:rPr>
                <w:b/>
                <w:noProof/>
                <w:sz w:val="22"/>
              </w:rPr>
            </w:pPr>
            <w:r>
              <w:rPr>
                <w:b/>
                <w:noProof/>
                <w:sz w:val="22"/>
              </w:rPr>
              <w:t xml:space="preserve">5,0 </w:t>
            </w:r>
          </w:p>
        </w:tc>
        <w:tc>
          <w:tcPr>
            <w:tcW w:w="328" w:type="pct"/>
            <w:tcBorders>
              <w:top w:val="double" w:sz="4" w:space="0" w:color="auto"/>
            </w:tcBorders>
            <w:shd w:val="clear" w:color="auto" w:fill="auto"/>
          </w:tcPr>
          <w:p>
            <w:pPr>
              <w:spacing w:beforeLines="20" w:before="48" w:afterLines="20" w:after="48"/>
              <w:jc w:val="center"/>
              <w:rPr>
                <w:b/>
                <w:noProof/>
                <w:sz w:val="22"/>
              </w:rPr>
            </w:pPr>
            <w:r>
              <w:rPr>
                <w:b/>
                <w:noProof/>
                <w:sz w:val="22"/>
              </w:rPr>
              <w:t xml:space="preserve">5,0 </w:t>
            </w:r>
          </w:p>
        </w:tc>
        <w:tc>
          <w:tcPr>
            <w:tcW w:w="337" w:type="pct"/>
            <w:tcBorders>
              <w:top w:val="double" w:sz="4" w:space="0" w:color="auto"/>
            </w:tcBorders>
            <w:shd w:val="clear" w:color="auto" w:fill="auto"/>
          </w:tcPr>
          <w:p>
            <w:pPr>
              <w:spacing w:beforeLines="20" w:before="48" w:afterLines="20" w:after="48"/>
              <w:jc w:val="center"/>
              <w:rPr>
                <w:b/>
                <w:noProof/>
                <w:sz w:val="22"/>
              </w:rPr>
            </w:pPr>
            <w:r>
              <w:rPr>
                <w:b/>
                <w:noProof/>
                <w:sz w:val="22"/>
              </w:rPr>
              <w:t xml:space="preserve">5,0 </w:t>
            </w:r>
          </w:p>
        </w:tc>
        <w:tc>
          <w:tcPr>
            <w:tcW w:w="327" w:type="pct"/>
            <w:tcBorders>
              <w:top w:val="double" w:sz="4" w:space="0" w:color="auto"/>
            </w:tcBorders>
            <w:shd w:val="clear" w:color="auto" w:fill="auto"/>
          </w:tcPr>
          <w:p>
            <w:pPr>
              <w:spacing w:beforeLines="20" w:before="48" w:afterLines="20" w:after="48"/>
              <w:jc w:val="center"/>
              <w:rPr>
                <w:b/>
                <w:noProof/>
                <w:sz w:val="22"/>
              </w:rPr>
            </w:pPr>
            <w:r>
              <w:rPr>
                <w:b/>
                <w:noProof/>
                <w:sz w:val="22"/>
              </w:rPr>
              <w:t xml:space="preserve">5,0 </w:t>
            </w:r>
          </w:p>
        </w:tc>
        <w:tc>
          <w:tcPr>
            <w:tcW w:w="328" w:type="pct"/>
            <w:tcBorders>
              <w:top w:val="double" w:sz="4" w:space="0" w:color="auto"/>
              <w:right w:val="nil"/>
            </w:tcBorders>
            <w:shd w:val="clear" w:color="auto" w:fill="auto"/>
          </w:tcPr>
          <w:p>
            <w:pPr>
              <w:spacing w:beforeLines="20" w:before="48" w:afterLines="20" w:after="48"/>
              <w:jc w:val="center"/>
              <w:rPr>
                <w:b/>
                <w:noProof/>
                <w:sz w:val="22"/>
              </w:rPr>
            </w:pPr>
            <w:r>
              <w:rPr>
                <w:b/>
                <w:noProof/>
                <w:sz w:val="22"/>
              </w:rPr>
              <w:t xml:space="preserve">5,0 </w:t>
            </w:r>
          </w:p>
        </w:tc>
        <w:tc>
          <w:tcPr>
            <w:tcW w:w="328" w:type="pct"/>
            <w:tcBorders>
              <w:top w:val="double" w:sz="4" w:space="0" w:color="auto"/>
              <w:right w:val="nil"/>
            </w:tcBorders>
            <w:shd w:val="clear" w:color="auto" w:fill="auto"/>
          </w:tcPr>
          <w:p>
            <w:pPr>
              <w:spacing w:beforeLines="20" w:before="48" w:afterLines="20" w:after="48"/>
              <w:jc w:val="center"/>
              <w:rPr>
                <w:b/>
                <w:noProof/>
                <w:sz w:val="22"/>
              </w:rPr>
            </w:pPr>
            <w:r>
              <w:rPr>
                <w:b/>
                <w:noProof/>
                <w:sz w:val="22"/>
              </w:rPr>
              <w:t xml:space="preserve">2,0 </w:t>
            </w:r>
          </w:p>
        </w:tc>
        <w:tc>
          <w:tcPr>
            <w:tcW w:w="330" w:type="pct"/>
            <w:tcBorders>
              <w:top w:val="double" w:sz="4" w:space="0" w:color="auto"/>
              <w:right w:val="nil"/>
            </w:tcBorders>
            <w:shd w:val="clear" w:color="auto" w:fill="auto"/>
          </w:tcPr>
          <w:p>
            <w:pPr>
              <w:spacing w:beforeLines="20" w:before="48" w:afterLines="20" w:after="48"/>
              <w:jc w:val="center"/>
              <w:rPr>
                <w:b/>
                <w:noProof/>
                <w:sz w:val="22"/>
              </w:rPr>
            </w:pPr>
            <w:r>
              <w:rPr>
                <w:b/>
                <w:noProof/>
                <w:sz w:val="22"/>
              </w:rPr>
              <w:t xml:space="preserve">2,0 </w:t>
            </w:r>
          </w:p>
        </w:tc>
        <w:tc>
          <w:tcPr>
            <w:tcW w:w="426" w:type="pct"/>
            <w:tcBorders>
              <w:top w:val="double" w:sz="4" w:space="0" w:color="auto"/>
              <w:right w:val="nil"/>
            </w:tcBorders>
          </w:tcPr>
          <w:p>
            <w:pPr>
              <w:spacing w:beforeLines="20" w:before="48" w:afterLines="20" w:after="48"/>
              <w:jc w:val="center"/>
              <w:rPr>
                <w:b/>
                <w:noProof/>
                <w:sz w:val="22"/>
              </w:rPr>
            </w:pPr>
            <w:r>
              <w:rPr>
                <w:b/>
                <w:noProof/>
                <w:sz w:val="22"/>
              </w:rPr>
              <w:t xml:space="preserve">2,0 </w:t>
            </w:r>
          </w:p>
        </w:tc>
        <w:tc>
          <w:tcPr>
            <w:tcW w:w="480" w:type="pct"/>
            <w:tcBorders>
              <w:top w:val="double" w:sz="4" w:space="0" w:color="auto"/>
              <w:right w:val="single" w:sz="6" w:space="0" w:color="auto"/>
            </w:tcBorders>
          </w:tcPr>
          <w:p>
            <w:pPr>
              <w:spacing w:beforeLines="20" w:before="48" w:afterLines="20" w:after="48"/>
              <w:jc w:val="center"/>
              <w:rPr>
                <w:b/>
                <w:noProof/>
                <w:sz w:val="22"/>
              </w:rPr>
            </w:pPr>
            <w:r>
              <w:rPr>
                <w:b/>
                <w:noProof/>
                <w:sz w:val="22"/>
              </w:rPr>
              <w:t xml:space="preserve">36,0 </w:t>
            </w:r>
          </w:p>
        </w:tc>
      </w:tr>
    </w:tbl>
    <w:p>
      <w:pPr>
        <w:spacing w:before="60" w:after="60"/>
        <w:ind w:left="851"/>
        <w:rPr>
          <w:noProof/>
          <w:sz w:val="18"/>
          <w:szCs w:val="18"/>
        </w:rPr>
      </w:pPr>
      <w:r>
        <w:rPr>
          <w:b/>
          <w:noProof/>
          <w:sz w:val="18"/>
          <w:szCs w:val="18"/>
        </w:rPr>
        <w:t>18</w:t>
      </w:r>
      <w:r>
        <w:rPr>
          <w:noProof/>
          <w:sz w:val="18"/>
          <w:szCs w:val="18"/>
        </w:rPr>
        <w:t xml:space="preserve"> is the policy area or budget title concerned.</w:t>
      </w:r>
    </w:p>
    <w:p>
      <w:pPr>
        <w:ind w:left="850"/>
        <w:rPr>
          <w:noProof/>
          <w:sz w:val="18"/>
          <w:szCs w:val="18"/>
        </w:rPr>
      </w:pPr>
      <w:r>
        <w:rPr>
          <w:noProof/>
          <w:sz w:val="22"/>
        </w:rPr>
        <w:t>The human resources required will be met by staff from the DG who are already assigned to management of the action and/or have been redeployed within the DG, together if necessary with any additional allocation which may be granted to the managing DG under the annual allocation procedure and in the light of budgetary constraints.</w:t>
      </w:r>
    </w:p>
    <w:p>
      <w:pPr>
        <w:rPr>
          <w:noProof/>
          <w:sz w:val="20"/>
        </w:rPr>
      </w:pPr>
      <w:r>
        <w:rPr>
          <w:noProof/>
          <w:sz w:val="20"/>
        </w:rPr>
        <w:t>Description of tasks to be carried out::</w:t>
      </w:r>
    </w:p>
    <w:p>
      <w:pPr>
        <w:rPr>
          <w:noProof/>
          <w:sz w:val="20"/>
        </w:rPr>
      </w:pPr>
      <w:r>
        <w:rPr>
          <w:b/>
          <w:noProof/>
          <w:sz w:val="20"/>
        </w:rPr>
        <w:t>Project monitoring and follow-up</w:t>
      </w:r>
      <w:r>
        <w:rPr>
          <w:noProof/>
          <w:sz w:val="20"/>
        </w:rPr>
        <w:t>. Three officials for the follow-up. The staff deal with taking up the Commission's duties in the delivery of the programme: checking compliance with legal proposal, addressing compliance issues, preparing reports to European Parliament and Council, assessing Member State progress. As the programme is an additional activity compared with existing workloads, additional staff are required. This staff increase is limited in terms of duration and covers only the development period.</w:t>
      </w:r>
    </w:p>
    <w:p>
      <w:pPr>
        <w:rPr>
          <w:b/>
          <w:noProof/>
          <w:sz w:val="20"/>
        </w:rPr>
      </w:pPr>
      <w:r>
        <w:rPr>
          <w:b/>
          <w:noProof/>
          <w:sz w:val="20"/>
        </w:rPr>
        <w:t>Management of UMF</w:t>
      </w:r>
    </w:p>
    <w:p>
      <w:pPr>
        <w:rPr>
          <w:noProof/>
          <w:sz w:val="20"/>
        </w:rPr>
      </w:pPr>
      <w:r>
        <w:rPr>
          <w:noProof/>
          <w:sz w:val="20"/>
        </w:rPr>
        <w:t>The Commission will manage the UMF standard on a day-to-day basis. Two officials are required for this purpose: one person as law enforcement expert and another person with sound knowledge of business modelling as well as ICT knowledge.</w:t>
      </w:r>
    </w:p>
    <w:p>
      <w:pPr>
        <w:rPr>
          <w:noProof/>
          <w:sz w:val="20"/>
        </w:rPr>
      </w:pPr>
      <w:r>
        <w:rPr>
          <w:noProof/>
          <w:sz w:val="20"/>
        </w:rPr>
        <w:t>The Universal Message Format (UMF) establishes a standard for structured, cross-border information exchange between information systems, authorities and/or organisations in the field of Justice and Home affairs. UMF defines a common vocabulary and logical structures for commonly exchanged information with the objective to facilitate interoperability by enabling the creation and reading of the contents of the exchange in a consistent and semantically equivalent manner.</w:t>
      </w:r>
    </w:p>
    <w:p>
      <w:pPr>
        <w:rPr>
          <w:noProof/>
          <w:sz w:val="20"/>
        </w:rPr>
      </w:pPr>
      <w:r>
        <w:rPr>
          <w:noProof/>
          <w:sz w:val="20"/>
        </w:rPr>
        <w:t>In order to ensure uniform conditions for the implementation of the Universal Message Format, implementing powers are proposed to be conferred on the Commission. Those powers are proposed to be exercised in accordance with Regulation (EU) No 182/2011 of the European Parliament and of the Council of 16 February 2011 laying down the rules and general principles concerning mechanisms for control by Member States of the Commission’s exercise of implementing powers</w:t>
      </w:r>
    </w:p>
    <w:p>
      <w:pPr>
        <w:rPr>
          <w:noProof/>
          <w:sz w:val="20"/>
        </w:rPr>
      </w:pPr>
    </w:p>
    <w:p>
      <w:pPr>
        <w:rPr>
          <w:noProof/>
          <w:sz w:val="20"/>
        </w:rPr>
      </w:pPr>
    </w:p>
    <w:p>
      <w:pPr>
        <w:rPr>
          <w:noProof/>
        </w:rPr>
        <w:sectPr>
          <w:pgSz w:w="11907" w:h="16840"/>
          <w:pgMar w:top="1134" w:right="1418" w:bottom="1134" w:left="1418" w:header="709" w:footer="709" w:gutter="0"/>
          <w:cols w:space="708"/>
          <w:docGrid w:linePitch="360"/>
        </w:sectPr>
      </w:pPr>
    </w:p>
    <w:p>
      <w:pPr>
        <w:pStyle w:val="ManualHeading3"/>
        <w:rPr>
          <w:bCs/>
          <w:noProof/>
          <w:szCs w:val="24"/>
        </w:rPr>
      </w:pPr>
      <w:bookmarkStart w:id="295" w:name="_Toc498514179"/>
      <w:r>
        <w:t>3.2.5.</w:t>
      </w:r>
      <w:r>
        <w:tab/>
      </w:r>
      <w:r>
        <w:rPr>
          <w:noProof/>
        </w:rPr>
        <w:t>Compatibility with the current multiannual financial framework</w:t>
      </w:r>
      <w:bookmarkEnd w:id="295"/>
      <w:r>
        <w:rPr>
          <w:noProof/>
        </w:rPr>
        <w:t xml:space="preserve"> </w:t>
      </w:r>
    </w:p>
    <w:p>
      <w:pPr>
        <w:pStyle w:val="ListDash1"/>
        <w:rPr>
          <w:noProof/>
        </w:rPr>
      </w:pPr>
      <w:r>
        <w:rPr>
          <w:noProof/>
        </w:rPr>
        <w:sym w:font="Wingdings" w:char="F0A8"/>
      </w:r>
      <w:r>
        <w:rPr>
          <w:noProof/>
        </w:rPr>
        <w:tab/>
        <w:t>The proposal/initiative is compatible the current multiannual financial framework.</w:t>
      </w:r>
    </w:p>
    <w:p>
      <w:pPr>
        <w:pStyle w:val="ListDash1"/>
        <w:rPr>
          <w:noProof/>
        </w:rPr>
      </w:pPr>
      <w:r>
        <w:rPr>
          <w:noProof/>
        </w:rPr>
        <w:sym w:font="Wingdings" w:char="F078"/>
      </w:r>
      <w:r>
        <w:rPr>
          <w:noProof/>
        </w:rPr>
        <w:tab/>
        <w:t>The proposal/initiative will entail reprogramming of the relevant heading in the multiannual financial framework.</w:t>
      </w:r>
    </w:p>
    <w:p>
      <w:pPr>
        <w:pStyle w:val="Text1"/>
        <w:pBdr>
          <w:top w:val="single" w:sz="4" w:space="1" w:color="auto"/>
          <w:left w:val="single" w:sz="4" w:space="4" w:color="auto"/>
          <w:bottom w:val="single" w:sz="4" w:space="1" w:color="auto"/>
          <w:right w:val="single" w:sz="4" w:space="4" w:color="auto"/>
        </w:pBdr>
        <w:rPr>
          <w:noProof/>
          <w:sz w:val="20"/>
        </w:rPr>
      </w:pPr>
      <w:r>
        <w:rPr>
          <w:noProof/>
          <w:sz w:val="20"/>
        </w:rPr>
        <w:t>Explain what reprogramming is required, specifying the budget lines concerned and the corresponding amounts.</w:t>
      </w:r>
    </w:p>
    <w:p>
      <w:pPr>
        <w:pStyle w:val="Text1"/>
        <w:pBdr>
          <w:top w:val="single" w:sz="4" w:space="1" w:color="auto"/>
          <w:left w:val="single" w:sz="4" w:space="4" w:color="auto"/>
          <w:bottom w:val="single" w:sz="4" w:space="1" w:color="auto"/>
          <w:right w:val="single" w:sz="4" w:space="4" w:color="auto"/>
        </w:pBdr>
        <w:rPr>
          <w:noProof/>
        </w:rPr>
      </w:pPr>
      <w:r>
        <w:rPr>
          <w:noProof/>
        </w:rPr>
        <w:t>The ISF Borders Regulation is the financial instrument where the budget for the implementation of the interoperability initiative has been included.</w:t>
      </w:r>
    </w:p>
    <w:p>
      <w:pPr>
        <w:pStyle w:val="Text1"/>
        <w:pBdr>
          <w:top w:val="single" w:sz="4" w:space="1" w:color="auto"/>
          <w:left w:val="single" w:sz="4" w:space="4" w:color="auto"/>
          <w:bottom w:val="single" w:sz="4" w:space="1" w:color="auto"/>
          <w:right w:val="single" w:sz="4" w:space="4" w:color="auto"/>
        </w:pBdr>
        <w:rPr>
          <w:noProof/>
        </w:rPr>
      </w:pPr>
      <w:r>
        <w:rPr>
          <w:noProof/>
        </w:rPr>
        <w:t xml:space="preserve">It provides in Article 5(b) that EUR 791 million is to be implemented through a programme for developing IT systems based on existing and/or new IT systems, supporting the management of migration flows across the external borders subject to the adoption of the relevant Union legislative acts and under the conditions laid down in Article 15. Of this EUR 791 million, EUR 480.2 million is reserved for the development of the EES, EUR 210 million for ETIAS and EUR 67.9 million for the revision of SIS II. The remainder (EUR 32.9 million) is to be reallocated using ISF-B mechanisms. </w:t>
      </w:r>
      <w:r>
        <w:rPr>
          <w:b/>
          <w:noProof/>
        </w:rPr>
        <w:t>The current proposal requires EUR 32.1 million for the current MFF period which fits with the remaining budget</w:t>
      </w:r>
      <w:r>
        <w:rPr>
          <w:noProof/>
        </w:rPr>
        <w:t>.</w:t>
      </w:r>
    </w:p>
    <w:p>
      <w:pPr>
        <w:rPr>
          <w:noProof/>
        </w:rPr>
      </w:pPr>
      <w:r>
        <w:rPr>
          <w:noProof/>
        </w:rPr>
        <w:t>The conclusion in the box above on the amount required of EUR 32.1 million is the result of the following computation sheet:</w:t>
      </w:r>
    </w:p>
    <w:p>
      <w:pPr>
        <w:rPr>
          <w:noProof/>
        </w:rPr>
      </w:pPr>
      <w:r>
        <w:rPr>
          <w:noProof/>
          <w:lang w:val="en-US"/>
        </w:rPr>
        <w:drawing>
          <wp:inline distT="0" distB="0" distL="0" distR="0">
            <wp:extent cx="5761355" cy="7058400"/>
            <wp:effectExtent l="0" t="0" r="0"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5761355" cy="7058400"/>
                    </a:xfrm>
                    <a:prstGeom prst="rect">
                      <a:avLst/>
                    </a:prstGeom>
                    <a:noFill/>
                    <a:ln>
                      <a:noFill/>
                    </a:ln>
                  </pic:spPr>
                </pic:pic>
              </a:graphicData>
            </a:graphic>
          </wp:inline>
        </w:drawing>
      </w:r>
    </w:p>
    <w:p>
      <w:pPr>
        <w:rPr>
          <w:noProof/>
        </w:rPr>
      </w:pPr>
    </w:p>
    <w:p>
      <w:pPr>
        <w:pStyle w:val="ListDash1"/>
        <w:rPr>
          <w:noProof/>
        </w:rPr>
      </w:pPr>
      <w:r>
        <w:rPr>
          <w:noProof/>
        </w:rPr>
        <w:sym w:font="Wingdings" w:char="F0A8"/>
      </w:r>
      <w:r>
        <w:rPr>
          <w:noProof/>
        </w:rPr>
        <w:tab/>
        <w:t>The proposal/initiative requires application of the flexibility instrument or revision of the multiannual financial framework.</w:t>
      </w:r>
    </w:p>
    <w:p>
      <w:pPr>
        <w:pStyle w:val="ManualHeading3"/>
        <w:rPr>
          <w:bCs/>
          <w:noProof/>
          <w:szCs w:val="24"/>
        </w:rPr>
      </w:pPr>
      <w:bookmarkStart w:id="296" w:name="_Toc498514180"/>
      <w:r>
        <w:t>3.2.6.</w:t>
      </w:r>
      <w:r>
        <w:tab/>
      </w:r>
      <w:r>
        <w:rPr>
          <w:noProof/>
        </w:rPr>
        <w:t>Third-party contributions</w:t>
      </w:r>
      <w:bookmarkEnd w:id="296"/>
      <w:r>
        <w:rPr>
          <w:noProof/>
        </w:rPr>
        <w:t xml:space="preserve"> </w:t>
      </w:r>
    </w:p>
    <w:p>
      <w:pPr>
        <w:pStyle w:val="ListDash1"/>
        <w:rPr>
          <w:noProof/>
        </w:rPr>
      </w:pPr>
      <w:r>
        <w:rPr>
          <w:noProof/>
        </w:rPr>
        <w:t xml:space="preserve">The proposal/initiative </w:t>
      </w:r>
      <w:r>
        <w:rPr>
          <w:b/>
          <w:noProof/>
        </w:rPr>
        <w:t>does not</w:t>
      </w:r>
      <w:r>
        <w:rPr>
          <w:noProof/>
        </w:rPr>
        <w:t xml:space="preserve"> provide for co-financing by third parties. </w:t>
      </w:r>
    </w:p>
    <w:p>
      <w:pPr>
        <w:pStyle w:val="ManualHeading2"/>
        <w:rPr>
          <w:bCs/>
          <w:noProof/>
          <w:szCs w:val="24"/>
        </w:rPr>
      </w:pPr>
      <w:r>
        <w:rPr>
          <w:noProof/>
        </w:rPr>
        <w:br w:type="page"/>
      </w:r>
      <w:bookmarkStart w:id="297" w:name="_Toc498514181"/>
      <w:r>
        <w:t>3.3.</w:t>
      </w:r>
      <w:r>
        <w:tab/>
      </w:r>
      <w:r>
        <w:rPr>
          <w:noProof/>
        </w:rPr>
        <w:t>Estimated impact on revenue</w:t>
      </w:r>
      <w:bookmarkEnd w:id="297"/>
      <w:r>
        <w:rPr>
          <w:noProof/>
        </w:rPr>
        <w:t xml:space="preserve"> </w:t>
      </w:r>
    </w:p>
    <w:p>
      <w:pPr>
        <w:pStyle w:val="ListDash1"/>
        <w:rPr>
          <w:noProof/>
        </w:rPr>
      </w:pPr>
      <w:r>
        <w:rPr>
          <w:noProof/>
        </w:rPr>
        <w:sym w:font="Wingdings" w:char="F0A8"/>
      </w:r>
      <w:r>
        <w:rPr>
          <w:noProof/>
        </w:rPr>
        <w:tab/>
        <w:t>The proposal/initiative has no financial impact on revenue.</w:t>
      </w:r>
    </w:p>
    <w:p>
      <w:pPr>
        <w:pStyle w:val="ListDash1"/>
        <w:rPr>
          <w:noProof/>
        </w:rPr>
      </w:pPr>
      <w:r>
        <w:rPr>
          <w:noProof/>
        </w:rPr>
        <w:sym w:font="Wingdings" w:char="F078"/>
      </w:r>
      <w:r>
        <w:rPr>
          <w:noProof/>
        </w:rPr>
        <w:tab/>
        <w:t>The proposal/initiative has the following financial impact:</w:t>
      </w:r>
    </w:p>
    <w:p>
      <w:pPr>
        <w:pStyle w:val="ListNumberLevel3"/>
        <w:rPr>
          <w:noProof/>
        </w:rPr>
      </w:pPr>
      <w:r>
        <w:rPr>
          <w:noProof/>
        </w:rPr>
        <w:sym w:font="Wingdings" w:char="F0A8"/>
      </w:r>
      <w:r>
        <w:rPr>
          <w:noProof/>
        </w:rPr>
        <w:tab/>
        <w:t xml:space="preserve">on own resources </w:t>
      </w:r>
    </w:p>
    <w:p>
      <w:pPr>
        <w:pStyle w:val="ListNumberLevel3"/>
        <w:rPr>
          <w:noProof/>
        </w:rPr>
      </w:pPr>
      <w:r>
        <w:rPr>
          <w:noProof/>
        </w:rPr>
        <w:sym w:font="Wingdings" w:char="F078"/>
      </w:r>
      <w:r>
        <w:rPr>
          <w:noProof/>
        </w:rPr>
        <w:tab/>
        <w:t xml:space="preserve">on miscellaneous revenue </w:t>
      </w:r>
    </w:p>
    <w:p>
      <w:pPr>
        <w:jc w:val="right"/>
        <w:rPr>
          <w:i/>
          <w:noProof/>
          <w:sz w:val="20"/>
        </w:rPr>
      </w:pPr>
      <w:r>
        <w:rPr>
          <w:noProof/>
        </w:rPr>
        <w:t>EUR million (to three decimal places)</w:t>
      </w:r>
    </w:p>
    <w:tbl>
      <w:tblPr>
        <w:tblW w:w="942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9"/>
        <w:gridCol w:w="1556"/>
        <w:gridCol w:w="708"/>
        <w:gridCol w:w="746"/>
        <w:gridCol w:w="947"/>
        <w:gridCol w:w="709"/>
        <w:gridCol w:w="714"/>
        <w:gridCol w:w="850"/>
        <w:gridCol w:w="851"/>
        <w:gridCol w:w="746"/>
        <w:gridCol w:w="746"/>
      </w:tblGrid>
      <w:tr>
        <w:trPr>
          <w:gridAfter w:val="6"/>
          <w:wAfter w:w="4616" w:type="dxa"/>
          <w:trHeight w:val="388"/>
        </w:trPr>
        <w:tc>
          <w:tcPr>
            <w:tcW w:w="849" w:type="dxa"/>
            <w:vMerge w:val="restart"/>
            <w:vAlign w:val="center"/>
          </w:tcPr>
          <w:p>
            <w:pPr>
              <w:spacing w:before="40" w:after="40"/>
              <w:rPr>
                <w:noProof/>
                <w:sz w:val="18"/>
              </w:rPr>
            </w:pPr>
            <w:r>
              <w:rPr>
                <w:noProof/>
                <w:sz w:val="18"/>
              </w:rPr>
              <w:t>Budget revenue line:</w:t>
            </w:r>
          </w:p>
        </w:tc>
        <w:tc>
          <w:tcPr>
            <w:tcW w:w="1556" w:type="dxa"/>
            <w:vMerge w:val="restart"/>
            <w:vAlign w:val="center"/>
          </w:tcPr>
          <w:p>
            <w:pPr>
              <w:jc w:val="center"/>
              <w:rPr>
                <w:noProof/>
                <w:sz w:val="18"/>
              </w:rPr>
            </w:pPr>
            <w:r>
              <w:rPr>
                <w:noProof/>
                <w:sz w:val="18"/>
              </w:rPr>
              <w:t>Appropriations available for the current financial year</w:t>
            </w:r>
          </w:p>
        </w:tc>
        <w:tc>
          <w:tcPr>
            <w:tcW w:w="2401" w:type="dxa"/>
            <w:gridSpan w:val="3"/>
          </w:tcPr>
          <w:p>
            <w:pPr>
              <w:jc w:val="center"/>
              <w:rPr>
                <w:noProof/>
                <w:sz w:val="18"/>
              </w:rPr>
            </w:pPr>
            <w:r>
              <w:rPr>
                <w:noProof/>
                <w:sz w:val="18"/>
              </w:rPr>
              <w:t>Impact of the proposal/initiative</w:t>
            </w:r>
            <w:r>
              <w:rPr>
                <w:rStyle w:val="FootnoteReference"/>
                <w:noProof/>
                <w:sz w:val="18"/>
              </w:rPr>
              <w:footnoteReference w:id="112"/>
            </w:r>
          </w:p>
        </w:tc>
      </w:tr>
      <w:tr>
        <w:trPr>
          <w:trHeight w:val="2204"/>
        </w:trPr>
        <w:tc>
          <w:tcPr>
            <w:tcW w:w="849" w:type="dxa"/>
            <w:vMerge/>
            <w:vAlign w:val="center"/>
          </w:tcPr>
          <w:p>
            <w:pPr>
              <w:spacing w:before="40" w:after="40"/>
              <w:jc w:val="center"/>
              <w:rPr>
                <w:noProof/>
                <w:sz w:val="18"/>
              </w:rPr>
            </w:pPr>
          </w:p>
        </w:tc>
        <w:tc>
          <w:tcPr>
            <w:tcW w:w="1556" w:type="dxa"/>
            <w:vMerge/>
            <w:vAlign w:val="center"/>
          </w:tcPr>
          <w:p>
            <w:pPr>
              <w:spacing w:beforeLines="40" w:before="96" w:afterLines="40" w:after="96"/>
              <w:jc w:val="center"/>
              <w:rPr>
                <w:i/>
                <w:noProof/>
                <w:sz w:val="18"/>
              </w:rPr>
            </w:pPr>
          </w:p>
        </w:tc>
        <w:tc>
          <w:tcPr>
            <w:tcW w:w="708" w:type="dxa"/>
            <w:vAlign w:val="center"/>
          </w:tcPr>
          <w:p>
            <w:pPr>
              <w:jc w:val="center"/>
              <w:rPr>
                <w:noProof/>
                <w:sz w:val="18"/>
              </w:rPr>
            </w:pPr>
            <w:r>
              <w:rPr>
                <w:noProof/>
                <w:sz w:val="18"/>
              </w:rPr>
              <w:t>Year</w:t>
            </w:r>
            <w:r>
              <w:rPr>
                <w:noProof/>
                <w:sz w:val="22"/>
              </w:rPr>
              <w:br/>
            </w:r>
            <w:r>
              <w:rPr>
                <w:b/>
                <w:noProof/>
                <w:sz w:val="18"/>
              </w:rPr>
              <w:t>2019</w:t>
            </w:r>
          </w:p>
        </w:tc>
        <w:tc>
          <w:tcPr>
            <w:tcW w:w="746" w:type="dxa"/>
            <w:vAlign w:val="center"/>
          </w:tcPr>
          <w:p>
            <w:pPr>
              <w:jc w:val="center"/>
              <w:rPr>
                <w:noProof/>
                <w:sz w:val="18"/>
              </w:rPr>
            </w:pPr>
            <w:r>
              <w:rPr>
                <w:noProof/>
                <w:sz w:val="18"/>
              </w:rPr>
              <w:t>Year</w:t>
            </w:r>
            <w:r>
              <w:rPr>
                <w:noProof/>
                <w:sz w:val="22"/>
              </w:rPr>
              <w:br/>
            </w:r>
            <w:r>
              <w:rPr>
                <w:b/>
                <w:noProof/>
                <w:sz w:val="18"/>
              </w:rPr>
              <w:t>2020</w:t>
            </w:r>
          </w:p>
        </w:tc>
        <w:tc>
          <w:tcPr>
            <w:tcW w:w="947" w:type="dxa"/>
            <w:vAlign w:val="center"/>
          </w:tcPr>
          <w:p>
            <w:pPr>
              <w:jc w:val="center"/>
              <w:rPr>
                <w:noProof/>
                <w:sz w:val="18"/>
              </w:rPr>
            </w:pPr>
            <w:r>
              <w:rPr>
                <w:noProof/>
                <w:sz w:val="18"/>
              </w:rPr>
              <w:t>Year</w:t>
            </w:r>
            <w:r>
              <w:rPr>
                <w:noProof/>
                <w:sz w:val="22"/>
              </w:rPr>
              <w:br/>
            </w:r>
            <w:r>
              <w:rPr>
                <w:b/>
                <w:noProof/>
                <w:sz w:val="18"/>
              </w:rPr>
              <w:t>2021</w:t>
            </w:r>
          </w:p>
        </w:tc>
        <w:tc>
          <w:tcPr>
            <w:tcW w:w="709" w:type="dxa"/>
            <w:vAlign w:val="center"/>
          </w:tcPr>
          <w:p>
            <w:pPr>
              <w:jc w:val="center"/>
              <w:rPr>
                <w:noProof/>
                <w:sz w:val="18"/>
              </w:rPr>
            </w:pPr>
            <w:r>
              <w:rPr>
                <w:noProof/>
                <w:sz w:val="18"/>
              </w:rPr>
              <w:t>Year</w:t>
            </w:r>
            <w:r>
              <w:rPr>
                <w:noProof/>
                <w:sz w:val="22"/>
              </w:rPr>
              <w:br/>
            </w:r>
            <w:r>
              <w:rPr>
                <w:b/>
                <w:noProof/>
                <w:sz w:val="18"/>
              </w:rPr>
              <w:t>2022</w:t>
            </w:r>
          </w:p>
        </w:tc>
        <w:tc>
          <w:tcPr>
            <w:tcW w:w="714" w:type="dxa"/>
            <w:vAlign w:val="center"/>
          </w:tcPr>
          <w:p>
            <w:pPr>
              <w:jc w:val="center"/>
              <w:rPr>
                <w:b/>
                <w:noProof/>
                <w:sz w:val="18"/>
              </w:rPr>
            </w:pPr>
            <w:r>
              <w:rPr>
                <w:noProof/>
                <w:sz w:val="18"/>
              </w:rPr>
              <w:t>Year</w:t>
            </w:r>
            <w:r>
              <w:rPr>
                <w:noProof/>
                <w:sz w:val="22"/>
              </w:rPr>
              <w:br/>
            </w:r>
            <w:r>
              <w:rPr>
                <w:b/>
                <w:noProof/>
                <w:sz w:val="18"/>
              </w:rPr>
              <w:t>2023</w:t>
            </w:r>
          </w:p>
        </w:tc>
        <w:tc>
          <w:tcPr>
            <w:tcW w:w="850" w:type="dxa"/>
            <w:vAlign w:val="center"/>
          </w:tcPr>
          <w:p>
            <w:pPr>
              <w:jc w:val="center"/>
              <w:rPr>
                <w:noProof/>
                <w:sz w:val="18"/>
              </w:rPr>
            </w:pPr>
            <w:r>
              <w:rPr>
                <w:noProof/>
                <w:sz w:val="18"/>
              </w:rPr>
              <w:t>Year</w:t>
            </w:r>
            <w:r>
              <w:rPr>
                <w:noProof/>
                <w:sz w:val="18"/>
              </w:rPr>
              <w:br/>
              <w:t xml:space="preserve"> </w:t>
            </w:r>
            <w:r>
              <w:rPr>
                <w:b/>
                <w:noProof/>
                <w:sz w:val="18"/>
              </w:rPr>
              <w:t>2024</w:t>
            </w:r>
          </w:p>
        </w:tc>
        <w:tc>
          <w:tcPr>
            <w:tcW w:w="851" w:type="dxa"/>
            <w:vAlign w:val="center"/>
          </w:tcPr>
          <w:p>
            <w:pPr>
              <w:jc w:val="center"/>
              <w:rPr>
                <w:noProof/>
                <w:sz w:val="18"/>
              </w:rPr>
            </w:pPr>
            <w:r>
              <w:rPr>
                <w:noProof/>
                <w:sz w:val="18"/>
              </w:rPr>
              <w:t>Year</w:t>
            </w:r>
            <w:r>
              <w:rPr>
                <w:noProof/>
                <w:sz w:val="18"/>
              </w:rPr>
              <w:br/>
            </w:r>
            <w:r>
              <w:rPr>
                <w:b/>
                <w:noProof/>
                <w:sz w:val="18"/>
              </w:rPr>
              <w:t>2025</w:t>
            </w:r>
          </w:p>
        </w:tc>
        <w:tc>
          <w:tcPr>
            <w:tcW w:w="746" w:type="dxa"/>
            <w:vAlign w:val="center"/>
          </w:tcPr>
          <w:p>
            <w:pPr>
              <w:jc w:val="center"/>
              <w:rPr>
                <w:b/>
                <w:noProof/>
                <w:sz w:val="18"/>
              </w:rPr>
            </w:pPr>
            <w:r>
              <w:rPr>
                <w:noProof/>
                <w:sz w:val="18"/>
              </w:rPr>
              <w:t>Year</w:t>
            </w:r>
            <w:r>
              <w:rPr>
                <w:noProof/>
                <w:sz w:val="18"/>
              </w:rPr>
              <w:br/>
            </w:r>
            <w:r>
              <w:rPr>
                <w:b/>
                <w:noProof/>
                <w:sz w:val="18"/>
              </w:rPr>
              <w:t>2026</w:t>
            </w:r>
          </w:p>
        </w:tc>
        <w:tc>
          <w:tcPr>
            <w:tcW w:w="746" w:type="dxa"/>
            <w:vAlign w:val="center"/>
          </w:tcPr>
          <w:p>
            <w:pPr>
              <w:jc w:val="center"/>
              <w:rPr>
                <w:noProof/>
                <w:sz w:val="18"/>
              </w:rPr>
            </w:pPr>
            <w:r>
              <w:rPr>
                <w:noProof/>
                <w:sz w:val="18"/>
              </w:rPr>
              <w:t>Year</w:t>
            </w:r>
            <w:r>
              <w:rPr>
                <w:noProof/>
                <w:sz w:val="18"/>
              </w:rPr>
              <w:br/>
            </w:r>
            <w:r>
              <w:rPr>
                <w:b/>
                <w:noProof/>
                <w:sz w:val="18"/>
              </w:rPr>
              <w:t>2027</w:t>
            </w:r>
          </w:p>
        </w:tc>
      </w:tr>
      <w:tr>
        <w:trPr>
          <w:trHeight w:val="2204"/>
        </w:trPr>
        <w:tc>
          <w:tcPr>
            <w:tcW w:w="849" w:type="dxa"/>
            <w:vAlign w:val="center"/>
          </w:tcPr>
          <w:p>
            <w:pPr>
              <w:spacing w:before="40" w:after="40"/>
              <w:rPr>
                <w:noProof/>
                <w:sz w:val="18"/>
              </w:rPr>
            </w:pPr>
            <w:r>
              <w:rPr>
                <w:noProof/>
                <w:sz w:val="18"/>
              </w:rPr>
              <w:t xml:space="preserve">Article </w:t>
            </w:r>
          </w:p>
          <w:p>
            <w:pPr>
              <w:spacing w:before="40" w:after="40"/>
              <w:rPr>
                <w:noProof/>
                <w:sz w:val="18"/>
              </w:rPr>
            </w:pPr>
            <w:r>
              <w:rPr>
                <w:noProof/>
                <w:sz w:val="18"/>
              </w:rPr>
              <w:t>6313</w:t>
            </w:r>
          </w:p>
          <w:p>
            <w:pPr>
              <w:spacing w:before="40" w:after="40"/>
              <w:rPr>
                <w:noProof/>
                <w:sz w:val="18"/>
              </w:rPr>
            </w:pPr>
          </w:p>
          <w:p>
            <w:pPr>
              <w:spacing w:before="40" w:after="40"/>
              <w:rPr>
                <w:noProof/>
                <w:sz w:val="18"/>
              </w:rPr>
            </w:pPr>
            <w:r>
              <w:rPr>
                <w:noProof/>
                <w:sz w:val="18"/>
              </w:rPr>
              <w:t>-</w:t>
            </w:r>
          </w:p>
          <w:p>
            <w:pPr>
              <w:spacing w:before="40" w:after="40"/>
              <w:rPr>
                <w:noProof/>
                <w:sz w:val="18"/>
              </w:rPr>
            </w:pPr>
          </w:p>
          <w:p>
            <w:pPr>
              <w:spacing w:before="40" w:after="40"/>
              <w:jc w:val="center"/>
              <w:rPr>
                <w:noProof/>
                <w:sz w:val="18"/>
              </w:rPr>
            </w:pPr>
            <w:r>
              <w:rPr>
                <w:noProof/>
                <w:sz w:val="18"/>
              </w:rPr>
              <w:t>Contribution Schengen associated countries (CH, NO, LI, IS)………….</w:t>
            </w:r>
          </w:p>
        </w:tc>
        <w:tc>
          <w:tcPr>
            <w:tcW w:w="1556" w:type="dxa"/>
            <w:vAlign w:val="center"/>
          </w:tcPr>
          <w:p>
            <w:pPr>
              <w:spacing w:beforeLines="40" w:before="96" w:afterLines="40" w:after="96"/>
              <w:jc w:val="center"/>
              <w:rPr>
                <w:i/>
                <w:noProof/>
                <w:sz w:val="18"/>
              </w:rPr>
            </w:pPr>
          </w:p>
        </w:tc>
        <w:tc>
          <w:tcPr>
            <w:tcW w:w="708" w:type="dxa"/>
            <w:vAlign w:val="center"/>
          </w:tcPr>
          <w:p>
            <w:pPr>
              <w:jc w:val="center"/>
              <w:rPr>
                <w:noProof/>
              </w:rPr>
            </w:pPr>
            <w:r>
              <w:rPr>
                <w:noProof/>
              </w:rPr>
              <w:t>pm</w:t>
            </w:r>
          </w:p>
        </w:tc>
        <w:tc>
          <w:tcPr>
            <w:tcW w:w="746" w:type="dxa"/>
            <w:vAlign w:val="center"/>
          </w:tcPr>
          <w:p>
            <w:pPr>
              <w:jc w:val="center"/>
              <w:rPr>
                <w:noProof/>
              </w:rPr>
            </w:pPr>
            <w:r>
              <w:rPr>
                <w:noProof/>
              </w:rPr>
              <w:t>pm</w:t>
            </w:r>
          </w:p>
        </w:tc>
        <w:tc>
          <w:tcPr>
            <w:tcW w:w="947" w:type="dxa"/>
            <w:vAlign w:val="center"/>
          </w:tcPr>
          <w:p>
            <w:pPr>
              <w:jc w:val="center"/>
              <w:rPr>
                <w:noProof/>
              </w:rPr>
            </w:pPr>
            <w:r>
              <w:rPr>
                <w:noProof/>
              </w:rPr>
              <w:t>pm</w:t>
            </w:r>
          </w:p>
        </w:tc>
        <w:tc>
          <w:tcPr>
            <w:tcW w:w="709" w:type="dxa"/>
            <w:vAlign w:val="center"/>
          </w:tcPr>
          <w:p>
            <w:pPr>
              <w:jc w:val="center"/>
              <w:rPr>
                <w:noProof/>
              </w:rPr>
            </w:pPr>
            <w:r>
              <w:rPr>
                <w:noProof/>
              </w:rPr>
              <w:t>pm</w:t>
            </w:r>
          </w:p>
        </w:tc>
        <w:tc>
          <w:tcPr>
            <w:tcW w:w="714" w:type="dxa"/>
            <w:vAlign w:val="center"/>
          </w:tcPr>
          <w:p>
            <w:pPr>
              <w:jc w:val="center"/>
              <w:rPr>
                <w:noProof/>
              </w:rPr>
            </w:pPr>
            <w:r>
              <w:rPr>
                <w:noProof/>
              </w:rPr>
              <w:t>pm</w:t>
            </w:r>
          </w:p>
        </w:tc>
        <w:tc>
          <w:tcPr>
            <w:tcW w:w="850" w:type="dxa"/>
            <w:vAlign w:val="center"/>
          </w:tcPr>
          <w:p>
            <w:pPr>
              <w:jc w:val="center"/>
              <w:rPr>
                <w:noProof/>
              </w:rPr>
            </w:pPr>
            <w:r>
              <w:rPr>
                <w:noProof/>
              </w:rPr>
              <w:t>pm</w:t>
            </w:r>
          </w:p>
        </w:tc>
        <w:tc>
          <w:tcPr>
            <w:tcW w:w="851" w:type="dxa"/>
            <w:vAlign w:val="center"/>
          </w:tcPr>
          <w:p>
            <w:pPr>
              <w:jc w:val="center"/>
              <w:rPr>
                <w:noProof/>
              </w:rPr>
            </w:pPr>
            <w:r>
              <w:rPr>
                <w:noProof/>
              </w:rPr>
              <w:t>pm</w:t>
            </w:r>
          </w:p>
        </w:tc>
        <w:tc>
          <w:tcPr>
            <w:tcW w:w="746" w:type="dxa"/>
            <w:vAlign w:val="center"/>
          </w:tcPr>
          <w:p>
            <w:pPr>
              <w:jc w:val="center"/>
              <w:rPr>
                <w:noProof/>
              </w:rPr>
            </w:pPr>
            <w:r>
              <w:rPr>
                <w:noProof/>
              </w:rPr>
              <w:t>pm</w:t>
            </w:r>
          </w:p>
        </w:tc>
        <w:tc>
          <w:tcPr>
            <w:tcW w:w="746" w:type="dxa"/>
            <w:vAlign w:val="center"/>
          </w:tcPr>
          <w:p>
            <w:pPr>
              <w:jc w:val="center"/>
              <w:rPr>
                <w:noProof/>
              </w:rPr>
            </w:pPr>
            <w:r>
              <w:rPr>
                <w:noProof/>
              </w:rPr>
              <w:t>pm</w:t>
            </w:r>
          </w:p>
        </w:tc>
      </w:tr>
    </w:tbl>
    <w:p>
      <w:pPr>
        <w:pStyle w:val="Text1"/>
        <w:rPr>
          <w:noProof/>
          <w:sz w:val="20"/>
        </w:rPr>
      </w:pPr>
      <w:r>
        <w:rPr>
          <w:noProof/>
          <w:sz w:val="20"/>
        </w:rPr>
        <w:t>For miscellaneous ‘assigned’ revenue, specify the budget expenditure line(s) affected.</w:t>
      </w:r>
    </w:p>
    <w:p>
      <w:pPr>
        <w:pStyle w:val="Text1"/>
        <w:pBdr>
          <w:top w:val="single" w:sz="4" w:space="1" w:color="auto"/>
          <w:left w:val="single" w:sz="4" w:space="4" w:color="auto"/>
          <w:bottom w:val="single" w:sz="4" w:space="1" w:color="auto"/>
          <w:right w:val="single" w:sz="4" w:space="4" w:color="auto"/>
        </w:pBdr>
        <w:rPr>
          <w:noProof/>
        </w:rPr>
      </w:pPr>
      <w:r>
        <w:rPr>
          <w:noProof/>
        </w:rPr>
        <w:t>18.0207</w:t>
      </w:r>
    </w:p>
    <w:p>
      <w:pPr>
        <w:pStyle w:val="Text1"/>
        <w:rPr>
          <w:noProof/>
          <w:sz w:val="20"/>
        </w:rPr>
      </w:pPr>
      <w:r>
        <w:rPr>
          <w:noProof/>
          <w:sz w:val="20"/>
        </w:rPr>
        <w:t>Specify the method for calculating the impact on revenue.</w:t>
      </w:r>
    </w:p>
    <w:p>
      <w:pPr>
        <w:pStyle w:val="Text1"/>
        <w:pBdr>
          <w:top w:val="single" w:sz="4" w:space="1" w:color="auto"/>
          <w:left w:val="single" w:sz="4" w:space="4" w:color="auto"/>
          <w:bottom w:val="single" w:sz="4" w:space="1" w:color="auto"/>
          <w:right w:val="single" w:sz="4" w:space="4" w:color="auto"/>
        </w:pBdr>
        <w:rPr>
          <w:noProof/>
        </w:rPr>
      </w:pPr>
    </w:p>
    <w:p>
      <w:pPr>
        <w:pStyle w:val="Text1"/>
        <w:pBdr>
          <w:top w:val="single" w:sz="4" w:space="1" w:color="auto"/>
          <w:left w:val="single" w:sz="4" w:space="4" w:color="auto"/>
          <w:bottom w:val="single" w:sz="4" w:space="1" w:color="auto"/>
          <w:right w:val="single" w:sz="4" w:space="4" w:color="auto"/>
        </w:pBdr>
        <w:rPr>
          <w:noProof/>
        </w:rPr>
      </w:pPr>
      <w:r>
        <w:rPr>
          <w:noProof/>
        </w:rPr>
        <w:t>The budget shall include a contribution from countries associated with the implementation, application and development of the Schengen acquis and the Eurodac related measures as laid down in the respective agreements.</w:t>
      </w:r>
    </w:p>
    <w:p>
      <w:pPr>
        <w:pStyle w:val="Text1"/>
        <w:pBdr>
          <w:top w:val="single" w:sz="4" w:space="1" w:color="auto"/>
          <w:left w:val="single" w:sz="4" w:space="4" w:color="auto"/>
          <w:bottom w:val="single" w:sz="4" w:space="1" w:color="auto"/>
          <w:right w:val="single" w:sz="4" w:space="4" w:color="auto"/>
        </w:pBdr>
        <w:rPr>
          <w:noProof/>
        </w:rPr>
      </w:pPr>
    </w:p>
    <w:p>
      <w:pPr>
        <w:rPr>
          <w:noProof/>
        </w:rPr>
      </w:pPr>
    </w:p>
    <w:p>
      <w:pPr>
        <w:pStyle w:val="ManualHeading1"/>
        <w:rPr>
          <w:noProof/>
        </w:rPr>
      </w:pPr>
    </w:p>
    <w:sectPr>
      <w:pgSz w:w="11907" w:h="16840" w:code="9"/>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before="0" w:after="0"/>
      </w:pPr>
      <w:r>
        <w:separator/>
      </w:r>
    </w:p>
  </w:endnote>
  <w:endnote w:type="continuationSeparator" w:id="0">
    <w:p>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EUAlbertina">
    <w:altName w:val="EU Albertina"/>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EN</w:t>
    </w:r>
    <w:r>
      <w:rPr>
        <w:rFonts w:ascii="Arial" w:hAnsi="Arial" w:cs="Arial"/>
        <w:b/>
        <w:sz w:val="48"/>
      </w:rPr>
      <w:tab/>
    </w:r>
    <w:r>
      <w:rPr>
        <w:rFonts w:ascii="Arial" w:hAnsi="Arial" w:cs="Arial"/>
        <w:b/>
        <w:sz w:val="48"/>
      </w:rPr>
      <w:tab/>
    </w:r>
    <w:r>
      <w:tab/>
    </w:r>
    <w:r>
      <w:rPr>
        <w:rFonts w:ascii="Arial" w:hAnsi="Arial" w:cs="Arial"/>
        <w:b/>
        <w:sz w:val="48"/>
      </w:rPr>
      <w:t>EN</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EN</w:t>
    </w:r>
    <w:r>
      <w:rPr>
        <w:rFonts w:ascii="Arial" w:hAnsi="Arial" w:cs="Arial"/>
        <w:b/>
        <w:sz w:val="48"/>
      </w:rPr>
      <w:tab/>
    </w:r>
    <w:r>
      <w:fldChar w:fldCharType="begin"/>
    </w:r>
    <w:r>
      <w:instrText xml:space="preserve"> PAGE  \* MERGEFORMAT </w:instrText>
    </w:r>
    <w:r>
      <w:fldChar w:fldCharType="separate"/>
    </w:r>
    <w:r>
      <w:rPr>
        <w:noProof/>
      </w:rPr>
      <w:t>77</w:t>
    </w:r>
    <w:r>
      <w:fldChar w:fldCharType="end"/>
    </w:r>
    <w:r>
      <w:tab/>
    </w:r>
    <w:r>
      <w:tab/>
    </w:r>
    <w:r>
      <w:rPr>
        <w:rFonts w:ascii="Arial" w:hAnsi="Arial" w:cs="Arial"/>
        <w:b/>
        <w:sz w:val="48"/>
      </w:rPr>
      <w:t>EN</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Landscape"/>
      <w:rPr>
        <w:rFonts w:ascii="Arial" w:hAnsi="Arial" w:cs="Arial"/>
        <w:b/>
        <w:sz w:val="48"/>
      </w:rPr>
    </w:pPr>
    <w:r>
      <w:rPr>
        <w:rFonts w:ascii="Arial" w:hAnsi="Arial" w:cs="Arial"/>
        <w:b/>
        <w:sz w:val="48"/>
      </w:rPr>
      <w:t>EN</w:t>
    </w:r>
    <w:r>
      <w:rPr>
        <w:rFonts w:ascii="Arial" w:hAnsi="Arial" w:cs="Arial"/>
        <w:b/>
        <w:sz w:val="48"/>
      </w:rPr>
      <w:tab/>
    </w:r>
    <w:r>
      <w:fldChar w:fldCharType="begin"/>
    </w:r>
    <w:r>
      <w:instrText xml:space="preserve"> PAGE  \* MERGEFORMAT </w:instrText>
    </w:r>
    <w:r>
      <w:fldChar w:fldCharType="separate"/>
    </w:r>
    <w:r>
      <w:rPr>
        <w:noProof/>
      </w:rPr>
      <w:t>0</w:t>
    </w:r>
    <w:r>
      <w:fldChar w:fldCharType="end"/>
    </w:r>
    <w:r>
      <w:tab/>
    </w:r>
    <w:r>
      <w:tab/>
    </w:r>
    <w:r>
      <w:rPr>
        <w:rFonts w:ascii="Arial" w:hAnsi="Arial" w:cs="Arial"/>
        <w:b/>
        <w:sz w:val="48"/>
      </w:rPr>
      <w:t>EN</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Landscape"/>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EN</w:t>
    </w:r>
    <w:r>
      <w:rPr>
        <w:rFonts w:ascii="Arial" w:hAnsi="Arial" w:cs="Arial"/>
        <w:b/>
        <w:sz w:val="48"/>
      </w:rPr>
      <w:tab/>
    </w:r>
    <w:r>
      <w:fldChar w:fldCharType="begin"/>
    </w:r>
    <w:r>
      <w:instrText xml:space="preserve"> PAGE  \* MERGEFORMAT </w:instrText>
    </w:r>
    <w:r>
      <w:fldChar w:fldCharType="separate"/>
    </w:r>
    <w:r>
      <w:rPr>
        <w:noProof/>
      </w:rPr>
      <w:t>0</w:t>
    </w:r>
    <w:r>
      <w:fldChar w:fldCharType="end"/>
    </w:r>
    <w:r>
      <w:tab/>
    </w:r>
    <w:r>
      <w:tab/>
    </w:r>
    <w:r>
      <w:rPr>
        <w:rFonts w:ascii="Arial" w:hAnsi="Arial" w:cs="Arial"/>
        <w:b/>
        <w:sz w:val="48"/>
      </w:rPr>
      <w:t>EN</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before="0" w:after="0"/>
      </w:pPr>
      <w:r>
        <w:separator/>
      </w:r>
    </w:p>
  </w:footnote>
  <w:footnote w:type="continuationSeparator" w:id="0">
    <w:p>
      <w:pPr>
        <w:spacing w:before="0" w:after="0"/>
      </w:pPr>
      <w:r>
        <w:continuationSeparator/>
      </w:r>
    </w:p>
  </w:footnote>
  <w:footnote w:id="1">
    <w:p>
      <w:pPr>
        <w:pStyle w:val="FootnoteText"/>
        <w:ind w:left="284" w:hanging="284"/>
      </w:pPr>
      <w:r>
        <w:rPr>
          <w:rStyle w:val="FootnoteReference"/>
        </w:rPr>
        <w:footnoteRef/>
      </w:r>
      <w:r>
        <w:tab/>
        <w:t>COM(2016) 205 of 6 April 2016.</w:t>
      </w:r>
    </w:p>
  </w:footnote>
  <w:footnote w:id="2">
    <w:p>
      <w:pPr>
        <w:pStyle w:val="FootnoteText"/>
        <w:ind w:left="284" w:hanging="284"/>
      </w:pPr>
      <w:r>
        <w:rPr>
          <w:rStyle w:val="FootnoteReference"/>
        </w:rPr>
        <w:footnoteRef/>
      </w:r>
      <w:r>
        <w:tab/>
        <w:t>(1) Sub-optimal functionalities in some of the existing information systems; (2) information gaps in the EU’s architecture of data management; (3) a complex landscape of differently governed information systems; and (4) a fragmented architecture of data management for borders and security where information is stored separately in unconnected systems, leading to blind spots.</w:t>
      </w:r>
    </w:p>
  </w:footnote>
  <w:footnote w:id="3">
    <w:p>
      <w:pPr>
        <w:autoSpaceDE w:val="0"/>
        <w:autoSpaceDN w:val="0"/>
        <w:spacing w:before="0" w:after="0"/>
        <w:ind w:left="284" w:hanging="284"/>
        <w:rPr>
          <w:sz w:val="20"/>
        </w:rPr>
      </w:pPr>
      <w:r>
        <w:rPr>
          <w:rStyle w:val="FootnoteReference"/>
        </w:rPr>
        <w:footnoteRef/>
      </w:r>
      <w:r>
        <w:rPr>
          <w:sz w:val="20"/>
        </w:rPr>
        <w:tab/>
        <w:t>Roadmap of 6 June 2016 to enhance information exchange and information management including interoperability solutions in the Justice and Home Affairs area — 9368/1/16 REV 1.</w:t>
      </w:r>
    </w:p>
  </w:footnote>
  <w:footnote w:id="4">
    <w:p>
      <w:pPr>
        <w:pStyle w:val="FootnoteText"/>
        <w:ind w:left="284" w:hanging="284"/>
      </w:pPr>
      <w:r>
        <w:rPr>
          <w:rStyle w:val="FootnoteReference"/>
        </w:rPr>
        <w:footnoteRef/>
      </w:r>
      <w:r>
        <w:tab/>
        <w:t>European Parliament resolution of 6 July 2016 on the strategic priorities for the Commission Work Programme 2017 (</w:t>
      </w:r>
      <w:hyperlink r:id="rId1" w:history="1">
        <w:r>
          <w:rPr>
            <w:rStyle w:val="Hyperlink"/>
          </w:rPr>
          <w:t>2016/2773(RSP)</w:t>
        </w:r>
      </w:hyperlink>
      <w:r>
        <w:t>.</w:t>
      </w:r>
    </w:p>
  </w:footnote>
  <w:footnote w:id="5">
    <w:p>
      <w:pPr>
        <w:pStyle w:val="FootnoteText"/>
        <w:ind w:left="284" w:hanging="284"/>
      </w:pPr>
      <w:r>
        <w:rPr>
          <w:rStyle w:val="FootnoteReference"/>
        </w:rPr>
        <w:footnoteRef/>
      </w:r>
      <w:r>
        <w:tab/>
        <w:t xml:space="preserve">State of the Union 2016 (14.9.2016),  </w:t>
      </w:r>
      <w:hyperlink r:id="rId2" w:history="1">
        <w:r>
          <w:rPr>
            <w:rStyle w:val="Hyperlink"/>
          </w:rPr>
          <w:t>https://ec.europa.eu/commission/state-union-2016_en</w:t>
        </w:r>
      </w:hyperlink>
      <w:r>
        <w:t>.</w:t>
      </w:r>
    </w:p>
  </w:footnote>
  <w:footnote w:id="6">
    <w:p>
      <w:pPr>
        <w:pStyle w:val="FootnoteText"/>
        <w:ind w:left="284" w:hanging="284"/>
      </w:pPr>
      <w:r>
        <w:rPr>
          <w:rStyle w:val="FootnoteReference"/>
        </w:rPr>
        <w:footnoteRef/>
      </w:r>
      <w:r>
        <w:tab/>
        <w:t xml:space="preserve">European Council conclusions (15.12.2016), </w:t>
      </w:r>
      <w:hyperlink r:id="rId3" w:history="1">
        <w:r>
          <w:rPr>
            <w:rStyle w:val="Hyperlink"/>
          </w:rPr>
          <w:t>http://www.consilium.europa.eu/en/meetings/european-council/2016/12/20161215-euco-conclusions-final_pdf/</w:t>
        </w:r>
      </w:hyperlink>
      <w:r>
        <w:t>.</w:t>
      </w:r>
    </w:p>
  </w:footnote>
  <w:footnote w:id="7">
    <w:p>
      <w:pPr>
        <w:pStyle w:val="Default"/>
        <w:ind w:left="284" w:hanging="284"/>
        <w:rPr>
          <w:sz w:val="20"/>
        </w:rPr>
      </w:pPr>
      <w:r>
        <w:rPr>
          <w:rStyle w:val="FootnoteReference"/>
        </w:rPr>
        <w:footnoteRef/>
      </w:r>
      <w:r>
        <w:rPr>
          <w:sz w:val="20"/>
          <w:szCs w:val="20"/>
        </w:rPr>
        <w:tab/>
      </w:r>
      <w:r>
        <w:rPr>
          <w:color w:val="auto"/>
          <w:sz w:val="20"/>
          <w:szCs w:val="20"/>
        </w:rPr>
        <w:t xml:space="preserve">Commission Decision </w:t>
      </w:r>
      <w:r>
        <w:rPr>
          <w:color w:val="auto"/>
          <w:sz w:val="20"/>
        </w:rPr>
        <w:t xml:space="preserve">of 17 June 2016 setting up the </w:t>
      </w:r>
      <w:r>
        <w:rPr>
          <w:color w:val="auto"/>
          <w:sz w:val="20"/>
          <w:szCs w:val="20"/>
        </w:rPr>
        <w:t>h</w:t>
      </w:r>
      <w:r>
        <w:rPr>
          <w:color w:val="auto"/>
          <w:sz w:val="20"/>
        </w:rPr>
        <w:t>igh</w:t>
      </w:r>
      <w:r>
        <w:rPr>
          <w:color w:val="auto"/>
          <w:sz w:val="20"/>
          <w:szCs w:val="20"/>
        </w:rPr>
        <w:t>-level e</w:t>
      </w:r>
      <w:r>
        <w:rPr>
          <w:color w:val="auto"/>
          <w:sz w:val="20"/>
        </w:rPr>
        <w:t xml:space="preserve">xpert </w:t>
      </w:r>
      <w:r>
        <w:rPr>
          <w:color w:val="auto"/>
          <w:sz w:val="20"/>
          <w:szCs w:val="20"/>
        </w:rPr>
        <w:t>g</w:t>
      </w:r>
      <w:r>
        <w:rPr>
          <w:color w:val="auto"/>
          <w:sz w:val="20"/>
        </w:rPr>
        <w:t xml:space="preserve">roup on </w:t>
      </w:r>
      <w:r>
        <w:rPr>
          <w:color w:val="auto"/>
          <w:sz w:val="20"/>
          <w:szCs w:val="20"/>
        </w:rPr>
        <w:t>information s</w:t>
      </w:r>
      <w:r>
        <w:rPr>
          <w:color w:val="auto"/>
          <w:sz w:val="20"/>
        </w:rPr>
        <w:t xml:space="preserve">ystems and </w:t>
      </w:r>
      <w:r>
        <w:rPr>
          <w:color w:val="auto"/>
          <w:sz w:val="20"/>
          <w:szCs w:val="20"/>
        </w:rPr>
        <w:t xml:space="preserve">interoperability </w:t>
      </w:r>
      <w:r>
        <w:rPr>
          <w:color w:val="auto"/>
          <w:sz w:val="20"/>
        </w:rPr>
        <w:t xml:space="preserve">— </w:t>
      </w:r>
      <w:r>
        <w:rPr>
          <w:color w:val="auto"/>
          <w:sz w:val="20"/>
          <w:szCs w:val="20"/>
        </w:rPr>
        <w:t>2016/C 257/03</w:t>
      </w:r>
      <w:r>
        <w:rPr>
          <w:color w:val="auto"/>
          <w:sz w:val="20"/>
        </w:rPr>
        <w:t>.</w:t>
      </w:r>
    </w:p>
  </w:footnote>
  <w:footnote w:id="8">
    <w:p>
      <w:pPr>
        <w:pStyle w:val="FootnoteText"/>
        <w:ind w:left="284" w:hanging="284"/>
      </w:pPr>
      <w:r>
        <w:rPr>
          <w:rStyle w:val="FootnoteReference"/>
        </w:rPr>
        <w:footnoteRef/>
      </w:r>
      <w:r>
        <w:tab/>
      </w:r>
      <w:hyperlink r:id="rId4" w:history="1">
        <w:r>
          <w:rPr>
            <w:rStyle w:val="Hyperlink"/>
          </w:rPr>
          <w:t>http://ec.europa.eu/transparency/regexpert/index.cfm?do=groupDetail.groupDetailDoc&amp;id=32600&amp;no=1</w:t>
        </w:r>
      </w:hyperlink>
      <w:r>
        <w:t>.</w:t>
      </w:r>
    </w:p>
  </w:footnote>
  <w:footnote w:id="9">
    <w:p>
      <w:pPr>
        <w:pStyle w:val="FootnoteText"/>
        <w:ind w:left="284" w:hanging="284"/>
        <w:rPr>
          <w:rStyle w:val="FootnoteReference"/>
          <w:vertAlign w:val="baseline"/>
        </w:rPr>
      </w:pPr>
      <w:r>
        <w:rPr>
          <w:rStyle w:val="FootnoteReference"/>
        </w:rPr>
        <w:footnoteRef/>
      </w:r>
      <w:r>
        <w:tab/>
      </w:r>
      <w:r>
        <w:rPr>
          <w:rStyle w:val="FootnoteReference"/>
          <w:vertAlign w:val="baseline"/>
        </w:rPr>
        <w:t>COM(2017) 261 final.</w:t>
      </w:r>
    </w:p>
  </w:footnote>
  <w:footnote w:id="10">
    <w:p>
      <w:pPr>
        <w:pStyle w:val="FootnoteText"/>
        <w:tabs>
          <w:tab w:val="left" w:pos="120"/>
        </w:tabs>
        <w:ind w:left="284" w:hanging="284"/>
      </w:pPr>
      <w:r>
        <w:rPr>
          <w:rStyle w:val="FootnoteReference"/>
        </w:rPr>
        <w:footnoteRef/>
      </w:r>
      <w:r>
        <w:tab/>
        <w:t>New privacy-by-design concept that restricts the access to all data by limiting it to a mere ‘hit/no-hit’ notification, indicating the presence (or non-presence) of data.</w:t>
      </w:r>
    </w:p>
  </w:footnote>
  <w:footnote w:id="11">
    <w:p>
      <w:pPr>
        <w:pStyle w:val="FootnoteText"/>
        <w:tabs>
          <w:tab w:val="left" w:pos="120"/>
        </w:tabs>
        <w:ind w:left="284" w:hanging="284"/>
      </w:pPr>
      <w:r>
        <w:rPr>
          <w:rStyle w:val="FootnoteReference"/>
        </w:rPr>
        <w:footnoteRef/>
      </w:r>
      <w:r>
        <w:tab/>
      </w:r>
      <w:hyperlink r:id="rId5" w:history="1">
        <w:r>
          <w:rPr>
            <w:rStyle w:val="Hyperlink"/>
          </w:rPr>
          <w:t>European Council conclusions</w:t>
        </w:r>
      </w:hyperlink>
      <w:r>
        <w:t>, 22-23 June 2017.</w:t>
      </w:r>
    </w:p>
  </w:footnote>
  <w:footnote w:id="12">
    <w:p>
      <w:pPr>
        <w:pStyle w:val="FootnoteText"/>
        <w:tabs>
          <w:tab w:val="left" w:pos="120"/>
        </w:tabs>
        <w:ind w:left="284" w:hanging="284"/>
      </w:pPr>
      <w:r>
        <w:rPr>
          <w:rStyle w:val="FootnoteReference"/>
        </w:rPr>
        <w:footnoteRef/>
      </w:r>
      <w:r>
        <w:tab/>
      </w:r>
      <w:hyperlink r:id="rId6" w:history="1">
        <w:r>
          <w:rPr>
            <w:rStyle w:val="Hyperlink"/>
          </w:rPr>
          <w:t>Outcomes of the 3546th Council meeting on Justice and Home Affairs on 8 and 9 June 2017, 10136/17.</w:t>
        </w:r>
      </w:hyperlink>
    </w:p>
  </w:footnote>
  <w:footnote w:id="13">
    <w:p>
      <w:pPr>
        <w:pStyle w:val="FootnoteText"/>
        <w:tabs>
          <w:tab w:val="left" w:pos="120"/>
        </w:tabs>
        <w:ind w:left="284" w:hanging="284"/>
      </w:pPr>
      <w:r>
        <w:rPr>
          <w:rStyle w:val="FootnoteReference"/>
        </w:rPr>
        <w:footnoteRef/>
      </w:r>
      <w:r>
        <w:tab/>
      </w:r>
      <w:r>
        <w:rPr>
          <w:color w:val="000000"/>
        </w:rPr>
        <w:t>The Council’s Committee of Permanent Representatives (Coreper), upon giving the mandate to the Council Presidency to start interinstitutional negotiations on the EU Entry/Exit System on 2 March 2017, agreed a draft Council statement calling on the Commission to propose a comprehensive framework for law enforcement access to the various databases in the area of justice and home affairs, with a view to greater simplification, consistency, effectiveness and attention to operational needs (Summary Record 7177/17, 21.3.2017).</w:t>
      </w:r>
    </w:p>
  </w:footnote>
  <w:footnote w:id="14">
    <w:p>
      <w:pPr>
        <w:pStyle w:val="FootnoteText"/>
        <w:tabs>
          <w:tab w:val="left" w:pos="120"/>
        </w:tabs>
        <w:ind w:left="284" w:hanging="284"/>
        <w:rPr>
          <w:lang w:val="pt-PT"/>
        </w:rPr>
      </w:pPr>
      <w:r>
        <w:rPr>
          <w:rStyle w:val="FootnoteReference"/>
        </w:rPr>
        <w:footnoteRef/>
      </w:r>
      <w:r>
        <w:rPr>
          <w:lang w:val="pt-PT"/>
        </w:rPr>
        <w:tab/>
        <w:t>COM(2017) 650 final.</w:t>
      </w:r>
    </w:p>
  </w:footnote>
  <w:footnote w:id="15">
    <w:p>
      <w:pPr>
        <w:pStyle w:val="FootnoteText"/>
        <w:ind w:left="284" w:hanging="284"/>
        <w:rPr>
          <w:lang w:val="pt-PT"/>
        </w:rPr>
      </w:pPr>
      <w:r>
        <w:rPr>
          <w:rStyle w:val="FootnoteReference"/>
        </w:rPr>
        <w:footnoteRef/>
      </w:r>
      <w:r>
        <w:rPr>
          <w:lang w:val="pt-PT"/>
        </w:rPr>
        <w:tab/>
        <w:t>COM(2017)570 final.</w:t>
      </w:r>
    </w:p>
  </w:footnote>
  <w:footnote w:id="16">
    <w:p>
      <w:pPr>
        <w:pStyle w:val="FootnoteText"/>
        <w:ind w:left="284" w:hanging="284"/>
        <w:rPr>
          <w:lang w:val="pt-PT"/>
        </w:rPr>
      </w:pPr>
      <w:r>
        <w:rPr>
          <w:rStyle w:val="FootnoteReference"/>
        </w:rPr>
        <w:footnoteRef/>
      </w:r>
      <w:r>
        <w:rPr>
          <w:lang w:val="pt-PT"/>
        </w:rPr>
        <w:tab/>
        <w:t>COM(2015)185 final.</w:t>
      </w:r>
    </w:p>
  </w:footnote>
  <w:footnote w:id="17">
    <w:p>
      <w:pPr>
        <w:pStyle w:val="FootnoteText"/>
        <w:ind w:left="284" w:hanging="284"/>
      </w:pPr>
      <w:r>
        <w:rPr>
          <w:rStyle w:val="FootnoteReference"/>
        </w:rPr>
        <w:footnoteRef/>
      </w:r>
      <w:r>
        <w:tab/>
        <w:t>COM(2016)230 final.</w:t>
      </w:r>
    </w:p>
  </w:footnote>
  <w:footnote w:id="18">
    <w:p>
      <w:pPr>
        <w:pStyle w:val="FootnoteText"/>
        <w:ind w:left="284" w:hanging="284"/>
      </w:pPr>
      <w:r>
        <w:rPr>
          <w:rStyle w:val="FootnoteReference"/>
        </w:rPr>
        <w:footnoteRef/>
      </w:r>
      <w:r>
        <w:tab/>
        <w:t>The Commission’s December 2016 draft Regulations on SIS propose to further extend this to include return decisions and inquiry checks.</w:t>
      </w:r>
    </w:p>
  </w:footnote>
  <w:footnote w:id="19">
    <w:p>
      <w:pPr>
        <w:pStyle w:val="FootnoteText"/>
        <w:ind w:left="284" w:hanging="284"/>
      </w:pPr>
      <w:r>
        <w:rPr>
          <w:rStyle w:val="FootnoteReference"/>
        </w:rPr>
        <w:footnoteRef/>
      </w:r>
      <w:r>
        <w:tab/>
      </w:r>
      <w:hyperlink r:id="rId7" w:history="1">
        <w:r>
          <w:rPr>
            <w:rStyle w:val="Hyperlink"/>
          </w:rPr>
          <w:t>http://eur-lex.europa.eu/legal-content/EN/TXT/?qid=1508936184412&amp;uri=CELEX:32008D06 15</w:t>
        </w:r>
      </w:hyperlink>
      <w:r>
        <w:t>.</w:t>
      </w:r>
    </w:p>
  </w:footnote>
  <w:footnote w:id="20">
    <w:p>
      <w:pPr>
        <w:pStyle w:val="FootnoteText"/>
        <w:ind w:left="284" w:hanging="284"/>
      </w:pPr>
      <w:r>
        <w:rPr>
          <w:rStyle w:val="FootnoteReference"/>
        </w:rPr>
        <w:footnoteRef/>
      </w:r>
      <w:r>
        <w:tab/>
      </w:r>
      <w:hyperlink r:id="rId8" w:history="1">
        <w:r>
          <w:rPr>
            <w:rStyle w:val="Hyperlink"/>
          </w:rPr>
          <w:t>http://eur-lex.europa.eu/legal-content/EN/TXT/?qid=1508936384641&amp;uri=CELEX:32016L06 81</w:t>
        </w:r>
      </w:hyperlink>
      <w:r>
        <w:t>.</w:t>
      </w:r>
    </w:p>
  </w:footnote>
  <w:footnote w:id="21">
    <w:p>
      <w:pPr>
        <w:pStyle w:val="FootnoteText"/>
        <w:ind w:left="284" w:hanging="284"/>
      </w:pPr>
      <w:r>
        <w:rPr>
          <w:rStyle w:val="FootnoteReference"/>
        </w:rPr>
        <w:footnoteRef/>
      </w:r>
      <w:r>
        <w:tab/>
        <w:t>Council Directive 2004/82/EC of 29 April 2004 on the obligation of carriers to communicate passenger data.</w:t>
      </w:r>
    </w:p>
  </w:footnote>
  <w:footnote w:id="22">
    <w:p>
      <w:pPr>
        <w:pStyle w:val="FootnoteText"/>
        <w:ind w:left="284" w:hanging="284"/>
      </w:pPr>
      <w:r>
        <w:rPr>
          <w:rStyle w:val="FootnoteReference"/>
        </w:rPr>
        <w:footnoteRef/>
      </w:r>
      <w:r>
        <w:tab/>
        <w:t>Similarly as regards the customs systems, the Council in its June 2017 conclusions invited the Commission to undertake a feasibility study to further explore the technical, operational and legal aspects of interoperability of the security and border management systems with customs systems, and present its findings for discussion by the Council by the end of 2018.</w:t>
      </w:r>
    </w:p>
  </w:footnote>
  <w:footnote w:id="23">
    <w:p>
      <w:pPr>
        <w:pStyle w:val="FootnoteText"/>
        <w:ind w:left="284" w:hanging="284"/>
      </w:pPr>
      <w:r>
        <w:rPr>
          <w:rStyle w:val="FootnoteReference"/>
        </w:rPr>
        <w:footnoteRef/>
      </w:r>
      <w:r>
        <w:tab/>
        <w:t>These biometric search engines are technically referred to as automated fingerprint identification system (AFIS) or automated biometric identification system (ABIS).</w:t>
      </w:r>
    </w:p>
  </w:footnote>
  <w:footnote w:id="24">
    <w:p>
      <w:pPr>
        <w:pStyle w:val="FootnoteText"/>
        <w:ind w:left="284" w:hanging="284"/>
      </w:pPr>
      <w:r>
        <w:rPr>
          <w:rStyle w:val="FootnoteReference"/>
        </w:rPr>
        <w:footnoteRef/>
      </w:r>
      <w:r>
        <w:tab/>
        <w:t>Biographical data that can be found on the travel document includes; last name, first name, gender, date of birth, travel document number. They do not include addresses, former names, biometric data, etc.</w:t>
      </w:r>
    </w:p>
  </w:footnote>
  <w:footnote w:id="25">
    <w:p>
      <w:pPr>
        <w:pStyle w:val="FootnoteText"/>
        <w:ind w:left="284" w:hanging="284"/>
        <w:rPr>
          <w:lang w:val="pt-PT"/>
        </w:rPr>
      </w:pPr>
      <w:r>
        <w:rPr>
          <w:rStyle w:val="FootnoteReference"/>
        </w:rPr>
        <w:footnoteRef/>
      </w:r>
      <w:r>
        <w:rPr>
          <w:lang w:val="pt-PT"/>
        </w:rPr>
        <w:tab/>
        <w:t>COM(2016) 883 final.</w:t>
      </w:r>
    </w:p>
  </w:footnote>
  <w:footnote w:id="26">
    <w:p>
      <w:pPr>
        <w:pStyle w:val="FootnoteText"/>
        <w:ind w:left="284" w:hanging="284"/>
        <w:rPr>
          <w:lang w:val="pt-PT"/>
        </w:rPr>
      </w:pPr>
      <w:r>
        <w:rPr>
          <w:rStyle w:val="FootnoteReference"/>
        </w:rPr>
        <w:footnoteRef/>
      </w:r>
      <w:r>
        <w:rPr>
          <w:lang w:val="pt-PT"/>
        </w:rPr>
        <w:tab/>
        <w:t>COM(2016) 272 final.</w:t>
      </w:r>
    </w:p>
  </w:footnote>
  <w:footnote w:id="27">
    <w:p>
      <w:pPr>
        <w:pStyle w:val="FootnoteText"/>
        <w:ind w:left="284" w:hanging="284"/>
        <w:rPr>
          <w:lang w:val="pt-PT"/>
        </w:rPr>
      </w:pPr>
      <w:r>
        <w:rPr>
          <w:rStyle w:val="FootnoteReference"/>
        </w:rPr>
        <w:footnoteRef/>
      </w:r>
      <w:r>
        <w:rPr>
          <w:lang w:val="pt-PT"/>
        </w:rPr>
        <w:tab/>
        <w:t>COM(2016) 194 final.</w:t>
      </w:r>
    </w:p>
  </w:footnote>
  <w:footnote w:id="28">
    <w:p>
      <w:pPr>
        <w:pStyle w:val="FootnoteText"/>
        <w:ind w:left="284" w:hanging="284"/>
        <w:rPr>
          <w:lang w:val="pt-PT"/>
        </w:rPr>
      </w:pPr>
      <w:r>
        <w:rPr>
          <w:rStyle w:val="FootnoteReference"/>
        </w:rPr>
        <w:footnoteRef/>
      </w:r>
      <w:r>
        <w:rPr>
          <w:lang w:val="pt-PT"/>
        </w:rPr>
        <w:tab/>
        <w:t>COM(2016) 731 final.</w:t>
      </w:r>
    </w:p>
  </w:footnote>
  <w:footnote w:id="29">
    <w:p>
      <w:pPr>
        <w:pStyle w:val="FootnoteText"/>
        <w:ind w:left="284" w:hanging="284"/>
        <w:rPr>
          <w:lang w:val="pt-PT"/>
        </w:rPr>
      </w:pPr>
      <w:r>
        <w:rPr>
          <w:rStyle w:val="FootnoteReference"/>
        </w:rPr>
        <w:footnoteRef/>
      </w:r>
      <w:r>
        <w:rPr>
          <w:lang w:val="pt-PT"/>
        </w:rPr>
        <w:tab/>
        <w:t>COM(2017) 344 final.</w:t>
      </w:r>
    </w:p>
  </w:footnote>
  <w:footnote w:id="30">
    <w:p>
      <w:pPr>
        <w:pStyle w:val="FootnoteText"/>
        <w:ind w:left="284" w:hanging="284"/>
        <w:rPr>
          <w:lang w:val="pt-PT"/>
        </w:rPr>
      </w:pPr>
      <w:r>
        <w:rPr>
          <w:rStyle w:val="FootnoteReference"/>
        </w:rPr>
        <w:footnoteRef/>
      </w:r>
      <w:r>
        <w:rPr>
          <w:lang w:val="pt-PT"/>
        </w:rPr>
        <w:tab/>
        <w:t>COM(2017)570 final.</w:t>
      </w:r>
    </w:p>
  </w:footnote>
  <w:footnote w:id="31">
    <w:p>
      <w:pPr>
        <w:pStyle w:val="FootnoteText"/>
        <w:ind w:left="284" w:hanging="284"/>
      </w:pPr>
      <w:r>
        <w:rPr>
          <w:rStyle w:val="FootnoteReference"/>
        </w:rPr>
        <w:footnoteRef/>
      </w:r>
      <w:r>
        <w:tab/>
        <w:t>COM(2015)185 final.</w:t>
      </w:r>
    </w:p>
  </w:footnote>
  <w:footnote w:id="32">
    <w:p>
      <w:pPr>
        <w:pStyle w:val="FootnoteText"/>
        <w:ind w:left="284" w:hanging="284"/>
      </w:pPr>
      <w:r>
        <w:rPr>
          <w:rStyle w:val="FootnoteReference"/>
        </w:rPr>
        <w:footnoteRef/>
      </w:r>
      <w:r>
        <w:tab/>
        <w:t>COM(2016)230 final.</w:t>
      </w:r>
    </w:p>
  </w:footnote>
  <w:footnote w:id="33">
    <w:p>
      <w:pPr>
        <w:pStyle w:val="FootnoteText"/>
        <w:ind w:left="284" w:hanging="284"/>
      </w:pPr>
      <w:r>
        <w:rPr>
          <w:rStyle w:val="FootnoteReference"/>
        </w:rPr>
        <w:footnoteRef/>
      </w:r>
      <w:r>
        <w:tab/>
      </w:r>
      <w:r>
        <w:rPr>
          <w:rFonts w:eastAsia="Arial Unicode MS"/>
        </w:rPr>
        <w:t>Further details are contained in the synopsis report annexed to the impact assessment.</w:t>
      </w:r>
    </w:p>
  </w:footnote>
  <w:footnote w:id="34">
    <w:p>
      <w:pPr>
        <w:spacing w:before="0" w:after="0"/>
        <w:ind w:left="284" w:hanging="284"/>
      </w:pPr>
      <w:r>
        <w:rPr>
          <w:rStyle w:val="FootnoteReference"/>
        </w:rPr>
        <w:footnoteRef/>
      </w:r>
      <w:r>
        <w:rPr>
          <w:sz w:val="20"/>
        </w:rPr>
        <w:tab/>
        <w:t xml:space="preserve">The </w:t>
      </w:r>
      <w:r>
        <w:rPr>
          <w:i/>
          <w:sz w:val="20"/>
        </w:rPr>
        <w:t>Report on Europeans’ attitudes towards security</w:t>
      </w:r>
      <w:r>
        <w:rPr>
          <w:sz w:val="20"/>
        </w:rPr>
        <w:t xml:space="preserve"> analyses the results of the Special Eurobarometer public opinion survey (464b) regarding citizens’ overall awareness, experiences and perceptions of security. This survey was carried out by TNS Political &amp; Social network in the 28 Member States between 13 and 26 June 2017. Some 28 093 EU citizens from different social and demographic categories were interviewed.</w:t>
      </w:r>
    </w:p>
  </w:footnote>
  <w:footnote w:id="35">
    <w:p>
      <w:pPr>
        <w:pStyle w:val="FootnoteText"/>
        <w:ind w:left="284" w:hanging="284"/>
      </w:pPr>
      <w:r>
        <w:rPr>
          <w:rStyle w:val="FootnoteReference"/>
        </w:rPr>
        <w:footnoteRef/>
      </w:r>
      <w:r>
        <w:tab/>
        <w:t>Commission Decision of 17 June 2016 setting up the high-level expert group on information systems and interoperability — 2016/C 257/03.</w:t>
      </w:r>
    </w:p>
  </w:footnote>
  <w:footnote w:id="36">
    <w:p>
      <w:pPr>
        <w:pStyle w:val="FootnoteText"/>
        <w:ind w:left="284" w:hanging="284"/>
      </w:pPr>
      <w:r>
        <w:rPr>
          <w:rStyle w:val="FootnoteReference"/>
        </w:rPr>
        <w:footnoteRef/>
      </w:r>
      <w:r>
        <w:tab/>
      </w:r>
      <w:hyperlink r:id="rId9" w:history="1">
        <w:r>
          <w:rPr>
            <w:rStyle w:val="Hyperlink"/>
          </w:rPr>
          <w:t>http://ec.europa.eu/transparency/regexpert/index.cfm?do=groupDetail.groupDetailDoc&amp;id=32600&amp;no=1</w:t>
        </w:r>
      </w:hyperlink>
      <w:r>
        <w:t>.</w:t>
      </w:r>
    </w:p>
  </w:footnote>
  <w:footnote w:id="37">
    <w:p>
      <w:pPr>
        <w:pStyle w:val="FootnoteText"/>
        <w:ind w:left="284" w:hanging="284"/>
      </w:pPr>
      <w:r>
        <w:rPr>
          <w:rStyle w:val="FootnoteReference"/>
        </w:rPr>
        <w:footnoteRef/>
      </w:r>
      <w:r>
        <w:tab/>
      </w:r>
      <w:r>
        <w:rPr>
          <w:bCs/>
          <w:i/>
        </w:rPr>
        <w:t xml:space="preserve">FRA survey in the framework of the eu-LISA pilot on smart borders — travellers’ views on and experiences of smart borders, </w:t>
      </w:r>
      <w:r>
        <w:rPr>
          <w:bCs/>
        </w:rPr>
        <w:t xml:space="preserve">Report by the EU Agency for Fundamental Rights: </w:t>
      </w:r>
      <w:hyperlink r:id="rId10" w:history="1">
        <w:r>
          <w:rPr>
            <w:rStyle w:val="Hyperlink"/>
            <w:bCs/>
          </w:rPr>
          <w:t>http://ec.europa.eu/dgs/home-affairs/what-we-do/policies/borders-and-visas/smart-borders/docs/smart_borders_pilot_-_technical_report_annexes_en.pdf</w:t>
        </w:r>
      </w:hyperlink>
      <w:r>
        <w:rPr>
          <w:bCs/>
        </w:rPr>
        <w:t>.</w:t>
      </w:r>
    </w:p>
  </w:footnote>
  <w:footnote w:id="38">
    <w:p>
      <w:pPr>
        <w:pStyle w:val="FootnoteText"/>
        <w:ind w:left="284" w:hanging="284"/>
      </w:pPr>
      <w:r>
        <w:rPr>
          <w:rStyle w:val="FootnoteReference"/>
        </w:rPr>
        <w:footnoteRef/>
      </w:r>
      <w:r>
        <w:tab/>
        <w:t>European Court of Human Rights, Osman v United Kingdom, No. 87/1997/871/1083, 28 October 1998, para. 116.</w:t>
      </w:r>
    </w:p>
  </w:footnote>
  <w:footnote w:id="39">
    <w:p>
      <w:pPr>
        <w:pStyle w:val="FootnoteText"/>
        <w:ind w:left="284" w:hanging="284"/>
      </w:pPr>
      <w:r>
        <w:rPr>
          <w:rStyle w:val="FootnoteReference"/>
        </w:rPr>
        <w:footnoteRef/>
      </w:r>
      <w:r>
        <w:tab/>
        <w:t>Court of Justice of the EU, judgment of 9.11.2010, Joined Cases C-92/09 and C-93/09 Volker und Markus Schecke and Eifert [2010] ECR I-0000.</w:t>
      </w:r>
    </w:p>
  </w:footnote>
  <w:footnote w:id="40">
    <w:p>
      <w:pPr>
        <w:pStyle w:val="FootnoteText"/>
        <w:ind w:left="284" w:hanging="284"/>
      </w:pPr>
      <w:r>
        <w:rPr>
          <w:rStyle w:val="FootnoteReference"/>
        </w:rPr>
        <w:footnoteRef/>
      </w:r>
      <w:r>
        <w:tab/>
        <w:t>In line with Article 52(1) of the Charter, limitations may be imposed on the exercise of the right to data protection as long as the limitations are provided for by law, respect the essence of the right and freedoms and, subject to the principle of proportionality, are necessary and genuinely meet objectives of general interest recognised by the European Union or the need to protect the rights and freedoms of others.</w:t>
      </w:r>
    </w:p>
  </w:footnote>
  <w:footnote w:id="41">
    <w:p>
      <w:pPr>
        <w:pStyle w:val="FootnoteText"/>
        <w:ind w:left="284" w:hanging="284"/>
      </w:pPr>
      <w:r>
        <w:rPr>
          <w:rStyle w:val="FootnoteReference"/>
        </w:rPr>
        <w:footnoteRef/>
      </w:r>
      <w:r>
        <w:tab/>
        <w:t>Regulation (EU) 2016/679 of the European Parliament and of the Council of 27 April 2016 on the protection of natural persons with regard to the processing of personal data and on the free movement of such data, and repealing Directive 95/46/EC (General Data Protection Regulation).</w:t>
      </w:r>
    </w:p>
  </w:footnote>
  <w:footnote w:id="42">
    <w:p>
      <w:pPr>
        <w:pStyle w:val="FootnoteText"/>
        <w:ind w:left="284" w:hanging="284"/>
      </w:pPr>
      <w:r>
        <w:rPr>
          <w:rStyle w:val="FootnoteReference"/>
        </w:rPr>
        <w:footnoteRef/>
      </w:r>
      <w:r>
        <w:tab/>
        <w:t>The current information handling capacity of Europol is not compliant with the substantial volumes (average of 100,000 queries per day) and shortened response time that will be required by ETIAS.</w:t>
      </w:r>
    </w:p>
  </w:footnote>
  <w:footnote w:id="43">
    <w:p>
      <w:pPr>
        <w:pStyle w:val="FootnoteText"/>
        <w:ind w:left="284" w:hanging="284"/>
      </w:pPr>
      <w:r>
        <w:rPr>
          <w:rStyle w:val="FootnoteReference"/>
        </w:rPr>
        <w:footnoteRef/>
      </w:r>
      <w:r>
        <w:tab/>
        <w:t>OJ C , , p. .</w:t>
      </w:r>
    </w:p>
  </w:footnote>
  <w:footnote w:id="44">
    <w:p>
      <w:pPr>
        <w:pStyle w:val="FootnoteText"/>
        <w:ind w:left="284" w:hanging="284"/>
      </w:pPr>
      <w:r>
        <w:rPr>
          <w:rStyle w:val="FootnoteReference"/>
        </w:rPr>
        <w:footnoteRef/>
      </w:r>
      <w:r>
        <w:tab/>
      </w:r>
    </w:p>
  </w:footnote>
  <w:footnote w:id="45">
    <w:p>
      <w:pPr>
        <w:pStyle w:val="FootnoteText"/>
        <w:ind w:left="284" w:hanging="284"/>
      </w:pPr>
      <w:r>
        <w:rPr>
          <w:rStyle w:val="FootnoteReference"/>
        </w:rPr>
        <w:footnoteRef/>
      </w:r>
      <w:r>
        <w:tab/>
        <w:t>COM(2016)205, 6.4.2016.</w:t>
      </w:r>
    </w:p>
  </w:footnote>
  <w:footnote w:id="46">
    <w:p>
      <w:pPr>
        <w:pStyle w:val="FootnoteText"/>
        <w:ind w:left="284" w:hanging="284"/>
      </w:pPr>
      <w:r>
        <w:rPr>
          <w:rStyle w:val="FootnoteReference"/>
        </w:rPr>
        <w:footnoteRef/>
      </w:r>
      <w:r>
        <w:tab/>
        <w:t>Roadmap of 6 June 2016 to enhance information exchange and information management including interoperability solutions in the Justice and Home Affairs area — 9368/1/16 REV 1.</w:t>
      </w:r>
    </w:p>
  </w:footnote>
  <w:footnote w:id="47">
    <w:p>
      <w:pPr>
        <w:pStyle w:val="FootnoteText"/>
        <w:ind w:left="284" w:hanging="284"/>
      </w:pPr>
      <w:r>
        <w:rPr>
          <w:rStyle w:val="FootnoteReference"/>
        </w:rPr>
        <w:footnoteRef/>
      </w:r>
      <w:r>
        <w:tab/>
        <w:t>European Parliament resolution of 6 July 2016 on the strategic priorities for the Commission Work Programme 2017 (</w:t>
      </w:r>
      <w:hyperlink r:id="rId11" w:history="1">
        <w:r>
          <w:rPr>
            <w:rStyle w:val="Hyperlink"/>
          </w:rPr>
          <w:t>2016/2773(RSP</w:t>
        </w:r>
      </w:hyperlink>
      <w:r>
        <w:t>).</w:t>
      </w:r>
    </w:p>
  </w:footnote>
  <w:footnote w:id="48">
    <w:p>
      <w:pPr>
        <w:pStyle w:val="FootnoteText"/>
        <w:ind w:left="284" w:hanging="284"/>
      </w:pPr>
      <w:r>
        <w:rPr>
          <w:rStyle w:val="FootnoteReference"/>
        </w:rPr>
        <w:footnoteRef/>
      </w:r>
      <w:r>
        <w:tab/>
      </w:r>
      <w:hyperlink r:id="rId12" w:history="1">
        <w:r>
          <w:rPr>
            <w:rStyle w:val="Hyperlink"/>
          </w:rPr>
          <w:t>http://www.consilium.europa.eu/en/press/press-releases/2016/12/15/euco-conclusions-final/</w:t>
        </w:r>
      </w:hyperlink>
      <w:r>
        <w:t>.</w:t>
      </w:r>
    </w:p>
  </w:footnote>
  <w:footnote w:id="49">
    <w:p>
      <w:pPr>
        <w:pStyle w:val="FootnoteText"/>
        <w:ind w:left="284" w:hanging="284"/>
        <w:jc w:val="left"/>
      </w:pPr>
      <w:r>
        <w:rPr>
          <w:rStyle w:val="FootnoteReference"/>
        </w:rPr>
        <w:footnoteRef/>
      </w:r>
      <w:r>
        <w:tab/>
      </w:r>
      <w:hyperlink r:id="rId13" w:history="1">
        <w:r>
          <w:rPr>
            <w:rStyle w:val="Hyperlink"/>
            <w:spacing w:val="-20"/>
          </w:rPr>
          <w:t>http://ec.europa.eu/transparency/regexpert/index.cfm?do=groupDetail.groupDetailDoc&amp;id=32600&amp;no=1</w:t>
        </w:r>
      </w:hyperlink>
      <w:r>
        <w:rPr>
          <w:spacing w:val="-20"/>
        </w:rPr>
        <w:t>.</w:t>
      </w:r>
    </w:p>
  </w:footnote>
  <w:footnote w:id="50">
    <w:p>
      <w:pPr>
        <w:pStyle w:val="FootnoteText"/>
        <w:ind w:left="284" w:hanging="284"/>
        <w:rPr>
          <w:lang w:val="pt-PT"/>
        </w:rPr>
      </w:pPr>
      <w:r>
        <w:rPr>
          <w:rStyle w:val="FootnoteReference"/>
        </w:rPr>
        <w:footnoteRef/>
      </w:r>
      <w:r>
        <w:rPr>
          <w:lang w:val="pt-PT"/>
        </w:rPr>
        <w:tab/>
        <w:t>COM(2017) 261 final, 16.5.2017.</w:t>
      </w:r>
    </w:p>
  </w:footnote>
  <w:footnote w:id="51">
    <w:p>
      <w:pPr>
        <w:pStyle w:val="FootnoteText"/>
        <w:ind w:left="284" w:hanging="284"/>
        <w:rPr>
          <w:lang w:val="pt-PT"/>
        </w:rPr>
      </w:pPr>
      <w:r>
        <w:rPr>
          <w:rStyle w:val="FootnoteReference"/>
        </w:rPr>
        <w:footnoteRef/>
      </w:r>
      <w:r>
        <w:rPr>
          <w:lang w:val="pt-PT"/>
        </w:rPr>
        <w:tab/>
      </w:r>
      <w:hyperlink r:id="rId14" w:history="1">
        <w:r>
          <w:rPr>
            <w:rStyle w:val="Hyperlink"/>
            <w:lang w:val="pt-PT"/>
          </w:rPr>
          <w:t>http://www.consilium.europa.eu/media/22186/st10136en17-vf.pdf</w:t>
        </w:r>
      </w:hyperlink>
      <w:r>
        <w:rPr>
          <w:lang w:val="pt-PT"/>
        </w:rPr>
        <w:t>.</w:t>
      </w:r>
    </w:p>
  </w:footnote>
  <w:footnote w:id="52">
    <w:p>
      <w:pPr>
        <w:pStyle w:val="FootnoteText"/>
        <w:ind w:left="284" w:hanging="284"/>
      </w:pPr>
      <w:r>
        <w:rPr>
          <w:rStyle w:val="FootnoteReference"/>
        </w:rPr>
        <w:footnoteRef/>
      </w:r>
      <w:r>
        <w:tab/>
      </w:r>
      <w:hyperlink r:id="rId15" w:history="1">
        <w:r>
          <w:rPr>
            <w:rStyle w:val="Hyperlink"/>
          </w:rPr>
          <w:t>European Council conclusions</w:t>
        </w:r>
      </w:hyperlink>
      <w:r>
        <w:t>, 22-23 June 2017.</w:t>
      </w:r>
    </w:p>
  </w:footnote>
  <w:footnote w:id="53">
    <w:p>
      <w:pPr>
        <w:pStyle w:val="FootnoteText"/>
        <w:ind w:left="284" w:hanging="284"/>
      </w:pPr>
      <w:r>
        <w:rPr>
          <w:rStyle w:val="FootnoteReference"/>
        </w:rPr>
        <w:footnoteRef/>
      </w:r>
      <w:r>
        <w:tab/>
        <w:t>Regulation (EU) 2016/679 of the European Parliament and of the Council of 27 April 2016 on the protection of natural persons with regard to the processing of personal data and on the free movement of such data, and repealing Directive 95/46/EC (General Data Protection Regulation) (OJ L 119, 4.5.2016, p. 1).</w:t>
      </w:r>
    </w:p>
  </w:footnote>
  <w:footnote w:id="54">
    <w:p>
      <w:pPr>
        <w:pStyle w:val="FootnoteText"/>
        <w:ind w:left="284" w:hanging="284"/>
      </w:pPr>
      <w:r>
        <w:rPr>
          <w:rStyle w:val="FootnoteReference"/>
        </w:rPr>
        <w:footnoteRef/>
      </w:r>
      <w:r>
        <w:tab/>
        <w:t>Directive (EU) 2016/680 of the European Parliament and of the Council of 27 April 2016 on the protection of natural persons with regard to the processing of personal data by competent authorities for the prevention, investigation, detection or prosecution of criminal offences or the execution of criminal penalties, and on the free movement of such data, and repealing Council Framework Decision 2008/977/JHA (OJ L 119, 4.5.2016, p. 89).</w:t>
      </w:r>
    </w:p>
  </w:footnote>
  <w:footnote w:id="55">
    <w:p>
      <w:pPr>
        <w:pStyle w:val="FootnoteText"/>
        <w:ind w:left="284" w:hanging="284"/>
      </w:pPr>
      <w:r>
        <w:rPr>
          <w:rStyle w:val="FootnoteReference"/>
        </w:rPr>
        <w:footnoteRef/>
      </w:r>
      <w:r>
        <w:tab/>
        <w:t>Council Common Position 2005/69/JHA of 24 January 2005 on exchanging certain data with Interpol (OJ L 27, 29.1.2005, p. 61).</w:t>
      </w:r>
    </w:p>
  </w:footnote>
  <w:footnote w:id="56">
    <w:p>
      <w:pPr>
        <w:pStyle w:val="FootnoteText"/>
        <w:ind w:left="284" w:hanging="284"/>
      </w:pPr>
      <w:r>
        <w:rPr>
          <w:rStyle w:val="FootnoteReference"/>
        </w:rPr>
        <w:footnoteRef/>
      </w:r>
      <w:r>
        <w:tab/>
        <w:t>Council Decision 2007/533/JHA of 12 June 2007 on the establishment, operation and use of the second generation Schengen Information System (SIS II) (OJ L 205, 7.8.2007, p. 63).</w:t>
      </w:r>
    </w:p>
  </w:footnote>
  <w:footnote w:id="57">
    <w:p>
      <w:pPr>
        <w:pStyle w:val="FootnoteText"/>
        <w:ind w:left="0" w:firstLine="0"/>
      </w:pPr>
      <w:r>
        <w:rPr>
          <w:rStyle w:val="FootnoteReference"/>
        </w:rPr>
        <w:footnoteRef/>
      </w:r>
      <w:r>
        <w:t>Regulation (EU) 2017/2226 of the European Parliament and of the Council of 30 November 2017 establishing an Entry/Exit System (EES) to register entry and exit data and refusal of entry data of third-country nationals crossing the external borders of the Member States and determining the conditions for access to the EES for law enforcement purposes, and amending the Convention implementing the Schengen Agreement and Regulations (EC) No 767/2008 and (EU) No 1077/2011</w:t>
      </w:r>
      <w:r>
        <w:rPr>
          <w:bCs/>
        </w:rPr>
        <w:t xml:space="preserve"> (EES Regulation) (</w:t>
      </w:r>
      <w:r>
        <w:rPr>
          <w:iCs/>
        </w:rPr>
        <w:t>OJ L 327, 9.12.2017, p. 20–82).</w:t>
      </w:r>
    </w:p>
  </w:footnote>
  <w:footnote w:id="58">
    <w:p>
      <w:pPr>
        <w:pStyle w:val="FootnoteText"/>
        <w:ind w:left="284" w:hanging="284"/>
      </w:pPr>
      <w:r>
        <w:rPr>
          <w:rStyle w:val="FootnoteReference"/>
        </w:rPr>
        <w:footnoteRef/>
      </w:r>
      <w:r>
        <w:tab/>
        <w:t>Regulation (EC) No 767/2008 of the European Parliament and of the Council of 9 July 2008 concerning the Visa Information System (VIS) and the exchange of data between Member States on short-stay visas (VIS Regulation) (OJ L 218, 13.8.2008, p. 60).</w:t>
      </w:r>
    </w:p>
  </w:footnote>
  <w:footnote w:id="59">
    <w:p>
      <w:pPr>
        <w:pStyle w:val="FootnoteText"/>
        <w:ind w:left="284" w:hanging="284"/>
      </w:pPr>
      <w:r>
        <w:rPr>
          <w:rStyle w:val="FootnoteReference"/>
        </w:rPr>
        <w:footnoteRef/>
      </w:r>
      <w:r>
        <w:tab/>
        <w:t xml:space="preserve">Regulation (EC) No 45/2001 of the European Parliament and of the Council of 18 December 2000 on the protection of individuals with regard to the processing of personal data by the Community institutions and bodies and on the free movement of such data (OJ L 8, 12.1.2001, p.1).  </w:t>
      </w:r>
    </w:p>
  </w:footnote>
  <w:footnote w:id="60">
    <w:p>
      <w:pPr>
        <w:pStyle w:val="FootnoteText"/>
        <w:ind w:left="284" w:hanging="284"/>
      </w:pPr>
      <w:r>
        <w:rPr>
          <w:rStyle w:val="FootnoteReference"/>
        </w:rPr>
        <w:footnoteRef/>
      </w:r>
      <w:r>
        <w:tab/>
        <w:t>Regulation (EU) 2016/399 of the European Parliament and of the Council of 9 March 2016 on a Union Code on the rules governing the movement of persons across borders, OJ L 77, 23.3.2016, p.1.</w:t>
      </w:r>
    </w:p>
  </w:footnote>
  <w:footnote w:id="61">
    <w:p>
      <w:pPr>
        <w:pStyle w:val="FootnoteText"/>
        <w:ind w:left="284" w:hanging="284"/>
      </w:pPr>
      <w:r>
        <w:rPr>
          <w:rStyle w:val="FootnoteReference"/>
        </w:rPr>
        <w:footnoteRef/>
      </w:r>
      <w:r>
        <w:tab/>
        <w:t xml:space="preserve">Regulation (EU) No 515/2014 of the European Parliament and of the Council of 16 April 2014 establishing as part of the Internal Security Fund, the Instrument for financial support for external </w:t>
      </w:r>
      <w:r>
        <w:tab/>
        <w:t>borders and visa and repealing Decision No 574/2007/EC (OJ L 150, 20.5.2014, p. 143).</w:t>
      </w:r>
    </w:p>
  </w:footnote>
  <w:footnote w:id="62">
    <w:p>
      <w:pPr>
        <w:pStyle w:val="FootnoteText"/>
        <w:ind w:left="284" w:hanging="284"/>
      </w:pPr>
      <w:r>
        <w:rPr>
          <w:rStyle w:val="FootnoteReference"/>
        </w:rPr>
        <w:footnoteRef/>
      </w:r>
      <w:r>
        <w:tab/>
      </w:r>
      <w:hyperlink r:id="rId16" w:history="1">
        <w:r>
          <w:rPr>
            <w:rStyle w:val="Hyperlink"/>
          </w:rPr>
          <w:t>http://eur-lex.europa.eu/legal-content/EN/TXT/?uri=uriserv:OJ.L_.2016.123.01.0001.01.ENG</w:t>
        </w:r>
      </w:hyperlink>
      <w:r>
        <w:t>.</w:t>
      </w:r>
    </w:p>
  </w:footnote>
  <w:footnote w:id="63">
    <w:p>
      <w:pPr>
        <w:pStyle w:val="FootnoteText"/>
        <w:ind w:left="284" w:hanging="284"/>
      </w:pPr>
      <w:r>
        <w:rPr>
          <w:rStyle w:val="FootnoteReference"/>
        </w:rPr>
        <w:footnoteRef/>
      </w:r>
      <w:r>
        <w:tab/>
        <w:t>Regulation (EU) No 182/2011 of the European Parliament and of the Council of 16 February 2011 laying down the rules and general principles concerning mechanisms for control by the Member States of the Commission's exercise of implementing powers (OJ L 55, 28.2.2011, p. 13).</w:t>
      </w:r>
    </w:p>
  </w:footnote>
  <w:footnote w:id="64">
    <w:p>
      <w:pPr>
        <w:pStyle w:val="FootnoteText"/>
        <w:ind w:left="284" w:hanging="284"/>
      </w:pPr>
      <w:r>
        <w:rPr>
          <w:rStyle w:val="FootnoteReference"/>
        </w:rPr>
        <w:footnoteRef/>
      </w:r>
      <w:r>
        <w:tab/>
        <w:t>Council Decision 2000/365/EC of 29 May 2000 concerning the request of the United Kingdom of Great Britain and Northern Ireland to take part in some of the provisions of the Schengen acquis (OJ L 131, 1.6.2000, p. 43).</w:t>
      </w:r>
    </w:p>
  </w:footnote>
  <w:footnote w:id="65">
    <w:p>
      <w:pPr>
        <w:pStyle w:val="FootnoteText"/>
        <w:ind w:left="284" w:hanging="284"/>
      </w:pPr>
      <w:r>
        <w:rPr>
          <w:rStyle w:val="FootnoteReference"/>
        </w:rPr>
        <w:footnoteRef/>
      </w:r>
      <w:r>
        <w:tab/>
        <w:t>Council Decision 2002/192/EC of 28 February 2002 concerning Ireland's request to take part in some of the provisions of the Schengen acquis (OJ L 64, 7.3.2002, p. 20).</w:t>
      </w:r>
    </w:p>
  </w:footnote>
  <w:footnote w:id="66">
    <w:p>
      <w:pPr>
        <w:pStyle w:val="FootnoteText"/>
        <w:ind w:left="284" w:hanging="284"/>
        <w:rPr>
          <w:lang w:val="pl-PL"/>
        </w:rPr>
      </w:pPr>
      <w:r>
        <w:rPr>
          <w:rStyle w:val="FootnoteReference"/>
        </w:rPr>
        <w:footnoteRef/>
      </w:r>
      <w:r>
        <w:rPr>
          <w:lang w:val="pl-PL"/>
        </w:rPr>
        <w:tab/>
        <w:t>OJ L 176, 10.7.1999, p. 36</w:t>
      </w:r>
      <w:r>
        <w:rPr>
          <w:sz w:val="23"/>
          <w:szCs w:val="23"/>
          <w:lang w:val="pl-PL"/>
        </w:rPr>
        <w:t xml:space="preserve"> </w:t>
      </w:r>
      <w:r>
        <w:rPr>
          <w:lang w:val="pl-PL"/>
        </w:rPr>
        <w:t xml:space="preserve"> </w:t>
      </w:r>
    </w:p>
  </w:footnote>
  <w:footnote w:id="67">
    <w:p>
      <w:pPr>
        <w:pStyle w:val="FootnoteText"/>
        <w:ind w:left="284" w:hanging="284"/>
        <w:rPr>
          <w:lang w:val="pl-PL"/>
        </w:rPr>
      </w:pPr>
      <w:r>
        <w:rPr>
          <w:rStyle w:val="FootnoteReference"/>
        </w:rPr>
        <w:footnoteRef/>
      </w:r>
      <w:r>
        <w:rPr>
          <w:lang w:val="pl-PL"/>
        </w:rPr>
        <w:tab/>
        <w:t>OJ L 176, 10.7.1999, p. 31.</w:t>
      </w:r>
      <w:r>
        <w:rPr>
          <w:sz w:val="23"/>
          <w:szCs w:val="23"/>
          <w:lang w:val="pl-PL"/>
        </w:rPr>
        <w:t xml:space="preserve"> </w:t>
      </w:r>
      <w:r>
        <w:rPr>
          <w:lang w:val="pl-PL"/>
        </w:rPr>
        <w:t xml:space="preserve"> </w:t>
      </w:r>
    </w:p>
  </w:footnote>
  <w:footnote w:id="68">
    <w:p>
      <w:pPr>
        <w:pStyle w:val="FootnoteText"/>
        <w:ind w:left="284" w:hanging="284"/>
        <w:rPr>
          <w:lang w:val="pl-PL"/>
        </w:rPr>
      </w:pPr>
      <w:r>
        <w:rPr>
          <w:rStyle w:val="FootnoteReference"/>
        </w:rPr>
        <w:footnoteRef/>
      </w:r>
      <w:r>
        <w:rPr>
          <w:lang w:val="pl-PL"/>
        </w:rPr>
        <w:tab/>
        <w:t>OJ L 53, 27.2.2008, p. 52.</w:t>
      </w:r>
      <w:r>
        <w:rPr>
          <w:sz w:val="23"/>
          <w:szCs w:val="23"/>
          <w:lang w:val="pl-PL"/>
        </w:rPr>
        <w:t xml:space="preserve"> </w:t>
      </w:r>
      <w:r>
        <w:rPr>
          <w:lang w:val="pl-PL"/>
        </w:rPr>
        <w:t xml:space="preserve"> </w:t>
      </w:r>
    </w:p>
  </w:footnote>
  <w:footnote w:id="69">
    <w:p>
      <w:pPr>
        <w:pStyle w:val="FootnoteText"/>
        <w:ind w:left="284" w:hanging="284"/>
        <w:rPr>
          <w:lang w:val="pl-PL"/>
        </w:rPr>
      </w:pPr>
      <w:r>
        <w:rPr>
          <w:rStyle w:val="FootnoteReference"/>
        </w:rPr>
        <w:footnoteRef/>
      </w:r>
      <w:r>
        <w:rPr>
          <w:lang w:val="pl-PL"/>
        </w:rPr>
        <w:tab/>
        <w:t>OJ L 53, 27.2.2008, p. 1.</w:t>
      </w:r>
      <w:r>
        <w:rPr>
          <w:sz w:val="23"/>
          <w:szCs w:val="23"/>
          <w:lang w:val="pl-PL"/>
        </w:rPr>
        <w:t xml:space="preserve"> </w:t>
      </w:r>
      <w:r>
        <w:rPr>
          <w:lang w:val="pl-PL"/>
        </w:rPr>
        <w:t xml:space="preserve"> </w:t>
      </w:r>
    </w:p>
  </w:footnote>
  <w:footnote w:id="70">
    <w:p>
      <w:pPr>
        <w:pStyle w:val="FootnoteText"/>
        <w:ind w:left="284" w:hanging="284"/>
        <w:rPr>
          <w:lang w:val="pl-PL"/>
        </w:rPr>
      </w:pPr>
      <w:r>
        <w:rPr>
          <w:rStyle w:val="FootnoteReference"/>
        </w:rPr>
        <w:footnoteRef/>
      </w:r>
      <w:r>
        <w:rPr>
          <w:lang w:val="pl-PL"/>
        </w:rPr>
        <w:tab/>
        <w:t>OJ L 160, 18.6.2011, p. 21.</w:t>
      </w:r>
      <w:r>
        <w:rPr>
          <w:sz w:val="23"/>
          <w:szCs w:val="23"/>
          <w:lang w:val="pl-PL"/>
        </w:rPr>
        <w:t xml:space="preserve"> </w:t>
      </w:r>
      <w:r>
        <w:rPr>
          <w:lang w:val="pl-PL"/>
        </w:rPr>
        <w:t xml:space="preserve"> </w:t>
      </w:r>
    </w:p>
  </w:footnote>
  <w:footnote w:id="71">
    <w:p>
      <w:pPr>
        <w:pStyle w:val="FootnoteText"/>
        <w:ind w:left="284" w:hanging="284"/>
        <w:rPr>
          <w:lang w:val="pl-PL"/>
        </w:rPr>
      </w:pPr>
      <w:r>
        <w:rPr>
          <w:rStyle w:val="FootnoteReference"/>
        </w:rPr>
        <w:footnoteRef/>
      </w:r>
      <w:r>
        <w:rPr>
          <w:lang w:val="pl-PL"/>
        </w:rPr>
        <w:tab/>
        <w:t>OJ L 160, 18.6.2011, p. 19.</w:t>
      </w:r>
      <w:r>
        <w:rPr>
          <w:sz w:val="23"/>
          <w:szCs w:val="23"/>
          <w:lang w:val="pl-PL"/>
        </w:rPr>
        <w:t xml:space="preserve"> </w:t>
      </w:r>
      <w:r>
        <w:rPr>
          <w:lang w:val="pl-PL"/>
        </w:rPr>
        <w:t xml:space="preserve"> </w:t>
      </w:r>
    </w:p>
  </w:footnote>
  <w:footnote w:id="72">
    <w:p>
      <w:pPr>
        <w:pStyle w:val="FootnoteText"/>
        <w:ind w:left="284" w:hanging="284"/>
      </w:pPr>
      <w:r>
        <w:rPr>
          <w:rStyle w:val="FootnoteReference"/>
        </w:rPr>
        <w:footnoteRef/>
      </w:r>
      <w:r>
        <w:tab/>
        <w:t>Council Decision 2010/365/EU of 29 June 2010 on the application of the provisions of the Schengen acquis relating to the Schengen information System in the Republic of Bulgaria and Romania, OJ L 166, 1.7.2010, p. 17.</w:t>
      </w:r>
    </w:p>
  </w:footnote>
  <w:footnote w:id="73">
    <w:p>
      <w:pPr>
        <w:pStyle w:val="FootnoteText"/>
        <w:ind w:left="284" w:hanging="284"/>
      </w:pPr>
      <w:r>
        <w:rPr>
          <w:rStyle w:val="FootnoteReference"/>
        </w:rPr>
        <w:footnoteRef/>
      </w:r>
      <w:r>
        <w:tab/>
        <w:t>Council Decision (EU) 2017/1908 of 12 October 2017 on the putting into effect of certain provisions of the Schengen acquis relating to the Visa Information System in the Republic of Bulgaria and Romania, OJ M 269, 19.10.2017, p. 39.</w:t>
      </w:r>
    </w:p>
  </w:footnote>
  <w:footnote w:id="74">
    <w:p>
      <w:pPr>
        <w:pStyle w:val="FootnoteText"/>
        <w:ind w:left="284" w:hanging="284"/>
      </w:pPr>
      <w:r>
        <w:rPr>
          <w:rStyle w:val="FootnoteReference"/>
        </w:rPr>
        <w:footnoteRef/>
      </w:r>
      <w:r>
        <w:tab/>
        <w:t>Council Decision (EU) 2017/733 of 25 April 2017 on the application of the provisions of the Schengen acquis relating to the Schengen information System in the Republic of Croatia, OJ L 108, 26.4.2017, p. 31.</w:t>
      </w:r>
    </w:p>
  </w:footnote>
  <w:footnote w:id="75">
    <w:p>
      <w:pPr>
        <w:pStyle w:val="FootnoteText"/>
        <w:ind w:left="284" w:hanging="284"/>
      </w:pPr>
      <w:r>
        <w:rPr>
          <w:rStyle w:val="FootnoteReference"/>
        </w:rPr>
        <w:footnoteRef/>
      </w:r>
      <w:r>
        <w:tab/>
        <w:t>Council Regulation (EC) No 168/2007 of 15 February 2007 establishing a European Union Agency for Fundamental Rights (OJ L 53, 22.2.2007, p. 1).</w:t>
      </w:r>
    </w:p>
  </w:footnote>
  <w:footnote w:id="76">
    <w:p>
      <w:pPr>
        <w:pStyle w:val="FootnoteText"/>
        <w:ind w:left="284" w:hanging="284"/>
        <w:rPr>
          <w:sz w:val="14"/>
        </w:rPr>
      </w:pPr>
      <w:r>
        <w:rPr>
          <w:rStyle w:val="FootnoteReference"/>
        </w:rPr>
        <w:footnoteRef/>
      </w:r>
      <w:r>
        <w:rPr>
          <w:sz w:val="14"/>
        </w:rPr>
        <w:tab/>
      </w:r>
      <w:r>
        <w:rPr>
          <w:sz w:val="18"/>
          <w:szCs w:val="24"/>
        </w:rPr>
        <w:t>Regulation (EU) 2016/1624 of the European Parliament and of the Council of 14 September 2016 on the European Border and Coast Guard and amending Regulation (EU) 2016/399 of the European Parliament and of the Council and repealing Regulation (EC) No 863/2007 of the European Parliament and of the Council, Council Regulation (EC) No 2007/2004 and Council Decision 2005/267/EC (OJ L 251, 16.9.2016, p. 1).</w:t>
      </w:r>
    </w:p>
  </w:footnote>
  <w:footnote w:id="77">
    <w:p>
      <w:pPr>
        <w:pStyle w:val="FootnoteText"/>
        <w:ind w:left="284" w:hanging="284"/>
      </w:pPr>
      <w:r>
        <w:rPr>
          <w:rStyle w:val="FootnoteReference"/>
        </w:rPr>
        <w:footnoteRef/>
      </w:r>
      <w:r>
        <w:tab/>
        <w:t>Council Regulation (EC) No 168/2007 of 15 February 2007 establishing a European Union Agency for Fundamental Rights (OJ L 53, 22.2.2007, p. 1).</w:t>
      </w:r>
    </w:p>
  </w:footnote>
  <w:footnote w:id="78">
    <w:p>
      <w:pPr>
        <w:pStyle w:val="FootnoteText"/>
        <w:ind w:left="284" w:hanging="284"/>
        <w:rPr>
          <w:szCs w:val="24"/>
        </w:rPr>
      </w:pPr>
      <w:r>
        <w:rPr>
          <w:rStyle w:val="FootnoteReference"/>
        </w:rPr>
        <w:footnoteRef/>
      </w:r>
      <w:r>
        <w:tab/>
        <w:t>As referred to in Article 54(2)(a) or (b) of the Financial Regulation.</w:t>
      </w:r>
    </w:p>
  </w:footnote>
  <w:footnote w:id="79">
    <w:p>
      <w:pPr>
        <w:pStyle w:val="FootnoteText"/>
        <w:ind w:left="284" w:hanging="284"/>
      </w:pPr>
      <w:r>
        <w:rPr>
          <w:rStyle w:val="FootnoteReference"/>
        </w:rPr>
        <w:footnoteRef/>
      </w:r>
      <w:r>
        <w:tab/>
        <w:t>COM(2016)194 of 6 April 2016</w:t>
      </w:r>
    </w:p>
  </w:footnote>
  <w:footnote w:id="80">
    <w:p>
      <w:pPr>
        <w:pStyle w:val="FootnoteText"/>
        <w:ind w:left="284" w:hanging="284"/>
      </w:pPr>
      <w:r>
        <w:rPr>
          <w:rStyle w:val="FootnoteReference"/>
        </w:rPr>
        <w:footnoteRef/>
      </w:r>
      <w:r>
        <w:tab/>
        <w:t>COM(2016)731 of 16 November 2016</w:t>
      </w:r>
    </w:p>
  </w:footnote>
  <w:footnote w:id="81">
    <w:p>
      <w:pPr>
        <w:pStyle w:val="FootnoteText"/>
        <w:ind w:left="284" w:hanging="284"/>
      </w:pPr>
      <w:r>
        <w:rPr>
          <w:rStyle w:val="FootnoteReference"/>
        </w:rPr>
        <w:footnoteRef/>
      </w:r>
      <w:r>
        <w:tab/>
        <w:t>COM(2017)344 of 29 June 2017</w:t>
      </w:r>
    </w:p>
  </w:footnote>
  <w:footnote w:id="82">
    <w:p>
      <w:pPr>
        <w:pStyle w:val="FootnoteText"/>
        <w:ind w:left="284" w:hanging="284"/>
      </w:pPr>
      <w:r>
        <w:rPr>
          <w:rStyle w:val="FootnoteReference"/>
        </w:rPr>
        <w:footnoteRef/>
      </w:r>
      <w:r>
        <w:tab/>
        <w:t>COM(2016)205 of 6 April 2016</w:t>
      </w:r>
    </w:p>
  </w:footnote>
  <w:footnote w:id="83">
    <w:p>
      <w:pPr>
        <w:pStyle w:val="FootnoteText"/>
        <w:ind w:left="284" w:hanging="284"/>
        <w:jc w:val="left"/>
        <w:rPr>
          <w:szCs w:val="24"/>
        </w:rPr>
      </w:pPr>
      <w:r>
        <w:rPr>
          <w:rStyle w:val="FootnoteReference"/>
        </w:rPr>
        <w:footnoteRef/>
      </w:r>
      <w:r>
        <w:tab/>
        <w:t xml:space="preserve">Details of management modes and references to the Financial Regulation may be found on the BudgWeb site: </w:t>
      </w:r>
      <w:hyperlink r:id="rId17" w:history="1">
        <w:r>
          <w:rPr>
            <w:rStyle w:val="Hyperlink"/>
            <w:szCs w:val="24"/>
          </w:rPr>
          <w:t>https://myintracomm.ec.europa.eu/budgweb/EN/man/budgmanag/Pages/budgmanag.aspx</w:t>
        </w:r>
      </w:hyperlink>
      <w:r>
        <w:rPr>
          <w:rStyle w:val="Hyperlink"/>
          <w:szCs w:val="24"/>
        </w:rPr>
        <w:t>.</w:t>
      </w:r>
      <w:r>
        <w:rPr>
          <w:szCs w:val="24"/>
        </w:rPr>
        <w:t xml:space="preserve"> </w:t>
      </w:r>
    </w:p>
  </w:footnote>
  <w:footnote w:id="84">
    <w:p>
      <w:pPr>
        <w:pStyle w:val="FootnoteText"/>
        <w:ind w:left="284" w:hanging="284"/>
        <w:rPr>
          <w:szCs w:val="24"/>
        </w:rPr>
      </w:pPr>
      <w:r>
        <w:rPr>
          <w:rStyle w:val="FootnoteReference"/>
        </w:rPr>
        <w:footnoteRef/>
      </w:r>
      <w:r>
        <w:tab/>
        <w:t>Diff. = Differentiated appropriations / Non-diff. = Non-differentiated appropriations.</w:t>
      </w:r>
    </w:p>
  </w:footnote>
  <w:footnote w:id="85">
    <w:p>
      <w:pPr>
        <w:pStyle w:val="FootnoteText"/>
        <w:ind w:left="284" w:hanging="284"/>
        <w:rPr>
          <w:szCs w:val="24"/>
        </w:rPr>
      </w:pPr>
      <w:r>
        <w:rPr>
          <w:rStyle w:val="FootnoteReference"/>
        </w:rPr>
        <w:footnoteRef/>
      </w:r>
      <w:r>
        <w:tab/>
        <w:t xml:space="preserve">EFTA: European Free Trade Association. </w:t>
      </w:r>
    </w:p>
  </w:footnote>
  <w:footnote w:id="86">
    <w:p>
      <w:pPr>
        <w:pStyle w:val="FootnoteText"/>
        <w:ind w:left="284" w:hanging="284"/>
        <w:rPr>
          <w:szCs w:val="24"/>
        </w:rPr>
      </w:pPr>
      <w:r>
        <w:rPr>
          <w:rStyle w:val="FootnoteReference"/>
        </w:rPr>
        <w:footnoteRef/>
      </w:r>
      <w:r>
        <w:tab/>
        <w:t>Candidate countries and, where applicable, potential candidates from the Western Balkans.</w:t>
      </w:r>
    </w:p>
  </w:footnote>
  <w:footnote w:id="87">
    <w:p>
      <w:pPr>
        <w:pStyle w:val="FootnoteText"/>
        <w:ind w:left="284" w:hanging="284"/>
        <w:rPr>
          <w:szCs w:val="24"/>
        </w:rPr>
      </w:pPr>
      <w:r>
        <w:rPr>
          <w:rStyle w:val="FootnoteReference"/>
        </w:rPr>
        <w:footnoteRef/>
      </w:r>
      <w:r>
        <w:tab/>
        <w:t>Technical and/or administrative assistance and expenditure in support of the implementation of EU programmes and/or actions (former ‘BA’ lines), indirect research, direct research.</w:t>
      </w:r>
    </w:p>
  </w:footnote>
  <w:footnote w:id="88">
    <w:p>
      <w:pPr>
        <w:pStyle w:val="FootnoteText"/>
        <w:ind w:left="284" w:hanging="284"/>
      </w:pPr>
      <w:r>
        <w:rPr>
          <w:rStyle w:val="FootnoteReference"/>
        </w:rPr>
        <w:footnoteRef/>
      </w:r>
      <w:r>
        <w:tab/>
        <w:t>COM 2017/0145 (COD) Proposal for a Regulation of the European Parliament and of the Council on the European Agency for the operational management of large-scale IT systems in the area of freedom, security and justice, and amending Regulation (EC) 1987/2006 and Council Decision 2007/533/JHA and repealing Regulation (EU) 1077/2011</w:t>
      </w:r>
    </w:p>
  </w:footnote>
  <w:footnote w:id="89">
    <w:p>
      <w:pPr>
        <w:pStyle w:val="FootnoteText"/>
        <w:ind w:left="284" w:hanging="284"/>
        <w:rPr>
          <w:szCs w:val="24"/>
        </w:rPr>
      </w:pPr>
      <w:r>
        <w:rPr>
          <w:rStyle w:val="FootnoteReference"/>
        </w:rPr>
        <w:footnoteRef/>
      </w:r>
      <w:r>
        <w:tab/>
        <w:t>Outputs are products and services to be supplied (e.g.: number of student exchanges financed, number of km of roads built, etc.).</w:t>
      </w:r>
    </w:p>
  </w:footnote>
  <w:footnote w:id="90">
    <w:p>
      <w:pPr>
        <w:pStyle w:val="FootnoteText"/>
        <w:ind w:left="284" w:hanging="284"/>
        <w:rPr>
          <w:szCs w:val="24"/>
        </w:rPr>
      </w:pPr>
      <w:r>
        <w:rPr>
          <w:rStyle w:val="FootnoteReference"/>
        </w:rPr>
        <w:footnoteRef/>
      </w:r>
      <w:r>
        <w:tab/>
        <w:t xml:space="preserve">As described in point 1.4.2. ‘Specific objective(s)…’ </w:t>
      </w:r>
    </w:p>
  </w:footnote>
  <w:footnote w:id="91">
    <w:p>
      <w:pPr>
        <w:pStyle w:val="FootnoteText"/>
        <w:ind w:left="284" w:hanging="284"/>
        <w:rPr>
          <w:szCs w:val="24"/>
        </w:rPr>
      </w:pPr>
      <w:r>
        <w:rPr>
          <w:rStyle w:val="FootnoteReference"/>
        </w:rPr>
        <w:footnoteRef/>
      </w:r>
      <w:r>
        <w:tab/>
        <w:t>Outputs are products and services to be supplied (e.g.: number of student exchanges financed, number of km of roads built, etc.).</w:t>
      </w:r>
    </w:p>
  </w:footnote>
  <w:footnote w:id="92">
    <w:p>
      <w:pPr>
        <w:pStyle w:val="FootnoteText"/>
        <w:ind w:left="284" w:hanging="284"/>
        <w:rPr>
          <w:szCs w:val="24"/>
        </w:rPr>
      </w:pPr>
      <w:r>
        <w:rPr>
          <w:rStyle w:val="FootnoteReference"/>
        </w:rPr>
        <w:footnoteRef/>
      </w:r>
      <w:r>
        <w:tab/>
        <w:t xml:space="preserve">As described in point 1.4.2. ‘Specific objective(s)…’ </w:t>
      </w:r>
    </w:p>
  </w:footnote>
  <w:footnote w:id="93">
    <w:p>
      <w:pPr>
        <w:pStyle w:val="FootnoteText"/>
        <w:ind w:left="284" w:hanging="284"/>
        <w:rPr>
          <w:szCs w:val="24"/>
        </w:rPr>
      </w:pPr>
      <w:r>
        <w:rPr>
          <w:rStyle w:val="FootnoteReference"/>
        </w:rPr>
        <w:footnoteRef/>
      </w:r>
      <w:r>
        <w:tab/>
        <w:t>Outputs are products and services to be supplied (e.g.: number of student exchanges financed, number of km of roads built, etc.).</w:t>
      </w:r>
    </w:p>
  </w:footnote>
  <w:footnote w:id="94">
    <w:p>
      <w:pPr>
        <w:pStyle w:val="FootnoteText"/>
        <w:ind w:left="284" w:hanging="284"/>
        <w:rPr>
          <w:szCs w:val="24"/>
        </w:rPr>
      </w:pPr>
      <w:r>
        <w:rPr>
          <w:rStyle w:val="FootnoteReference"/>
        </w:rPr>
        <w:footnoteRef/>
      </w:r>
      <w:r>
        <w:tab/>
        <w:t xml:space="preserve">As described in point 1.4.2. ‘Specific objective(s)…’ </w:t>
      </w:r>
    </w:p>
  </w:footnote>
  <w:footnote w:id="95">
    <w:p>
      <w:pPr>
        <w:pStyle w:val="FootnoteText"/>
        <w:ind w:left="284" w:hanging="284"/>
        <w:rPr>
          <w:szCs w:val="24"/>
        </w:rPr>
      </w:pPr>
      <w:r>
        <w:rPr>
          <w:rStyle w:val="FootnoteReference"/>
        </w:rPr>
        <w:footnoteRef/>
      </w:r>
      <w:r>
        <w:tab/>
        <w:t>Outputs are products and services to be supplied (e.g.: number of student exchanges financed, number of km of roads built, etc.).</w:t>
      </w:r>
    </w:p>
  </w:footnote>
  <w:footnote w:id="96">
    <w:p>
      <w:pPr>
        <w:pStyle w:val="FootnoteText"/>
        <w:ind w:left="284" w:hanging="284"/>
        <w:rPr>
          <w:szCs w:val="24"/>
        </w:rPr>
      </w:pPr>
      <w:r>
        <w:rPr>
          <w:rStyle w:val="FootnoteReference"/>
        </w:rPr>
        <w:footnoteRef/>
      </w:r>
      <w:r>
        <w:tab/>
        <w:t xml:space="preserve">As described in point 1.4.2. ‘Specific objective(s)…’ </w:t>
      </w:r>
    </w:p>
  </w:footnote>
  <w:footnote w:id="97">
    <w:p>
      <w:pPr>
        <w:pStyle w:val="FootnoteText"/>
        <w:ind w:left="284" w:hanging="284"/>
        <w:rPr>
          <w:szCs w:val="24"/>
        </w:rPr>
      </w:pPr>
      <w:r>
        <w:rPr>
          <w:rStyle w:val="FootnoteReference"/>
        </w:rPr>
        <w:footnoteRef/>
      </w:r>
      <w:r>
        <w:tab/>
        <w:t>Outputs are products and services to be supplied (e.g.: number of student exchanges financed, number of km of roads built, etc.).</w:t>
      </w:r>
    </w:p>
  </w:footnote>
  <w:footnote w:id="98">
    <w:p>
      <w:pPr>
        <w:pStyle w:val="FootnoteText"/>
        <w:ind w:left="284" w:hanging="284"/>
        <w:rPr>
          <w:szCs w:val="24"/>
        </w:rPr>
      </w:pPr>
      <w:r>
        <w:rPr>
          <w:rStyle w:val="FootnoteReference"/>
        </w:rPr>
        <w:footnoteRef/>
      </w:r>
      <w:r>
        <w:tab/>
        <w:t>Outputs are products and services to be supplied (e.g.: number of student exchanges financed, number of km of roads built, etc.).</w:t>
      </w:r>
    </w:p>
  </w:footnote>
  <w:footnote w:id="99">
    <w:p>
      <w:pPr>
        <w:pStyle w:val="FootnoteText"/>
        <w:ind w:left="284" w:hanging="284"/>
        <w:rPr>
          <w:szCs w:val="24"/>
        </w:rPr>
      </w:pPr>
      <w:r>
        <w:rPr>
          <w:rStyle w:val="FootnoteReference"/>
        </w:rPr>
        <w:footnoteRef/>
      </w:r>
      <w:r>
        <w:tab/>
        <w:t xml:space="preserve">As described in point 1.4.2. ‘Specific objective(s)…’ </w:t>
      </w:r>
    </w:p>
  </w:footnote>
  <w:footnote w:id="100">
    <w:p>
      <w:pPr>
        <w:pStyle w:val="FootnoteText"/>
        <w:ind w:left="284" w:hanging="284"/>
        <w:rPr>
          <w:szCs w:val="24"/>
        </w:rPr>
      </w:pPr>
      <w:r>
        <w:rPr>
          <w:rStyle w:val="FootnoteReference"/>
        </w:rPr>
        <w:footnoteRef/>
      </w:r>
      <w:r>
        <w:tab/>
        <w:t>Outputs are products and services to be supplied (e.g.: number of student exchanges financed, number of km of roads built, etc.).</w:t>
      </w:r>
    </w:p>
  </w:footnote>
  <w:footnote w:id="101">
    <w:p>
      <w:pPr>
        <w:pStyle w:val="FootnoteText"/>
        <w:ind w:left="284" w:hanging="284"/>
        <w:rPr>
          <w:szCs w:val="24"/>
        </w:rPr>
      </w:pPr>
      <w:r>
        <w:rPr>
          <w:rStyle w:val="FootnoteReference"/>
        </w:rPr>
        <w:footnoteRef/>
      </w:r>
      <w:r>
        <w:tab/>
        <w:t xml:space="preserve">As described in point 1.4.2. ‘Specific objective(s)…’ </w:t>
      </w:r>
    </w:p>
  </w:footnote>
  <w:footnote w:id="102">
    <w:p>
      <w:pPr>
        <w:pStyle w:val="FootnoteText"/>
        <w:ind w:left="284" w:hanging="284"/>
        <w:rPr>
          <w:szCs w:val="24"/>
        </w:rPr>
      </w:pPr>
      <w:r>
        <w:rPr>
          <w:rStyle w:val="FootnoteReference"/>
        </w:rPr>
        <w:footnoteRef/>
      </w:r>
      <w:r>
        <w:tab/>
        <w:t>Outputs are products and services to be supplied (e.g.: number of student exchanges financed, number of km of roads built, etc.).</w:t>
      </w:r>
    </w:p>
  </w:footnote>
  <w:footnote w:id="103">
    <w:p>
      <w:pPr>
        <w:pStyle w:val="FootnoteText"/>
        <w:ind w:left="284" w:hanging="284"/>
        <w:rPr>
          <w:szCs w:val="24"/>
        </w:rPr>
      </w:pPr>
      <w:r>
        <w:rPr>
          <w:rStyle w:val="FootnoteReference"/>
        </w:rPr>
        <w:footnoteRef/>
      </w:r>
      <w:r>
        <w:tab/>
        <w:t xml:space="preserve">As described in point 1.4.2. ‘Specific objective(s)…’ </w:t>
      </w:r>
    </w:p>
  </w:footnote>
  <w:footnote w:id="104">
    <w:p>
      <w:pPr>
        <w:pStyle w:val="FootnoteText"/>
        <w:ind w:left="284" w:hanging="284"/>
        <w:rPr>
          <w:szCs w:val="24"/>
        </w:rPr>
      </w:pPr>
      <w:r>
        <w:rPr>
          <w:rStyle w:val="FootnoteReference"/>
        </w:rPr>
        <w:footnoteRef/>
      </w:r>
      <w:r>
        <w:tab/>
        <w:t>Outputs are products and services to be supplied (e.g.: number of student exchanges financed, number of km of roads built, etc.).</w:t>
      </w:r>
    </w:p>
  </w:footnote>
  <w:footnote w:id="105">
    <w:p>
      <w:pPr>
        <w:pStyle w:val="FootnoteText"/>
        <w:ind w:left="284" w:hanging="284"/>
        <w:rPr>
          <w:szCs w:val="24"/>
        </w:rPr>
      </w:pPr>
      <w:r>
        <w:rPr>
          <w:rStyle w:val="FootnoteReference"/>
        </w:rPr>
        <w:footnoteRef/>
      </w:r>
      <w:r>
        <w:tab/>
        <w:t>Outputs are products and services to be supplied (e.g.: number of student exchanges financed, number of km of roads built, etc.).</w:t>
      </w:r>
    </w:p>
  </w:footnote>
  <w:footnote w:id="106">
    <w:p>
      <w:pPr>
        <w:pStyle w:val="FootnoteText"/>
        <w:ind w:left="284" w:hanging="284"/>
        <w:rPr>
          <w:szCs w:val="24"/>
        </w:rPr>
      </w:pPr>
      <w:r>
        <w:rPr>
          <w:rStyle w:val="FootnoteReference"/>
        </w:rPr>
        <w:footnoteRef/>
      </w:r>
      <w:r>
        <w:tab/>
        <w:t xml:space="preserve">As described in point 1.4.2. ‘Specific objective(s)…’ </w:t>
      </w:r>
    </w:p>
  </w:footnote>
  <w:footnote w:id="107">
    <w:p>
      <w:pPr>
        <w:pStyle w:val="FootnoteText"/>
        <w:ind w:left="284" w:hanging="284"/>
        <w:rPr>
          <w:szCs w:val="24"/>
        </w:rPr>
      </w:pPr>
      <w:r>
        <w:rPr>
          <w:rStyle w:val="FootnoteReference"/>
        </w:rPr>
        <w:footnoteRef/>
      </w:r>
      <w:r>
        <w:tab/>
        <w:t>Outputs are products and services to be supplied (e.g.: number of student exchanges financed, number of km of roads built, etc.).</w:t>
      </w:r>
    </w:p>
  </w:footnote>
  <w:footnote w:id="108">
    <w:p>
      <w:pPr>
        <w:pStyle w:val="FootnoteText"/>
        <w:ind w:left="284" w:hanging="284"/>
      </w:pPr>
      <w:r>
        <w:rPr>
          <w:rStyle w:val="FootnoteReference"/>
        </w:rPr>
        <w:footnoteRef/>
      </w:r>
      <w:r>
        <w:tab/>
        <w:t>Staff in 2020 and later years is indicative and will need to be assessed whether it is additional to the forecast of EBCG staff set out in COM(2015)671 or not</w:t>
      </w:r>
    </w:p>
  </w:footnote>
  <w:footnote w:id="109">
    <w:p>
      <w:pPr>
        <w:pStyle w:val="FootnoteText"/>
        <w:ind w:left="284" w:hanging="284"/>
        <w:rPr>
          <w:szCs w:val="24"/>
        </w:rPr>
      </w:pPr>
      <w:r>
        <w:rPr>
          <w:rStyle w:val="FootnoteReference"/>
        </w:rPr>
        <w:footnoteRef/>
      </w:r>
      <w:r>
        <w:tab/>
        <w:t>Technical and/or administrative assistance and expenditure in support of the implementation of EU programmes and/or actions (former ‘BA’ lines), indirect research, direct research.</w:t>
      </w:r>
    </w:p>
  </w:footnote>
  <w:footnote w:id="110">
    <w:p>
      <w:pPr>
        <w:pStyle w:val="FootnoteText"/>
        <w:ind w:left="284" w:hanging="284"/>
        <w:rPr>
          <w:szCs w:val="24"/>
        </w:rPr>
      </w:pPr>
      <w:r>
        <w:rPr>
          <w:rStyle w:val="FootnoteReference"/>
        </w:rPr>
        <w:footnoteRef/>
      </w:r>
      <w:r>
        <w:tab/>
        <w:t xml:space="preserve">AC= Contract Staff; AL = Local Staff; END= Seconded National Expert; INT = agency staff; JED= Junior Experts in Delegations. </w:t>
      </w:r>
    </w:p>
  </w:footnote>
  <w:footnote w:id="111">
    <w:p>
      <w:pPr>
        <w:pStyle w:val="FootnoteText"/>
        <w:ind w:left="284" w:hanging="284"/>
        <w:rPr>
          <w:szCs w:val="24"/>
        </w:rPr>
      </w:pPr>
      <w:r>
        <w:rPr>
          <w:rStyle w:val="FootnoteReference"/>
        </w:rPr>
        <w:footnoteRef/>
      </w:r>
      <w:r>
        <w:tab/>
        <w:t>Sub-ceiling for external staff covered by operational appropriations (former ‘BA’ lines).</w:t>
      </w:r>
    </w:p>
  </w:footnote>
  <w:footnote w:id="112">
    <w:p>
      <w:pPr>
        <w:pStyle w:val="FootnoteText"/>
        <w:ind w:left="284" w:hanging="284"/>
        <w:rPr>
          <w:szCs w:val="24"/>
        </w:rPr>
      </w:pPr>
      <w:r>
        <w:rPr>
          <w:rStyle w:val="FootnoteReference"/>
        </w:rPr>
        <w:footnoteRef/>
      </w:r>
      <w:r>
        <w:tab/>
        <w:t>As regards traditional own resources (customs duties, sugar levies), the amounts indicated must be net amounts, i.e. gross amounts after deduction of 25 % for collection costs.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Landscape"/>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Landscape"/>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AA4A7B4A"/>
    <w:lvl w:ilvl="0">
      <w:start w:val="1"/>
      <w:numFmt w:val="decimal"/>
      <w:pStyle w:val="ListNumber4"/>
      <w:lvlText w:val="%1."/>
      <w:lvlJc w:val="left"/>
      <w:pPr>
        <w:tabs>
          <w:tab w:val="num" w:pos="1209"/>
        </w:tabs>
        <w:ind w:left="1209" w:hanging="360"/>
      </w:pPr>
    </w:lvl>
  </w:abstractNum>
  <w:abstractNum w:abstractNumId="1">
    <w:nsid w:val="FFFFFF7E"/>
    <w:multiLevelType w:val="singleLevel"/>
    <w:tmpl w:val="CA3A878E"/>
    <w:lvl w:ilvl="0">
      <w:start w:val="1"/>
      <w:numFmt w:val="decimal"/>
      <w:pStyle w:val="ListNumber3"/>
      <w:lvlText w:val="%1."/>
      <w:lvlJc w:val="left"/>
      <w:pPr>
        <w:tabs>
          <w:tab w:val="num" w:pos="926"/>
        </w:tabs>
        <w:ind w:left="926" w:hanging="360"/>
      </w:pPr>
    </w:lvl>
  </w:abstractNum>
  <w:abstractNum w:abstractNumId="2">
    <w:nsid w:val="FFFFFF7F"/>
    <w:multiLevelType w:val="singleLevel"/>
    <w:tmpl w:val="7DB6267C"/>
    <w:lvl w:ilvl="0">
      <w:start w:val="1"/>
      <w:numFmt w:val="decimal"/>
      <w:pStyle w:val="ListNumber2"/>
      <w:lvlText w:val="%1."/>
      <w:lvlJc w:val="left"/>
      <w:pPr>
        <w:tabs>
          <w:tab w:val="num" w:pos="643"/>
        </w:tabs>
        <w:ind w:left="643" w:hanging="360"/>
      </w:pPr>
    </w:lvl>
  </w:abstractNum>
  <w:abstractNum w:abstractNumId="3">
    <w:nsid w:val="FFFFFF81"/>
    <w:multiLevelType w:val="singleLevel"/>
    <w:tmpl w:val="C854D838"/>
    <w:lvl w:ilvl="0">
      <w:start w:val="1"/>
      <w:numFmt w:val="bullet"/>
      <w:pStyle w:val="ListBullet4"/>
      <w:lvlText w:val=""/>
      <w:lvlJc w:val="left"/>
      <w:pPr>
        <w:tabs>
          <w:tab w:val="num" w:pos="1209"/>
        </w:tabs>
        <w:ind w:left="1209" w:hanging="360"/>
      </w:pPr>
      <w:rPr>
        <w:rFonts w:ascii="Symbol" w:hAnsi="Symbol" w:hint="default"/>
      </w:rPr>
    </w:lvl>
  </w:abstractNum>
  <w:abstractNum w:abstractNumId="4">
    <w:nsid w:val="FFFFFF82"/>
    <w:multiLevelType w:val="singleLevel"/>
    <w:tmpl w:val="1592E8BA"/>
    <w:lvl w:ilvl="0">
      <w:start w:val="1"/>
      <w:numFmt w:val="bullet"/>
      <w:pStyle w:val="ListBullet3"/>
      <w:lvlText w:val=""/>
      <w:lvlJc w:val="left"/>
      <w:pPr>
        <w:tabs>
          <w:tab w:val="num" w:pos="926"/>
        </w:tabs>
        <w:ind w:left="926" w:hanging="360"/>
      </w:pPr>
      <w:rPr>
        <w:rFonts w:ascii="Symbol" w:hAnsi="Symbol" w:hint="default"/>
      </w:rPr>
    </w:lvl>
  </w:abstractNum>
  <w:abstractNum w:abstractNumId="5">
    <w:nsid w:val="FFFFFF83"/>
    <w:multiLevelType w:val="singleLevel"/>
    <w:tmpl w:val="801416EE"/>
    <w:lvl w:ilvl="0">
      <w:start w:val="1"/>
      <w:numFmt w:val="bullet"/>
      <w:pStyle w:val="ListBullet2"/>
      <w:lvlText w:val=""/>
      <w:lvlJc w:val="left"/>
      <w:pPr>
        <w:tabs>
          <w:tab w:val="num" w:pos="643"/>
        </w:tabs>
        <w:ind w:left="643" w:hanging="360"/>
      </w:pPr>
      <w:rPr>
        <w:rFonts w:ascii="Symbol" w:hAnsi="Symbol" w:hint="default"/>
      </w:rPr>
    </w:lvl>
  </w:abstractNum>
  <w:abstractNum w:abstractNumId="6">
    <w:nsid w:val="062C6A95"/>
    <w:multiLevelType w:val="singleLevel"/>
    <w:tmpl w:val="02BAFA82"/>
    <w:name w:val="List Bullet 1"/>
    <w:lvl w:ilvl="0">
      <w:start w:val="1"/>
      <w:numFmt w:val="bullet"/>
      <w:lvlRestart w:val="0"/>
      <w:pStyle w:val="ListBullet1"/>
      <w:lvlText w:val=""/>
      <w:lvlJc w:val="left"/>
      <w:pPr>
        <w:tabs>
          <w:tab w:val="num" w:pos="1134"/>
        </w:tabs>
        <w:ind w:left="1134" w:hanging="283"/>
      </w:pPr>
      <w:rPr>
        <w:rFonts w:ascii="Symbol" w:hAnsi="Symbol" w:hint="default"/>
      </w:rPr>
    </w:lvl>
  </w:abstractNum>
  <w:abstractNum w:abstractNumId="7">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8">
    <w:nsid w:val="1D561A3A"/>
    <w:multiLevelType w:val="multilevel"/>
    <w:tmpl w:val="DFC88CEC"/>
    <w:lvl w:ilvl="0">
      <w:start w:val="1"/>
      <w:numFmt w:val="decimal"/>
      <w:lvlRestart w:val="0"/>
      <w:lvlText w:val="%1."/>
      <w:lvlJc w:val="left"/>
      <w:pPr>
        <w:tabs>
          <w:tab w:val="num" w:pos="850"/>
        </w:tabs>
        <w:ind w:left="850" w:hanging="85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1">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2">
    <w:nsid w:val="2D820C1F"/>
    <w:multiLevelType w:val="singleLevel"/>
    <w:tmpl w:val="7896AADE"/>
    <w:name w:val="List Dash"/>
    <w:lvl w:ilvl="0">
      <w:start w:val="1"/>
      <w:numFmt w:val="bullet"/>
      <w:pStyle w:val="ListDash"/>
      <w:lvlText w:val="–"/>
      <w:lvlJc w:val="left"/>
      <w:pPr>
        <w:tabs>
          <w:tab w:val="num" w:pos="283"/>
        </w:tabs>
        <w:ind w:left="283" w:hanging="283"/>
      </w:pPr>
      <w:rPr>
        <w:rFonts w:ascii="Times New Roman" w:hAnsi="Times New Roman"/>
      </w:rPr>
    </w:lvl>
  </w:abstractNum>
  <w:abstractNum w:abstractNumId="13">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4">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5">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6">
    <w:nsid w:val="489D74ED"/>
    <w:multiLevelType w:val="singleLevel"/>
    <w:tmpl w:val="C2E2F936"/>
    <w:name w:val="List Dash 2"/>
    <w:lvl w:ilvl="0">
      <w:start w:val="1"/>
      <w:numFmt w:val="bullet"/>
      <w:lvlRestart w:val="0"/>
      <w:pStyle w:val="ListDash2"/>
      <w:lvlText w:val="–"/>
      <w:lvlJc w:val="left"/>
      <w:pPr>
        <w:tabs>
          <w:tab w:val="num" w:pos="1134"/>
        </w:tabs>
        <w:ind w:left="1134" w:hanging="283"/>
      </w:pPr>
      <w:rPr>
        <w:rFonts w:ascii="Times New Roman" w:hAnsi="Times New Roman" w:cs="Times New Roman"/>
      </w:rPr>
    </w:lvl>
  </w:abstractNum>
  <w:abstractNum w:abstractNumId="17">
    <w:nsid w:val="4D0C058A"/>
    <w:multiLevelType w:val="singleLevel"/>
    <w:tmpl w:val="BAE8D90E"/>
    <w:name w:val="List Dash 1"/>
    <w:lvl w:ilvl="0">
      <w:start w:val="1"/>
      <w:numFmt w:val="bullet"/>
      <w:lvlRestart w:val="0"/>
      <w:pStyle w:val="ListDash1"/>
      <w:lvlText w:val="–"/>
      <w:lvlJc w:val="left"/>
      <w:pPr>
        <w:tabs>
          <w:tab w:val="num" w:pos="1134"/>
        </w:tabs>
        <w:ind w:left="1134" w:hanging="283"/>
      </w:pPr>
      <w:rPr>
        <w:rFonts w:ascii="Times New Roman" w:hAnsi="Times New Roman" w:cs="Times New Roman"/>
      </w:rPr>
    </w:lvl>
  </w:abstractNum>
  <w:abstractNum w:abstractNumId="18">
    <w:nsid w:val="50D13132"/>
    <w:multiLevelType w:val="hybridMultilevel"/>
    <w:tmpl w:val="FDC4F7EA"/>
    <w:lvl w:ilvl="0" w:tplc="FA202878">
      <w:start w:val="6"/>
      <w:numFmt w:val="bullet"/>
      <w:lvlText w:val="-"/>
      <w:lvlJc w:val="left"/>
      <w:pPr>
        <w:ind w:left="720" w:hanging="360"/>
      </w:pPr>
      <w:rPr>
        <w:rFonts w:ascii="Calibri" w:eastAsia="Calibri" w:hAnsi="Calibri"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20">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21">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22">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23">
    <w:nsid w:val="5DF84969"/>
    <w:multiLevelType w:val="singleLevel"/>
    <w:tmpl w:val="1E12021A"/>
    <w:lvl w:ilvl="0">
      <w:start w:val="1"/>
      <w:numFmt w:val="bullet"/>
      <w:pStyle w:val="ListBullet"/>
      <w:lvlText w:val=""/>
      <w:lvlJc w:val="left"/>
      <w:pPr>
        <w:tabs>
          <w:tab w:val="num" w:pos="283"/>
        </w:tabs>
        <w:ind w:left="283" w:hanging="283"/>
      </w:pPr>
      <w:rPr>
        <w:rFonts w:ascii="Symbol" w:hAnsi="Symbol" w:hint="default"/>
      </w:rPr>
    </w:lvl>
  </w:abstractNum>
  <w:abstractNum w:abstractNumId="24">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6">
    <w:nsid w:val="71F06166"/>
    <w:multiLevelType w:val="multilevel"/>
    <w:tmpl w:val="C08066D2"/>
    <w:name w:val="0.6719891"/>
    <w:lvl w:ilvl="0">
      <w:start w:val="1"/>
      <w:numFmt w:val="decimal"/>
      <w:lvlRestart w:val="0"/>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cs="Times New Roman"/>
      </w:rPr>
    </w:lvl>
    <w:lvl w:ilvl="3">
      <w:start w:val="1"/>
      <w:numFmt w:val="bullet"/>
      <w:pStyle w:val="ListNumberLevel4"/>
      <w:lvlText w:val=""/>
      <w:lvlJc w:val="left"/>
      <w:pPr>
        <w:tabs>
          <w:tab w:val="num" w:pos="2835"/>
        </w:tabs>
        <w:ind w:left="2835" w:hanging="709"/>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7">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6"/>
  </w:num>
  <w:num w:numId="2">
    <w:abstractNumId w:val="17"/>
  </w:num>
  <w:num w:numId="3">
    <w:abstractNumId w:val="16"/>
  </w:num>
  <w:num w:numId="4">
    <w:abstractNumId w:val="26"/>
  </w:num>
  <w:num w:numId="5">
    <w:abstractNumId w:val="23"/>
  </w:num>
  <w:num w:numId="6">
    <w:abstractNumId w:val="5"/>
  </w:num>
  <w:num w:numId="7">
    <w:abstractNumId w:val="4"/>
  </w:num>
  <w:num w:numId="8">
    <w:abstractNumId w:val="3"/>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abstractNumId w:val="27"/>
    <w:lvlOverride w:ilvl="0">
      <w:startOverride w:val="1"/>
    </w:lvlOverride>
  </w:num>
  <w:num w:numId="10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abstractNumId w:val="2"/>
  </w:num>
  <w:num w:numId="104">
    <w:abstractNumId w:val="1"/>
  </w:num>
  <w:num w:numId="105">
    <w:abstractNumId w:val="0"/>
  </w:num>
  <w:num w:numId="10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abstractNumId w:val="15"/>
    <w:lvlOverride w:ilvl="0">
      <w:startOverride w:val="1"/>
    </w:lvlOverride>
  </w:num>
  <w:num w:numId="10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
    <w:abstractNumId w:val="12"/>
  </w:num>
  <w:num w:numId="11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5">
    <w:abstractNumId w:val="22"/>
  </w:num>
  <w:num w:numId="116">
    <w:abstractNumId w:val="13"/>
  </w:num>
  <w:num w:numId="117">
    <w:abstractNumId w:val="25"/>
  </w:num>
  <w:num w:numId="118">
    <w:abstractNumId w:val="11"/>
  </w:num>
  <w:num w:numId="119">
    <w:abstractNumId w:val="14"/>
  </w:num>
  <w:num w:numId="120">
    <w:abstractNumId w:val="9"/>
  </w:num>
  <w:num w:numId="121">
    <w:abstractNumId w:val="24"/>
  </w:num>
  <w:num w:numId="122">
    <w:abstractNumId w:val="7"/>
  </w:num>
  <w:num w:numId="123">
    <w:abstractNumId w:val="15"/>
  </w:num>
  <w:num w:numId="124">
    <w:abstractNumId w:val="20"/>
  </w:num>
  <w:num w:numId="125">
    <w:abstractNumId w:val="21"/>
  </w:num>
  <w:num w:numId="126">
    <w:abstractNumId w:val="10"/>
  </w:num>
  <w:num w:numId="127">
    <w:abstractNumId w:val="19"/>
  </w:num>
  <w:num w:numId="128">
    <w:abstractNumId w:val="27"/>
  </w:num>
  <w:num w:numId="12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1">
    <w:abstractNumId w:val="9"/>
  </w:num>
  <w:num w:numId="132">
    <w:abstractNumId w:val="8"/>
  </w:num>
  <w:num w:numId="133">
    <w:abstractNumId w:val="18"/>
  </w:num>
  <w:numIdMacAtCleanup w:val="1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attachedTemplate r:id="rId1"/>
  <w:revisionView w:markup="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QCDateTime" w:val="2017-12-07 19:14:36"/>
    <w:docVar w:name="DQCResult_Distribution" w:val="0;0"/>
    <w:docVar w:name="DQCResult_DocumentContent" w:val="0;0"/>
    <w:docVar w:name="DQCResult_DocumentSize" w:val="0;0"/>
    <w:docVar w:name="DQCResult_DocumentVersions" w:val="0;0"/>
    <w:docVar w:name="DQCResult_ExistenceOfMacros" w:val="0;0"/>
    <w:docVar w:name="DQCResult_InvalidFootnotes" w:val="0;0"/>
    <w:docVar w:name="DQCResult_LinkedStyles" w:val="0;0"/>
    <w:docVar w:name="DQCResult_ModifiedMargins" w:val="0;215"/>
    <w:docVar w:name="DQCResult_ModifiedMarkers" w:val="0;0"/>
    <w:docVar w:name="DQCResult_ModifiedNumbering" w:val="0;0"/>
    <w:docVar w:name="DQCResult_Objects" w:val="0;0"/>
    <w:docVar w:name="DQCResult_Sections" w:val="0;0"/>
    <w:docVar w:name="DQCResult_StructureCheck" w:val="0;0"/>
    <w:docVar w:name="DQCResult_SuperfluousWhitespace" w:val="0;173"/>
    <w:docVar w:name="DQCResult_UnknownFonts" w:val="0;0"/>
    <w:docVar w:name="DQCResult_UnknownStyles" w:val="0;10"/>
    <w:docVar w:name="DQCStatus" w:val="Yellow"/>
    <w:docVar w:name="DQCVersion" w:val="3"/>
    <w:docVar w:name="DQCWithWarnings" w:val="0"/>
    <w:docVar w:name="LW_CORRIGENDUM" w:val="&lt;UNUSED&gt;"/>
    <w:docVar w:name="LW_COVERPAGE_EXISTS" w:val="True"/>
    <w:docVar w:name="LW_COVERPAGE_GUID" w:val="B58F244A-0C3A-4A1D-9094-5F59DB0B0DC1"/>
    <w:docVar w:name="LW_COVERPAGE_TYPE" w:val="1"/>
    <w:docVar w:name="LW_CROSSREFERENCE" w:val="{SWD(2017) 473 final}_x000b_{SWD(2017) 474 final}"/>
    <w:docVar w:name="LW_DocType" w:val="COM"/>
    <w:docVar w:name="LW_EMISSION" w:val="12.12.2017"/>
    <w:docVar w:name="LW_EMISSION_ISODATE" w:val="2017-12-12"/>
    <w:docVar w:name="LW_EMISSION_LOCATION" w:val="STR"/>
    <w:docVar w:name="LW_EMISSION_PREFIX" w:val="Strasbourg, "/>
    <w:docVar w:name="LW_EMISSION_SUFFIX" w:val="&lt;EMPTY&gt;"/>
    <w:docVar w:name="LW_ID_DOCMODEL" w:val="SJ-023"/>
    <w:docVar w:name="LW_ID_DOCSIGNATURE" w:val="SJ-023"/>
    <w:docVar w:name="LW_ID_DOCSTRUCTURE" w:val="COM/PL/ORG"/>
    <w:docVar w:name="LW_ID_DOCTYPE" w:val="SJ-023"/>
    <w:docVar w:name="LW_ID_EXP.MOTIFS.NEW" w:val="EM_PL_"/>
    <w:docVar w:name="LW_ID_STATUT" w:val="SJ-023"/>
    <w:docVar w:name="LW_INTERETEEE.CP" w:val="&lt;UNUSED&gt;"/>
    <w:docVar w:name="LW_LANGUE" w:val="EN"/>
    <w:docVar w:name="LW_LEVEL_OF_SENSITIVITY" w:val="Standard treatment"/>
    <w:docVar w:name="LW_NOM.INST" w:val="EUROPEAN COMMISSION"/>
    <w:docVar w:name="LW_NOM.INST_JOINTDOC" w:val="&lt;EMPTY&gt;"/>
    <w:docVar w:name="LW_PART_NBR" w:val="1"/>
    <w:docVar w:name="LW_PART_NBR_TOTAL" w:val="1"/>
    <w:docVar w:name="LW_REF.II.NEW.CP" w:val="COD"/>
    <w:docVar w:name="LW_REF.II.NEW.CP_NUMBER" w:val="0351"/>
    <w:docVar w:name="LW_REF.II.NEW.CP_YEAR" w:val="2017"/>
    <w:docVar w:name="LW_REF.INST.NEW" w:val="COM"/>
    <w:docVar w:name="LW_REF.INST.NEW_ADOPTED" w:val="final"/>
    <w:docVar w:name="LW_REF.INST.NEW_TEXT" w:val="(2017) 793"/>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 xsi:nil=&quot;true&quot; /&gt;_x000d__x000a_  &lt;limited xsi:nil=&quot;true&quot; /&gt;_x000d__x000a_  &lt;detached xsi:nil=&quot;true&quot; /&gt;_x000d__x000a_  &lt;declassify xsi:nil=&quot;true&quot; /&gt;_x000d__x000a_  &lt;headerTexts xsi:nil=&quot;true&quot; /&gt;_x000d__x000a_  &lt;footerTexts xsi:nil=&quot;true&quot; /&gt;_x000d__x000a_  &lt;footnote xsi:nil=&quot;true&quot; /&gt;_x000d__x000a_  &lt;isRestricted&gt;false&lt;/isRestricted&gt;_x000d__x000a_&lt;/SensitivityLevel&gt;"/>
    <w:docVar w:name="LW_STATUT.CP" w:val="Proposal for a"/>
    <w:docVar w:name="LW_SUPERTITRE" w:val="&lt;UNUSED&gt;"/>
    <w:docVar w:name="LW_TITRE.OBJ.CP" w:val="on establishing a framework for interoperability between EU information systems (borders and visa) and amending Council Decision 2004/512/EC, Regulation (EC) No 767/2008, Council Decision 2008/633/JHA, Regulation (EU) 2016/399 and Regulation (EU) 2017/2226"/>
    <w:docVar w:name="LW_TYPE.DOC.CP" w:val="REGULATION OF THE EUROPEAN PARLIAMENT AND OF THE COUNCIL"/>
  </w:docVar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0" w:qFormat="1"/>
    <w:lsdException w:name="table of figures" w:uiPriority="0"/>
    <w:lsdException w:name="footnote reference" w:qFormat="1"/>
    <w:lsdException w:name="endnote reference" w:uiPriority="0"/>
    <w:lsdException w:name="endnote text" w:uiPriority="0"/>
    <w:lsdException w:name="List Bullet" w:uiPriority="0"/>
    <w:lsdException w:name="List Number" w:uiPriority="0"/>
    <w:lsdException w:name="List Bullet 2" w:uiPriority="0"/>
    <w:lsdException w:name="List Bullet 3" w:uiPriority="0"/>
    <w:lsdException w:name="List Bullet 4" w:uiPriority="0"/>
    <w:lsdException w:name="List Number 2" w:uiPriority="0"/>
    <w:lsdException w:name="List Number 3" w:uiPriority="0"/>
    <w:lsdException w:name="List Number 4" w:uiPriority="0"/>
    <w:lsdException w:name="Title" w:semiHidden="0" w:uiPriority="10" w:unhideWhenUsed="0" w:qFormat="1"/>
    <w:lsdException w:name="Default Paragraph Font" w:uiPriority="1"/>
    <w:lsdException w:name="Subtitle" w:semiHidden="0" w:uiPriority="11" w:unhideWhenUsed="0" w:qFormat="1"/>
    <w:lsdException w:name="FollowedHyperlink" w:uiPriority="0"/>
    <w:lsdException w:name="Strong" w:semiHidden="0" w:uiPriority="22" w:unhideWhenUsed="0" w:qFormat="1"/>
    <w:lsdException w:name="Emphasis" w:semiHidden="0" w:uiPriority="0" w:unhideWhenUsed="0" w:qFormat="1"/>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lang w:val="en-GB"/>
    </w:rPr>
  </w:style>
  <w:style w:type="paragraph" w:styleId="Heading1">
    <w:name w:val="heading 1"/>
    <w:basedOn w:val="Normal"/>
    <w:next w:val="Text1"/>
    <w:link w:val="Heading1Char"/>
    <w:uiPriority w:val="9"/>
    <w:qFormat/>
    <w:pPr>
      <w:keepNext/>
      <w:numPr>
        <w:numId w:val="121"/>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121"/>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121"/>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121"/>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Number">
    <w:name w:val="List Number"/>
    <w:basedOn w:val="Normal"/>
    <w:pPr>
      <w:numPr>
        <w:numId w:val="4"/>
      </w:numPr>
    </w:pPr>
    <w:rPr>
      <w:rFonts w:eastAsia="Times New Roman"/>
      <w:lang w:eastAsia="de-DE"/>
    </w:rPr>
  </w:style>
  <w:style w:type="paragraph" w:customStyle="1" w:styleId="ListBullet1">
    <w:name w:val="List Bullet 1"/>
    <w:basedOn w:val="Normal"/>
    <w:pPr>
      <w:numPr>
        <w:numId w:val="1"/>
      </w:numPr>
    </w:pPr>
    <w:rPr>
      <w:rFonts w:eastAsia="Times New Roman"/>
      <w:lang w:eastAsia="de-DE"/>
    </w:rPr>
  </w:style>
  <w:style w:type="paragraph" w:customStyle="1" w:styleId="ListDash1">
    <w:name w:val="List Dash 1"/>
    <w:basedOn w:val="Normal"/>
    <w:pPr>
      <w:numPr>
        <w:numId w:val="2"/>
      </w:numPr>
    </w:pPr>
    <w:rPr>
      <w:rFonts w:eastAsia="Times New Roman"/>
      <w:lang w:eastAsia="de-DE"/>
    </w:rPr>
  </w:style>
  <w:style w:type="paragraph" w:customStyle="1" w:styleId="ListDash2">
    <w:name w:val="List Dash 2"/>
    <w:basedOn w:val="Normal"/>
    <w:pPr>
      <w:numPr>
        <w:numId w:val="3"/>
      </w:numPr>
    </w:pPr>
    <w:rPr>
      <w:rFonts w:eastAsia="Times New Roman"/>
      <w:lang w:eastAsia="de-DE"/>
    </w:rPr>
  </w:style>
  <w:style w:type="paragraph" w:customStyle="1" w:styleId="ListNumberLevel2">
    <w:name w:val="List Number (Level 2)"/>
    <w:basedOn w:val="Normal"/>
    <w:pPr>
      <w:numPr>
        <w:ilvl w:val="1"/>
        <w:numId w:val="4"/>
      </w:numPr>
    </w:pPr>
    <w:rPr>
      <w:rFonts w:eastAsia="Times New Roman"/>
      <w:lang w:eastAsia="de-DE"/>
    </w:rPr>
  </w:style>
  <w:style w:type="paragraph" w:customStyle="1" w:styleId="ListNumberLevel3">
    <w:name w:val="List Number (Level 3)"/>
    <w:basedOn w:val="Normal"/>
    <w:pPr>
      <w:numPr>
        <w:ilvl w:val="2"/>
        <w:numId w:val="4"/>
      </w:numPr>
    </w:pPr>
    <w:rPr>
      <w:rFonts w:eastAsia="Times New Roman"/>
      <w:lang w:eastAsia="de-DE"/>
    </w:rPr>
  </w:style>
  <w:style w:type="paragraph" w:customStyle="1" w:styleId="ListNumberLevel4">
    <w:name w:val="List Number (Level 4)"/>
    <w:basedOn w:val="Normal"/>
    <w:pPr>
      <w:numPr>
        <w:ilvl w:val="3"/>
        <w:numId w:val="4"/>
      </w:numPr>
    </w:pPr>
    <w:rPr>
      <w:rFonts w:eastAsia="Times New Roman"/>
      <w:lang w:eastAsia="de-DE"/>
    </w:rPr>
  </w:style>
  <w:style w:type="character" w:styleId="Hyperlink">
    <w:name w:val="Hyperlink"/>
    <w:uiPriority w:val="99"/>
    <w:rPr>
      <w:color w:val="0000FF"/>
      <w:u w:val="single"/>
    </w:rPr>
  </w:style>
  <w:style w:type="paragraph" w:styleId="ListBullet">
    <w:name w:val="List Bullet"/>
    <w:basedOn w:val="Normal"/>
    <w:pPr>
      <w:numPr>
        <w:numId w:val="5"/>
      </w:numPr>
    </w:pPr>
    <w:rPr>
      <w:rFonts w:eastAsia="Times New Roman"/>
      <w:lang w:val="fr-FR" w:eastAsia="en-GB"/>
    </w:rPr>
  </w:style>
  <w:style w:type="paragraph" w:styleId="ListBullet2">
    <w:name w:val="List Bullet 2"/>
    <w:basedOn w:val="Normal"/>
    <w:unhideWhenUsed/>
    <w:pPr>
      <w:numPr>
        <w:numId w:val="6"/>
      </w:numPr>
      <w:contextualSpacing/>
    </w:pPr>
  </w:style>
  <w:style w:type="paragraph" w:styleId="ListBullet3">
    <w:name w:val="List Bullet 3"/>
    <w:basedOn w:val="Normal"/>
    <w:unhideWhenUsed/>
    <w:pPr>
      <w:numPr>
        <w:numId w:val="7"/>
      </w:numPr>
      <w:contextualSpacing/>
    </w:pPr>
  </w:style>
  <w:style w:type="paragraph" w:styleId="ListBullet4">
    <w:name w:val="List Bullet 4"/>
    <w:basedOn w:val="Normal"/>
    <w:unhideWhenUsed/>
    <w:pPr>
      <w:numPr>
        <w:numId w:val="8"/>
      </w:numPr>
      <w:contextualSpacing/>
    </w:pPr>
  </w:style>
  <w:style w:type="paragraph" w:customStyle="1" w:styleId="Sous-titreobjet">
    <w:name w:val="Sous-titre objet"/>
    <w:basedOn w:val="Normal"/>
    <w:pPr>
      <w:widowControl w:val="0"/>
      <w:adjustRightInd w:val="0"/>
      <w:spacing w:before="0" w:after="0"/>
      <w:jc w:val="center"/>
      <w:textAlignment w:val="baseline"/>
    </w:pPr>
    <w:rPr>
      <w:rFonts w:eastAsia="Times New Roman"/>
      <w:b/>
      <w:szCs w:val="20"/>
      <w:lang w:eastAsia="en-GB"/>
    </w:rPr>
  </w:style>
  <w:style w:type="paragraph" w:customStyle="1" w:styleId="Sous-titreobjetPagedecouverture">
    <w:name w:val="Sous-titre objet (Page de couverture)"/>
    <w:basedOn w:val="Sous-titreobjet"/>
  </w:style>
  <w:style w:type="character" w:styleId="Emphasis">
    <w:name w:val="Emphasis"/>
    <w:basedOn w:val="DefaultParagraphFont"/>
    <w:qFormat/>
    <w:rPr>
      <w:i/>
      <w:iCs/>
    </w:rPr>
  </w:style>
  <w:style w:type="paragraph" w:styleId="ListParagraph">
    <w:name w:val="List Paragraph"/>
    <w:basedOn w:val="Normal"/>
    <w:uiPriority w:val="34"/>
    <w:qFormat/>
    <w:pPr>
      <w:widowControl w:val="0"/>
      <w:adjustRightInd w:val="0"/>
      <w:ind w:left="720"/>
      <w:contextualSpacing/>
      <w:textAlignment w:val="baseline"/>
    </w:pPr>
    <w:rPr>
      <w:rFonts w:eastAsia="Times New Roman"/>
      <w:szCs w:val="20"/>
      <w:lang w:eastAsia="en-GB"/>
    </w:rPr>
  </w:style>
  <w:style w:type="paragraph" w:styleId="BalloonText">
    <w:name w:val="Balloon Text"/>
    <w:basedOn w:val="Normal"/>
    <w:link w:val="BalloonTextChar"/>
    <w:unhideWhenUsed/>
    <w:pPr>
      <w:widowControl w:val="0"/>
      <w:adjustRightInd w:val="0"/>
      <w:spacing w:before="0" w:after="0"/>
      <w:textAlignment w:val="baseline"/>
    </w:pPr>
    <w:rPr>
      <w:rFonts w:ascii="Tahoma" w:eastAsia="Times New Roman" w:hAnsi="Tahoma" w:cs="Tahoma"/>
      <w:sz w:val="16"/>
      <w:szCs w:val="16"/>
      <w:lang w:eastAsia="en-GB"/>
    </w:rPr>
  </w:style>
  <w:style w:type="character" w:customStyle="1" w:styleId="BalloonTextChar">
    <w:name w:val="Balloon Text Char"/>
    <w:basedOn w:val="DefaultParagraphFont"/>
    <w:link w:val="BalloonText"/>
    <w:rPr>
      <w:rFonts w:ascii="Tahoma" w:eastAsia="Times New Roman" w:hAnsi="Tahoma" w:cs="Tahoma"/>
      <w:sz w:val="16"/>
      <w:szCs w:val="16"/>
      <w:lang w:val="en-GB" w:eastAsia="en-GB"/>
    </w:rPr>
  </w:style>
  <w:style w:type="character" w:customStyle="1" w:styleId="DeltaViewInsertion">
    <w:name w:val="DeltaView Insertion"/>
    <w:uiPriority w:val="99"/>
    <w:rPr>
      <w:b/>
      <w:bCs w:val="0"/>
      <w:i/>
      <w:iCs w:val="0"/>
      <w:color w:val="000000"/>
    </w:rPr>
  </w:style>
  <w:style w:type="character" w:customStyle="1" w:styleId="DeltaViewDeletion">
    <w:name w:val="DeltaView Deletion"/>
    <w:uiPriority w:val="99"/>
    <w:rPr>
      <w:strike/>
      <w:color w:val="000000"/>
    </w:rPr>
  </w:style>
  <w:style w:type="character" w:styleId="CommentReference">
    <w:name w:val="annotation reference"/>
    <w:basedOn w:val="DefaultParagraphFont"/>
    <w:uiPriority w:val="99"/>
    <w:rPr>
      <w:sz w:val="18"/>
    </w:rPr>
  </w:style>
  <w:style w:type="paragraph" w:styleId="CommentText">
    <w:name w:val="annotation text"/>
    <w:basedOn w:val="Normal"/>
    <w:link w:val="CommentTextChar"/>
    <w:uiPriority w:val="99"/>
    <w:pPr>
      <w:widowControl w:val="0"/>
      <w:autoSpaceDE w:val="0"/>
      <w:autoSpaceDN w:val="0"/>
      <w:adjustRightInd w:val="0"/>
      <w:spacing w:before="0" w:after="0" w:line="320" w:lineRule="atLeast"/>
      <w:jc w:val="left"/>
      <w:textAlignment w:val="baseline"/>
    </w:pPr>
    <w:rPr>
      <w:rFonts w:ascii="Arial" w:eastAsia="Times New Roman" w:hAnsi="Arial" w:cs="Arial"/>
      <w:sz w:val="22"/>
      <w:szCs w:val="20"/>
      <w:lang w:eastAsia="en-GB"/>
    </w:rPr>
  </w:style>
  <w:style w:type="character" w:customStyle="1" w:styleId="CommentTextChar">
    <w:name w:val="Comment Text Char"/>
    <w:basedOn w:val="DefaultParagraphFont"/>
    <w:link w:val="CommentText"/>
    <w:uiPriority w:val="99"/>
    <w:rPr>
      <w:rFonts w:ascii="Arial" w:eastAsia="Times New Roman" w:hAnsi="Arial" w:cs="Arial"/>
      <w:szCs w:val="20"/>
      <w:lang w:val="en-GB" w:eastAsia="en-GB"/>
    </w:rPr>
  </w:style>
  <w:style w:type="paragraph" w:customStyle="1" w:styleId="Default">
    <w:name w:val="Default"/>
    <w:pPr>
      <w:widowControl w:val="0"/>
      <w:autoSpaceDE w:val="0"/>
      <w:autoSpaceDN w:val="0"/>
      <w:adjustRightInd w:val="0"/>
      <w:spacing w:after="0" w:line="240" w:lineRule="auto"/>
      <w:jc w:val="both"/>
      <w:textAlignment w:val="baseline"/>
    </w:pPr>
    <w:rPr>
      <w:rFonts w:ascii="Times New Roman" w:eastAsia="Times New Roman" w:hAnsi="Times New Roman" w:cs="Times New Roman"/>
      <w:color w:val="000000"/>
      <w:sz w:val="24"/>
      <w:szCs w:val="24"/>
      <w:lang w:val="en-GB" w:eastAsia="en-GB"/>
    </w:rPr>
  </w:style>
  <w:style w:type="paragraph" w:customStyle="1" w:styleId="Normal1">
    <w:name w:val="Normal1"/>
    <w:basedOn w:val="Normal"/>
    <w:pPr>
      <w:widowControl w:val="0"/>
      <w:adjustRightInd w:val="0"/>
      <w:spacing w:before="100" w:beforeAutospacing="1" w:after="100" w:afterAutospacing="1"/>
      <w:jc w:val="left"/>
      <w:textAlignment w:val="baseline"/>
    </w:pPr>
    <w:rPr>
      <w:rFonts w:eastAsia="Times New Roman"/>
      <w:szCs w:val="24"/>
      <w:lang w:eastAsia="en-GB"/>
    </w:rPr>
  </w:style>
  <w:style w:type="paragraph" w:customStyle="1" w:styleId="Numroamendement">
    <w:name w:val="Numéro amendement"/>
    <w:basedOn w:val="Normal"/>
    <w:next w:val="Normal"/>
    <w:pPr>
      <w:widowControl w:val="0"/>
      <w:adjustRightInd w:val="0"/>
      <w:spacing w:before="0" w:after="0"/>
      <w:jc w:val="center"/>
      <w:textAlignment w:val="baseline"/>
    </w:pPr>
    <w:rPr>
      <w:rFonts w:eastAsia="Times New Roman"/>
      <w:snapToGrid w:val="0"/>
      <w:szCs w:val="20"/>
      <w:lang w:val="fr-FR" w:eastAsia="en-GB"/>
    </w:rPr>
  </w:style>
  <w:style w:type="character" w:customStyle="1" w:styleId="st">
    <w:name w:val="st"/>
    <w:basedOn w:val="DefaultParagraphFont"/>
  </w:style>
  <w:style w:type="paragraph" w:styleId="CommentSubject">
    <w:name w:val="annotation subject"/>
    <w:basedOn w:val="CommentText"/>
    <w:next w:val="CommentText"/>
    <w:link w:val="CommentSubjectChar"/>
    <w:unhideWhenUsed/>
    <w:pPr>
      <w:autoSpaceDE/>
      <w:autoSpaceDN/>
      <w:adjustRightInd/>
      <w:spacing w:before="120" w:after="120" w:line="240" w:lineRule="auto"/>
      <w:jc w:val="both"/>
    </w:pPr>
    <w:rPr>
      <w:rFonts w:ascii="Times New Roman" w:eastAsiaTheme="minorHAnsi" w:hAnsi="Times New Roman" w:cs="Times New Roman"/>
      <w:b/>
      <w:bCs/>
      <w:sz w:val="20"/>
      <w:lang w:eastAsia="en-US"/>
    </w:rPr>
  </w:style>
  <w:style w:type="character" w:customStyle="1" w:styleId="CommentSubjectChar">
    <w:name w:val="Comment Subject Char"/>
    <w:basedOn w:val="CommentTextChar"/>
    <w:link w:val="CommentSubject"/>
    <w:rPr>
      <w:rFonts w:ascii="Times New Roman" w:eastAsia="Times New Roman" w:hAnsi="Times New Roman" w:cs="Times New Roman"/>
      <w:b/>
      <w:bCs/>
      <w:sz w:val="20"/>
      <w:szCs w:val="20"/>
      <w:lang w:val="en-GB" w:eastAsia="en-GB"/>
    </w:rPr>
  </w:style>
  <w:style w:type="paragraph" w:styleId="Revision">
    <w:name w:val="Revision"/>
    <w:hidden/>
    <w:uiPriority w:val="99"/>
    <w:semiHidden/>
    <w:pPr>
      <w:widowControl w:val="0"/>
      <w:adjustRightInd w:val="0"/>
      <w:spacing w:after="0" w:line="240" w:lineRule="auto"/>
      <w:jc w:val="both"/>
      <w:textAlignment w:val="baseline"/>
    </w:pPr>
    <w:rPr>
      <w:rFonts w:ascii="Times New Roman" w:eastAsia="Times New Roman" w:hAnsi="Times New Roman" w:cs="Times New Roman"/>
      <w:sz w:val="24"/>
      <w:szCs w:val="20"/>
      <w:lang w:val="en-GB" w:eastAsia="en-GB"/>
    </w:rPr>
  </w:style>
  <w:style w:type="character" w:customStyle="1" w:styleId="italic1">
    <w:name w:val="italic1"/>
    <w:rPr>
      <w:i/>
      <w:iCs/>
    </w:rPr>
  </w:style>
  <w:style w:type="character" w:styleId="FollowedHyperlink">
    <w:name w:val="FollowedHyperlink"/>
    <w:basedOn w:val="DefaultParagraphFont"/>
    <w:unhideWhenUsed/>
    <w:rPr>
      <w:color w:val="800080" w:themeColor="followedHyperlink"/>
      <w:u w:val="single"/>
    </w:rPr>
  </w:style>
  <w:style w:type="paragraph" w:styleId="BodyText">
    <w:name w:val="Body Text"/>
    <w:basedOn w:val="Normal"/>
    <w:link w:val="BodyTextChar"/>
    <w:uiPriority w:val="99"/>
    <w:pPr>
      <w:spacing w:before="0"/>
    </w:pPr>
    <w:rPr>
      <w:rFonts w:eastAsia="Times New Roman"/>
      <w:szCs w:val="20"/>
    </w:rPr>
  </w:style>
  <w:style w:type="character" w:customStyle="1" w:styleId="BodyTextChar">
    <w:name w:val="Body Text Char"/>
    <w:basedOn w:val="DefaultParagraphFont"/>
    <w:link w:val="BodyText"/>
    <w:uiPriority w:val="99"/>
    <w:rPr>
      <w:rFonts w:ascii="Times New Roman" w:eastAsia="Times New Roman" w:hAnsi="Times New Roman" w:cs="Times New Roman"/>
      <w:sz w:val="24"/>
      <w:szCs w:val="20"/>
      <w:lang w:val="en-GB"/>
    </w:rPr>
  </w:style>
  <w:style w:type="paragraph" w:styleId="Caption">
    <w:name w:val="caption"/>
    <w:basedOn w:val="Normal"/>
    <w:next w:val="Normal"/>
    <w:unhideWhenUsed/>
    <w:qFormat/>
    <w:pPr>
      <w:spacing w:before="0" w:after="200"/>
    </w:pPr>
    <w:rPr>
      <w:b/>
      <w:bCs/>
      <w:color w:val="4F81BD" w:themeColor="accent1"/>
      <w:sz w:val="18"/>
      <w:szCs w:val="18"/>
    </w:rPr>
  </w:style>
  <w:style w:type="paragraph" w:styleId="TableofFigures">
    <w:name w:val="table of figures"/>
    <w:basedOn w:val="Normal"/>
    <w:next w:val="Normal"/>
    <w:unhideWhenUsed/>
    <w:pPr>
      <w:spacing w:after="0"/>
    </w:pPr>
  </w:style>
  <w:style w:type="paragraph" w:styleId="ListNumber2">
    <w:name w:val="List Number 2"/>
    <w:basedOn w:val="Normal"/>
    <w:unhideWhenUsed/>
    <w:pPr>
      <w:numPr>
        <w:numId w:val="103"/>
      </w:numPr>
      <w:contextualSpacing/>
    </w:pPr>
  </w:style>
  <w:style w:type="paragraph" w:styleId="ListNumber3">
    <w:name w:val="List Number 3"/>
    <w:basedOn w:val="Normal"/>
    <w:unhideWhenUsed/>
    <w:pPr>
      <w:numPr>
        <w:numId w:val="104"/>
      </w:numPr>
      <w:contextualSpacing/>
    </w:pPr>
  </w:style>
  <w:style w:type="paragraph" w:styleId="ListNumber4">
    <w:name w:val="List Number 4"/>
    <w:basedOn w:val="Normal"/>
    <w:unhideWhenUsed/>
    <w:pPr>
      <w:numPr>
        <w:numId w:val="105"/>
      </w:numPr>
      <w:contextualSpacing/>
    </w:pPr>
  </w:style>
  <w:style w:type="paragraph" w:customStyle="1" w:styleId="ListDash">
    <w:name w:val="List Dash"/>
    <w:basedOn w:val="Normal"/>
    <w:pPr>
      <w:numPr>
        <w:numId w:val="112"/>
      </w:numPr>
    </w:pPr>
    <w:rPr>
      <w:rFonts w:eastAsia="Times New Roman"/>
      <w:lang w:eastAsia="en-GB"/>
    </w:rPr>
  </w:style>
  <w:style w:type="table" w:styleId="TableGrid">
    <w:name w:val="Table Grid"/>
    <w:basedOn w:val="TableNormal"/>
    <w:pPr>
      <w:spacing w:after="0" w:line="240" w:lineRule="auto"/>
    </w:pPr>
    <w:rPr>
      <w:rFonts w:ascii="Times New Roman" w:eastAsia="Times New Roman" w:hAnsi="Times New Roman" w:cs="Times New Roman"/>
      <w:sz w:val="20"/>
      <w:szCs w:val="20"/>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dnoteText">
    <w:name w:val="endnote text"/>
    <w:basedOn w:val="Normal"/>
    <w:link w:val="EndnoteTextChar"/>
    <w:pPr>
      <w:spacing w:before="0" w:after="0"/>
    </w:pPr>
    <w:rPr>
      <w:rFonts w:eastAsia="Times New Roman"/>
      <w:sz w:val="20"/>
      <w:szCs w:val="20"/>
      <w:lang w:eastAsia="en-GB"/>
    </w:rPr>
  </w:style>
  <w:style w:type="character" w:customStyle="1" w:styleId="EndnoteTextChar">
    <w:name w:val="Endnote Text Char"/>
    <w:basedOn w:val="DefaultParagraphFont"/>
    <w:link w:val="EndnoteText"/>
    <w:rPr>
      <w:rFonts w:ascii="Times New Roman" w:eastAsia="Times New Roman" w:hAnsi="Times New Roman" w:cs="Times New Roman"/>
      <w:sz w:val="20"/>
      <w:szCs w:val="20"/>
      <w:lang w:val="en-GB" w:eastAsia="en-GB"/>
    </w:rPr>
  </w:style>
  <w:style w:type="character" w:styleId="EndnoteReference">
    <w:name w:val="endnote reference"/>
    <w:basedOn w:val="DefaultParagraphFont"/>
    <w:rPr>
      <w:vertAlign w:val="superscript"/>
    </w:rPr>
  </w:style>
  <w:style w:type="paragraph" w:styleId="Header">
    <w:name w:val="header"/>
    <w:basedOn w:val="Normal"/>
    <w:link w:val="HeaderChar"/>
    <w:uiPriority w:val="99"/>
    <w:unhideWhenUsed/>
    <w:pPr>
      <w:tabs>
        <w:tab w:val="center" w:pos="4535"/>
        <w:tab w:val="right" w:pos="9071"/>
      </w:tabs>
      <w:spacing w:before="0"/>
    </w:pPr>
  </w:style>
  <w:style w:type="character" w:customStyle="1" w:styleId="HeaderChar">
    <w:name w:val="Header Char"/>
    <w:basedOn w:val="DefaultParagraphFont"/>
    <w:link w:val="Header"/>
    <w:uiPriority w:val="99"/>
    <w:rPr>
      <w:rFonts w:ascii="Times New Roman" w:hAnsi="Times New Roman" w:cs="Times New Roman"/>
      <w:sz w:val="24"/>
      <w:lang w:val="en-GB"/>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lang w:val="en-GB"/>
    </w:rPr>
  </w:style>
  <w:style w:type="paragraph" w:styleId="FootnoteText">
    <w:name w:val="footnote text"/>
    <w:basedOn w:val="Normal"/>
    <w:link w:val="FootnoteTextChar"/>
    <w:uiPriority w:val="99"/>
    <w:unhideWhenUsed/>
    <w:qFormat/>
    <w:pPr>
      <w:spacing w:before="0" w:after="0"/>
      <w:ind w:left="720" w:hanging="720"/>
    </w:pPr>
    <w:rPr>
      <w:sz w:val="20"/>
      <w:szCs w:val="20"/>
    </w:rPr>
  </w:style>
  <w:style w:type="character" w:customStyle="1" w:styleId="FootnoteTextChar">
    <w:name w:val="Footnote Text Char"/>
    <w:basedOn w:val="DefaultParagraphFont"/>
    <w:link w:val="FootnoteText"/>
    <w:uiPriority w:val="99"/>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unhideWhenUsed/>
    <w:rPr>
      <w:shd w:val="clear" w:color="auto" w:fill="auto"/>
      <w:vertAlign w:val="superscript"/>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115"/>
      </w:numPr>
    </w:pPr>
  </w:style>
  <w:style w:type="paragraph" w:customStyle="1" w:styleId="Tiret1">
    <w:name w:val="Tiret 1"/>
    <w:basedOn w:val="Point1"/>
    <w:pPr>
      <w:numPr>
        <w:numId w:val="116"/>
      </w:numPr>
    </w:pPr>
  </w:style>
  <w:style w:type="paragraph" w:customStyle="1" w:styleId="Tiret2">
    <w:name w:val="Tiret 2"/>
    <w:basedOn w:val="Point2"/>
    <w:pPr>
      <w:numPr>
        <w:numId w:val="117"/>
      </w:numPr>
    </w:pPr>
  </w:style>
  <w:style w:type="paragraph" w:customStyle="1" w:styleId="Tiret3">
    <w:name w:val="Tiret 3"/>
    <w:basedOn w:val="Point3"/>
    <w:pPr>
      <w:numPr>
        <w:numId w:val="118"/>
      </w:numPr>
    </w:pPr>
  </w:style>
  <w:style w:type="paragraph" w:customStyle="1" w:styleId="Tiret4">
    <w:name w:val="Tiret 4"/>
    <w:basedOn w:val="Point4"/>
    <w:pPr>
      <w:numPr>
        <w:numId w:val="119"/>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120"/>
      </w:numPr>
    </w:pPr>
  </w:style>
  <w:style w:type="paragraph" w:customStyle="1" w:styleId="NumPar2">
    <w:name w:val="NumPar 2"/>
    <w:basedOn w:val="Normal"/>
    <w:next w:val="Text1"/>
    <w:pPr>
      <w:numPr>
        <w:ilvl w:val="1"/>
        <w:numId w:val="120"/>
      </w:numPr>
    </w:pPr>
  </w:style>
  <w:style w:type="paragraph" w:customStyle="1" w:styleId="NumPar3">
    <w:name w:val="NumPar 3"/>
    <w:basedOn w:val="Normal"/>
    <w:next w:val="Text1"/>
    <w:pPr>
      <w:numPr>
        <w:ilvl w:val="2"/>
        <w:numId w:val="120"/>
      </w:numPr>
    </w:pPr>
  </w:style>
  <w:style w:type="paragraph" w:customStyle="1" w:styleId="NumPar4">
    <w:name w:val="NumPar 4"/>
    <w:basedOn w:val="Normal"/>
    <w:next w:val="Text1"/>
    <w:pPr>
      <w:numPr>
        <w:ilvl w:val="3"/>
        <w:numId w:val="120"/>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122"/>
      </w:numPr>
    </w:pPr>
  </w:style>
  <w:style w:type="paragraph" w:customStyle="1" w:styleId="Point1number">
    <w:name w:val="Point 1 (number)"/>
    <w:basedOn w:val="Normal"/>
    <w:pPr>
      <w:numPr>
        <w:ilvl w:val="2"/>
        <w:numId w:val="122"/>
      </w:numPr>
    </w:pPr>
  </w:style>
  <w:style w:type="paragraph" w:customStyle="1" w:styleId="Point2number">
    <w:name w:val="Point 2 (number)"/>
    <w:basedOn w:val="Normal"/>
    <w:pPr>
      <w:numPr>
        <w:ilvl w:val="4"/>
        <w:numId w:val="122"/>
      </w:numPr>
    </w:pPr>
  </w:style>
  <w:style w:type="paragraph" w:customStyle="1" w:styleId="Point3number">
    <w:name w:val="Point 3 (number)"/>
    <w:basedOn w:val="Normal"/>
    <w:pPr>
      <w:numPr>
        <w:ilvl w:val="6"/>
        <w:numId w:val="122"/>
      </w:numPr>
    </w:pPr>
  </w:style>
  <w:style w:type="paragraph" w:customStyle="1" w:styleId="Point0letter">
    <w:name w:val="Point 0 (letter)"/>
    <w:basedOn w:val="Normal"/>
    <w:pPr>
      <w:numPr>
        <w:ilvl w:val="1"/>
        <w:numId w:val="122"/>
      </w:numPr>
    </w:pPr>
  </w:style>
  <w:style w:type="paragraph" w:customStyle="1" w:styleId="Point1letter">
    <w:name w:val="Point 1 (letter)"/>
    <w:basedOn w:val="Normal"/>
    <w:pPr>
      <w:numPr>
        <w:ilvl w:val="3"/>
        <w:numId w:val="122"/>
      </w:numPr>
    </w:pPr>
  </w:style>
  <w:style w:type="paragraph" w:customStyle="1" w:styleId="Point2letter">
    <w:name w:val="Point 2 (letter)"/>
    <w:basedOn w:val="Normal"/>
    <w:pPr>
      <w:numPr>
        <w:ilvl w:val="5"/>
        <w:numId w:val="122"/>
      </w:numPr>
    </w:pPr>
  </w:style>
  <w:style w:type="paragraph" w:customStyle="1" w:styleId="Point3letter">
    <w:name w:val="Point 3 (letter)"/>
    <w:basedOn w:val="Normal"/>
    <w:pPr>
      <w:numPr>
        <w:ilvl w:val="7"/>
        <w:numId w:val="122"/>
      </w:numPr>
    </w:pPr>
  </w:style>
  <w:style w:type="paragraph" w:customStyle="1" w:styleId="Point4letter">
    <w:name w:val="Point 4 (letter)"/>
    <w:basedOn w:val="Normal"/>
    <w:pPr>
      <w:numPr>
        <w:ilvl w:val="8"/>
        <w:numId w:val="122"/>
      </w:numPr>
    </w:pPr>
  </w:style>
  <w:style w:type="paragraph" w:customStyle="1" w:styleId="Bullet0">
    <w:name w:val="Bullet 0"/>
    <w:basedOn w:val="Normal"/>
    <w:pPr>
      <w:numPr>
        <w:numId w:val="123"/>
      </w:numPr>
    </w:pPr>
  </w:style>
  <w:style w:type="paragraph" w:customStyle="1" w:styleId="Bullet1">
    <w:name w:val="Bullet 1"/>
    <w:basedOn w:val="Normal"/>
    <w:pPr>
      <w:numPr>
        <w:numId w:val="124"/>
      </w:numPr>
    </w:pPr>
  </w:style>
  <w:style w:type="paragraph" w:customStyle="1" w:styleId="Bullet2">
    <w:name w:val="Bullet 2"/>
    <w:basedOn w:val="Normal"/>
    <w:pPr>
      <w:numPr>
        <w:numId w:val="125"/>
      </w:numPr>
    </w:pPr>
  </w:style>
  <w:style w:type="paragraph" w:customStyle="1" w:styleId="Bullet3">
    <w:name w:val="Bullet 3"/>
    <w:basedOn w:val="Normal"/>
    <w:pPr>
      <w:numPr>
        <w:numId w:val="126"/>
      </w:numPr>
    </w:pPr>
  </w:style>
  <w:style w:type="paragraph" w:customStyle="1" w:styleId="Bullet4">
    <w:name w:val="Bullet 4"/>
    <w:basedOn w:val="Normal"/>
    <w:pPr>
      <w:numPr>
        <w:numId w:val="127"/>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128"/>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0" w:qFormat="1"/>
    <w:lsdException w:name="table of figures" w:uiPriority="0"/>
    <w:lsdException w:name="footnote reference" w:qFormat="1"/>
    <w:lsdException w:name="endnote reference" w:uiPriority="0"/>
    <w:lsdException w:name="endnote text" w:uiPriority="0"/>
    <w:lsdException w:name="List Bullet" w:uiPriority="0"/>
    <w:lsdException w:name="List Number" w:uiPriority="0"/>
    <w:lsdException w:name="List Bullet 2" w:uiPriority="0"/>
    <w:lsdException w:name="List Bullet 3" w:uiPriority="0"/>
    <w:lsdException w:name="List Bullet 4" w:uiPriority="0"/>
    <w:lsdException w:name="List Number 2" w:uiPriority="0"/>
    <w:lsdException w:name="List Number 3" w:uiPriority="0"/>
    <w:lsdException w:name="List Number 4" w:uiPriority="0"/>
    <w:lsdException w:name="Title" w:semiHidden="0" w:uiPriority="10" w:unhideWhenUsed="0" w:qFormat="1"/>
    <w:lsdException w:name="Default Paragraph Font" w:uiPriority="1"/>
    <w:lsdException w:name="Subtitle" w:semiHidden="0" w:uiPriority="11" w:unhideWhenUsed="0" w:qFormat="1"/>
    <w:lsdException w:name="FollowedHyperlink" w:uiPriority="0"/>
    <w:lsdException w:name="Strong" w:semiHidden="0" w:uiPriority="22" w:unhideWhenUsed="0" w:qFormat="1"/>
    <w:lsdException w:name="Emphasis" w:semiHidden="0" w:uiPriority="0" w:unhideWhenUsed="0" w:qFormat="1"/>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lang w:val="en-GB"/>
    </w:rPr>
  </w:style>
  <w:style w:type="paragraph" w:styleId="Heading1">
    <w:name w:val="heading 1"/>
    <w:basedOn w:val="Normal"/>
    <w:next w:val="Text1"/>
    <w:link w:val="Heading1Char"/>
    <w:uiPriority w:val="9"/>
    <w:qFormat/>
    <w:pPr>
      <w:keepNext/>
      <w:numPr>
        <w:numId w:val="121"/>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121"/>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121"/>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121"/>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Number">
    <w:name w:val="List Number"/>
    <w:basedOn w:val="Normal"/>
    <w:pPr>
      <w:numPr>
        <w:numId w:val="4"/>
      </w:numPr>
    </w:pPr>
    <w:rPr>
      <w:rFonts w:eastAsia="Times New Roman"/>
      <w:lang w:eastAsia="de-DE"/>
    </w:rPr>
  </w:style>
  <w:style w:type="paragraph" w:customStyle="1" w:styleId="ListBullet1">
    <w:name w:val="List Bullet 1"/>
    <w:basedOn w:val="Normal"/>
    <w:pPr>
      <w:numPr>
        <w:numId w:val="1"/>
      </w:numPr>
    </w:pPr>
    <w:rPr>
      <w:rFonts w:eastAsia="Times New Roman"/>
      <w:lang w:eastAsia="de-DE"/>
    </w:rPr>
  </w:style>
  <w:style w:type="paragraph" w:customStyle="1" w:styleId="ListDash1">
    <w:name w:val="List Dash 1"/>
    <w:basedOn w:val="Normal"/>
    <w:pPr>
      <w:numPr>
        <w:numId w:val="2"/>
      </w:numPr>
    </w:pPr>
    <w:rPr>
      <w:rFonts w:eastAsia="Times New Roman"/>
      <w:lang w:eastAsia="de-DE"/>
    </w:rPr>
  </w:style>
  <w:style w:type="paragraph" w:customStyle="1" w:styleId="ListDash2">
    <w:name w:val="List Dash 2"/>
    <w:basedOn w:val="Normal"/>
    <w:pPr>
      <w:numPr>
        <w:numId w:val="3"/>
      </w:numPr>
    </w:pPr>
    <w:rPr>
      <w:rFonts w:eastAsia="Times New Roman"/>
      <w:lang w:eastAsia="de-DE"/>
    </w:rPr>
  </w:style>
  <w:style w:type="paragraph" w:customStyle="1" w:styleId="ListNumberLevel2">
    <w:name w:val="List Number (Level 2)"/>
    <w:basedOn w:val="Normal"/>
    <w:pPr>
      <w:numPr>
        <w:ilvl w:val="1"/>
        <w:numId w:val="4"/>
      </w:numPr>
    </w:pPr>
    <w:rPr>
      <w:rFonts w:eastAsia="Times New Roman"/>
      <w:lang w:eastAsia="de-DE"/>
    </w:rPr>
  </w:style>
  <w:style w:type="paragraph" w:customStyle="1" w:styleId="ListNumberLevel3">
    <w:name w:val="List Number (Level 3)"/>
    <w:basedOn w:val="Normal"/>
    <w:pPr>
      <w:numPr>
        <w:ilvl w:val="2"/>
        <w:numId w:val="4"/>
      </w:numPr>
    </w:pPr>
    <w:rPr>
      <w:rFonts w:eastAsia="Times New Roman"/>
      <w:lang w:eastAsia="de-DE"/>
    </w:rPr>
  </w:style>
  <w:style w:type="paragraph" w:customStyle="1" w:styleId="ListNumberLevel4">
    <w:name w:val="List Number (Level 4)"/>
    <w:basedOn w:val="Normal"/>
    <w:pPr>
      <w:numPr>
        <w:ilvl w:val="3"/>
        <w:numId w:val="4"/>
      </w:numPr>
    </w:pPr>
    <w:rPr>
      <w:rFonts w:eastAsia="Times New Roman"/>
      <w:lang w:eastAsia="de-DE"/>
    </w:rPr>
  </w:style>
  <w:style w:type="character" w:styleId="Hyperlink">
    <w:name w:val="Hyperlink"/>
    <w:uiPriority w:val="99"/>
    <w:rPr>
      <w:color w:val="0000FF"/>
      <w:u w:val="single"/>
    </w:rPr>
  </w:style>
  <w:style w:type="paragraph" w:styleId="ListBullet">
    <w:name w:val="List Bullet"/>
    <w:basedOn w:val="Normal"/>
    <w:pPr>
      <w:numPr>
        <w:numId w:val="5"/>
      </w:numPr>
    </w:pPr>
    <w:rPr>
      <w:rFonts w:eastAsia="Times New Roman"/>
      <w:lang w:val="fr-FR" w:eastAsia="en-GB"/>
    </w:rPr>
  </w:style>
  <w:style w:type="paragraph" w:styleId="ListBullet2">
    <w:name w:val="List Bullet 2"/>
    <w:basedOn w:val="Normal"/>
    <w:unhideWhenUsed/>
    <w:pPr>
      <w:numPr>
        <w:numId w:val="6"/>
      </w:numPr>
      <w:contextualSpacing/>
    </w:pPr>
  </w:style>
  <w:style w:type="paragraph" w:styleId="ListBullet3">
    <w:name w:val="List Bullet 3"/>
    <w:basedOn w:val="Normal"/>
    <w:unhideWhenUsed/>
    <w:pPr>
      <w:numPr>
        <w:numId w:val="7"/>
      </w:numPr>
      <w:contextualSpacing/>
    </w:pPr>
  </w:style>
  <w:style w:type="paragraph" w:styleId="ListBullet4">
    <w:name w:val="List Bullet 4"/>
    <w:basedOn w:val="Normal"/>
    <w:unhideWhenUsed/>
    <w:pPr>
      <w:numPr>
        <w:numId w:val="8"/>
      </w:numPr>
      <w:contextualSpacing/>
    </w:pPr>
  </w:style>
  <w:style w:type="paragraph" w:customStyle="1" w:styleId="Sous-titreobjet">
    <w:name w:val="Sous-titre objet"/>
    <w:basedOn w:val="Normal"/>
    <w:pPr>
      <w:widowControl w:val="0"/>
      <w:adjustRightInd w:val="0"/>
      <w:spacing w:before="0" w:after="0"/>
      <w:jc w:val="center"/>
      <w:textAlignment w:val="baseline"/>
    </w:pPr>
    <w:rPr>
      <w:rFonts w:eastAsia="Times New Roman"/>
      <w:b/>
      <w:szCs w:val="20"/>
      <w:lang w:eastAsia="en-GB"/>
    </w:rPr>
  </w:style>
  <w:style w:type="paragraph" w:customStyle="1" w:styleId="Sous-titreobjetPagedecouverture">
    <w:name w:val="Sous-titre objet (Page de couverture)"/>
    <w:basedOn w:val="Sous-titreobjet"/>
  </w:style>
  <w:style w:type="character" w:styleId="Emphasis">
    <w:name w:val="Emphasis"/>
    <w:basedOn w:val="DefaultParagraphFont"/>
    <w:qFormat/>
    <w:rPr>
      <w:i/>
      <w:iCs/>
    </w:rPr>
  </w:style>
  <w:style w:type="paragraph" w:styleId="ListParagraph">
    <w:name w:val="List Paragraph"/>
    <w:basedOn w:val="Normal"/>
    <w:uiPriority w:val="34"/>
    <w:qFormat/>
    <w:pPr>
      <w:widowControl w:val="0"/>
      <w:adjustRightInd w:val="0"/>
      <w:ind w:left="720"/>
      <w:contextualSpacing/>
      <w:textAlignment w:val="baseline"/>
    </w:pPr>
    <w:rPr>
      <w:rFonts w:eastAsia="Times New Roman"/>
      <w:szCs w:val="20"/>
      <w:lang w:eastAsia="en-GB"/>
    </w:rPr>
  </w:style>
  <w:style w:type="paragraph" w:styleId="BalloonText">
    <w:name w:val="Balloon Text"/>
    <w:basedOn w:val="Normal"/>
    <w:link w:val="BalloonTextChar"/>
    <w:unhideWhenUsed/>
    <w:pPr>
      <w:widowControl w:val="0"/>
      <w:adjustRightInd w:val="0"/>
      <w:spacing w:before="0" w:after="0"/>
      <w:textAlignment w:val="baseline"/>
    </w:pPr>
    <w:rPr>
      <w:rFonts w:ascii="Tahoma" w:eastAsia="Times New Roman" w:hAnsi="Tahoma" w:cs="Tahoma"/>
      <w:sz w:val="16"/>
      <w:szCs w:val="16"/>
      <w:lang w:eastAsia="en-GB"/>
    </w:rPr>
  </w:style>
  <w:style w:type="character" w:customStyle="1" w:styleId="BalloonTextChar">
    <w:name w:val="Balloon Text Char"/>
    <w:basedOn w:val="DefaultParagraphFont"/>
    <w:link w:val="BalloonText"/>
    <w:rPr>
      <w:rFonts w:ascii="Tahoma" w:eastAsia="Times New Roman" w:hAnsi="Tahoma" w:cs="Tahoma"/>
      <w:sz w:val="16"/>
      <w:szCs w:val="16"/>
      <w:lang w:val="en-GB" w:eastAsia="en-GB"/>
    </w:rPr>
  </w:style>
  <w:style w:type="character" w:customStyle="1" w:styleId="DeltaViewInsertion">
    <w:name w:val="DeltaView Insertion"/>
    <w:uiPriority w:val="99"/>
    <w:rPr>
      <w:b/>
      <w:bCs w:val="0"/>
      <w:i/>
      <w:iCs w:val="0"/>
      <w:color w:val="000000"/>
    </w:rPr>
  </w:style>
  <w:style w:type="character" w:customStyle="1" w:styleId="DeltaViewDeletion">
    <w:name w:val="DeltaView Deletion"/>
    <w:uiPriority w:val="99"/>
    <w:rPr>
      <w:strike/>
      <w:color w:val="000000"/>
    </w:rPr>
  </w:style>
  <w:style w:type="character" w:styleId="CommentReference">
    <w:name w:val="annotation reference"/>
    <w:basedOn w:val="DefaultParagraphFont"/>
    <w:uiPriority w:val="99"/>
    <w:rPr>
      <w:sz w:val="18"/>
    </w:rPr>
  </w:style>
  <w:style w:type="paragraph" w:styleId="CommentText">
    <w:name w:val="annotation text"/>
    <w:basedOn w:val="Normal"/>
    <w:link w:val="CommentTextChar"/>
    <w:uiPriority w:val="99"/>
    <w:pPr>
      <w:widowControl w:val="0"/>
      <w:autoSpaceDE w:val="0"/>
      <w:autoSpaceDN w:val="0"/>
      <w:adjustRightInd w:val="0"/>
      <w:spacing w:before="0" w:after="0" w:line="320" w:lineRule="atLeast"/>
      <w:jc w:val="left"/>
      <w:textAlignment w:val="baseline"/>
    </w:pPr>
    <w:rPr>
      <w:rFonts w:ascii="Arial" w:eastAsia="Times New Roman" w:hAnsi="Arial" w:cs="Arial"/>
      <w:sz w:val="22"/>
      <w:szCs w:val="20"/>
      <w:lang w:eastAsia="en-GB"/>
    </w:rPr>
  </w:style>
  <w:style w:type="character" w:customStyle="1" w:styleId="CommentTextChar">
    <w:name w:val="Comment Text Char"/>
    <w:basedOn w:val="DefaultParagraphFont"/>
    <w:link w:val="CommentText"/>
    <w:uiPriority w:val="99"/>
    <w:rPr>
      <w:rFonts w:ascii="Arial" w:eastAsia="Times New Roman" w:hAnsi="Arial" w:cs="Arial"/>
      <w:szCs w:val="20"/>
      <w:lang w:val="en-GB" w:eastAsia="en-GB"/>
    </w:rPr>
  </w:style>
  <w:style w:type="paragraph" w:customStyle="1" w:styleId="Default">
    <w:name w:val="Default"/>
    <w:pPr>
      <w:widowControl w:val="0"/>
      <w:autoSpaceDE w:val="0"/>
      <w:autoSpaceDN w:val="0"/>
      <w:adjustRightInd w:val="0"/>
      <w:spacing w:after="0" w:line="240" w:lineRule="auto"/>
      <w:jc w:val="both"/>
      <w:textAlignment w:val="baseline"/>
    </w:pPr>
    <w:rPr>
      <w:rFonts w:ascii="Times New Roman" w:eastAsia="Times New Roman" w:hAnsi="Times New Roman" w:cs="Times New Roman"/>
      <w:color w:val="000000"/>
      <w:sz w:val="24"/>
      <w:szCs w:val="24"/>
      <w:lang w:val="en-GB" w:eastAsia="en-GB"/>
    </w:rPr>
  </w:style>
  <w:style w:type="paragraph" w:customStyle="1" w:styleId="Normal1">
    <w:name w:val="Normal1"/>
    <w:basedOn w:val="Normal"/>
    <w:pPr>
      <w:widowControl w:val="0"/>
      <w:adjustRightInd w:val="0"/>
      <w:spacing w:before="100" w:beforeAutospacing="1" w:after="100" w:afterAutospacing="1"/>
      <w:jc w:val="left"/>
      <w:textAlignment w:val="baseline"/>
    </w:pPr>
    <w:rPr>
      <w:rFonts w:eastAsia="Times New Roman"/>
      <w:szCs w:val="24"/>
      <w:lang w:eastAsia="en-GB"/>
    </w:rPr>
  </w:style>
  <w:style w:type="paragraph" w:customStyle="1" w:styleId="Numroamendement">
    <w:name w:val="Numéro amendement"/>
    <w:basedOn w:val="Normal"/>
    <w:next w:val="Normal"/>
    <w:pPr>
      <w:widowControl w:val="0"/>
      <w:adjustRightInd w:val="0"/>
      <w:spacing w:before="0" w:after="0"/>
      <w:jc w:val="center"/>
      <w:textAlignment w:val="baseline"/>
    </w:pPr>
    <w:rPr>
      <w:rFonts w:eastAsia="Times New Roman"/>
      <w:snapToGrid w:val="0"/>
      <w:szCs w:val="20"/>
      <w:lang w:val="fr-FR" w:eastAsia="en-GB"/>
    </w:rPr>
  </w:style>
  <w:style w:type="character" w:customStyle="1" w:styleId="st">
    <w:name w:val="st"/>
    <w:basedOn w:val="DefaultParagraphFont"/>
  </w:style>
  <w:style w:type="paragraph" w:styleId="CommentSubject">
    <w:name w:val="annotation subject"/>
    <w:basedOn w:val="CommentText"/>
    <w:next w:val="CommentText"/>
    <w:link w:val="CommentSubjectChar"/>
    <w:unhideWhenUsed/>
    <w:pPr>
      <w:autoSpaceDE/>
      <w:autoSpaceDN/>
      <w:adjustRightInd/>
      <w:spacing w:before="120" w:after="120" w:line="240" w:lineRule="auto"/>
      <w:jc w:val="both"/>
    </w:pPr>
    <w:rPr>
      <w:rFonts w:ascii="Times New Roman" w:eastAsiaTheme="minorHAnsi" w:hAnsi="Times New Roman" w:cs="Times New Roman"/>
      <w:b/>
      <w:bCs/>
      <w:sz w:val="20"/>
      <w:lang w:eastAsia="en-US"/>
    </w:rPr>
  </w:style>
  <w:style w:type="character" w:customStyle="1" w:styleId="CommentSubjectChar">
    <w:name w:val="Comment Subject Char"/>
    <w:basedOn w:val="CommentTextChar"/>
    <w:link w:val="CommentSubject"/>
    <w:rPr>
      <w:rFonts w:ascii="Times New Roman" w:eastAsia="Times New Roman" w:hAnsi="Times New Roman" w:cs="Times New Roman"/>
      <w:b/>
      <w:bCs/>
      <w:sz w:val="20"/>
      <w:szCs w:val="20"/>
      <w:lang w:val="en-GB" w:eastAsia="en-GB"/>
    </w:rPr>
  </w:style>
  <w:style w:type="paragraph" w:styleId="Revision">
    <w:name w:val="Revision"/>
    <w:hidden/>
    <w:uiPriority w:val="99"/>
    <w:semiHidden/>
    <w:pPr>
      <w:widowControl w:val="0"/>
      <w:adjustRightInd w:val="0"/>
      <w:spacing w:after="0" w:line="240" w:lineRule="auto"/>
      <w:jc w:val="both"/>
      <w:textAlignment w:val="baseline"/>
    </w:pPr>
    <w:rPr>
      <w:rFonts w:ascii="Times New Roman" w:eastAsia="Times New Roman" w:hAnsi="Times New Roman" w:cs="Times New Roman"/>
      <w:sz w:val="24"/>
      <w:szCs w:val="20"/>
      <w:lang w:val="en-GB" w:eastAsia="en-GB"/>
    </w:rPr>
  </w:style>
  <w:style w:type="character" w:customStyle="1" w:styleId="italic1">
    <w:name w:val="italic1"/>
    <w:rPr>
      <w:i/>
      <w:iCs/>
    </w:rPr>
  </w:style>
  <w:style w:type="character" w:styleId="FollowedHyperlink">
    <w:name w:val="FollowedHyperlink"/>
    <w:basedOn w:val="DefaultParagraphFont"/>
    <w:unhideWhenUsed/>
    <w:rPr>
      <w:color w:val="800080" w:themeColor="followedHyperlink"/>
      <w:u w:val="single"/>
    </w:rPr>
  </w:style>
  <w:style w:type="paragraph" w:styleId="BodyText">
    <w:name w:val="Body Text"/>
    <w:basedOn w:val="Normal"/>
    <w:link w:val="BodyTextChar"/>
    <w:uiPriority w:val="99"/>
    <w:pPr>
      <w:spacing w:before="0"/>
    </w:pPr>
    <w:rPr>
      <w:rFonts w:eastAsia="Times New Roman"/>
      <w:szCs w:val="20"/>
    </w:rPr>
  </w:style>
  <w:style w:type="character" w:customStyle="1" w:styleId="BodyTextChar">
    <w:name w:val="Body Text Char"/>
    <w:basedOn w:val="DefaultParagraphFont"/>
    <w:link w:val="BodyText"/>
    <w:uiPriority w:val="99"/>
    <w:rPr>
      <w:rFonts w:ascii="Times New Roman" w:eastAsia="Times New Roman" w:hAnsi="Times New Roman" w:cs="Times New Roman"/>
      <w:sz w:val="24"/>
      <w:szCs w:val="20"/>
      <w:lang w:val="en-GB"/>
    </w:rPr>
  </w:style>
  <w:style w:type="paragraph" w:styleId="Caption">
    <w:name w:val="caption"/>
    <w:basedOn w:val="Normal"/>
    <w:next w:val="Normal"/>
    <w:unhideWhenUsed/>
    <w:qFormat/>
    <w:pPr>
      <w:spacing w:before="0" w:after="200"/>
    </w:pPr>
    <w:rPr>
      <w:b/>
      <w:bCs/>
      <w:color w:val="4F81BD" w:themeColor="accent1"/>
      <w:sz w:val="18"/>
      <w:szCs w:val="18"/>
    </w:rPr>
  </w:style>
  <w:style w:type="paragraph" w:styleId="TableofFigures">
    <w:name w:val="table of figures"/>
    <w:basedOn w:val="Normal"/>
    <w:next w:val="Normal"/>
    <w:unhideWhenUsed/>
    <w:pPr>
      <w:spacing w:after="0"/>
    </w:pPr>
  </w:style>
  <w:style w:type="paragraph" w:styleId="ListNumber2">
    <w:name w:val="List Number 2"/>
    <w:basedOn w:val="Normal"/>
    <w:unhideWhenUsed/>
    <w:pPr>
      <w:numPr>
        <w:numId w:val="103"/>
      </w:numPr>
      <w:contextualSpacing/>
    </w:pPr>
  </w:style>
  <w:style w:type="paragraph" w:styleId="ListNumber3">
    <w:name w:val="List Number 3"/>
    <w:basedOn w:val="Normal"/>
    <w:unhideWhenUsed/>
    <w:pPr>
      <w:numPr>
        <w:numId w:val="104"/>
      </w:numPr>
      <w:contextualSpacing/>
    </w:pPr>
  </w:style>
  <w:style w:type="paragraph" w:styleId="ListNumber4">
    <w:name w:val="List Number 4"/>
    <w:basedOn w:val="Normal"/>
    <w:unhideWhenUsed/>
    <w:pPr>
      <w:numPr>
        <w:numId w:val="105"/>
      </w:numPr>
      <w:contextualSpacing/>
    </w:pPr>
  </w:style>
  <w:style w:type="paragraph" w:customStyle="1" w:styleId="ListDash">
    <w:name w:val="List Dash"/>
    <w:basedOn w:val="Normal"/>
    <w:pPr>
      <w:numPr>
        <w:numId w:val="112"/>
      </w:numPr>
    </w:pPr>
    <w:rPr>
      <w:rFonts w:eastAsia="Times New Roman"/>
      <w:lang w:eastAsia="en-GB"/>
    </w:rPr>
  </w:style>
  <w:style w:type="table" w:styleId="TableGrid">
    <w:name w:val="Table Grid"/>
    <w:basedOn w:val="TableNormal"/>
    <w:pPr>
      <w:spacing w:after="0" w:line="240" w:lineRule="auto"/>
    </w:pPr>
    <w:rPr>
      <w:rFonts w:ascii="Times New Roman" w:eastAsia="Times New Roman" w:hAnsi="Times New Roman" w:cs="Times New Roman"/>
      <w:sz w:val="20"/>
      <w:szCs w:val="20"/>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dnoteText">
    <w:name w:val="endnote text"/>
    <w:basedOn w:val="Normal"/>
    <w:link w:val="EndnoteTextChar"/>
    <w:pPr>
      <w:spacing w:before="0" w:after="0"/>
    </w:pPr>
    <w:rPr>
      <w:rFonts w:eastAsia="Times New Roman"/>
      <w:sz w:val="20"/>
      <w:szCs w:val="20"/>
      <w:lang w:eastAsia="en-GB"/>
    </w:rPr>
  </w:style>
  <w:style w:type="character" w:customStyle="1" w:styleId="EndnoteTextChar">
    <w:name w:val="Endnote Text Char"/>
    <w:basedOn w:val="DefaultParagraphFont"/>
    <w:link w:val="EndnoteText"/>
    <w:rPr>
      <w:rFonts w:ascii="Times New Roman" w:eastAsia="Times New Roman" w:hAnsi="Times New Roman" w:cs="Times New Roman"/>
      <w:sz w:val="20"/>
      <w:szCs w:val="20"/>
      <w:lang w:val="en-GB" w:eastAsia="en-GB"/>
    </w:rPr>
  </w:style>
  <w:style w:type="character" w:styleId="EndnoteReference">
    <w:name w:val="endnote reference"/>
    <w:basedOn w:val="DefaultParagraphFont"/>
    <w:rPr>
      <w:vertAlign w:val="superscript"/>
    </w:rPr>
  </w:style>
  <w:style w:type="paragraph" w:styleId="Header">
    <w:name w:val="header"/>
    <w:basedOn w:val="Normal"/>
    <w:link w:val="HeaderChar"/>
    <w:uiPriority w:val="99"/>
    <w:unhideWhenUsed/>
    <w:pPr>
      <w:tabs>
        <w:tab w:val="center" w:pos="4535"/>
        <w:tab w:val="right" w:pos="9071"/>
      </w:tabs>
      <w:spacing w:before="0"/>
    </w:pPr>
  </w:style>
  <w:style w:type="character" w:customStyle="1" w:styleId="HeaderChar">
    <w:name w:val="Header Char"/>
    <w:basedOn w:val="DefaultParagraphFont"/>
    <w:link w:val="Header"/>
    <w:uiPriority w:val="99"/>
    <w:rPr>
      <w:rFonts w:ascii="Times New Roman" w:hAnsi="Times New Roman" w:cs="Times New Roman"/>
      <w:sz w:val="24"/>
      <w:lang w:val="en-GB"/>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lang w:val="en-GB"/>
    </w:rPr>
  </w:style>
  <w:style w:type="paragraph" w:styleId="FootnoteText">
    <w:name w:val="footnote text"/>
    <w:basedOn w:val="Normal"/>
    <w:link w:val="FootnoteTextChar"/>
    <w:uiPriority w:val="99"/>
    <w:unhideWhenUsed/>
    <w:qFormat/>
    <w:pPr>
      <w:spacing w:before="0" w:after="0"/>
      <w:ind w:left="720" w:hanging="720"/>
    </w:pPr>
    <w:rPr>
      <w:sz w:val="20"/>
      <w:szCs w:val="20"/>
    </w:rPr>
  </w:style>
  <w:style w:type="character" w:customStyle="1" w:styleId="FootnoteTextChar">
    <w:name w:val="Footnote Text Char"/>
    <w:basedOn w:val="DefaultParagraphFont"/>
    <w:link w:val="FootnoteText"/>
    <w:uiPriority w:val="99"/>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unhideWhenUsed/>
    <w:rPr>
      <w:shd w:val="clear" w:color="auto" w:fill="auto"/>
      <w:vertAlign w:val="superscript"/>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115"/>
      </w:numPr>
    </w:pPr>
  </w:style>
  <w:style w:type="paragraph" w:customStyle="1" w:styleId="Tiret1">
    <w:name w:val="Tiret 1"/>
    <w:basedOn w:val="Point1"/>
    <w:pPr>
      <w:numPr>
        <w:numId w:val="116"/>
      </w:numPr>
    </w:pPr>
  </w:style>
  <w:style w:type="paragraph" w:customStyle="1" w:styleId="Tiret2">
    <w:name w:val="Tiret 2"/>
    <w:basedOn w:val="Point2"/>
    <w:pPr>
      <w:numPr>
        <w:numId w:val="117"/>
      </w:numPr>
    </w:pPr>
  </w:style>
  <w:style w:type="paragraph" w:customStyle="1" w:styleId="Tiret3">
    <w:name w:val="Tiret 3"/>
    <w:basedOn w:val="Point3"/>
    <w:pPr>
      <w:numPr>
        <w:numId w:val="118"/>
      </w:numPr>
    </w:pPr>
  </w:style>
  <w:style w:type="paragraph" w:customStyle="1" w:styleId="Tiret4">
    <w:name w:val="Tiret 4"/>
    <w:basedOn w:val="Point4"/>
    <w:pPr>
      <w:numPr>
        <w:numId w:val="119"/>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120"/>
      </w:numPr>
    </w:pPr>
  </w:style>
  <w:style w:type="paragraph" w:customStyle="1" w:styleId="NumPar2">
    <w:name w:val="NumPar 2"/>
    <w:basedOn w:val="Normal"/>
    <w:next w:val="Text1"/>
    <w:pPr>
      <w:numPr>
        <w:ilvl w:val="1"/>
        <w:numId w:val="120"/>
      </w:numPr>
    </w:pPr>
  </w:style>
  <w:style w:type="paragraph" w:customStyle="1" w:styleId="NumPar3">
    <w:name w:val="NumPar 3"/>
    <w:basedOn w:val="Normal"/>
    <w:next w:val="Text1"/>
    <w:pPr>
      <w:numPr>
        <w:ilvl w:val="2"/>
        <w:numId w:val="120"/>
      </w:numPr>
    </w:pPr>
  </w:style>
  <w:style w:type="paragraph" w:customStyle="1" w:styleId="NumPar4">
    <w:name w:val="NumPar 4"/>
    <w:basedOn w:val="Normal"/>
    <w:next w:val="Text1"/>
    <w:pPr>
      <w:numPr>
        <w:ilvl w:val="3"/>
        <w:numId w:val="120"/>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122"/>
      </w:numPr>
    </w:pPr>
  </w:style>
  <w:style w:type="paragraph" w:customStyle="1" w:styleId="Point1number">
    <w:name w:val="Point 1 (number)"/>
    <w:basedOn w:val="Normal"/>
    <w:pPr>
      <w:numPr>
        <w:ilvl w:val="2"/>
        <w:numId w:val="122"/>
      </w:numPr>
    </w:pPr>
  </w:style>
  <w:style w:type="paragraph" w:customStyle="1" w:styleId="Point2number">
    <w:name w:val="Point 2 (number)"/>
    <w:basedOn w:val="Normal"/>
    <w:pPr>
      <w:numPr>
        <w:ilvl w:val="4"/>
        <w:numId w:val="122"/>
      </w:numPr>
    </w:pPr>
  </w:style>
  <w:style w:type="paragraph" w:customStyle="1" w:styleId="Point3number">
    <w:name w:val="Point 3 (number)"/>
    <w:basedOn w:val="Normal"/>
    <w:pPr>
      <w:numPr>
        <w:ilvl w:val="6"/>
        <w:numId w:val="122"/>
      </w:numPr>
    </w:pPr>
  </w:style>
  <w:style w:type="paragraph" w:customStyle="1" w:styleId="Point0letter">
    <w:name w:val="Point 0 (letter)"/>
    <w:basedOn w:val="Normal"/>
    <w:pPr>
      <w:numPr>
        <w:ilvl w:val="1"/>
        <w:numId w:val="122"/>
      </w:numPr>
    </w:pPr>
  </w:style>
  <w:style w:type="paragraph" w:customStyle="1" w:styleId="Point1letter">
    <w:name w:val="Point 1 (letter)"/>
    <w:basedOn w:val="Normal"/>
    <w:pPr>
      <w:numPr>
        <w:ilvl w:val="3"/>
        <w:numId w:val="122"/>
      </w:numPr>
    </w:pPr>
  </w:style>
  <w:style w:type="paragraph" w:customStyle="1" w:styleId="Point2letter">
    <w:name w:val="Point 2 (letter)"/>
    <w:basedOn w:val="Normal"/>
    <w:pPr>
      <w:numPr>
        <w:ilvl w:val="5"/>
        <w:numId w:val="122"/>
      </w:numPr>
    </w:pPr>
  </w:style>
  <w:style w:type="paragraph" w:customStyle="1" w:styleId="Point3letter">
    <w:name w:val="Point 3 (letter)"/>
    <w:basedOn w:val="Normal"/>
    <w:pPr>
      <w:numPr>
        <w:ilvl w:val="7"/>
        <w:numId w:val="122"/>
      </w:numPr>
    </w:pPr>
  </w:style>
  <w:style w:type="paragraph" w:customStyle="1" w:styleId="Point4letter">
    <w:name w:val="Point 4 (letter)"/>
    <w:basedOn w:val="Normal"/>
    <w:pPr>
      <w:numPr>
        <w:ilvl w:val="8"/>
        <w:numId w:val="122"/>
      </w:numPr>
    </w:pPr>
  </w:style>
  <w:style w:type="paragraph" w:customStyle="1" w:styleId="Bullet0">
    <w:name w:val="Bullet 0"/>
    <w:basedOn w:val="Normal"/>
    <w:pPr>
      <w:numPr>
        <w:numId w:val="123"/>
      </w:numPr>
    </w:pPr>
  </w:style>
  <w:style w:type="paragraph" w:customStyle="1" w:styleId="Bullet1">
    <w:name w:val="Bullet 1"/>
    <w:basedOn w:val="Normal"/>
    <w:pPr>
      <w:numPr>
        <w:numId w:val="124"/>
      </w:numPr>
    </w:pPr>
  </w:style>
  <w:style w:type="paragraph" w:customStyle="1" w:styleId="Bullet2">
    <w:name w:val="Bullet 2"/>
    <w:basedOn w:val="Normal"/>
    <w:pPr>
      <w:numPr>
        <w:numId w:val="125"/>
      </w:numPr>
    </w:pPr>
  </w:style>
  <w:style w:type="paragraph" w:customStyle="1" w:styleId="Bullet3">
    <w:name w:val="Bullet 3"/>
    <w:basedOn w:val="Normal"/>
    <w:pPr>
      <w:numPr>
        <w:numId w:val="126"/>
      </w:numPr>
    </w:pPr>
  </w:style>
  <w:style w:type="paragraph" w:customStyle="1" w:styleId="Bullet4">
    <w:name w:val="Bullet 4"/>
    <w:basedOn w:val="Normal"/>
    <w:pPr>
      <w:numPr>
        <w:numId w:val="127"/>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128"/>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1489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5.xml"/><Relationship Id="rId26" Type="http://schemas.openxmlformats.org/officeDocument/2006/relationships/image" Target="media/image5.emf"/><Relationship Id="rId3" Type="http://schemas.openxmlformats.org/officeDocument/2006/relationships/styles" Target="styles.xml"/><Relationship Id="rId21" Type="http://schemas.openxmlformats.org/officeDocument/2006/relationships/header" Target="header4.xml"/><Relationship Id="rId34"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oter" Target="footer4.xml"/><Relationship Id="rId25" Type="http://schemas.openxmlformats.org/officeDocument/2006/relationships/image" Target="media/image4.emf"/><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2.emf"/><Relationship Id="rId20" Type="http://schemas.openxmlformats.org/officeDocument/2006/relationships/hyperlink" Target="http://www.cc.cec/budg/leg/internal/leg-070_internal_en.html" TargetMode="External"/><Relationship Id="rId29" Type="http://schemas.openxmlformats.org/officeDocument/2006/relationships/footer" Target="footer8.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footer" Target="footer7.xml"/><Relationship Id="rId32" Type="http://schemas.openxmlformats.org/officeDocument/2006/relationships/image" Target="media/image7.emf"/><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header" Target="header5.xml"/><Relationship Id="rId28" Type="http://schemas.openxmlformats.org/officeDocument/2006/relationships/header" Target="header6.xml"/><Relationship Id="rId10" Type="http://schemas.openxmlformats.org/officeDocument/2006/relationships/header" Target="header1.xml"/><Relationship Id="rId19" Type="http://schemas.openxmlformats.org/officeDocument/2006/relationships/image" Target="media/image3.emf"/><Relationship Id="rId31" Type="http://schemas.openxmlformats.org/officeDocument/2006/relationships/footer" Target="footer9.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eader" Target="header3.xml"/><Relationship Id="rId22" Type="http://schemas.openxmlformats.org/officeDocument/2006/relationships/footer" Target="footer6.xml"/><Relationship Id="rId27" Type="http://schemas.openxmlformats.org/officeDocument/2006/relationships/image" Target="media/image6.emf"/><Relationship Id="rId30" Type="http://schemas.openxmlformats.org/officeDocument/2006/relationships/header" Target="header7.xml"/></Relationships>
</file>

<file path=word/_rels/footnotes.xml.rels><?xml version="1.0" encoding="UTF-8" standalone="yes"?>
<Relationships xmlns="http://schemas.openxmlformats.org/package/2006/relationships"><Relationship Id="rId8" Type="http://schemas.openxmlformats.org/officeDocument/2006/relationships/hyperlink" Target="http://eur-lex.europa.eu/legal-content/EN/TXT/?qid=1508936384641&amp;uri=CELEX:32016L0681" TargetMode="External"/><Relationship Id="rId13" Type="http://schemas.openxmlformats.org/officeDocument/2006/relationships/hyperlink" Target="http://ec.europa.eu/transparency/regexpert/index.cfm?do=groupDetail.groupDetailDoc&amp;id=32600&amp;no=1" TargetMode="External"/><Relationship Id="rId3" Type="http://schemas.openxmlformats.org/officeDocument/2006/relationships/hyperlink" Target="http://www.consilium.europa.eu/en/meetings/european-council/2016/12/20161215-euco-conclusions-final_pdf/" TargetMode="External"/><Relationship Id="rId7" Type="http://schemas.openxmlformats.org/officeDocument/2006/relationships/hyperlink" Target="http://eur-lex.europa.eu/legal-content/EN/TXT/?qid=1508936184412&amp;uri=CELEX:32008D0615" TargetMode="External"/><Relationship Id="rId12" Type="http://schemas.openxmlformats.org/officeDocument/2006/relationships/hyperlink" Target="http://www.consilium.europa.eu/en/press/press-releases/2016/12/15/euco-conclusions-final/" TargetMode="External"/><Relationship Id="rId17" Type="http://schemas.openxmlformats.org/officeDocument/2006/relationships/hyperlink" Target="https://myintracomm.ec.europa.eu/budgweb/FR/man/budgmanag/Pages/budgmanag.aspx" TargetMode="External"/><Relationship Id="rId2" Type="http://schemas.openxmlformats.org/officeDocument/2006/relationships/hyperlink" Target="https://ec.europa.eu/commission/state-union-2016_en" TargetMode="External"/><Relationship Id="rId16" Type="http://schemas.openxmlformats.org/officeDocument/2006/relationships/hyperlink" Target="http://eur-lex.europa.eu/legal-content/EN/TXT/?uri=uriserv:OJ.L_.2016.123.01.0001.01.ENG" TargetMode="External"/><Relationship Id="rId1" Type="http://schemas.openxmlformats.org/officeDocument/2006/relationships/hyperlink" Target="http://www.europarl.europa.eu/oeil/popups/ficheprocedure.do?lang=en&amp;reference=2016/2773%28RSP%29" TargetMode="External"/><Relationship Id="rId6" Type="http://schemas.openxmlformats.org/officeDocument/2006/relationships/hyperlink" Target="http://www.consilium.europa.eu/media/22186/st10136en17-vf.pdf" TargetMode="External"/><Relationship Id="rId11" Type="http://schemas.openxmlformats.org/officeDocument/2006/relationships/hyperlink" Target="http://www.europarl.europa.eu/oeil/popups/ficheprocedure.do?lang=en&amp;reference=2016/2773%28RSP%29" TargetMode="External"/><Relationship Id="rId5" Type="http://schemas.openxmlformats.org/officeDocument/2006/relationships/hyperlink" Target="https://www.consilium.europa.eu/media/23985/22-23-euco-final-conclusions.pdf" TargetMode="External"/><Relationship Id="rId15" Type="http://schemas.openxmlformats.org/officeDocument/2006/relationships/hyperlink" Target="https://www.consilium.europa.eu/media/23985/22-23-euco-final-conclusions.pdf" TargetMode="External"/><Relationship Id="rId10" Type="http://schemas.openxmlformats.org/officeDocument/2006/relationships/hyperlink" Target="http://ec.europa.eu/dgs/home-affairs/what-we-do/policies/borders-and-visas/smart-borders/docs/smart_borders_pilot_-_technical_report_annexes_en.pdf" TargetMode="External"/><Relationship Id="rId4" Type="http://schemas.openxmlformats.org/officeDocument/2006/relationships/hyperlink" Target="http://ec.europa.eu/transparency/regexpert/index.cfm?do=groupDetail.groupDetailDoc&amp;id=32600&amp;no=1" TargetMode="External"/><Relationship Id="rId9" Type="http://schemas.openxmlformats.org/officeDocument/2006/relationships/hyperlink" Target="http://ec.europa.eu/transparency/regexpert/index.cfm?do=groupDetail.groupDetailDoc&amp;id=32600&amp;no=1" TargetMode="External"/><Relationship Id="rId14" Type="http://schemas.openxmlformats.org/officeDocument/2006/relationships/hyperlink" Target="http://www.consilium.europa.eu/media/22186/st10136en17-vf.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64A911-A5EF-487D-9B2C-4EABB4E06D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COM.dotm</Template>
  <TotalTime>4</TotalTime>
  <Pages>80</Pages>
  <Words>47301</Words>
  <Characters>254480</Characters>
  <Application>Microsoft Office Word</Application>
  <DocSecurity>0</DocSecurity>
  <Lines>7484</Lines>
  <Paragraphs>3820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297961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DIGIT/A3</cp:lastModifiedBy>
  <cp:revision>18</cp:revision>
  <cp:lastPrinted>2017-12-07T18:02:00Z</cp:lastPrinted>
  <dcterms:created xsi:type="dcterms:W3CDTF">2017-12-12T10:26:00Z</dcterms:created>
  <dcterms:modified xsi:type="dcterms:W3CDTF">2017-12-12T10:32:00Z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COM/PL/ORG</vt:lpwstr>
  </property>
  <property fmtid="{D5CDD505-2E9C-101B-9397-08002B2CF9AE}" pid="3" name="Version">
    <vt:lpwstr>6.0.1.0</vt:lpwstr>
  </property>
  <property fmtid="{D5CDD505-2E9C-101B-9397-08002B2CF9AE}" pid="4" name="Last edited using">
    <vt:lpwstr>LW 6.0, Build 20171009</vt:lpwstr>
  </property>
  <property fmtid="{D5CDD505-2E9C-101B-9397-08002B2CF9AE}" pid="5" name="Created using">
    <vt:lpwstr>LW 6.0, Build 20171009</vt:lpwstr>
  </property>
  <property fmtid="{D5CDD505-2E9C-101B-9397-08002B2CF9AE}" pid="6" name="Part">
    <vt:lpwstr>1</vt:lpwstr>
  </property>
  <property fmtid="{D5CDD505-2E9C-101B-9397-08002B2CF9AE}" pid="7" name="Total parts">
    <vt:lpwstr>1</vt:lpwstr>
  </property>
  <property fmtid="{D5CDD505-2E9C-101B-9397-08002B2CF9AE}" pid="8" name="Level of sensitivity">
    <vt:lpwstr>Standard treatment</vt:lpwstr>
  </property>
  <property fmtid="{D5CDD505-2E9C-101B-9397-08002B2CF9AE}" pid="9" name="LWTemplateID">
    <vt:lpwstr>SJ-023</vt:lpwstr>
  </property>
  <property fmtid="{D5CDD505-2E9C-101B-9397-08002B2CF9AE}" pid="10" name="DQCStatus">
    <vt:lpwstr>Yellow (DQC version 03)</vt:lpwstr>
  </property>
</Properties>
</file>