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2AA37DC7-E7D3-4319-A3AC-25F1D5717DFF" style="width:450.8pt;height:320.55pt">
            <v:imagedata r:id="rId9" o:title=""/>
          </v:shape>
        </w:pict>
      </w:r>
    </w:p>
    <w:bookmarkEnd w:id="0"/>
    <w:p>
      <w:pPr>
        <w:spacing w:after="200" w:line="276" w:lineRule="auto"/>
        <w:jc w:val="left"/>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spacing w:after="200" w:line="276" w:lineRule="auto"/>
        <w:jc w:val="left"/>
        <w:rPr>
          <w:rFonts w:asciiTheme="majorHAnsi" w:eastAsiaTheme="majorEastAsia" w:hAnsiTheme="majorHAnsi" w:cstheme="majorBidi"/>
          <w:b/>
          <w:bCs/>
          <w:noProof/>
          <w:color w:val="365F91" w:themeColor="accent1" w:themeShade="BF"/>
          <w:sz w:val="28"/>
          <w:szCs w:val="28"/>
        </w:rPr>
      </w:pPr>
      <w:bookmarkStart w:id="1" w:name="_GoBack"/>
      <w:bookmarkEnd w:id="1"/>
    </w:p>
    <w:p>
      <w:pPr>
        <w:pStyle w:val="ManualHeading1"/>
        <w:rPr>
          <w:noProof/>
        </w:rPr>
      </w:pPr>
      <w:r>
        <w:t>1.</w:t>
      </w:r>
      <w:r>
        <w:tab/>
      </w:r>
      <w:r>
        <w:rPr>
          <w:noProof/>
        </w:rPr>
        <w:t>BEVEZETÉS</w:t>
      </w:r>
    </w:p>
    <w:p>
      <w:pPr>
        <w:rPr>
          <w:noProof/>
        </w:rPr>
      </w:pPr>
    </w:p>
    <w:p>
      <w:pPr>
        <w:autoSpaceDE w:val="0"/>
        <w:autoSpaceDN w:val="0"/>
        <w:adjustRightInd w:val="0"/>
        <w:rPr>
          <w:noProof/>
        </w:rPr>
      </w:pPr>
      <w:r>
        <w:rPr>
          <w:noProof/>
        </w:rPr>
        <w:t xml:space="preserve">Az Európai Unió egyik legfontosabb prioritása a mélyebb és méltányosabb belső piac kialakítása. E cél eléréséhez az Uniónak meg kell teremtenie a tagállami adóhatóságok közötti hatékony és eredményes együttműködés keretét. Az Európai Unió tagállamaival együtt elkötelezett a határokon átnyúló adócsalás, adókijátszás és adókikerülés elleni küzdelem fokozása mellett, és határozottan törekszik annak elérésére, hogy a nyereséget annak keletkezése helyén terhelje adó. A szakpolitikai intézkedések sikerességéhez azonban elengedhetetlen az eredményes gyakorlati végrehajtás. </w:t>
      </w:r>
    </w:p>
    <w:p>
      <w:pPr>
        <w:autoSpaceDE w:val="0"/>
        <w:autoSpaceDN w:val="0"/>
        <w:adjustRightInd w:val="0"/>
        <w:rPr>
          <w:noProof/>
        </w:rPr>
      </w:pPr>
      <w:r>
        <w:rPr>
          <w:noProof/>
        </w:rPr>
        <w:t xml:space="preserve">A közigazgatási együttműködés szintén döntő fontossággal bír. Nem jelenthet elfogadható megoldást, hogy 28 különálló adóhatóság egymástól elszigetelten működjön. Az adózás ugyan nagyrészt továbbra is tagállami hatáskörbe tartozik, a gazdasági környezet azonban jóval nemzetközibbé, mobilisabbá és digitálisabbá vált. A vállalkozások átcsoportosíthatják nyereségüket az országok között, az adózók külföldön adófizetés nélkül szerezhetnek jövedelmet, és az egyik tagállamban hozott adóügyi határozatok másik tagállamban is befolyásolhatják az adóalapokat. A tagállamoknak nagyfokú együttműködést kell folytatniuk Európában azért, hogy minden polgár és vállalkozás igazságosan vegye ki a részét a közteherviselésből a megfelelő országban. </w:t>
      </w:r>
    </w:p>
    <w:p>
      <w:pPr>
        <w:autoSpaceDE w:val="0"/>
        <w:autoSpaceDN w:val="0"/>
        <w:adjustRightInd w:val="0"/>
        <w:rPr>
          <w:noProof/>
        </w:rPr>
      </w:pPr>
      <w:r>
        <w:rPr>
          <w:noProof/>
        </w:rPr>
        <w:t xml:space="preserve">Ez irányban jelentős erőfeszítések történtek az adózás területén történő közigazgatási együttműködésről szóló 2011/16/EU tanácsi irányelv (a továbbiakban: a közigazgatási együttműködési irányelv vagy az irányelv) elfogadása óta. Ez az irányelv hozta a legfontosabb előrelépést az uniós együttműködési keret szempontjából. A kölcsönös segítségnyújtásról szóló 77/799/EGK irányelv (a továbbiakban: a kölcsönös segítségnyújtási irányelv) helyébe lépett. </w:t>
      </w:r>
    </w:p>
    <w:p>
      <w:pPr>
        <w:autoSpaceDE w:val="0"/>
        <w:autoSpaceDN w:val="0"/>
        <w:adjustRightInd w:val="0"/>
        <w:rPr>
          <w:noProof/>
        </w:rPr>
      </w:pPr>
      <w:r>
        <w:rPr>
          <w:noProof/>
        </w:rPr>
        <w:t xml:space="preserve">Különösen a következő területeken hozott javulást: i. hatályát kiterjeszti mindazokra az előreláthatólag fontos információkra, amelyek a közvetlen adók mellett az összes közvetett adóra is vonatkoznak, a hozzáadottérték-adó és a vámok kivételével; ii. az uniós előírások összehangolása az OECD-modellegyezmény 26. cikkének (4) és (5) bekezdésével, többek között hazai adóztatási érdek hiányában is biztosítva az információcserét; iii. megerősítette az automatikus információcserét; iv. meghatározza az információcserére rendelkezésre álló határidőket, formanyomtatványokat és biztonságos kommunikációs csatornákat; v. kötelezi a harmadik országokkal szélesebb körű együttműködést folytató tagállamokat, hogy ugyanolyan mértékű együttműködést folytasson mindazokkal a tagállamokkal, amelyek ugyanilyen, szélesebb körű együttműködésre kívánnak lépni vele. </w:t>
      </w:r>
    </w:p>
    <w:p>
      <w:pPr>
        <w:autoSpaceDE w:val="0"/>
        <w:autoSpaceDN w:val="0"/>
        <w:adjustRightInd w:val="0"/>
        <w:rPr>
          <w:noProof/>
        </w:rPr>
      </w:pPr>
      <w:r>
        <w:rPr>
          <w:noProof/>
        </w:rPr>
        <w:t>Azóta a tagállami adóhatóságoknál felmerült sajátos nehézségekre tekintettel négy módosító irányelv született az irányelvhez a tagállamok közötti közigazgatási együttműködés fokozása céljából. A 2014/107/EU irányelv (a továbbiakban: a második közigazgatási együttműködési irányelv) pénzügyi számlákra, az (EU) 2015/2376 irányelv (a továbbiakban: a harmadik közigazgatási együttműködési irányelv) az adómegállapításokra és az előzetes árképzési megállapodásokra, az (EU) 2016/881 irányelv (a továbbiakban: a negyedik közigazgatási együttműködési irányelv) pedig az országonkénti jelentésekre vonatkozóan vezetett be automatikus információcserét, míg az (EU) 2016/2258 irányelv (a továbbiakban: az ötödik közigazgatási együttműködési irányelv) az előző módosító irányelvekkel ellentétben nem szélesítette tovább az automatikus információcsere terjedelmét, hanem lehetővé tette, hogy az adóhatóságok a pénzmosás elleni jogszabályok értelmében a tényleges tulajdonosokról gyűjtött információkba betekintsenek. Az 1. ábra e folyamat időbeli alakulását szemlélteti.</w:t>
      </w:r>
    </w:p>
    <w:p>
      <w:pPr>
        <w:autoSpaceDE w:val="0"/>
        <w:autoSpaceDN w:val="0"/>
        <w:adjustRightInd w:val="0"/>
        <w:rPr>
          <w:noProof/>
        </w:rPr>
      </w:pPr>
      <w:r>
        <w:rPr>
          <w:noProof/>
          <w:lang w:bidi="ar-SA"/>
        </w:rPr>
        <w:pict>
          <v:shape id="_x0000_i1026" type="#_x0000_t75" style="width:452.65pt;height:221.65pt">
            <v:imagedata r:id="rId16" o:title="TAXUD-2017-80130_SRC"/>
          </v:shape>
        </w:pict>
      </w:r>
    </w:p>
    <w:p>
      <w:pPr>
        <w:autoSpaceDE w:val="0"/>
        <w:autoSpaceDN w:val="0"/>
        <w:adjustRightInd w:val="0"/>
        <w:rPr>
          <w:noProof/>
        </w:rPr>
      </w:pPr>
      <w:r>
        <w:rPr>
          <w:noProof/>
        </w:rPr>
        <w:t>1. ábra: A közvetlen adózás területén történő közigazgatási együttműködésre vonatkozó főbb rendelkezések elfogadása és alkalmazása</w:t>
      </w:r>
    </w:p>
    <w:p>
      <w:pPr>
        <w:pStyle w:val="ManualHeading1"/>
        <w:rPr>
          <w:noProof/>
        </w:rPr>
      </w:pPr>
      <w:r>
        <w:t>2.</w:t>
      </w:r>
      <w:r>
        <w:tab/>
      </w:r>
      <w:r>
        <w:rPr>
          <w:noProof/>
        </w:rPr>
        <w:t xml:space="preserve">A JELENTÉS </w:t>
      </w:r>
    </w:p>
    <w:p>
      <w:pPr>
        <w:rPr>
          <w:noProof/>
        </w:rPr>
      </w:pPr>
    </w:p>
    <w:p>
      <w:pPr>
        <w:autoSpaceDE w:val="0"/>
        <w:autoSpaceDN w:val="0"/>
        <w:adjustRightInd w:val="0"/>
        <w:rPr>
          <w:noProof/>
        </w:rPr>
      </w:pPr>
      <w:r>
        <w:rPr>
          <w:noProof/>
        </w:rPr>
        <w:t xml:space="preserve">Az irányelv 27. cikke rögzíti, hogy 2013. január 1. után ötévente jelentést kell készíteni az irányelv alkalmazásáról. A jelentést az azt alátámasztó, a tagállamok által 2013 óta kérdőíveken keresztül közölt információk és statisztikai adatok alapján készült bizottsági szolgálati munkadokumentummal együtt kell értelmezni. A bizottsági szolgálati munkadokumentum ismerteti a jelentés főbb megállapításait, és felvázolja az Unión belüli adózás igazságosabbá tétele érdekében folytatott közigazgatási együttműködéssel kapcsolatos megújult uniós megközelítés főbb jellemzőit. </w:t>
      </w:r>
    </w:p>
    <w:p>
      <w:pPr>
        <w:autoSpaceDE w:val="0"/>
        <w:autoSpaceDN w:val="0"/>
        <w:adjustRightInd w:val="0"/>
        <w:rPr>
          <w:noProof/>
        </w:rPr>
      </w:pPr>
      <w:r>
        <w:rPr>
          <w:noProof/>
        </w:rPr>
        <w:t xml:space="preserve">Az áttekintés a közigazgatási együttműködési irányelv jelenleg hatályban lévő összes főbb rendelkezésére kiterjed. Az automatikus információcserére vonatkozóan az eredeti közigazgatási együttműködési irányelvet módosító irányelvekkel (vagyis a második, harmadik és negyedik közigazgatási együttműködési irányelvvel) bevezetett újabb rendelkezéseket azonban nem tárgyalja, mivel a jelentés készítésekor a második és harmadik közigazgatási együttműködési irányelv szerinti információcsere éppen csak elkezdődött, a negyedik közigazgatási együttműködési irányelv szerinti információcsere pedig még el sem indult. A fenti ábrán látható, mikor indult meg az információ az egyes irányelvek alapján.  </w:t>
      </w:r>
    </w:p>
    <w:p>
      <w:pPr>
        <w:autoSpaceDE w:val="0"/>
        <w:autoSpaceDN w:val="0"/>
        <w:adjustRightInd w:val="0"/>
        <w:rPr>
          <w:noProof/>
        </w:rPr>
      </w:pPr>
      <w:r>
        <w:rPr>
          <w:noProof/>
        </w:rPr>
        <w:t>Az irányelv 8b. cikke értelmében 2019. január 1. előtt másik jelentést is kell készíteni, amelyben a Bizottság áttekinti és értékeli az e cikk (1) bekezdése alapján kapott statisztikai adatokat és információkat. E körbe tartoznak a 8. és 8a. cikk értelmében készített statisztikák (tehát az első, a második és a harmadik közigazgatási együttműködési irányelv szerinti információcserével kapcsolatosan) olyan kérdésekről, mint az adminisztratív és egyéb releváns költségek és az információcsere előnyei, valamint az ezekhez kapcsolódó gyakorlati szempontok.</w:t>
      </w:r>
    </w:p>
    <w:p>
      <w:pPr>
        <w:autoSpaceDE w:val="0"/>
        <w:autoSpaceDN w:val="0"/>
        <w:adjustRightInd w:val="0"/>
        <w:rPr>
          <w:noProof/>
        </w:rPr>
      </w:pPr>
      <w:r>
        <w:rPr>
          <w:noProof/>
        </w:rPr>
        <w:t xml:space="preserve">Az irányelv alkalmazása és az Unión belüli közigazgatási együttműködés fokozására tett erőfeszítések világszinten is a lehető legnagyobb mértékű együttműködést testesítik meg adóhatóságok között.  Azonban továbbra is vannak megoldásra váró kérdések. Lehet még javítani a közigazgatási együttműködésen, hogy a tagállamok és az Európai Unió megőrizze vezető szerepét az adórendszer igazságosabbá és átláthatóbbá tételét célzó nemzetközi törekvésekben. </w:t>
      </w:r>
      <w:bookmarkStart w:id="2" w:name="_Toc495309676"/>
      <w:bookmarkStart w:id="3" w:name="_Toc493508495"/>
      <w:bookmarkStart w:id="4" w:name="_Toc493509536"/>
      <w:bookmarkStart w:id="5" w:name="_Toc493511851"/>
      <w:bookmarkStart w:id="6" w:name="_Toc493512388"/>
      <w:bookmarkStart w:id="7" w:name="_Toc493512442"/>
      <w:bookmarkStart w:id="8" w:name="_Toc493512864"/>
      <w:bookmarkStart w:id="9" w:name="_Toc493508496"/>
      <w:bookmarkStart w:id="10" w:name="_Toc493509537"/>
      <w:bookmarkStart w:id="11" w:name="_Toc493511852"/>
      <w:bookmarkStart w:id="12" w:name="_Toc493512389"/>
      <w:bookmarkStart w:id="13" w:name="_Toc493512443"/>
      <w:bookmarkStart w:id="14" w:name="_Toc493512865"/>
      <w:bookmarkStart w:id="15" w:name="_Toc493508497"/>
      <w:bookmarkStart w:id="16" w:name="_Toc493509538"/>
      <w:bookmarkStart w:id="17" w:name="_Toc493511853"/>
      <w:bookmarkStart w:id="18" w:name="_Toc493512390"/>
      <w:bookmarkStart w:id="19" w:name="_Toc493512444"/>
      <w:bookmarkStart w:id="20" w:name="_Toc493512866"/>
      <w:bookmarkStart w:id="21" w:name="_Toc493508498"/>
      <w:bookmarkStart w:id="22" w:name="_Toc493509539"/>
      <w:bookmarkStart w:id="23" w:name="_Toc493511854"/>
      <w:bookmarkStart w:id="24" w:name="_Toc493512391"/>
      <w:bookmarkStart w:id="25" w:name="_Toc493512445"/>
      <w:bookmarkStart w:id="26" w:name="_Toc493512867"/>
      <w:bookmarkStart w:id="27" w:name="_Toc493508499"/>
      <w:bookmarkStart w:id="28" w:name="_Toc493509540"/>
      <w:bookmarkStart w:id="29" w:name="_Toc493511855"/>
      <w:bookmarkStart w:id="30" w:name="_Toc493512392"/>
      <w:bookmarkStart w:id="31" w:name="_Toc493512446"/>
      <w:bookmarkStart w:id="32" w:name="_Toc493512868"/>
      <w:bookmarkStart w:id="33" w:name="_Toc493508500"/>
      <w:bookmarkStart w:id="34" w:name="_Toc493509541"/>
      <w:bookmarkStart w:id="35" w:name="_Toc493511856"/>
      <w:bookmarkStart w:id="36" w:name="_Toc493512393"/>
      <w:bookmarkStart w:id="37" w:name="_Toc493512447"/>
      <w:bookmarkStart w:id="38" w:name="_Toc493512869"/>
      <w:bookmarkStart w:id="39" w:name="_Toc493508502"/>
      <w:bookmarkStart w:id="40" w:name="_Toc493509543"/>
      <w:bookmarkStart w:id="41" w:name="_Toc493511858"/>
      <w:bookmarkStart w:id="42" w:name="_Toc493512395"/>
      <w:bookmarkStart w:id="43" w:name="_Toc493512449"/>
      <w:bookmarkStart w:id="44" w:name="_Toc493512871"/>
      <w:bookmarkStart w:id="45" w:name="_Toc493508504"/>
      <w:bookmarkStart w:id="46" w:name="_Toc493509545"/>
      <w:bookmarkStart w:id="47" w:name="_Toc493511860"/>
      <w:bookmarkStart w:id="48" w:name="_Toc493512397"/>
      <w:bookmarkStart w:id="49" w:name="_Toc493512451"/>
      <w:bookmarkStart w:id="50" w:name="_Toc493512873"/>
      <w:bookmarkStart w:id="51" w:name="_Toc493508505"/>
      <w:bookmarkStart w:id="52" w:name="_Toc493509546"/>
      <w:bookmarkStart w:id="53" w:name="_Toc493511861"/>
      <w:bookmarkStart w:id="54" w:name="_Toc493512398"/>
      <w:bookmarkStart w:id="55" w:name="_Toc493512452"/>
      <w:bookmarkStart w:id="56" w:name="_Toc493512874"/>
      <w:bookmarkStart w:id="57" w:name="_Toc493508506"/>
      <w:bookmarkStart w:id="58" w:name="_Toc493509547"/>
      <w:bookmarkStart w:id="59" w:name="_Toc493511862"/>
      <w:bookmarkStart w:id="60" w:name="_Toc493512399"/>
      <w:bookmarkStart w:id="61" w:name="_Toc493512453"/>
      <w:bookmarkStart w:id="62" w:name="_Toc493512875"/>
      <w:bookmarkStart w:id="63" w:name="_Toc493508507"/>
      <w:bookmarkStart w:id="64" w:name="_Toc493509548"/>
      <w:bookmarkStart w:id="65" w:name="_Toc493511863"/>
      <w:bookmarkStart w:id="66" w:name="_Toc493512400"/>
      <w:bookmarkStart w:id="67" w:name="_Toc493512454"/>
      <w:bookmarkStart w:id="68" w:name="_Toc493512876"/>
      <w:bookmarkStart w:id="69" w:name="_Toc493508508"/>
      <w:bookmarkStart w:id="70" w:name="_Toc493509549"/>
      <w:bookmarkStart w:id="71" w:name="_Toc493511864"/>
      <w:bookmarkStart w:id="72" w:name="_Toc493512401"/>
      <w:bookmarkStart w:id="73" w:name="_Toc493512455"/>
      <w:bookmarkStart w:id="74" w:name="_Toc493512877"/>
      <w:bookmarkStart w:id="75" w:name="_Toc493508509"/>
      <w:bookmarkStart w:id="76" w:name="_Toc493509550"/>
      <w:bookmarkStart w:id="77" w:name="_Toc493511865"/>
      <w:bookmarkStart w:id="78" w:name="_Toc493512402"/>
      <w:bookmarkStart w:id="79" w:name="_Toc493512456"/>
      <w:bookmarkStart w:id="80" w:name="_Toc493512878"/>
      <w:bookmarkStart w:id="81" w:name="_Toc493508510"/>
      <w:bookmarkStart w:id="82" w:name="_Toc493509551"/>
      <w:bookmarkStart w:id="83" w:name="_Toc493511866"/>
      <w:bookmarkStart w:id="84" w:name="_Toc493512403"/>
      <w:bookmarkStart w:id="85" w:name="_Toc493512457"/>
      <w:bookmarkStart w:id="86" w:name="_Toc493512879"/>
      <w:bookmarkStart w:id="87" w:name="_Toc493508511"/>
      <w:bookmarkStart w:id="88" w:name="_Toc493509552"/>
      <w:bookmarkStart w:id="89" w:name="_Toc493511867"/>
      <w:bookmarkStart w:id="90" w:name="_Toc493512404"/>
      <w:bookmarkStart w:id="91" w:name="_Toc493512458"/>
      <w:bookmarkStart w:id="92" w:name="_Toc493512880"/>
      <w:bookmarkStart w:id="93" w:name="_Toc493508513"/>
      <w:bookmarkStart w:id="94" w:name="_Toc493509554"/>
      <w:bookmarkStart w:id="95" w:name="_Toc493511869"/>
      <w:bookmarkStart w:id="96" w:name="_Toc493512406"/>
      <w:bookmarkStart w:id="97" w:name="_Toc493512460"/>
      <w:bookmarkStart w:id="98" w:name="_Toc493512882"/>
      <w:bookmarkStart w:id="99" w:name="_Toc493508514"/>
      <w:bookmarkStart w:id="100" w:name="_Toc493509555"/>
      <w:bookmarkStart w:id="101" w:name="_Toc493511870"/>
      <w:bookmarkStart w:id="102" w:name="_Toc493512407"/>
      <w:bookmarkStart w:id="103" w:name="_Toc493512461"/>
      <w:bookmarkStart w:id="104" w:name="_Toc493512883"/>
      <w:bookmarkStart w:id="105" w:name="_Toc487452779"/>
      <w:bookmarkStart w:id="106" w:name="_Toc487461907"/>
      <w:bookmarkStart w:id="107" w:name="_Toc492550624"/>
      <w:bookmarkStart w:id="108" w:name="_Toc492550625"/>
      <w:bookmarkStart w:id="109" w:name="_Toc4925506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ManualHeading1"/>
        <w:rPr>
          <w:noProof/>
        </w:rPr>
      </w:pPr>
      <w:r>
        <w:t>3.</w:t>
      </w:r>
      <w:r>
        <w:tab/>
      </w:r>
      <w:r>
        <w:rPr>
          <w:noProof/>
        </w:rPr>
        <w:t>FŐBB MEGÁLLAPÍTÁSOK</w:t>
      </w:r>
    </w:p>
    <w:p>
      <w:pPr>
        <w:spacing w:before="120"/>
        <w:rPr>
          <w:noProof/>
        </w:rPr>
      </w:pPr>
      <w:r>
        <w:rPr>
          <w:noProof/>
        </w:rPr>
        <w:t>A bizottsági szolgálati munkadokumentum minőségi és mennyiségi információkkal szolgál a 2011/16/EU irányelv alkalmazásáról. Az irányelv főbb rendelkezéseit, ezen belül különösen az információcsere különböző formáit, így a megkeresésre történő, a spontán és az automatikus információcserét vizsgálja. Emellett az együttműködés más formáival, például a közigazgatási hivatalokban való jelenléttel és a közigazgatási vizsgálatokban való részvétellel, az egyidejű ellenőrzésekkel és a kézbesítés iránti megkeresésekkel, valamint a közvetlen adózás területén történő közigazgatási együttműködésre irányadó általános feltételekkel is foglalkozik.</w:t>
      </w:r>
    </w:p>
    <w:p>
      <w:pPr>
        <w:spacing w:before="120"/>
        <w:rPr>
          <w:noProof/>
        </w:rPr>
      </w:pPr>
      <w:r>
        <w:rPr>
          <w:noProof/>
        </w:rPr>
        <w:t xml:space="preserve">A tagállamok által az irányelv alkalmazására tett intézkedésekről kérdőívek és statisztikák útján szolgáltatott információk és adatok, valamint a más tagállamokkal folytatott együttműködés gyakorlati tapasztalatai alapján készült. </w:t>
      </w:r>
    </w:p>
    <w:p>
      <w:pPr>
        <w:spacing w:before="120"/>
        <w:rPr>
          <w:noProof/>
        </w:rPr>
      </w:pPr>
      <w:r>
        <w:rPr>
          <w:noProof/>
        </w:rPr>
        <w:t>A tagállamoktól gyűjtött információk elemzését követően három fő megállapítás rajzolódik ki a jelentésben:</w:t>
      </w:r>
    </w:p>
    <w:p>
      <w:pPr>
        <w:pStyle w:val="ListParagraph"/>
        <w:rPr>
          <w:noProof/>
        </w:rPr>
      </w:pPr>
      <w:r>
        <w:rPr>
          <w:noProof/>
        </w:rPr>
        <w:t xml:space="preserve">a közigazgatási együttműködési irányelv rendelkezéseit végrehajtották ugyan, de nem mindegyiket sikerült hatékonyan teljesíteni; </w:t>
      </w:r>
    </w:p>
    <w:p>
      <w:pPr>
        <w:pStyle w:val="ListParagraph"/>
        <w:rPr>
          <w:noProof/>
        </w:rPr>
      </w:pPr>
      <w:r>
        <w:rPr>
          <w:noProof/>
        </w:rPr>
        <w:t xml:space="preserve">a közigazgatási együttműködési irányelv szerinti információcsere megvalósításának hatására jelentősen megnőtt az adóhatóságok által kezelendő adatok mennyisége, ugyanakkor az erre rendelkezésre álló kapacitásuk az átlagot tekintve nem bővült ugyanilyen mértékben; </w:t>
      </w:r>
    </w:p>
    <w:p>
      <w:pPr>
        <w:pStyle w:val="ListParagraph"/>
        <w:rPr>
          <w:noProof/>
        </w:rPr>
      </w:pPr>
      <w:r>
        <w:rPr>
          <w:noProof/>
        </w:rPr>
        <w:t xml:space="preserve">még túl korai a közigazgatási együttműködési irányelv előnyeit értékelni. </w:t>
      </w:r>
    </w:p>
    <w:p>
      <w:pPr>
        <w:pStyle w:val="Heading2"/>
        <w:rPr>
          <w:noProof/>
        </w:rPr>
      </w:pPr>
      <w:bookmarkStart w:id="110" w:name="_Toc495416817"/>
      <w:r>
        <w:rPr>
          <w:noProof/>
        </w:rPr>
        <w:t>A közigazgatási együttműködési irányelv rendelkezéseit végrehajtották ugyan, de nem mindegyiket sikerült hatékonyan teljesíteni</w:t>
      </w:r>
      <w:bookmarkEnd w:id="110"/>
    </w:p>
    <w:p>
      <w:pPr>
        <w:spacing w:before="120"/>
        <w:rPr>
          <w:noProof/>
        </w:rPr>
      </w:pPr>
      <w:r>
        <w:rPr>
          <w:noProof/>
        </w:rPr>
        <w:t xml:space="preserve">A tagállamoktól kapott információk alapján összességében véve megállapítható, hogy a közigazgatási együttműködési irányelvet rendeltetése szerint hajtották végre. Mindazonáltal az alábbi területeken lenne szükség további fejlődésre az irányelv megfelelő alkalmazása érdekében: </w:t>
      </w:r>
    </w:p>
    <w:p>
      <w:pPr>
        <w:spacing w:before="120"/>
        <w:rPr>
          <w:noProof/>
        </w:rPr>
      </w:pPr>
      <w:r>
        <w:rPr>
          <w:noProof/>
        </w:rPr>
        <w:t xml:space="preserve">Az irányelvben rögzített határidők betartására tett erőfeszítések ellenére a </w:t>
      </w:r>
      <w:r>
        <w:rPr>
          <w:b/>
          <w:noProof/>
        </w:rPr>
        <w:t>megkeresésre történő információcsere</w:t>
      </w:r>
      <w:r>
        <w:rPr>
          <w:noProof/>
        </w:rPr>
        <w:t xml:space="preserve"> nem kellően gyors. Az irányelv meghatározza ugyan az információkérésre való válaszadás határidejét, ugyanakkor elismeri, hogy előfordulnak olyan különleges esetek, amikor egyedileg meg lehet állapodni más határidőről. Mindazonáltal a hatékony együttműködés megvalósítása szempontjából különösen fontos az időben történő válaszadás. A közigazgatási együttműködési irányelv rendelkezései teljesen egyértelműen fogalmaznak e tekintetben: az információkat a lehető leghamarabb közölni kell, mivel késedelem esetén előfordulhat, hogy a válasz már nem olyan hasznos a megkereső tagállamnak. A bizottsági szolgálati munkadokumentum 5. szakasza szerint jelenleg nem mindegyik információkérés teljesül az irányelvben megjelölt határidőn belül</w:t>
      </w:r>
      <w:r>
        <w:rPr>
          <w:rStyle w:val="FootnoteReference"/>
          <w:noProof/>
        </w:rPr>
        <w:footnoteReference w:id="1"/>
      </w:r>
      <w:r>
        <w:rPr>
          <w:noProof/>
        </w:rPr>
        <w:t xml:space="preserve">. </w:t>
      </w:r>
    </w:p>
    <w:p>
      <w:pPr>
        <w:spacing w:before="120"/>
        <w:rPr>
          <w:noProof/>
        </w:rPr>
      </w:pPr>
      <w:r>
        <w:rPr>
          <w:noProof/>
        </w:rPr>
        <w:t xml:space="preserve">A tagállamok </w:t>
      </w:r>
      <w:r>
        <w:rPr>
          <w:b/>
          <w:noProof/>
        </w:rPr>
        <w:t>spontán információcsere</w:t>
      </w:r>
      <w:r>
        <w:rPr>
          <w:noProof/>
        </w:rPr>
        <w:t xml:space="preserve"> révén olyan információkat osztanak meg egymással, amelyek másik tagállam adóhatósága számára az adott ország adójogszabályainak végrehajtása szempontjából fontosak lehetnek.  A spontán módon nyújtott tájékoztatásnak hatékonynak kell lennie, mivel azt az adóbeszedés terén saját gyakorlati tapasztalataikra és szaktudásukra támaszkodó adótisztviselők választják. Rendszeres visszajelzés hiányában viszont nem lehet értékelni az egymásnak nyújtott tájékoztatás hatékonyságát. A bizottsági szolgálati munkadokumentum 7. szakaszában foglaltak szerint előfordult ugyan spontán információcsere a vizsgált időszakban, ez azonban nem volt kellően hatékony, különösen a határokon átnyúló vonatkozású feltételes adómegállapításokat és az előzetes árképzési megállapodásokat illetően. A Luxemburg és az ott bejegyzett multinacionális vállalatok közötti vitatott adómegállapodásokkal kapcsolatos Luxleaks-botrány egyértelművé tette, hogy ezen a területen nem működik a közigazgatási együttműködés, 2015-ben pedig az Európai Bizottság javaslatot tett a harmadik közigazgatási együttműködési irányelvre, amely arra kötelezi a tagállamokat, hogy </w:t>
      </w:r>
      <w:r>
        <w:rPr>
          <w:noProof/>
          <w:u w:val="single"/>
        </w:rPr>
        <w:t>automatikusan</w:t>
      </w:r>
      <w:r>
        <w:rPr>
          <w:noProof/>
        </w:rPr>
        <w:t xml:space="preserve"> folytassanak információcserét az adómegállapításaikról. </w:t>
      </w:r>
    </w:p>
    <w:p>
      <w:pPr>
        <w:spacing w:before="120"/>
        <w:rPr>
          <w:noProof/>
        </w:rPr>
      </w:pPr>
      <w:r>
        <w:rPr>
          <w:noProof/>
        </w:rPr>
        <w:t xml:space="preserve">A kötelező </w:t>
      </w:r>
      <w:r>
        <w:rPr>
          <w:b/>
          <w:noProof/>
        </w:rPr>
        <w:t>automatikus információcserére</w:t>
      </w:r>
      <w:r>
        <w:rPr>
          <w:noProof/>
        </w:rPr>
        <w:t xml:space="preserve"> vonatkozó első (a közigazgatási együttműködési irányelvben foglalt) rendelkezések 2015. január 1-jétől alkalmazandóak a következő öt jövedelem- és tőkekategóriára: munkaviszonyból származó jövedelem, vezető tisztségviselők tiszteletdíja, bizonyos életbiztosítási termékek, nyugdíj, valamint ingatlan tulajdonjoga és ingatlanból származó jövedelem. A kapott információk alapján azonban nincs egyértelmű bizonyíték ezen információk tényleges felhasználására. Jóllehet a tagállamok többsége azt állította, hogy beérkezéskor megnyitja a nagymennyiségű információt tartalmazó fájlokat, a jelek szerint azonban több tagállam sem tud mit kezdeni, és a bizottsági szolgálati munkadokumentum 6. szakasza alapján ennek több oka is van, például nem rendelkezik a szükséges erőforrásokkal, vagy nincsenek automatizált eljárásai az adózók azonosítására. </w:t>
      </w:r>
    </w:p>
    <w:p>
      <w:pPr>
        <w:spacing w:before="120"/>
        <w:rPr>
          <w:noProof/>
        </w:rPr>
      </w:pPr>
      <w:r>
        <w:rPr>
          <w:noProof/>
        </w:rPr>
        <w:t xml:space="preserve">Az irányelv </w:t>
      </w:r>
      <w:r>
        <w:rPr>
          <w:b/>
          <w:noProof/>
        </w:rPr>
        <w:t>az információcserén kívüli együttműködési lehetőségeket</w:t>
      </w:r>
      <w:r>
        <w:rPr>
          <w:noProof/>
        </w:rPr>
        <w:t xml:space="preserve"> is meghatároz. Lehetővé teszi, hogy az adóhatóságok kétoldalú megállapodást kössenek tisztviselőik másik tagállamban való jelenlétéről, két vagy több tagállam egyidejű adóellenőrzésnek vessen alá olyan személyt, akikhez közös érdekük fűződik, az adóhatóságok pedig együttműködés céljából más tagállamok adóhatóságához forduljanak, annak biztosítása érdekében, hogy az adózók, bárhol is találhatók, értesüljenek az adókötelezettségüket érintő határozatokról és okiratokról. Ugyanakkor az Európában folyó, határokon átnyúló tevékenységek terjedelméhez vagy az adóhatóságok által elvégzett ellenőrzések teljes számához</w:t>
      </w:r>
      <w:r>
        <w:rPr>
          <w:rStyle w:val="FootnoteReference"/>
          <w:noProof/>
        </w:rPr>
        <w:footnoteReference w:id="2"/>
      </w:r>
      <w:r>
        <w:rPr>
          <w:noProof/>
        </w:rPr>
        <w:t xml:space="preserve"> képest csak korlátozott mértékű közigazgatási együttműködés folyik e rendelkezések alapján, ahogy azt a bizottsági szolgálati munkadokumentum 8. és 9. szakasza is tükrözi. Ezt az együttműködést tehát ki lehetne szélesíteni. Az együttműködés fokozódása esetén az adózási biztonság is nőne a másik tagállamban tevékenykedő adózók szempontjából, ha következetesebbé és kiszámíthatóbbá válnának a különböző adóhatóságok által végzett ellenőrzések.  </w:t>
      </w:r>
    </w:p>
    <w:p>
      <w:pPr>
        <w:pStyle w:val="Heading2"/>
        <w:rPr>
          <w:noProof/>
        </w:rPr>
      </w:pPr>
      <w:bookmarkStart w:id="111" w:name="_Toc495416818"/>
      <w:r>
        <w:rPr>
          <w:noProof/>
        </w:rPr>
        <w:t>A közigazgatási együttműködési irányelv szerinti információcsere hatására jelentősen megnőtt az adóhatóságok által kezelendő adatok mennyisége, ugyanakkor az erre rendelkezésre álló kapacitásuk nem bővült ugyanilyen mértékben</w:t>
      </w:r>
      <w:bookmarkEnd w:id="111"/>
    </w:p>
    <w:p>
      <w:pPr>
        <w:spacing w:before="120"/>
        <w:rPr>
          <w:noProof/>
        </w:rPr>
      </w:pPr>
      <w:r>
        <w:rPr>
          <w:noProof/>
        </w:rPr>
        <w:t xml:space="preserve">A közigazgatási együttműködési irányelv alapján jelentős mértékű információcsere folyt, az automatikus információcserére vonatkozó kiegészítő rendelkezések tényleges végrehajtását követően pedig még inkább fokozódik majd. Az ezen információáramlás lebonyolításához rendelt erőforrások azonban továbbra is korlátozottak. </w:t>
      </w:r>
    </w:p>
    <w:p>
      <w:pPr>
        <w:spacing w:before="120"/>
        <w:rPr>
          <w:noProof/>
        </w:rPr>
      </w:pPr>
      <w:r>
        <w:rPr>
          <w:noProof/>
        </w:rPr>
        <w:t xml:space="preserve">A tagállami adóhatóságok által közölt információk szerint a központi kapcsolattartó irodákban </w:t>
      </w:r>
      <w:r>
        <w:rPr>
          <w:b/>
          <w:noProof/>
        </w:rPr>
        <w:t>az uniós közigazgatási együttműködéssel megbízott adóhatósági személyzet létszáma</w:t>
      </w:r>
      <w:r>
        <w:rPr>
          <w:noProof/>
        </w:rPr>
        <w:t xml:space="preserve"> a legtöbb tagállamban 1 és 5 között van, ahogy az a bizottsági szolgálati munkadokumentum 4. szakaszából is kiderül. Ez a létszám ugyan nem a közigazgatási együttműködéssel foglalkozó teljes személyzetet jelenti, a vizsgált időszakra vonatkozóan azonban nem számoltak be arról, hogy jelentősen nőtt volna a központi kapcsolattartó iroda személyi állománya, miközben a közigazgatási együttműködés terjedelmét tekintve bővült, és ugrásszerű fejlődésen ment át rövid idő alatt. Ezek a számadatok a tagállami adóhatóságok személyi állományának általános létszámához viszonyítva azt jelzik, hogy több tagállam csak elenyésző mértékben fordított beruházásokat az uniós közigazgatási együttműködésre. </w:t>
      </w:r>
    </w:p>
    <w:p>
      <w:pPr>
        <w:spacing w:before="120"/>
        <w:rPr>
          <w:noProof/>
        </w:rPr>
      </w:pPr>
      <w:r>
        <w:rPr>
          <w:noProof/>
        </w:rPr>
        <w:t xml:space="preserve">A tagállamok többnyire az automatikus információcseréhez szükséges biztonságos környezet kiépítéséhez vették igénybe az </w:t>
      </w:r>
      <w:r>
        <w:rPr>
          <w:b/>
          <w:noProof/>
        </w:rPr>
        <w:t>információtechnológiai erőforrásokat</w:t>
      </w:r>
      <w:r>
        <w:rPr>
          <w:noProof/>
        </w:rPr>
        <w:t>. A kapott információk automatizált felhasználásának lehetővé tételére irányuló informatikai munkálatok még csak most kezdődnek el. A bizottsági szolgálati munkadokumentum 6. szakasza szerint a tagállamok arról számoltak be, hogy adóhatóságaik számára még mindig nehézséget okoz az automatikus információcserén keresztül kapott jövedelemadatok automatikus összevetése a saját adóügyi nyilvántartásukkal.</w:t>
      </w:r>
    </w:p>
    <w:p>
      <w:pPr>
        <w:pStyle w:val="Heading2"/>
        <w:rPr>
          <w:noProof/>
        </w:rPr>
      </w:pPr>
      <w:bookmarkStart w:id="112" w:name="_Toc495416819"/>
      <w:r>
        <w:rPr>
          <w:noProof/>
        </w:rPr>
        <w:t>Még túl korai a közigazgatási együttműködési irányelv előnyeit értékelni</w:t>
      </w:r>
      <w:bookmarkEnd w:id="112"/>
    </w:p>
    <w:p>
      <w:pPr>
        <w:spacing w:before="120"/>
        <w:rPr>
          <w:noProof/>
        </w:rPr>
      </w:pPr>
      <w:r>
        <w:rPr>
          <w:noProof/>
        </w:rPr>
        <w:t xml:space="preserve">A közigazgatási együttműködési irányelv célja, hogy az adatok rendelkezésre állásának és az együttműködésnek a fokozásával visszaszorítsa a határokon átnyúló adókijátszást, adócsalást és adókikerülést. Azonban még közel öt évvel a hatálybalépése után is keveset lehet tudni arról, hogy a végrehajtása ténylegesen milyen hatást gyakorolt e tekintetben. </w:t>
      </w:r>
    </w:p>
    <w:p>
      <w:pPr>
        <w:spacing w:before="120"/>
        <w:rPr>
          <w:noProof/>
        </w:rPr>
      </w:pPr>
      <w:r>
        <w:rPr>
          <w:noProof/>
        </w:rPr>
        <w:t xml:space="preserve">Az Európai Bizottság évente kér adatszolgáltatást a közigazgatási együttműködésből fakadó adóügyi előnyökről azok formájától függetlenül, azonban kevés adóhatóság tud erre vonatkozó tájékoztatással – vagy akár becsléssel – szolgálni. Általános egyetértés mutatkozik abban, az ilyen jellegű adatok pénzösszegben és adózói magatartás szempontjából kifejezve is hasznosak lennének, amennyiben megbízható módon lehetne számszerűsíteni őket. A tagállamoknak azonban nehézséget okoz, hogy ezeket az adatokat összekapcsolják a közigazgatási együttműködéssel, ellentétben például más nemzeti megfelelőségi kezdeményezésekkel. Emellett a fokozott együttműködés visszatartó erejét is nehéz számszerűsíteni. </w:t>
      </w:r>
    </w:p>
    <w:p>
      <w:pPr>
        <w:pStyle w:val="ManualHeading1"/>
        <w:rPr>
          <w:noProof/>
        </w:rPr>
      </w:pPr>
      <w:bookmarkStart w:id="113" w:name="_Toc495416820"/>
      <w:bookmarkEnd w:id="113"/>
      <w:r>
        <w:t>4.</w:t>
      </w:r>
      <w:r>
        <w:tab/>
      </w:r>
      <w:r>
        <w:rPr>
          <w:noProof/>
        </w:rPr>
        <w:t>TEENDŐK</w:t>
      </w:r>
    </w:p>
    <w:p>
      <w:pPr>
        <w:spacing w:before="120"/>
        <w:rPr>
          <w:noProof/>
        </w:rPr>
      </w:pPr>
      <w:r>
        <w:rPr>
          <w:noProof/>
        </w:rPr>
        <w:t xml:space="preserve">Az összegyűjtött információk és az elvégzett elemzés alapján a Bizottság úgy véli, hogy jobb, átláthatóbb megközelítésre van szükség az Európai Unióban ahhoz, hogy a közigazgatási együttműködés hozzájáruljon a mindenki számára igazságos adózás átfogó célkitűzésének eléréséhez, és ezt az érintettek is belássák. A megközelítés fejlesztését célzó intézkedések három pillérre épülnek: </w:t>
      </w:r>
    </w:p>
    <w:p>
      <w:pPr>
        <w:pStyle w:val="Heading2"/>
        <w:rPr>
          <w:noProof/>
        </w:rPr>
      </w:pPr>
      <w:bookmarkStart w:id="114" w:name="_Toc495416822"/>
      <w:r>
        <w:rPr>
          <w:noProof/>
        </w:rPr>
        <w:t>A közigazgatási együttműködési irányelv átfogó és átlátható tagállami végrehajtása</w:t>
      </w:r>
      <w:bookmarkEnd w:id="114"/>
      <w:r>
        <w:rPr>
          <w:noProof/>
        </w:rPr>
        <w:t xml:space="preserve"> </w:t>
      </w:r>
    </w:p>
    <w:p>
      <w:pPr>
        <w:spacing w:before="120"/>
        <w:rPr>
          <w:noProof/>
        </w:rPr>
      </w:pPr>
      <w:r>
        <w:rPr>
          <w:noProof/>
        </w:rPr>
        <w:t xml:space="preserve">Célkitűzéseinek teljesítése érdekében a közigazgatási együttműködési irányelvet átfogó és hatékony módon kell végrehajtani. Az uniós döntéshozókat és érdekcsoportokat kimerítően tájékoztatni kell. A közigazgatási együttműködési irányelv jelenleg hatályos 27. cikke értelmében a Bizottságnak ötévente jelentést kell készítenie a Tanácsnak és az Európai Parlamentnek. Ezen túlmenően az irányelv 8b. cikke eseti rendelkezést fogalmaz meg az automatikus információcseréről szóló egyszeri jelentésről, amelyben a Bizottság „áttekinti és értékeli [a] kapott statisztikai adatokat és információkat, így például az automatikus információcsere adminisztratív és egyéb kapcsolódó költségeit és előnyeit, valamint az ezekhez kapcsolódó gyakorlati kérdéseket”. Ezt a jelentést 2019. január 1. előtt kell benyújtania. </w:t>
      </w:r>
    </w:p>
    <w:p>
      <w:pPr>
        <w:spacing w:before="120"/>
        <w:rPr>
          <w:noProof/>
        </w:rPr>
      </w:pPr>
      <w:r>
        <w:rPr>
          <w:noProof/>
        </w:rPr>
        <w:t>A jelentéstétel átláthatóbbá és rendszeresebbé tételét illetően is szükség van intézkedésekre.</w:t>
      </w:r>
    </w:p>
    <w:p>
      <w:pPr>
        <w:pStyle w:val="ListParagraph"/>
        <w:rPr>
          <w:noProof/>
        </w:rPr>
      </w:pPr>
      <w:r>
        <w:rPr>
          <w:noProof/>
        </w:rPr>
        <w:t xml:space="preserve">A 27. cikkben rögzített követelményt ugyan nem kell módosítani, a Bizottság azonban mérlegelni fogja bizonyos alapvető statisztikai adatok éves közzétételének lehetőségét, ahogy arra már évek óta van példa a közös transzferárfórum keretein belül a kölcsönös egyeztetési eljárások és az előzetes árképzési megállapodások esetében. </w:t>
      </w:r>
    </w:p>
    <w:p>
      <w:pPr>
        <w:pStyle w:val="ListParagraph"/>
        <w:rPr>
          <w:noProof/>
        </w:rPr>
      </w:pPr>
      <w:r>
        <w:rPr>
          <w:noProof/>
        </w:rPr>
        <w:t xml:space="preserve">Az Európai Parlament személyzetét bátorítani kell arra, hogy fogadják el a szakértői csoport tagállamokkal közösen a közigazgatási együttműködési irányelv végrehajtásáról tartott üléseire szóló meghívásokat. </w:t>
      </w:r>
    </w:p>
    <w:p>
      <w:pPr>
        <w:spacing w:before="120"/>
        <w:rPr>
          <w:noProof/>
        </w:rPr>
      </w:pPr>
      <w:r>
        <w:rPr>
          <w:noProof/>
        </w:rPr>
        <w:t>Emellett a közigazgatási együttműködés hatékonyabbá és eredményesebbé tétele érdekében még további intézkedéseket kell tenni:</w:t>
      </w:r>
    </w:p>
    <w:p>
      <w:pPr>
        <w:pStyle w:val="ListParagraph"/>
        <w:rPr>
          <w:noProof/>
        </w:rPr>
      </w:pPr>
      <w:r>
        <w:rPr>
          <w:noProof/>
        </w:rPr>
        <w:t>a megkeresésre történő információcserével kapcsolatosan arra kell ösztönözni a tagállamokat, hogy rövidebb időn belül válaszoljanak. A Bizottság megvizsgálja majd, hogy an automatizálható a megkeresések kézhezvételének visszaigazolása, az információcsere munkamenetének figyelemmel kísérése, valamint az átfogó statisztikai adatok előállítása, hogy ezáltal a személyi állomány egy része felszabaduljon a tagállamokban;</w:t>
      </w:r>
    </w:p>
    <w:p>
      <w:pPr>
        <w:pStyle w:val="ListParagraph"/>
        <w:rPr>
          <w:noProof/>
        </w:rPr>
      </w:pPr>
      <w:r>
        <w:rPr>
          <w:noProof/>
        </w:rPr>
        <w:t xml:space="preserve">a spontán információcserét illetően fel kell hívni a figyelmet arra, hogy fontos megjelölni a másik tagállam számára hasznos információkat, egyúttal pedig egyedi megközelítést kell bevezetni, hogy a spontán információcsere a továbbiakban is hasznos legyen az információt fogadó tagállam számára. A tagállamoknak emellett formanyomtatványok használatával is folytatniuk kell spontán információcserét, és erre az adóhatóságokon belül is fel kell hívniuk a figyelmet; </w:t>
      </w:r>
      <w:r>
        <w:rPr>
          <w:noProof/>
          <w:vertAlign w:val="superscript"/>
        </w:rPr>
        <w:footnoteReference w:id="3"/>
      </w:r>
    </w:p>
    <w:p>
      <w:pPr>
        <w:pStyle w:val="ListParagraph"/>
        <w:rPr>
          <w:noProof/>
        </w:rPr>
      </w:pPr>
      <w:r>
        <w:rPr>
          <w:noProof/>
        </w:rPr>
        <w:t>a tagállamoknak gyakrabban igénybe kell venniük az információcserén kívül rendelkezésre álló egyéb közigazgatási együttműködési lehetőségeket, így a közigazgatási hivatalokban való jelenlétet és a közigazgatási vizsgálatokban való részvételt, valamint az egyidejű ellenőrzéseket, és rendszerezett visszajelzést kell adniuk az egymással megosztott információkról és azok hasznosságáról.</w:t>
      </w:r>
      <w:r>
        <w:rPr>
          <w:noProof/>
          <w:vertAlign w:val="superscript"/>
        </w:rPr>
        <w:footnoteReference w:id="4"/>
      </w:r>
      <w:r>
        <w:rPr>
          <w:noProof/>
        </w:rPr>
        <w:t xml:space="preserve">  A Bizottság megfontolja annak a lehetőségét is, hogy a tagállamok kérésének eleget téve a közigazgatási kézbesítésre is kiterjessze az elektronikus formanyomtatványok alkalmazási körét;</w:t>
      </w:r>
    </w:p>
    <w:p>
      <w:pPr>
        <w:pStyle w:val="ListParagraph"/>
        <w:rPr>
          <w:noProof/>
        </w:rPr>
      </w:pPr>
      <w:r>
        <w:rPr>
          <w:noProof/>
        </w:rPr>
        <w:t xml:space="preserve">a Bizottság azt is mérlegelni fogja, hogy javaslatot tegyen közös ellenőrzésekre a közvetlen adózás területén (ahogy ilyen jellegű tervek jelenleg már vannak a hozzáadottérték-adó területén történő közigazgatási együttműködést illetően), közös módszerek alkalmazásával. </w:t>
      </w:r>
    </w:p>
    <w:p>
      <w:pPr>
        <w:pStyle w:val="Heading2"/>
        <w:rPr>
          <w:noProof/>
        </w:rPr>
      </w:pPr>
      <w:bookmarkStart w:id="115" w:name="_Toc495416823"/>
      <w:bookmarkStart w:id="116" w:name="_Toc495416824"/>
      <w:bookmarkEnd w:id="115"/>
      <w:r>
        <w:rPr>
          <w:noProof/>
        </w:rPr>
        <w:t>A tagállami kapacitások fejlesztése az uniós közigazgatási együttműködés terén</w:t>
      </w:r>
      <w:bookmarkEnd w:id="116"/>
      <w:r>
        <w:rPr>
          <w:noProof/>
        </w:rPr>
        <w:t xml:space="preserve"> </w:t>
      </w:r>
    </w:p>
    <w:p>
      <w:pPr>
        <w:spacing w:before="120"/>
        <w:rPr>
          <w:noProof/>
        </w:rPr>
      </w:pPr>
      <w:r>
        <w:rPr>
          <w:noProof/>
        </w:rPr>
        <w:t>Ha nem állnak elegendő erőforrások a tagállamok adóhatóságainak rendelkezésére, akkor keveset tudnak majd kezdeni még több adattal. Ha a tagállamokban nincs meg a kellő személyi állomány a más tagállamokból kapott adatok elemzéséhez és felhasználásához, akkor az automatikus információcsere nem tesz eleget a céljának, és nem is hatékony. A közigazgatási együttműködési irányelv önmagában nem adóhatósági kapacitásépítésre szolgál. A Bizottság szerint azonban több olyan megoldás is rendelkezésre áll, amellyel hatékonyabbá lehet tenni a közigazgatási együttműködési irányelv végrehajtását:</w:t>
      </w:r>
    </w:p>
    <w:p>
      <w:pPr>
        <w:pStyle w:val="ListParagraph"/>
        <w:rPr>
          <w:noProof/>
        </w:rPr>
      </w:pPr>
      <w:r>
        <w:rPr>
          <w:noProof/>
        </w:rPr>
        <w:t>a Fiscalis 2020 programon keresztül a Bizottság erősítheti a tagállamok és a tagjelölt országok közigazgatási kapacitását. A program keretében több műhelytalálkozóra és más tevékenységre kerül sor az adóhatóságokat érintő különféle ügyekkel, köztük a közigazgatási együttműködéssel kapcsolatosan. Fel lehetne erősíteni a program közigazgatási együttműködési irányelvhez kapcsolódó jellegét a kifejezetten az irányelvre irányuló tevékenységsorozat szervezésével, az irányelv tényleges végrehajtásának támogatása céljából. A Bizottság megvizsgálja majd annak a lehetőségét, hogy létrehozzon-e a közigazgatási együttműködéssel foglalkozó uniós szakértői csoportot</w:t>
      </w:r>
      <w:r>
        <w:rPr>
          <w:noProof/>
        </w:rPr>
        <w:footnoteReference w:id="5"/>
      </w:r>
      <w:r>
        <w:rPr>
          <w:noProof/>
        </w:rPr>
        <w:t xml:space="preserve">; </w:t>
      </w:r>
    </w:p>
    <w:p>
      <w:pPr>
        <w:pStyle w:val="ListParagraph"/>
        <w:rPr>
          <w:noProof/>
        </w:rPr>
      </w:pPr>
      <w:r>
        <w:rPr>
          <w:noProof/>
        </w:rPr>
        <w:t>a Bizottság ugyanezen program keretében kompetenciakeretet alakít ki az adóhatóságok számára, a tagállami adótisztviselőik készségeinek fejlesztése és teljesítményének növelése érdekében. A Bizottság gondoskodni fog arról, hogy ez a keret az uniós közigazgatási együttműködéssel kapcsolatos képzést és mutatószámokat is tartalmazzon;</w:t>
      </w:r>
    </w:p>
    <w:p>
      <w:pPr>
        <w:pStyle w:val="ListParagraph"/>
        <w:rPr>
          <w:noProof/>
        </w:rPr>
      </w:pPr>
      <w:r>
        <w:rPr>
          <w:noProof/>
        </w:rPr>
        <w:t>bizonyított tény, hogy egyes adóhatóságok jobban teljesítenek mint mások, különösen az adóügyi információk felhasználását és a felhasználásával kapcsolatos jelentéstételt illetően. A fejlesztési törekvések első lépéseként nagyobb hangsúlyt kell fektetni az adózók azonosításának automatizálására, valamint az automatikus információcserén keresztül külföldről kapott információk belföldön rendelkezésre álló információkkal való összevétésére, ez pedig később kiterjeszthető egy esetleges közös kockázatkezelési eszköz kidolgozására.  A Bizottság e jelentéssel együtt átfogó tanulmányt tesz közzé a másik tagállamban tevékenykedő adózók azonosításának fejlesztési lehetőségeiről, emellett fontolóra veszi a közigazgatási együttműködési irányelvvel foglalkozó műhelytalálkozó-sorozat szervezését, hogy ezzel előmozdítsa a bevált módszerek és tapasztalatok megosztását;</w:t>
      </w:r>
    </w:p>
    <w:p>
      <w:pPr>
        <w:pStyle w:val="ListParagraph"/>
        <w:rPr>
          <w:noProof/>
        </w:rPr>
      </w:pPr>
      <w:r>
        <w:rPr>
          <w:noProof/>
        </w:rPr>
        <w:t>a közigazgatási együttműködési irányelv alkalmazásának képessége attól is függ, hogy a Bizottság milyen eszközöket bocsát a tagállamok rendelkezésére az irányelv minél gördülékenyebb végrehajtásához. Az e-Forms Central Application (elektronikus formanyomtatványok központi alkalmazása) bevezetésével a Bizottság olyan eszközöket biztosít a tagállamoknak, amelyekkel teljes körűen vagy részben automatizálhatják azokat a közigazgatási együttműködési irányelvvel kapcsolatos eljárásokat, amelyeket a bizottsági szolgálati munkadokumentum tanúsága szerint jelenleg megterhelőnek tartanak, ezzel lehetővé téve, hogy a tagállam adóhatóságok személyzete a jelentőségteljesebb feladatokra összpontosíthasson. Ennek köszönhetően jobb és megbízhatóbb statisztikák is készülhetnek.</w:t>
      </w:r>
    </w:p>
    <w:p>
      <w:pPr>
        <w:pStyle w:val="Heading2"/>
        <w:rPr>
          <w:noProof/>
        </w:rPr>
      </w:pPr>
      <w:bookmarkStart w:id="117" w:name="_Toc495416825"/>
      <w:bookmarkStart w:id="118" w:name="_Toc495416826"/>
      <w:bookmarkStart w:id="119" w:name="_Toc495416827"/>
      <w:bookmarkStart w:id="120" w:name="_Toc495416828"/>
      <w:bookmarkStart w:id="121" w:name="_Toc495416829"/>
      <w:bookmarkStart w:id="122" w:name="_Toc495416830"/>
      <w:bookmarkEnd w:id="117"/>
      <w:bookmarkEnd w:id="118"/>
      <w:bookmarkEnd w:id="119"/>
      <w:bookmarkEnd w:id="120"/>
      <w:bookmarkEnd w:id="121"/>
      <w:r>
        <w:rPr>
          <w:noProof/>
        </w:rPr>
        <w:t>Pontosabb és átláthatóbb adatok a közigazgatási együttműködési irányelv rendelkezéseinek végrehajtásáról és előnyeiről</w:t>
      </w:r>
      <w:bookmarkEnd w:id="122"/>
      <w:r>
        <w:rPr>
          <w:noProof/>
        </w:rPr>
        <w:t xml:space="preserve"> </w:t>
      </w:r>
    </w:p>
    <w:p>
      <w:pPr>
        <w:rPr>
          <w:noProof/>
        </w:rPr>
      </w:pPr>
    </w:p>
    <w:p>
      <w:pPr>
        <w:spacing w:before="120"/>
        <w:rPr>
          <w:noProof/>
        </w:rPr>
      </w:pPr>
      <w:r>
        <w:rPr>
          <w:noProof/>
        </w:rPr>
        <w:t xml:space="preserve">A közigazgatási együttműködési irányelv jelenleg hatályos 8b. cikkében a tagállamok felkérést kaptak arra, hogy „a lehetőségekhez mérten” szolgáltassanak statisztikai adatokat az automatikus információcsere előnyeiről, az információcsere vagy közigazgatási együttműködés más formáinak előnyeiről azonban nem szól rendelkezés. </w:t>
      </w:r>
    </w:p>
    <w:p>
      <w:pPr>
        <w:pStyle w:val="ListParagraph"/>
        <w:rPr>
          <w:noProof/>
        </w:rPr>
      </w:pPr>
      <w:r>
        <w:rPr>
          <w:noProof/>
        </w:rPr>
        <w:t>Az Európai Bizottság az adózás területén történő közigazgatási együttműködéssel foglalkozó bizottság</w:t>
      </w:r>
      <w:r>
        <w:rPr>
          <w:noProof/>
        </w:rPr>
        <w:footnoteReference w:id="6"/>
      </w:r>
      <w:r>
        <w:rPr>
          <w:noProof/>
        </w:rPr>
        <w:t xml:space="preserve"> közreműködésével javaslatot készített a közigazgatási együttműködési irányelvvel kapcsolatos statisztikákról és az automatikus információcsere éves értékeléséről szóló végrehajtási rendeletre, amely az automatikus információcsere adózási fegyelem céljára való felhasználásának és hatékonyságának figyelemmel kíséréséről is rendelkezik; </w:t>
      </w:r>
    </w:p>
    <w:p>
      <w:pPr>
        <w:pStyle w:val="ListParagraph"/>
        <w:rPr>
          <w:noProof/>
        </w:rPr>
      </w:pPr>
      <w:r>
        <w:rPr>
          <w:noProof/>
        </w:rPr>
        <w:t>a Bizottság tagállami szakértőkkel együttműködve keresi majd annak módjait, hogyan becsülhetők meg megbízható és átfogó módon a közigazgatási együttműködés előnyei.</w:t>
      </w:r>
    </w:p>
    <w:p>
      <w:pPr>
        <w:pStyle w:val="ListParagraph"/>
        <w:rPr>
          <w:noProof/>
        </w:rPr>
      </w:pPr>
      <w:r>
        <w:rPr>
          <w:noProof/>
        </w:rPr>
        <w:t>A Bizottság 2019. január 1-jéig jelentést készít az automatikus információcseréről (a 8b. cikk szerint), amelyben többek között az automatikus információcsere adminisztratív és egyéb kapcsolódó költségeivel és előnyeivel, valamint az ezekhez kapcsolódó gyakorlati kérdésekkel is foglalkozik.</w:t>
      </w:r>
    </w:p>
    <w:p>
      <w:pPr>
        <w:pStyle w:val="ManualHeading1"/>
        <w:rPr>
          <w:noProof/>
        </w:rPr>
      </w:pPr>
      <w:bookmarkStart w:id="123" w:name="_Toc495416831"/>
      <w:bookmarkEnd w:id="123"/>
      <w:r>
        <w:t>5.</w:t>
      </w:r>
      <w:r>
        <w:tab/>
      </w:r>
      <w:r>
        <w:rPr>
          <w:noProof/>
        </w:rPr>
        <w:t>KÖVETKEZTETÉSEK</w:t>
      </w:r>
    </w:p>
    <w:p>
      <w:pPr>
        <w:rPr>
          <w:noProof/>
        </w:rPr>
      </w:pPr>
    </w:p>
    <w:p>
      <w:pPr>
        <w:spacing w:before="120" w:after="0"/>
        <w:rPr>
          <w:noProof/>
        </w:rPr>
      </w:pPr>
      <w:r>
        <w:rPr>
          <w:noProof/>
        </w:rPr>
        <w:t xml:space="preserve">Az irányelv végrehajtása és alkalmazása folyamatosan jelentős összegű beruházásokat igényel a tagállamoktól, ennek ellenére a közigazgatási együttműködés egyik leghatékonyabb eszközévé vált. Teljes hatásának értékelése azonban még nehéz feladat. Az összegeken és az információcsere gyakoriságán túlmenően a Bizottság úgy véli, hogy ennek az irányelvnek komoly visszatartó ereje van, ami döntő jelentőséggel bír az adókijátszás elleni küzdelemben. Ezzel párhuzamosan ritkán előfordul, hogy különböző tagállamok önkéntes adatközlési programokat indítanak. A közigazgatási együttműködés közölt összegekre gyakorolt hatását nehéz számszerűsíteni, ugyanakkor észszerűen feltételezhető, hogy a hiányában semmi nem ösztönözne ilyen adatközlésekre. </w:t>
      </w:r>
    </w:p>
    <w:p>
      <w:pPr>
        <w:spacing w:before="120" w:after="0"/>
        <w:rPr>
          <w:noProof/>
        </w:rPr>
      </w:pPr>
      <w:r>
        <w:rPr>
          <w:noProof/>
        </w:rPr>
        <w:t>Azonban az adókikerülés és az adókijátszás elleni küzdelem eszközeként ez egy soha véget nem érő feladat. A közigazgatási együttműködéshez szükséges informatikai struktúra és közös eszközök létesítése után következő lépésként élénkíteni kell a rendelkezésre álló összes eszköz igénybevételét, a kapott adatokat elemezni és hasznosítani kell, valamint törekedni kell az egymással megosztott adatok tartalmi minőségének javítására. Ezzel egyidejűleg meg kell találni az együttműködés új formáit és a jelenlegi keret fejlesztésének lehetőségeit, hogy szembe lehessen szállni a dinamikusan változó adókikerüléssel és az adókijátszással. Az uniós tagállamok bizonyították, hogy elkötelezettek a közigazgatási együttműködés iránt, és kétség kívül további erőfeszítéseket tesznek majd ezen a területen.</w:t>
      </w:r>
      <w:bookmarkStart w:id="124" w:name="_Toc492550647"/>
      <w:bookmarkStart w:id="125" w:name="_Toc492550648"/>
      <w:bookmarkStart w:id="126" w:name="_Toc492550655"/>
      <w:bookmarkStart w:id="127" w:name="_Toc492550656"/>
      <w:bookmarkEnd w:id="124"/>
      <w:bookmarkEnd w:id="125"/>
      <w:bookmarkEnd w:id="126"/>
      <w:bookmarkEnd w:id="127"/>
    </w:p>
    <w:sectPr>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67816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A 2013 és 2016 közötti időszakban küldött információkérések átlagosan mintegy 62%-ára érkezett teljes körű válasz a megkeresés kézhezvételétől számított hat hónapon belül.</w:t>
      </w:r>
    </w:p>
  </w:footnote>
  <w:footnote w:id="2">
    <w:p>
      <w:pPr>
        <w:pStyle w:val="FootnoteText"/>
      </w:pPr>
      <w:r>
        <w:rPr>
          <w:rStyle w:val="FootnoteReference"/>
        </w:rPr>
        <w:footnoteRef/>
      </w:r>
      <w:r>
        <w:tab/>
        <w:t xml:space="preserve">OECD (2015), Tax Administration 2015: Comparative Information on OECD and Other Advanced and Emerging Economies (Adóhatóságok 2015-ben: összehasonlító tájékoztató az OECD-országokról, valamint más fejlett és fejlődő országokról), OECD Publishing, Párizs, 221. és 222. o. </w:t>
      </w:r>
    </w:p>
    <w:p>
      <w:pPr>
        <w:pStyle w:val="FootnoteText"/>
      </w:pPr>
      <w:r>
        <w:t>http://dx.doi.org/10.1787/tax_admin-2015-en</w:t>
      </w:r>
    </w:p>
  </w:footnote>
  <w:footnote w:id="3">
    <w:p>
      <w:pPr>
        <w:pStyle w:val="FootnoteText"/>
        <w:jc w:val="left"/>
      </w:pPr>
      <w:r>
        <w:rPr>
          <w:rStyle w:val="FootnoteReference"/>
        </w:rPr>
        <w:footnoteRef/>
      </w:r>
      <w:r>
        <w:t xml:space="preserve"> </w:t>
      </w:r>
      <w:r>
        <w:tab/>
        <w:t>Lásd a bizottsági szolgálati munkadokumentum 7. szakaszát.</w:t>
      </w:r>
    </w:p>
  </w:footnote>
  <w:footnote w:id="4">
    <w:p>
      <w:pPr>
        <w:pStyle w:val="FootnoteText"/>
        <w:jc w:val="left"/>
      </w:pPr>
      <w:r>
        <w:rPr>
          <w:rStyle w:val="FootnoteReference"/>
        </w:rPr>
        <w:footnoteRef/>
      </w:r>
      <w:r>
        <w:t xml:space="preserve"> </w:t>
      </w:r>
      <w:r>
        <w:tab/>
        <w:t>Lásd a bizottsági szolgálati munkadokumentum 8., 9., 10., 11. és 14. szakaszát.</w:t>
      </w:r>
    </w:p>
  </w:footnote>
  <w:footnote w:id="5">
    <w:p>
      <w:pPr>
        <w:pStyle w:val="FootnoteText"/>
        <w:jc w:val="left"/>
      </w:pPr>
      <w:r>
        <w:rPr>
          <w:rStyle w:val="FootnoteReference"/>
        </w:rPr>
        <w:footnoteRef/>
      </w:r>
      <w:r>
        <w:t xml:space="preserve"> </w:t>
      </w:r>
      <w:r>
        <w:tab/>
        <w:t>A szakértői csoportok szervezet formában nyújtanak lehetőséget a tagállami adóhatóságok közötti együttműködésre, hogy egyesítsék a tagállamokban rendelkezésre álló adóügyi ismereteket és szaktudást. A szakértői csoportok az uniós adóügyi együttműködéssel foglalkozó Fiscalis 2020 program keretében támogathatók.</w:t>
      </w:r>
    </w:p>
  </w:footnote>
  <w:footnote w:id="6">
    <w:p>
      <w:pPr>
        <w:pStyle w:val="FootnoteText"/>
        <w:jc w:val="left"/>
      </w:pPr>
      <w:r>
        <w:rPr>
          <w:rStyle w:val="FootnoteReference"/>
        </w:rPr>
        <w:footnoteRef/>
      </w:r>
      <w:r>
        <w:t xml:space="preserve"> </w:t>
      </w:r>
      <w:r>
        <w:tab/>
        <w:t>Az adózás területén történő közigazgatási együttműködéssel foglalkozó bizottság az irányelv 26. cikke alapján jött létre, hogy segítse a Bizottság munkáját. Munkaprogramja és összefoglaló jelentései elérhetők a következő címen: http://ec.europa.eu/transparency/regcomitology/index.cfm?do=search.search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40BAF"/>
    <w:multiLevelType w:val="hybridMultilevel"/>
    <w:tmpl w:val="D908A8DA"/>
    <w:lvl w:ilvl="0" w:tplc="6872768C">
      <w:start w:val="1"/>
      <w:numFmt w:val="bullet"/>
      <w:pStyle w:val="ListParagraph"/>
      <w:lvlText w:val=""/>
      <w:lvlJc w:val="left"/>
      <w:pPr>
        <w:ind w:left="1440" w:hanging="360"/>
      </w:pPr>
      <w:rPr>
        <w:rFonts w:ascii="Symbol" w:hAnsi="Symbol" w:hint="default"/>
      </w:rPr>
    </w:lvl>
    <w:lvl w:ilvl="1" w:tplc="607A8D1C">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1E354C5"/>
    <w:multiLevelType w:val="hybridMultilevel"/>
    <w:tmpl w:val="4978ED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AA37DC7-E7D3-4319-A3AC-25F1D5717DFF"/>
    <w:docVar w:name="LW_COVERPAGE_TYPE" w:val="1"/>
    <w:docVar w:name="LW_CROSSREFERENCE" w:val="{SWD(2017) 462 final}"/>
    <w:docVar w:name="LW_DocType" w:val="NORMAL"/>
    <w:docVar w:name="LW_EMISSION" w:val="2017.12.18."/>
    <w:docVar w:name="LW_EMISSION_ISODATE" w:val="2017-12-18"/>
    <w:docVar w:name="LW_EMISSION_LOCATION" w:val="BRX"/>
    <w:docVar w:name="LW_EMISSION_PREFIX" w:val="Brüsszel, "/>
    <w:docVar w:name="LW_EMISSION_SUFFIX" w:val="&lt;EMPTY&gt;"/>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7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az adózás területén történ\u337? közigazgatási együttm\u369?ködésr\u337?l szóló 2011/16/EU tanácsi irányelv alkalmazásáról"/>
    <w:docVar w:name="LW_TYPE.DOC.CP" w:val="A BIZOTTSÁG JELENTÉSE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New Roman" w:hAnsi="Times New Roman"/>
      <w:color w:val="000000"/>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43"/>
      <w:szCs w:val="43"/>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outlineLvl w:val="4"/>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objet">
    <w:name w:val="Titre objet"/>
    <w:basedOn w:val="Normal"/>
    <w:next w:val="Normal"/>
    <w:pPr>
      <w:spacing w:before="360" w:after="360"/>
      <w:jc w:val="center"/>
    </w:pPr>
    <w:rPr>
      <w:rFonts w:eastAsia="Times New Roman" w:cs="Times New Roman"/>
      <w:b/>
      <w:szCs w:val="20"/>
    </w:rPr>
  </w:style>
  <w:style w:type="paragraph" w:customStyle="1" w:styleId="Typedudocument">
    <w:name w:val="Type du document"/>
    <w:basedOn w:val="Normal"/>
    <w:next w:val="Titreobjet"/>
    <w:pPr>
      <w:spacing w:before="360" w:after="0"/>
      <w:jc w:val="center"/>
    </w:pPr>
    <w:rPr>
      <w:rFonts w:eastAsia="Times New Roman" w:cs="Times New Roman"/>
      <w:b/>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numPr>
        <w:numId w:val="1"/>
      </w:numPr>
      <w:contextualSpacing/>
    </w:pPr>
  </w:style>
  <w:style w:type="paragraph" w:customStyle="1" w:styleId="Text1">
    <w:name w:val="Text 1"/>
    <w:basedOn w:val="Normal"/>
    <w:pPr>
      <w:spacing w:after="240"/>
      <w:ind w:left="482"/>
    </w:pPr>
    <w:rPr>
      <w:rFonts w:eastAsia="Times New Roman" w:cs="Times New Roman"/>
      <w:szCs w:val="20"/>
    </w:rPr>
  </w:style>
  <w:style w:type="paragraph" w:customStyle="1" w:styleId="c01pointnumerotealtn">
    <w:name w:val="c01pointnumerotealtn"/>
    <w:basedOn w:val="Normal"/>
    <w:pPr>
      <w:spacing w:before="100" w:beforeAutospacing="1" w:after="240"/>
      <w:ind w:left="567" w:hanging="539"/>
    </w:pPr>
    <w:rPr>
      <w:rFonts w:eastAsia="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liminairetype">
    <w:name w:val="Préliminaire type"/>
    <w:basedOn w:val="Normal"/>
    <w:next w:val="Normal"/>
    <w:pPr>
      <w:spacing w:before="360" w:after="0"/>
      <w:jc w:val="center"/>
    </w:pPr>
    <w:rPr>
      <w:rFonts w:eastAsia="Times New Roman" w:cs="Times New Roman"/>
      <w:b/>
    </w:rPr>
  </w:style>
  <w:style w:type="paragraph" w:customStyle="1" w:styleId="ManualHeading1">
    <w:name w:val="Manual Heading 1"/>
    <w:basedOn w:val="Normal"/>
    <w:next w:val="Normal"/>
    <w:pPr>
      <w:keepNext/>
      <w:tabs>
        <w:tab w:val="left" w:pos="850"/>
      </w:tabs>
      <w:spacing w:before="360"/>
      <w:ind w:left="850" w:hanging="850"/>
      <w:outlineLvl w:val="0"/>
    </w:pPr>
    <w:rPr>
      <w:rFonts w:eastAsia="Times New Roman" w:cs="Times New Roman"/>
      <w:b/>
      <w:smallCaps/>
    </w:rPr>
  </w:style>
  <w:style w:type="paragraph" w:styleId="CommentText">
    <w:name w:val="annotation text"/>
    <w:basedOn w:val="Normal"/>
    <w:link w:val="CommentTextChar"/>
    <w:uiPriority w:val="99"/>
    <w:semiHidden/>
    <w:unhideWhenUsed/>
    <w:pPr>
      <w:spacing w:before="120"/>
    </w:pPr>
    <w:rPr>
      <w:rFonts w:eastAsia="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u-HU"/>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hu-HU"/>
    </w:rPr>
  </w:style>
  <w:style w:type="paragraph" w:styleId="Header">
    <w:name w:val="header"/>
    <w:basedOn w:val="Normal"/>
    <w:link w:val="HeaderChar"/>
    <w:uiPriority w:val="99"/>
    <w:unhideWhenUsed/>
    <w:pPr>
      <w:tabs>
        <w:tab w:val="center" w:pos="4535"/>
        <w:tab w:val="right" w:pos="9071"/>
      </w:tabs>
    </w:pPr>
    <w:rPr>
      <w:rFonts w:cs="Times New Roman"/>
      <w:color w:val="auto"/>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cs="Times New Roman"/>
      <w:color w:val="auto"/>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
    <w:name w:val="s"/>
    <w:basedOn w:val="DefaultParagraphFont"/>
  </w:style>
  <w:style w:type="paragraph" w:customStyle="1" w:styleId="Normal1">
    <w:name w:val="Normal1"/>
    <w:basedOn w:val="Normal"/>
    <w:pPr>
      <w:spacing w:before="120" w:after="0"/>
    </w:pPr>
    <w:rPr>
      <w:rFonts w:eastAsia="Times New Roman" w:cs="Times New Roman"/>
    </w:rPr>
  </w:style>
  <w:style w:type="paragraph" w:customStyle="1" w:styleId="sti-art">
    <w:name w:val="sti-art"/>
    <w:basedOn w:val="Normal"/>
    <w:pPr>
      <w:spacing w:before="60"/>
      <w:jc w:val="center"/>
    </w:pPr>
    <w:rPr>
      <w:rFonts w:eastAsia="Times New Roman" w:cs="Times New Roman"/>
      <w:b/>
      <w:bCs/>
    </w:rPr>
  </w:style>
  <w:style w:type="paragraph" w:customStyle="1" w:styleId="ti-art">
    <w:name w:val="ti-art"/>
    <w:basedOn w:val="Normal"/>
    <w:pPr>
      <w:spacing w:before="360"/>
      <w:jc w:val="center"/>
    </w:pPr>
    <w:rPr>
      <w:rFonts w:eastAsia="Times New Roman" w:cs="Times New Roman"/>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hu-HU"/>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43"/>
      <w:szCs w:val="43"/>
      <w:lang w:eastAsia="hu-HU"/>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intro">
    <w:name w:val="intro"/>
    <w:basedOn w:val="Normal"/>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hu-HU"/>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lang w:eastAsia="hu-HU"/>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hu-HU" w:eastAsia="hu-HU"/>
    </w:rPr>
  </w:style>
  <w:style w:type="paragraph" w:customStyle="1" w:styleId="pdf">
    <w:name w:val="pdf"/>
    <w:basedOn w:val="Normal"/>
    <w:pPr>
      <w:spacing w:before="100" w:beforeAutospacing="1" w:after="100" w:afterAutospacing="1"/>
    </w:pPr>
    <w:rPr>
      <w:rFonts w:eastAsia="Times New Roman" w:cs="Times New Roman"/>
    </w:rPr>
  </w:style>
  <w:style w:type="character" w:customStyle="1" w:styleId="bold1">
    <w:name w:val="bold1"/>
    <w:basedOn w:val="DefaultParagraphFont"/>
    <w:rPr>
      <w:b/>
      <w:bCs/>
    </w:rPr>
  </w:style>
  <w:style w:type="paragraph" w:customStyle="1" w:styleId="li1">
    <w:name w:val="li1"/>
    <w:basedOn w:val="Normal"/>
    <w:pPr>
      <w:spacing w:after="0"/>
    </w:pPr>
    <w:rPr>
      <w:rFonts w:eastAsia="Times New Roman" w:cs="Times New Roman"/>
    </w:rPr>
  </w:style>
  <w:style w:type="character" w:customStyle="1" w:styleId="num">
    <w:name w:val="num"/>
    <w:basedOn w:val="DefaultParagraphFont"/>
  </w:style>
  <w:style w:type="character" w:customStyle="1" w:styleId="footnotereference0">
    <w:name w:val="footnotereference"/>
    <w:basedOn w:val="DefaultParagraphFont"/>
  </w:style>
  <w:style w:type="paragraph" w:customStyle="1" w:styleId="text12">
    <w:name w:val="text12"/>
    <w:basedOn w:val="Normal"/>
    <w:pPr>
      <w:spacing w:after="0"/>
      <w:ind w:left="850"/>
    </w:pPr>
    <w:rPr>
      <w:rFonts w:eastAsia="Times New Roman" w:cs="Times New Roman"/>
    </w:rPr>
  </w:style>
  <w:style w:type="paragraph" w:customStyle="1" w:styleId="emission2">
    <w:name w:val="emission2"/>
    <w:basedOn w:val="Normal"/>
    <w:pPr>
      <w:spacing w:after="0"/>
    </w:pPr>
    <w:rPr>
      <w:rFonts w:eastAsia="Times New Roman" w:cs="Times New Roman"/>
    </w:rPr>
  </w:style>
  <w:style w:type="paragraph" w:customStyle="1" w:styleId="rfrenceinstitutionnelle2">
    <w:name w:val="rfrenceinstitutionnelle2"/>
    <w:basedOn w:val="Normal"/>
    <w:pPr>
      <w:spacing w:after="0"/>
    </w:pPr>
    <w:rPr>
      <w:rFonts w:eastAsia="Times New Roman" w:cs="Times New Roman"/>
    </w:rPr>
  </w:style>
  <w:style w:type="paragraph" w:customStyle="1" w:styleId="typedudocumentcp2">
    <w:name w:val="typedudocument_cp2"/>
    <w:basedOn w:val="Normal"/>
    <w:pPr>
      <w:spacing w:after="0"/>
      <w:jc w:val="center"/>
    </w:pPr>
    <w:rPr>
      <w:rFonts w:eastAsia="Times New Roman" w:cs="Times New Roman"/>
      <w:b/>
      <w:bCs/>
    </w:rPr>
  </w:style>
  <w:style w:type="paragraph" w:customStyle="1" w:styleId="titreobjetcp2">
    <w:name w:val="titreobjet_cp2"/>
    <w:basedOn w:val="Normal"/>
    <w:pPr>
      <w:spacing w:after="0"/>
      <w:jc w:val="center"/>
    </w:pPr>
    <w:rPr>
      <w:rFonts w:eastAsia="Times New Roman" w:cs="Times New Roman"/>
      <w:b/>
      <w:bCs/>
    </w:rPr>
  </w:style>
  <w:style w:type="paragraph" w:customStyle="1" w:styleId="sous-titreobjetcp2">
    <w:name w:val="sous-titreobjet_cp2"/>
    <w:basedOn w:val="Normal"/>
    <w:pPr>
      <w:spacing w:after="0"/>
      <w:jc w:val="center"/>
    </w:pPr>
    <w:rPr>
      <w:rFonts w:eastAsia="Times New Roman" w:cs="Times New Roman"/>
      <w:b/>
      <w:bCs/>
    </w:rPr>
  </w:style>
  <w:style w:type="character" w:customStyle="1" w:styleId="Inget">
    <w:name w:val="Inget"/>
  </w:style>
  <w:style w:type="paragraph" w:customStyle="1" w:styleId="doc-ti2">
    <w:name w:val="doc-ti2"/>
    <w:basedOn w:val="Normal"/>
    <w:pPr>
      <w:spacing w:before="240" w:line="312" w:lineRule="atLeast"/>
      <w:jc w:val="center"/>
    </w:pPr>
    <w:rPr>
      <w:rFonts w:eastAsia="Times New Roman" w:cs="Times New Roman"/>
      <w:b/>
      <w:bCs/>
    </w:rPr>
  </w:style>
  <w:style w:type="paragraph" w:customStyle="1" w:styleId="normal20">
    <w:name w:val="normal2"/>
    <w:basedOn w:val="Normal"/>
    <w:pPr>
      <w:spacing w:before="120" w:after="0" w:line="312" w:lineRule="atLeast"/>
    </w:pPr>
    <w:rPr>
      <w:rFonts w:eastAsia="Times New Roman" w:cs="Times New Roma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Heading1Char"/>
    <w:link w:val="FooterCoverPage"/>
    <w:rPr>
      <w:rFonts w:ascii="Times New Roman" w:eastAsiaTheme="majorEastAsia" w:hAnsi="Times New Roman" w:cstheme="majorBidi"/>
      <w:b w:val="0"/>
      <w:bCs w:val="0"/>
      <w:color w:val="000000"/>
      <w:sz w:val="24"/>
      <w:szCs w:val="24"/>
      <w:lang w:eastAsia="hu-HU"/>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Heading1Char"/>
    <w:link w:val="HeaderCoverPage"/>
    <w:rPr>
      <w:rFonts w:ascii="Times New Roman" w:eastAsiaTheme="majorEastAsia" w:hAnsi="Times New Roman" w:cstheme="majorBidi"/>
      <w:b w:val="0"/>
      <w:bCs w:val="0"/>
      <w:color w:val="000000"/>
      <w:sz w:val="24"/>
      <w:szCs w:val="24"/>
      <w:lang w:eastAsia="hu-HU"/>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color w:val="000000"/>
      <w:sz w:val="24"/>
      <w:szCs w:val="24"/>
      <w:lang w:eastAsia="hu-HU"/>
    </w:rPr>
  </w:style>
  <w:style w:type="paragraph" w:customStyle="1" w:styleId="Declassification">
    <w:name w:val="Declassification"/>
    <w:basedOn w:val="Normal"/>
    <w:next w:val="Normal"/>
    <w:pPr>
      <w:spacing w:after="0"/>
    </w:pPr>
    <w:rPr>
      <w:rFonts w:cs="Times New Roman"/>
      <w:color w:val="auto"/>
      <w:szCs w:val="22"/>
    </w:rPr>
  </w:style>
  <w:style w:type="paragraph" w:customStyle="1" w:styleId="HeaderLandscape">
    <w:name w:val="HeaderLandscape"/>
    <w:basedOn w:val="Normal"/>
    <w:pPr>
      <w:tabs>
        <w:tab w:val="center" w:pos="7285"/>
        <w:tab w:val="right" w:pos="14003"/>
      </w:tabs>
    </w:pPr>
    <w:rPr>
      <w:rFonts w:cs="Times New Roman"/>
      <w:color w:val="auto"/>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cs="Times New Roman"/>
      <w:color w:val="auto"/>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New Roman" w:hAnsi="Times New Roman"/>
      <w:color w:val="000000"/>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43"/>
      <w:szCs w:val="43"/>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outlineLvl w:val="4"/>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objet">
    <w:name w:val="Titre objet"/>
    <w:basedOn w:val="Normal"/>
    <w:next w:val="Normal"/>
    <w:pPr>
      <w:spacing w:before="360" w:after="360"/>
      <w:jc w:val="center"/>
    </w:pPr>
    <w:rPr>
      <w:rFonts w:eastAsia="Times New Roman" w:cs="Times New Roman"/>
      <w:b/>
      <w:szCs w:val="20"/>
    </w:rPr>
  </w:style>
  <w:style w:type="paragraph" w:customStyle="1" w:styleId="Typedudocument">
    <w:name w:val="Type du document"/>
    <w:basedOn w:val="Normal"/>
    <w:next w:val="Titreobjet"/>
    <w:pPr>
      <w:spacing w:before="360" w:after="0"/>
      <w:jc w:val="center"/>
    </w:pPr>
    <w:rPr>
      <w:rFonts w:eastAsia="Times New Roman" w:cs="Times New Roman"/>
      <w:b/>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numPr>
        <w:numId w:val="1"/>
      </w:numPr>
      <w:contextualSpacing/>
    </w:pPr>
  </w:style>
  <w:style w:type="paragraph" w:customStyle="1" w:styleId="Text1">
    <w:name w:val="Text 1"/>
    <w:basedOn w:val="Normal"/>
    <w:pPr>
      <w:spacing w:after="240"/>
      <w:ind w:left="482"/>
    </w:pPr>
    <w:rPr>
      <w:rFonts w:eastAsia="Times New Roman" w:cs="Times New Roman"/>
      <w:szCs w:val="20"/>
    </w:rPr>
  </w:style>
  <w:style w:type="paragraph" w:customStyle="1" w:styleId="c01pointnumerotealtn">
    <w:name w:val="c01pointnumerotealtn"/>
    <w:basedOn w:val="Normal"/>
    <w:pPr>
      <w:spacing w:before="100" w:beforeAutospacing="1" w:after="240"/>
      <w:ind w:left="567" w:hanging="539"/>
    </w:pPr>
    <w:rPr>
      <w:rFonts w:eastAsia="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liminairetype">
    <w:name w:val="Préliminaire type"/>
    <w:basedOn w:val="Normal"/>
    <w:next w:val="Normal"/>
    <w:pPr>
      <w:spacing w:before="360" w:after="0"/>
      <w:jc w:val="center"/>
    </w:pPr>
    <w:rPr>
      <w:rFonts w:eastAsia="Times New Roman" w:cs="Times New Roman"/>
      <w:b/>
    </w:rPr>
  </w:style>
  <w:style w:type="paragraph" w:customStyle="1" w:styleId="ManualHeading1">
    <w:name w:val="Manual Heading 1"/>
    <w:basedOn w:val="Normal"/>
    <w:next w:val="Normal"/>
    <w:pPr>
      <w:keepNext/>
      <w:tabs>
        <w:tab w:val="left" w:pos="850"/>
      </w:tabs>
      <w:spacing w:before="360"/>
      <w:ind w:left="850" w:hanging="850"/>
      <w:outlineLvl w:val="0"/>
    </w:pPr>
    <w:rPr>
      <w:rFonts w:eastAsia="Times New Roman" w:cs="Times New Roman"/>
      <w:b/>
      <w:smallCaps/>
    </w:rPr>
  </w:style>
  <w:style w:type="paragraph" w:styleId="CommentText">
    <w:name w:val="annotation text"/>
    <w:basedOn w:val="Normal"/>
    <w:link w:val="CommentTextChar"/>
    <w:uiPriority w:val="99"/>
    <w:semiHidden/>
    <w:unhideWhenUsed/>
    <w:pPr>
      <w:spacing w:before="120"/>
    </w:pPr>
    <w:rPr>
      <w:rFonts w:eastAsia="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u-HU"/>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hu-HU"/>
    </w:rPr>
  </w:style>
  <w:style w:type="paragraph" w:styleId="Header">
    <w:name w:val="header"/>
    <w:basedOn w:val="Normal"/>
    <w:link w:val="HeaderChar"/>
    <w:uiPriority w:val="99"/>
    <w:unhideWhenUsed/>
    <w:pPr>
      <w:tabs>
        <w:tab w:val="center" w:pos="4535"/>
        <w:tab w:val="right" w:pos="9071"/>
      </w:tabs>
    </w:pPr>
    <w:rPr>
      <w:rFonts w:cs="Times New Roman"/>
      <w:color w:val="auto"/>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cs="Times New Roman"/>
      <w:color w:val="auto"/>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
    <w:name w:val="s"/>
    <w:basedOn w:val="DefaultParagraphFont"/>
  </w:style>
  <w:style w:type="paragraph" w:customStyle="1" w:styleId="Normal1">
    <w:name w:val="Normal1"/>
    <w:basedOn w:val="Normal"/>
    <w:pPr>
      <w:spacing w:before="120" w:after="0"/>
    </w:pPr>
    <w:rPr>
      <w:rFonts w:eastAsia="Times New Roman" w:cs="Times New Roman"/>
    </w:rPr>
  </w:style>
  <w:style w:type="paragraph" w:customStyle="1" w:styleId="sti-art">
    <w:name w:val="sti-art"/>
    <w:basedOn w:val="Normal"/>
    <w:pPr>
      <w:spacing w:before="60"/>
      <w:jc w:val="center"/>
    </w:pPr>
    <w:rPr>
      <w:rFonts w:eastAsia="Times New Roman" w:cs="Times New Roman"/>
      <w:b/>
      <w:bCs/>
    </w:rPr>
  </w:style>
  <w:style w:type="paragraph" w:customStyle="1" w:styleId="ti-art">
    <w:name w:val="ti-art"/>
    <w:basedOn w:val="Normal"/>
    <w:pPr>
      <w:spacing w:before="360"/>
      <w:jc w:val="center"/>
    </w:pPr>
    <w:rPr>
      <w:rFonts w:eastAsia="Times New Roman" w:cs="Times New Roman"/>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hu-HU"/>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43"/>
      <w:szCs w:val="43"/>
      <w:lang w:eastAsia="hu-HU"/>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intro">
    <w:name w:val="intro"/>
    <w:basedOn w:val="Normal"/>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hu-HU"/>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lang w:eastAsia="hu-HU"/>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hu-HU" w:eastAsia="hu-HU"/>
    </w:rPr>
  </w:style>
  <w:style w:type="paragraph" w:customStyle="1" w:styleId="pdf">
    <w:name w:val="pdf"/>
    <w:basedOn w:val="Normal"/>
    <w:pPr>
      <w:spacing w:before="100" w:beforeAutospacing="1" w:after="100" w:afterAutospacing="1"/>
    </w:pPr>
    <w:rPr>
      <w:rFonts w:eastAsia="Times New Roman" w:cs="Times New Roman"/>
    </w:rPr>
  </w:style>
  <w:style w:type="character" w:customStyle="1" w:styleId="bold1">
    <w:name w:val="bold1"/>
    <w:basedOn w:val="DefaultParagraphFont"/>
    <w:rPr>
      <w:b/>
      <w:bCs/>
    </w:rPr>
  </w:style>
  <w:style w:type="paragraph" w:customStyle="1" w:styleId="li1">
    <w:name w:val="li1"/>
    <w:basedOn w:val="Normal"/>
    <w:pPr>
      <w:spacing w:after="0"/>
    </w:pPr>
    <w:rPr>
      <w:rFonts w:eastAsia="Times New Roman" w:cs="Times New Roman"/>
    </w:rPr>
  </w:style>
  <w:style w:type="character" w:customStyle="1" w:styleId="num">
    <w:name w:val="num"/>
    <w:basedOn w:val="DefaultParagraphFont"/>
  </w:style>
  <w:style w:type="character" w:customStyle="1" w:styleId="footnotereference0">
    <w:name w:val="footnotereference"/>
    <w:basedOn w:val="DefaultParagraphFont"/>
  </w:style>
  <w:style w:type="paragraph" w:customStyle="1" w:styleId="text12">
    <w:name w:val="text12"/>
    <w:basedOn w:val="Normal"/>
    <w:pPr>
      <w:spacing w:after="0"/>
      <w:ind w:left="850"/>
    </w:pPr>
    <w:rPr>
      <w:rFonts w:eastAsia="Times New Roman" w:cs="Times New Roman"/>
    </w:rPr>
  </w:style>
  <w:style w:type="paragraph" w:customStyle="1" w:styleId="emission2">
    <w:name w:val="emission2"/>
    <w:basedOn w:val="Normal"/>
    <w:pPr>
      <w:spacing w:after="0"/>
    </w:pPr>
    <w:rPr>
      <w:rFonts w:eastAsia="Times New Roman" w:cs="Times New Roman"/>
    </w:rPr>
  </w:style>
  <w:style w:type="paragraph" w:customStyle="1" w:styleId="rfrenceinstitutionnelle2">
    <w:name w:val="rfrenceinstitutionnelle2"/>
    <w:basedOn w:val="Normal"/>
    <w:pPr>
      <w:spacing w:after="0"/>
    </w:pPr>
    <w:rPr>
      <w:rFonts w:eastAsia="Times New Roman" w:cs="Times New Roman"/>
    </w:rPr>
  </w:style>
  <w:style w:type="paragraph" w:customStyle="1" w:styleId="typedudocumentcp2">
    <w:name w:val="typedudocument_cp2"/>
    <w:basedOn w:val="Normal"/>
    <w:pPr>
      <w:spacing w:after="0"/>
      <w:jc w:val="center"/>
    </w:pPr>
    <w:rPr>
      <w:rFonts w:eastAsia="Times New Roman" w:cs="Times New Roman"/>
      <w:b/>
      <w:bCs/>
    </w:rPr>
  </w:style>
  <w:style w:type="paragraph" w:customStyle="1" w:styleId="titreobjetcp2">
    <w:name w:val="titreobjet_cp2"/>
    <w:basedOn w:val="Normal"/>
    <w:pPr>
      <w:spacing w:after="0"/>
      <w:jc w:val="center"/>
    </w:pPr>
    <w:rPr>
      <w:rFonts w:eastAsia="Times New Roman" w:cs="Times New Roman"/>
      <w:b/>
      <w:bCs/>
    </w:rPr>
  </w:style>
  <w:style w:type="paragraph" w:customStyle="1" w:styleId="sous-titreobjetcp2">
    <w:name w:val="sous-titreobjet_cp2"/>
    <w:basedOn w:val="Normal"/>
    <w:pPr>
      <w:spacing w:after="0"/>
      <w:jc w:val="center"/>
    </w:pPr>
    <w:rPr>
      <w:rFonts w:eastAsia="Times New Roman" w:cs="Times New Roman"/>
      <w:b/>
      <w:bCs/>
    </w:rPr>
  </w:style>
  <w:style w:type="character" w:customStyle="1" w:styleId="Inget">
    <w:name w:val="Inget"/>
  </w:style>
  <w:style w:type="paragraph" w:customStyle="1" w:styleId="doc-ti2">
    <w:name w:val="doc-ti2"/>
    <w:basedOn w:val="Normal"/>
    <w:pPr>
      <w:spacing w:before="240" w:line="312" w:lineRule="atLeast"/>
      <w:jc w:val="center"/>
    </w:pPr>
    <w:rPr>
      <w:rFonts w:eastAsia="Times New Roman" w:cs="Times New Roman"/>
      <w:b/>
      <w:bCs/>
    </w:rPr>
  </w:style>
  <w:style w:type="paragraph" w:customStyle="1" w:styleId="normal20">
    <w:name w:val="normal2"/>
    <w:basedOn w:val="Normal"/>
    <w:pPr>
      <w:spacing w:before="120" w:after="0" w:line="312" w:lineRule="atLeast"/>
    </w:pPr>
    <w:rPr>
      <w:rFonts w:eastAsia="Times New Roman" w:cs="Times New Roma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Heading1Char"/>
    <w:link w:val="FooterCoverPage"/>
    <w:rPr>
      <w:rFonts w:ascii="Times New Roman" w:eastAsiaTheme="majorEastAsia" w:hAnsi="Times New Roman" w:cstheme="majorBidi"/>
      <w:b w:val="0"/>
      <w:bCs w:val="0"/>
      <w:color w:val="000000"/>
      <w:sz w:val="24"/>
      <w:szCs w:val="24"/>
      <w:lang w:eastAsia="hu-HU"/>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Heading1Char"/>
    <w:link w:val="HeaderCoverPage"/>
    <w:rPr>
      <w:rFonts w:ascii="Times New Roman" w:eastAsiaTheme="majorEastAsia" w:hAnsi="Times New Roman" w:cstheme="majorBidi"/>
      <w:b w:val="0"/>
      <w:bCs w:val="0"/>
      <w:color w:val="000000"/>
      <w:sz w:val="24"/>
      <w:szCs w:val="24"/>
      <w:lang w:eastAsia="hu-HU"/>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color w:val="000000"/>
      <w:sz w:val="24"/>
      <w:szCs w:val="24"/>
      <w:lang w:eastAsia="hu-HU"/>
    </w:rPr>
  </w:style>
  <w:style w:type="paragraph" w:customStyle="1" w:styleId="Declassification">
    <w:name w:val="Declassification"/>
    <w:basedOn w:val="Normal"/>
    <w:next w:val="Normal"/>
    <w:pPr>
      <w:spacing w:after="0"/>
    </w:pPr>
    <w:rPr>
      <w:rFonts w:cs="Times New Roman"/>
      <w:color w:val="auto"/>
      <w:szCs w:val="22"/>
    </w:rPr>
  </w:style>
  <w:style w:type="paragraph" w:customStyle="1" w:styleId="HeaderLandscape">
    <w:name w:val="HeaderLandscape"/>
    <w:basedOn w:val="Normal"/>
    <w:pPr>
      <w:tabs>
        <w:tab w:val="center" w:pos="7285"/>
        <w:tab w:val="right" w:pos="14003"/>
      </w:tabs>
    </w:pPr>
    <w:rPr>
      <w:rFonts w:cs="Times New Roman"/>
      <w:color w:val="auto"/>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cs="Times New Roman"/>
      <w:color w:val="auto"/>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7771">
      <w:bodyDiv w:val="1"/>
      <w:marLeft w:val="0"/>
      <w:marRight w:val="0"/>
      <w:marTop w:val="0"/>
      <w:marBottom w:val="0"/>
      <w:divBdr>
        <w:top w:val="none" w:sz="0" w:space="0" w:color="auto"/>
        <w:left w:val="none" w:sz="0" w:space="0" w:color="auto"/>
        <w:bottom w:val="none" w:sz="0" w:space="0" w:color="auto"/>
        <w:right w:val="none" w:sz="0" w:space="0" w:color="auto"/>
      </w:divBdr>
    </w:div>
    <w:div w:id="103816296">
      <w:bodyDiv w:val="1"/>
      <w:marLeft w:val="0"/>
      <w:marRight w:val="0"/>
      <w:marTop w:val="0"/>
      <w:marBottom w:val="0"/>
      <w:divBdr>
        <w:top w:val="none" w:sz="0" w:space="0" w:color="auto"/>
        <w:left w:val="none" w:sz="0" w:space="0" w:color="auto"/>
        <w:bottom w:val="none" w:sz="0" w:space="0" w:color="auto"/>
        <w:right w:val="none" w:sz="0" w:space="0" w:color="auto"/>
      </w:divBdr>
      <w:divsChild>
        <w:div w:id="870652780">
          <w:marLeft w:val="0"/>
          <w:marRight w:val="0"/>
          <w:marTop w:val="0"/>
          <w:marBottom w:val="0"/>
          <w:divBdr>
            <w:top w:val="none" w:sz="0" w:space="0" w:color="auto"/>
            <w:left w:val="none" w:sz="0" w:space="0" w:color="auto"/>
            <w:bottom w:val="none" w:sz="0" w:space="0" w:color="auto"/>
            <w:right w:val="none" w:sz="0" w:space="0" w:color="auto"/>
          </w:divBdr>
          <w:divsChild>
            <w:div w:id="729570432">
              <w:marLeft w:val="0"/>
              <w:marRight w:val="0"/>
              <w:marTop w:val="0"/>
              <w:marBottom w:val="0"/>
              <w:divBdr>
                <w:top w:val="none" w:sz="0" w:space="0" w:color="auto"/>
                <w:left w:val="none" w:sz="0" w:space="0" w:color="auto"/>
                <w:bottom w:val="none" w:sz="0" w:space="0" w:color="auto"/>
                <w:right w:val="none" w:sz="0" w:space="0" w:color="auto"/>
              </w:divBdr>
              <w:divsChild>
                <w:div w:id="1787890079">
                  <w:marLeft w:val="0"/>
                  <w:marRight w:val="0"/>
                  <w:marTop w:val="0"/>
                  <w:marBottom w:val="0"/>
                  <w:divBdr>
                    <w:top w:val="none" w:sz="0" w:space="0" w:color="auto"/>
                    <w:left w:val="none" w:sz="0" w:space="0" w:color="auto"/>
                    <w:bottom w:val="none" w:sz="0" w:space="0" w:color="auto"/>
                    <w:right w:val="none" w:sz="0" w:space="0" w:color="auto"/>
                  </w:divBdr>
                  <w:divsChild>
                    <w:div w:id="1870953630">
                      <w:marLeft w:val="1"/>
                      <w:marRight w:val="1"/>
                      <w:marTop w:val="0"/>
                      <w:marBottom w:val="0"/>
                      <w:divBdr>
                        <w:top w:val="none" w:sz="0" w:space="0" w:color="auto"/>
                        <w:left w:val="none" w:sz="0" w:space="0" w:color="auto"/>
                        <w:bottom w:val="none" w:sz="0" w:space="0" w:color="auto"/>
                        <w:right w:val="none" w:sz="0" w:space="0" w:color="auto"/>
                      </w:divBdr>
                      <w:divsChild>
                        <w:div w:id="501091438">
                          <w:marLeft w:val="0"/>
                          <w:marRight w:val="0"/>
                          <w:marTop w:val="0"/>
                          <w:marBottom w:val="0"/>
                          <w:divBdr>
                            <w:top w:val="none" w:sz="0" w:space="0" w:color="auto"/>
                            <w:left w:val="none" w:sz="0" w:space="0" w:color="auto"/>
                            <w:bottom w:val="none" w:sz="0" w:space="0" w:color="auto"/>
                            <w:right w:val="none" w:sz="0" w:space="0" w:color="auto"/>
                          </w:divBdr>
                          <w:divsChild>
                            <w:div w:id="1530951546">
                              <w:marLeft w:val="0"/>
                              <w:marRight w:val="0"/>
                              <w:marTop w:val="0"/>
                              <w:marBottom w:val="360"/>
                              <w:divBdr>
                                <w:top w:val="none" w:sz="0" w:space="0" w:color="auto"/>
                                <w:left w:val="none" w:sz="0" w:space="0" w:color="auto"/>
                                <w:bottom w:val="none" w:sz="0" w:space="0" w:color="auto"/>
                                <w:right w:val="none" w:sz="0" w:space="0" w:color="auto"/>
                              </w:divBdr>
                              <w:divsChild>
                                <w:div w:id="14968825">
                                  <w:marLeft w:val="0"/>
                                  <w:marRight w:val="0"/>
                                  <w:marTop w:val="0"/>
                                  <w:marBottom w:val="0"/>
                                  <w:divBdr>
                                    <w:top w:val="none" w:sz="0" w:space="0" w:color="auto"/>
                                    <w:left w:val="none" w:sz="0" w:space="0" w:color="auto"/>
                                    <w:bottom w:val="none" w:sz="0" w:space="0" w:color="auto"/>
                                    <w:right w:val="none" w:sz="0" w:space="0" w:color="auto"/>
                                  </w:divBdr>
                                  <w:divsChild>
                                    <w:div w:id="994913303">
                                      <w:marLeft w:val="0"/>
                                      <w:marRight w:val="0"/>
                                      <w:marTop w:val="0"/>
                                      <w:marBottom w:val="0"/>
                                      <w:divBdr>
                                        <w:top w:val="none" w:sz="0" w:space="0" w:color="auto"/>
                                        <w:left w:val="none" w:sz="0" w:space="0" w:color="auto"/>
                                        <w:bottom w:val="none" w:sz="0" w:space="0" w:color="auto"/>
                                        <w:right w:val="none" w:sz="0" w:space="0" w:color="auto"/>
                                      </w:divBdr>
                                      <w:divsChild>
                                        <w:div w:id="826361983">
                                          <w:marLeft w:val="0"/>
                                          <w:marRight w:val="0"/>
                                          <w:marTop w:val="0"/>
                                          <w:marBottom w:val="0"/>
                                          <w:divBdr>
                                            <w:top w:val="none" w:sz="0" w:space="0" w:color="auto"/>
                                            <w:left w:val="none" w:sz="0" w:space="0" w:color="auto"/>
                                            <w:bottom w:val="none" w:sz="0" w:space="0" w:color="auto"/>
                                            <w:right w:val="none" w:sz="0" w:space="0" w:color="auto"/>
                                          </w:divBdr>
                                          <w:divsChild>
                                            <w:div w:id="290981352">
                                              <w:marLeft w:val="0"/>
                                              <w:marRight w:val="0"/>
                                              <w:marTop w:val="0"/>
                                              <w:marBottom w:val="0"/>
                                              <w:divBdr>
                                                <w:top w:val="none" w:sz="0" w:space="0" w:color="auto"/>
                                                <w:left w:val="none" w:sz="0" w:space="0" w:color="auto"/>
                                                <w:bottom w:val="none" w:sz="0" w:space="0" w:color="auto"/>
                                                <w:right w:val="none" w:sz="0" w:space="0" w:color="auto"/>
                                              </w:divBdr>
                                              <w:divsChild>
                                                <w:div w:id="1207445464">
                                                  <w:marLeft w:val="0"/>
                                                  <w:marRight w:val="0"/>
                                                  <w:marTop w:val="0"/>
                                                  <w:marBottom w:val="0"/>
                                                  <w:divBdr>
                                                    <w:top w:val="none" w:sz="0" w:space="0" w:color="auto"/>
                                                    <w:left w:val="none" w:sz="0" w:space="0" w:color="auto"/>
                                                    <w:bottom w:val="none" w:sz="0" w:space="0" w:color="auto"/>
                                                    <w:right w:val="none" w:sz="0" w:space="0" w:color="auto"/>
                                                  </w:divBdr>
                                                  <w:divsChild>
                                                    <w:div w:id="886139143">
                                                      <w:marLeft w:val="0"/>
                                                      <w:marRight w:val="0"/>
                                                      <w:marTop w:val="0"/>
                                                      <w:marBottom w:val="0"/>
                                                      <w:divBdr>
                                                        <w:top w:val="none" w:sz="0" w:space="0" w:color="auto"/>
                                                        <w:left w:val="none" w:sz="0" w:space="0" w:color="auto"/>
                                                        <w:bottom w:val="none" w:sz="0" w:space="0" w:color="auto"/>
                                                        <w:right w:val="none" w:sz="0" w:space="0" w:color="auto"/>
                                                      </w:divBdr>
                                                      <w:divsChild>
                                                        <w:div w:id="423695997">
                                                          <w:marLeft w:val="0"/>
                                                          <w:marRight w:val="0"/>
                                                          <w:marTop w:val="0"/>
                                                          <w:marBottom w:val="0"/>
                                                          <w:divBdr>
                                                            <w:top w:val="none" w:sz="0" w:space="0" w:color="auto"/>
                                                            <w:left w:val="none" w:sz="0" w:space="0" w:color="auto"/>
                                                            <w:bottom w:val="none" w:sz="0" w:space="0" w:color="auto"/>
                                                            <w:right w:val="none" w:sz="0" w:space="0" w:color="auto"/>
                                                          </w:divBdr>
                                                        </w:div>
                                                        <w:div w:id="14226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982631">
      <w:bodyDiv w:val="1"/>
      <w:marLeft w:val="0"/>
      <w:marRight w:val="0"/>
      <w:marTop w:val="0"/>
      <w:marBottom w:val="0"/>
      <w:divBdr>
        <w:top w:val="none" w:sz="0" w:space="0" w:color="auto"/>
        <w:left w:val="none" w:sz="0" w:space="0" w:color="auto"/>
        <w:bottom w:val="none" w:sz="0" w:space="0" w:color="auto"/>
        <w:right w:val="none" w:sz="0" w:space="0" w:color="auto"/>
      </w:divBdr>
    </w:div>
    <w:div w:id="113984830">
      <w:bodyDiv w:val="1"/>
      <w:marLeft w:val="0"/>
      <w:marRight w:val="0"/>
      <w:marTop w:val="0"/>
      <w:marBottom w:val="0"/>
      <w:divBdr>
        <w:top w:val="none" w:sz="0" w:space="0" w:color="auto"/>
        <w:left w:val="none" w:sz="0" w:space="0" w:color="auto"/>
        <w:bottom w:val="none" w:sz="0" w:space="0" w:color="auto"/>
        <w:right w:val="none" w:sz="0" w:space="0" w:color="auto"/>
      </w:divBdr>
    </w:div>
    <w:div w:id="180977141">
      <w:bodyDiv w:val="1"/>
      <w:marLeft w:val="0"/>
      <w:marRight w:val="0"/>
      <w:marTop w:val="0"/>
      <w:marBottom w:val="0"/>
      <w:divBdr>
        <w:top w:val="none" w:sz="0" w:space="0" w:color="auto"/>
        <w:left w:val="none" w:sz="0" w:space="0" w:color="auto"/>
        <w:bottom w:val="none" w:sz="0" w:space="0" w:color="auto"/>
        <w:right w:val="none" w:sz="0" w:space="0" w:color="auto"/>
      </w:divBdr>
    </w:div>
    <w:div w:id="277879056">
      <w:bodyDiv w:val="1"/>
      <w:marLeft w:val="390"/>
      <w:marRight w:val="390"/>
      <w:marTop w:val="0"/>
      <w:marBottom w:val="0"/>
      <w:divBdr>
        <w:top w:val="none" w:sz="0" w:space="0" w:color="auto"/>
        <w:left w:val="none" w:sz="0" w:space="0" w:color="auto"/>
        <w:bottom w:val="none" w:sz="0" w:space="0" w:color="auto"/>
        <w:right w:val="none" w:sz="0" w:space="0" w:color="auto"/>
      </w:divBdr>
    </w:div>
    <w:div w:id="294414228">
      <w:bodyDiv w:val="1"/>
      <w:marLeft w:val="0"/>
      <w:marRight w:val="0"/>
      <w:marTop w:val="0"/>
      <w:marBottom w:val="0"/>
      <w:divBdr>
        <w:top w:val="none" w:sz="0" w:space="0" w:color="auto"/>
        <w:left w:val="none" w:sz="0" w:space="0" w:color="auto"/>
        <w:bottom w:val="none" w:sz="0" w:space="0" w:color="auto"/>
        <w:right w:val="none" w:sz="0" w:space="0" w:color="auto"/>
      </w:divBdr>
      <w:divsChild>
        <w:div w:id="1182352763">
          <w:marLeft w:val="0"/>
          <w:marRight w:val="0"/>
          <w:marTop w:val="225"/>
          <w:marBottom w:val="225"/>
          <w:divBdr>
            <w:top w:val="none" w:sz="0" w:space="0" w:color="auto"/>
            <w:left w:val="none" w:sz="0" w:space="0" w:color="auto"/>
            <w:bottom w:val="none" w:sz="0" w:space="0" w:color="auto"/>
            <w:right w:val="none" w:sz="0" w:space="0" w:color="auto"/>
          </w:divBdr>
          <w:divsChild>
            <w:div w:id="184054817">
              <w:marLeft w:val="4200"/>
              <w:marRight w:val="225"/>
              <w:marTop w:val="120"/>
              <w:marBottom w:val="0"/>
              <w:divBdr>
                <w:top w:val="none" w:sz="0" w:space="0" w:color="auto"/>
                <w:left w:val="none" w:sz="0" w:space="0" w:color="auto"/>
                <w:bottom w:val="none" w:sz="0" w:space="0" w:color="auto"/>
                <w:right w:val="none" w:sz="0" w:space="0" w:color="auto"/>
              </w:divBdr>
              <w:divsChild>
                <w:div w:id="662852317">
                  <w:marLeft w:val="0"/>
                  <w:marRight w:val="0"/>
                  <w:marTop w:val="0"/>
                  <w:marBottom w:val="0"/>
                  <w:divBdr>
                    <w:top w:val="none" w:sz="0" w:space="0" w:color="auto"/>
                    <w:left w:val="none" w:sz="0" w:space="0" w:color="auto"/>
                    <w:bottom w:val="single" w:sz="6" w:space="11" w:color="E2E2E2"/>
                    <w:right w:val="none" w:sz="0" w:space="0" w:color="auto"/>
                  </w:divBdr>
                </w:div>
              </w:divsChild>
            </w:div>
          </w:divsChild>
        </w:div>
      </w:divsChild>
    </w:div>
    <w:div w:id="299305367">
      <w:bodyDiv w:val="1"/>
      <w:marLeft w:val="0"/>
      <w:marRight w:val="0"/>
      <w:marTop w:val="0"/>
      <w:marBottom w:val="0"/>
      <w:divBdr>
        <w:top w:val="none" w:sz="0" w:space="0" w:color="auto"/>
        <w:left w:val="none" w:sz="0" w:space="0" w:color="auto"/>
        <w:bottom w:val="none" w:sz="0" w:space="0" w:color="auto"/>
        <w:right w:val="none" w:sz="0" w:space="0" w:color="auto"/>
      </w:divBdr>
    </w:div>
    <w:div w:id="313411748">
      <w:bodyDiv w:val="1"/>
      <w:marLeft w:val="0"/>
      <w:marRight w:val="0"/>
      <w:marTop w:val="0"/>
      <w:marBottom w:val="0"/>
      <w:divBdr>
        <w:top w:val="none" w:sz="0" w:space="0" w:color="auto"/>
        <w:left w:val="none" w:sz="0" w:space="0" w:color="auto"/>
        <w:bottom w:val="none" w:sz="0" w:space="0" w:color="auto"/>
        <w:right w:val="none" w:sz="0" w:space="0" w:color="auto"/>
      </w:divBdr>
      <w:divsChild>
        <w:div w:id="1416394841">
          <w:marLeft w:val="0"/>
          <w:marRight w:val="0"/>
          <w:marTop w:val="0"/>
          <w:marBottom w:val="0"/>
          <w:divBdr>
            <w:top w:val="none" w:sz="0" w:space="0" w:color="auto"/>
            <w:left w:val="none" w:sz="0" w:space="0" w:color="auto"/>
            <w:bottom w:val="none" w:sz="0" w:space="0" w:color="auto"/>
            <w:right w:val="none" w:sz="0" w:space="0" w:color="auto"/>
          </w:divBdr>
          <w:divsChild>
            <w:div w:id="440689850">
              <w:marLeft w:val="0"/>
              <w:marRight w:val="0"/>
              <w:marTop w:val="0"/>
              <w:marBottom w:val="0"/>
              <w:divBdr>
                <w:top w:val="none" w:sz="0" w:space="0" w:color="auto"/>
                <w:left w:val="none" w:sz="0" w:space="0" w:color="auto"/>
                <w:bottom w:val="none" w:sz="0" w:space="0" w:color="auto"/>
                <w:right w:val="none" w:sz="0" w:space="0" w:color="auto"/>
              </w:divBdr>
              <w:divsChild>
                <w:div w:id="192891086">
                  <w:marLeft w:val="0"/>
                  <w:marRight w:val="0"/>
                  <w:marTop w:val="0"/>
                  <w:marBottom w:val="0"/>
                  <w:divBdr>
                    <w:top w:val="none" w:sz="0" w:space="0" w:color="auto"/>
                    <w:left w:val="none" w:sz="0" w:space="0" w:color="auto"/>
                    <w:bottom w:val="none" w:sz="0" w:space="0" w:color="auto"/>
                    <w:right w:val="none" w:sz="0" w:space="0" w:color="auto"/>
                  </w:divBdr>
                  <w:divsChild>
                    <w:div w:id="1769085474">
                      <w:marLeft w:val="1"/>
                      <w:marRight w:val="1"/>
                      <w:marTop w:val="0"/>
                      <w:marBottom w:val="0"/>
                      <w:divBdr>
                        <w:top w:val="none" w:sz="0" w:space="0" w:color="auto"/>
                        <w:left w:val="none" w:sz="0" w:space="0" w:color="auto"/>
                        <w:bottom w:val="none" w:sz="0" w:space="0" w:color="auto"/>
                        <w:right w:val="none" w:sz="0" w:space="0" w:color="auto"/>
                      </w:divBdr>
                      <w:divsChild>
                        <w:div w:id="172188345">
                          <w:marLeft w:val="0"/>
                          <w:marRight w:val="0"/>
                          <w:marTop w:val="0"/>
                          <w:marBottom w:val="0"/>
                          <w:divBdr>
                            <w:top w:val="none" w:sz="0" w:space="0" w:color="auto"/>
                            <w:left w:val="none" w:sz="0" w:space="0" w:color="auto"/>
                            <w:bottom w:val="none" w:sz="0" w:space="0" w:color="auto"/>
                            <w:right w:val="none" w:sz="0" w:space="0" w:color="auto"/>
                          </w:divBdr>
                          <w:divsChild>
                            <w:div w:id="561986931">
                              <w:marLeft w:val="0"/>
                              <w:marRight w:val="0"/>
                              <w:marTop w:val="0"/>
                              <w:marBottom w:val="360"/>
                              <w:divBdr>
                                <w:top w:val="none" w:sz="0" w:space="0" w:color="auto"/>
                                <w:left w:val="none" w:sz="0" w:space="0" w:color="auto"/>
                                <w:bottom w:val="none" w:sz="0" w:space="0" w:color="auto"/>
                                <w:right w:val="none" w:sz="0" w:space="0" w:color="auto"/>
                              </w:divBdr>
                              <w:divsChild>
                                <w:div w:id="1745378054">
                                  <w:marLeft w:val="0"/>
                                  <w:marRight w:val="0"/>
                                  <w:marTop w:val="0"/>
                                  <w:marBottom w:val="0"/>
                                  <w:divBdr>
                                    <w:top w:val="none" w:sz="0" w:space="0" w:color="auto"/>
                                    <w:left w:val="none" w:sz="0" w:space="0" w:color="auto"/>
                                    <w:bottom w:val="none" w:sz="0" w:space="0" w:color="auto"/>
                                    <w:right w:val="none" w:sz="0" w:space="0" w:color="auto"/>
                                  </w:divBdr>
                                  <w:divsChild>
                                    <w:div w:id="2584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6161">
      <w:bodyDiv w:val="1"/>
      <w:marLeft w:val="0"/>
      <w:marRight w:val="0"/>
      <w:marTop w:val="0"/>
      <w:marBottom w:val="0"/>
      <w:divBdr>
        <w:top w:val="none" w:sz="0" w:space="0" w:color="auto"/>
        <w:left w:val="none" w:sz="0" w:space="0" w:color="auto"/>
        <w:bottom w:val="none" w:sz="0" w:space="0" w:color="auto"/>
        <w:right w:val="none" w:sz="0" w:space="0" w:color="auto"/>
      </w:divBdr>
    </w:div>
    <w:div w:id="342052532">
      <w:bodyDiv w:val="1"/>
      <w:marLeft w:val="0"/>
      <w:marRight w:val="0"/>
      <w:marTop w:val="0"/>
      <w:marBottom w:val="0"/>
      <w:divBdr>
        <w:top w:val="none" w:sz="0" w:space="0" w:color="auto"/>
        <w:left w:val="none" w:sz="0" w:space="0" w:color="auto"/>
        <w:bottom w:val="none" w:sz="0" w:space="0" w:color="auto"/>
        <w:right w:val="none" w:sz="0" w:space="0" w:color="auto"/>
      </w:divBdr>
    </w:div>
    <w:div w:id="466507424">
      <w:bodyDiv w:val="1"/>
      <w:marLeft w:val="0"/>
      <w:marRight w:val="0"/>
      <w:marTop w:val="0"/>
      <w:marBottom w:val="0"/>
      <w:divBdr>
        <w:top w:val="none" w:sz="0" w:space="0" w:color="auto"/>
        <w:left w:val="none" w:sz="0" w:space="0" w:color="auto"/>
        <w:bottom w:val="none" w:sz="0" w:space="0" w:color="auto"/>
        <w:right w:val="none" w:sz="0" w:space="0" w:color="auto"/>
      </w:divBdr>
    </w:div>
    <w:div w:id="736977784">
      <w:bodyDiv w:val="1"/>
      <w:marLeft w:val="390"/>
      <w:marRight w:val="390"/>
      <w:marTop w:val="0"/>
      <w:marBottom w:val="0"/>
      <w:divBdr>
        <w:top w:val="none" w:sz="0" w:space="0" w:color="auto"/>
        <w:left w:val="none" w:sz="0" w:space="0" w:color="auto"/>
        <w:bottom w:val="none" w:sz="0" w:space="0" w:color="auto"/>
        <w:right w:val="none" w:sz="0" w:space="0" w:color="auto"/>
      </w:divBdr>
    </w:div>
    <w:div w:id="776409508">
      <w:bodyDiv w:val="1"/>
      <w:marLeft w:val="0"/>
      <w:marRight w:val="0"/>
      <w:marTop w:val="0"/>
      <w:marBottom w:val="0"/>
      <w:divBdr>
        <w:top w:val="none" w:sz="0" w:space="0" w:color="auto"/>
        <w:left w:val="none" w:sz="0" w:space="0" w:color="auto"/>
        <w:bottom w:val="none" w:sz="0" w:space="0" w:color="auto"/>
        <w:right w:val="none" w:sz="0" w:space="0" w:color="auto"/>
      </w:divBdr>
    </w:div>
    <w:div w:id="805510800">
      <w:bodyDiv w:val="1"/>
      <w:marLeft w:val="0"/>
      <w:marRight w:val="0"/>
      <w:marTop w:val="0"/>
      <w:marBottom w:val="0"/>
      <w:divBdr>
        <w:top w:val="none" w:sz="0" w:space="0" w:color="auto"/>
        <w:left w:val="none" w:sz="0" w:space="0" w:color="auto"/>
        <w:bottom w:val="none" w:sz="0" w:space="0" w:color="auto"/>
        <w:right w:val="none" w:sz="0" w:space="0" w:color="auto"/>
      </w:divBdr>
      <w:divsChild>
        <w:div w:id="139539190">
          <w:marLeft w:val="0"/>
          <w:marRight w:val="0"/>
          <w:marTop w:val="0"/>
          <w:marBottom w:val="0"/>
          <w:divBdr>
            <w:top w:val="none" w:sz="0" w:space="0" w:color="auto"/>
            <w:left w:val="none" w:sz="0" w:space="0" w:color="auto"/>
            <w:bottom w:val="none" w:sz="0" w:space="0" w:color="auto"/>
            <w:right w:val="none" w:sz="0" w:space="0" w:color="auto"/>
          </w:divBdr>
          <w:divsChild>
            <w:div w:id="1767921303">
              <w:marLeft w:val="0"/>
              <w:marRight w:val="0"/>
              <w:marTop w:val="0"/>
              <w:marBottom w:val="0"/>
              <w:divBdr>
                <w:top w:val="none" w:sz="0" w:space="0" w:color="auto"/>
                <w:left w:val="none" w:sz="0" w:space="0" w:color="auto"/>
                <w:bottom w:val="none" w:sz="0" w:space="0" w:color="auto"/>
                <w:right w:val="none" w:sz="0" w:space="0" w:color="auto"/>
              </w:divBdr>
              <w:divsChild>
                <w:div w:id="730541222">
                  <w:marLeft w:val="0"/>
                  <w:marRight w:val="0"/>
                  <w:marTop w:val="0"/>
                  <w:marBottom w:val="0"/>
                  <w:divBdr>
                    <w:top w:val="none" w:sz="0" w:space="0" w:color="auto"/>
                    <w:left w:val="none" w:sz="0" w:space="0" w:color="auto"/>
                    <w:bottom w:val="none" w:sz="0" w:space="0" w:color="auto"/>
                    <w:right w:val="none" w:sz="0" w:space="0" w:color="auto"/>
                  </w:divBdr>
                  <w:divsChild>
                    <w:div w:id="1266428849">
                      <w:marLeft w:val="0"/>
                      <w:marRight w:val="0"/>
                      <w:marTop w:val="75"/>
                      <w:marBottom w:val="0"/>
                      <w:divBdr>
                        <w:top w:val="none" w:sz="0" w:space="0" w:color="auto"/>
                        <w:left w:val="none" w:sz="0" w:space="0" w:color="auto"/>
                        <w:bottom w:val="none" w:sz="0" w:space="0" w:color="auto"/>
                        <w:right w:val="none" w:sz="0" w:space="0" w:color="auto"/>
                      </w:divBdr>
                      <w:divsChild>
                        <w:div w:id="171140432">
                          <w:marLeft w:val="75"/>
                          <w:marRight w:val="0"/>
                          <w:marTop w:val="75"/>
                          <w:marBottom w:val="0"/>
                          <w:divBdr>
                            <w:top w:val="none" w:sz="0" w:space="0" w:color="auto"/>
                            <w:left w:val="none" w:sz="0" w:space="0" w:color="auto"/>
                            <w:bottom w:val="none" w:sz="0" w:space="0" w:color="auto"/>
                            <w:right w:val="none" w:sz="0" w:space="0" w:color="auto"/>
                          </w:divBdr>
                          <w:divsChild>
                            <w:div w:id="12564769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781534">
      <w:bodyDiv w:val="1"/>
      <w:marLeft w:val="0"/>
      <w:marRight w:val="0"/>
      <w:marTop w:val="0"/>
      <w:marBottom w:val="0"/>
      <w:divBdr>
        <w:top w:val="none" w:sz="0" w:space="0" w:color="auto"/>
        <w:left w:val="none" w:sz="0" w:space="0" w:color="auto"/>
        <w:bottom w:val="none" w:sz="0" w:space="0" w:color="auto"/>
        <w:right w:val="none" w:sz="0" w:space="0" w:color="auto"/>
      </w:divBdr>
      <w:divsChild>
        <w:div w:id="1760324750">
          <w:marLeft w:val="0"/>
          <w:marRight w:val="0"/>
          <w:marTop w:val="0"/>
          <w:marBottom w:val="0"/>
          <w:divBdr>
            <w:top w:val="none" w:sz="0" w:space="0" w:color="auto"/>
            <w:left w:val="none" w:sz="0" w:space="0" w:color="auto"/>
            <w:bottom w:val="none" w:sz="0" w:space="0" w:color="auto"/>
            <w:right w:val="none" w:sz="0" w:space="0" w:color="auto"/>
          </w:divBdr>
          <w:divsChild>
            <w:div w:id="273901037">
              <w:marLeft w:val="0"/>
              <w:marRight w:val="0"/>
              <w:marTop w:val="0"/>
              <w:marBottom w:val="0"/>
              <w:divBdr>
                <w:top w:val="none" w:sz="0" w:space="0" w:color="auto"/>
                <w:left w:val="none" w:sz="0" w:space="0" w:color="auto"/>
                <w:bottom w:val="none" w:sz="0" w:space="0" w:color="auto"/>
                <w:right w:val="none" w:sz="0" w:space="0" w:color="auto"/>
              </w:divBdr>
              <w:divsChild>
                <w:div w:id="363873575">
                  <w:marLeft w:val="0"/>
                  <w:marRight w:val="0"/>
                  <w:marTop w:val="0"/>
                  <w:marBottom w:val="0"/>
                  <w:divBdr>
                    <w:top w:val="none" w:sz="0" w:space="0" w:color="auto"/>
                    <w:left w:val="none" w:sz="0" w:space="0" w:color="auto"/>
                    <w:bottom w:val="none" w:sz="0" w:space="0" w:color="auto"/>
                    <w:right w:val="none" w:sz="0" w:space="0" w:color="auto"/>
                  </w:divBdr>
                  <w:divsChild>
                    <w:div w:id="1373270311">
                      <w:marLeft w:val="1"/>
                      <w:marRight w:val="1"/>
                      <w:marTop w:val="0"/>
                      <w:marBottom w:val="0"/>
                      <w:divBdr>
                        <w:top w:val="none" w:sz="0" w:space="0" w:color="auto"/>
                        <w:left w:val="none" w:sz="0" w:space="0" w:color="auto"/>
                        <w:bottom w:val="none" w:sz="0" w:space="0" w:color="auto"/>
                        <w:right w:val="none" w:sz="0" w:space="0" w:color="auto"/>
                      </w:divBdr>
                      <w:divsChild>
                        <w:div w:id="726799700">
                          <w:marLeft w:val="0"/>
                          <w:marRight w:val="0"/>
                          <w:marTop w:val="0"/>
                          <w:marBottom w:val="0"/>
                          <w:divBdr>
                            <w:top w:val="none" w:sz="0" w:space="0" w:color="auto"/>
                            <w:left w:val="none" w:sz="0" w:space="0" w:color="auto"/>
                            <w:bottom w:val="none" w:sz="0" w:space="0" w:color="auto"/>
                            <w:right w:val="none" w:sz="0" w:space="0" w:color="auto"/>
                          </w:divBdr>
                          <w:divsChild>
                            <w:div w:id="990400575">
                              <w:marLeft w:val="0"/>
                              <w:marRight w:val="0"/>
                              <w:marTop w:val="0"/>
                              <w:marBottom w:val="360"/>
                              <w:divBdr>
                                <w:top w:val="none" w:sz="0" w:space="0" w:color="auto"/>
                                <w:left w:val="none" w:sz="0" w:space="0" w:color="auto"/>
                                <w:bottom w:val="none" w:sz="0" w:space="0" w:color="auto"/>
                                <w:right w:val="none" w:sz="0" w:space="0" w:color="auto"/>
                              </w:divBdr>
                              <w:divsChild>
                                <w:div w:id="1135022396">
                                  <w:marLeft w:val="0"/>
                                  <w:marRight w:val="0"/>
                                  <w:marTop w:val="0"/>
                                  <w:marBottom w:val="0"/>
                                  <w:divBdr>
                                    <w:top w:val="none" w:sz="0" w:space="0" w:color="auto"/>
                                    <w:left w:val="none" w:sz="0" w:space="0" w:color="auto"/>
                                    <w:bottom w:val="none" w:sz="0" w:space="0" w:color="auto"/>
                                    <w:right w:val="none" w:sz="0" w:space="0" w:color="auto"/>
                                  </w:divBdr>
                                  <w:divsChild>
                                    <w:div w:id="628509273">
                                      <w:marLeft w:val="0"/>
                                      <w:marRight w:val="0"/>
                                      <w:marTop w:val="0"/>
                                      <w:marBottom w:val="0"/>
                                      <w:divBdr>
                                        <w:top w:val="none" w:sz="0" w:space="0" w:color="auto"/>
                                        <w:left w:val="none" w:sz="0" w:space="0" w:color="auto"/>
                                        <w:bottom w:val="none" w:sz="0" w:space="0" w:color="auto"/>
                                        <w:right w:val="none" w:sz="0" w:space="0" w:color="auto"/>
                                      </w:divBdr>
                                      <w:divsChild>
                                        <w:div w:id="763496199">
                                          <w:marLeft w:val="0"/>
                                          <w:marRight w:val="0"/>
                                          <w:marTop w:val="0"/>
                                          <w:marBottom w:val="0"/>
                                          <w:divBdr>
                                            <w:top w:val="none" w:sz="0" w:space="0" w:color="auto"/>
                                            <w:left w:val="none" w:sz="0" w:space="0" w:color="auto"/>
                                            <w:bottom w:val="none" w:sz="0" w:space="0" w:color="auto"/>
                                            <w:right w:val="none" w:sz="0" w:space="0" w:color="auto"/>
                                          </w:divBdr>
                                          <w:divsChild>
                                            <w:div w:id="614599432">
                                              <w:marLeft w:val="0"/>
                                              <w:marRight w:val="0"/>
                                              <w:marTop w:val="0"/>
                                              <w:marBottom w:val="0"/>
                                              <w:divBdr>
                                                <w:top w:val="none" w:sz="0" w:space="0" w:color="auto"/>
                                                <w:left w:val="none" w:sz="0" w:space="0" w:color="auto"/>
                                                <w:bottom w:val="none" w:sz="0" w:space="0" w:color="auto"/>
                                                <w:right w:val="none" w:sz="0" w:space="0" w:color="auto"/>
                                              </w:divBdr>
                                              <w:divsChild>
                                                <w:div w:id="203909839">
                                                  <w:marLeft w:val="0"/>
                                                  <w:marRight w:val="0"/>
                                                  <w:marTop w:val="0"/>
                                                  <w:marBottom w:val="0"/>
                                                  <w:divBdr>
                                                    <w:top w:val="none" w:sz="0" w:space="0" w:color="auto"/>
                                                    <w:left w:val="none" w:sz="0" w:space="0" w:color="auto"/>
                                                    <w:bottom w:val="none" w:sz="0" w:space="0" w:color="auto"/>
                                                    <w:right w:val="none" w:sz="0" w:space="0" w:color="auto"/>
                                                  </w:divBdr>
                                                  <w:divsChild>
                                                    <w:div w:id="1627815408">
                                                      <w:marLeft w:val="0"/>
                                                      <w:marRight w:val="0"/>
                                                      <w:marTop w:val="0"/>
                                                      <w:marBottom w:val="0"/>
                                                      <w:divBdr>
                                                        <w:top w:val="none" w:sz="0" w:space="0" w:color="auto"/>
                                                        <w:left w:val="none" w:sz="0" w:space="0" w:color="auto"/>
                                                        <w:bottom w:val="none" w:sz="0" w:space="0" w:color="auto"/>
                                                        <w:right w:val="none" w:sz="0" w:space="0" w:color="auto"/>
                                                      </w:divBdr>
                                                      <w:divsChild>
                                                        <w:div w:id="1270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602621">
      <w:bodyDiv w:val="1"/>
      <w:marLeft w:val="0"/>
      <w:marRight w:val="0"/>
      <w:marTop w:val="0"/>
      <w:marBottom w:val="0"/>
      <w:divBdr>
        <w:top w:val="none" w:sz="0" w:space="0" w:color="auto"/>
        <w:left w:val="none" w:sz="0" w:space="0" w:color="auto"/>
        <w:bottom w:val="none" w:sz="0" w:space="0" w:color="auto"/>
        <w:right w:val="none" w:sz="0" w:space="0" w:color="auto"/>
      </w:divBdr>
      <w:divsChild>
        <w:div w:id="1446999353">
          <w:marLeft w:val="0"/>
          <w:marRight w:val="0"/>
          <w:marTop w:val="0"/>
          <w:marBottom w:val="0"/>
          <w:divBdr>
            <w:top w:val="none" w:sz="0" w:space="0" w:color="auto"/>
            <w:left w:val="none" w:sz="0" w:space="0" w:color="auto"/>
            <w:bottom w:val="none" w:sz="0" w:space="0" w:color="auto"/>
            <w:right w:val="none" w:sz="0" w:space="0" w:color="auto"/>
          </w:divBdr>
          <w:divsChild>
            <w:div w:id="1597052291">
              <w:marLeft w:val="0"/>
              <w:marRight w:val="0"/>
              <w:marTop w:val="0"/>
              <w:marBottom w:val="0"/>
              <w:divBdr>
                <w:top w:val="none" w:sz="0" w:space="0" w:color="auto"/>
                <w:left w:val="none" w:sz="0" w:space="0" w:color="auto"/>
                <w:bottom w:val="none" w:sz="0" w:space="0" w:color="auto"/>
                <w:right w:val="none" w:sz="0" w:space="0" w:color="auto"/>
              </w:divBdr>
              <w:divsChild>
                <w:div w:id="2089032218">
                  <w:marLeft w:val="0"/>
                  <w:marRight w:val="0"/>
                  <w:marTop w:val="0"/>
                  <w:marBottom w:val="0"/>
                  <w:divBdr>
                    <w:top w:val="none" w:sz="0" w:space="0" w:color="auto"/>
                    <w:left w:val="none" w:sz="0" w:space="0" w:color="auto"/>
                    <w:bottom w:val="none" w:sz="0" w:space="0" w:color="auto"/>
                    <w:right w:val="none" w:sz="0" w:space="0" w:color="auto"/>
                  </w:divBdr>
                  <w:divsChild>
                    <w:div w:id="1876652320">
                      <w:marLeft w:val="1"/>
                      <w:marRight w:val="1"/>
                      <w:marTop w:val="0"/>
                      <w:marBottom w:val="0"/>
                      <w:divBdr>
                        <w:top w:val="none" w:sz="0" w:space="0" w:color="auto"/>
                        <w:left w:val="none" w:sz="0" w:space="0" w:color="auto"/>
                        <w:bottom w:val="none" w:sz="0" w:space="0" w:color="auto"/>
                        <w:right w:val="none" w:sz="0" w:space="0" w:color="auto"/>
                      </w:divBdr>
                      <w:divsChild>
                        <w:div w:id="1876035928">
                          <w:marLeft w:val="0"/>
                          <w:marRight w:val="0"/>
                          <w:marTop w:val="0"/>
                          <w:marBottom w:val="0"/>
                          <w:divBdr>
                            <w:top w:val="none" w:sz="0" w:space="0" w:color="auto"/>
                            <w:left w:val="none" w:sz="0" w:space="0" w:color="auto"/>
                            <w:bottom w:val="none" w:sz="0" w:space="0" w:color="auto"/>
                            <w:right w:val="none" w:sz="0" w:space="0" w:color="auto"/>
                          </w:divBdr>
                          <w:divsChild>
                            <w:div w:id="1831284285">
                              <w:marLeft w:val="0"/>
                              <w:marRight w:val="0"/>
                              <w:marTop w:val="0"/>
                              <w:marBottom w:val="360"/>
                              <w:divBdr>
                                <w:top w:val="none" w:sz="0" w:space="0" w:color="auto"/>
                                <w:left w:val="none" w:sz="0" w:space="0" w:color="auto"/>
                                <w:bottom w:val="none" w:sz="0" w:space="0" w:color="auto"/>
                                <w:right w:val="none" w:sz="0" w:space="0" w:color="auto"/>
                              </w:divBdr>
                              <w:divsChild>
                                <w:div w:id="1071149587">
                                  <w:marLeft w:val="0"/>
                                  <w:marRight w:val="0"/>
                                  <w:marTop w:val="0"/>
                                  <w:marBottom w:val="0"/>
                                  <w:divBdr>
                                    <w:top w:val="none" w:sz="0" w:space="0" w:color="auto"/>
                                    <w:left w:val="none" w:sz="0" w:space="0" w:color="auto"/>
                                    <w:bottom w:val="none" w:sz="0" w:space="0" w:color="auto"/>
                                    <w:right w:val="none" w:sz="0" w:space="0" w:color="auto"/>
                                  </w:divBdr>
                                  <w:divsChild>
                                    <w:div w:id="366832883">
                                      <w:marLeft w:val="0"/>
                                      <w:marRight w:val="0"/>
                                      <w:marTop w:val="0"/>
                                      <w:marBottom w:val="0"/>
                                      <w:divBdr>
                                        <w:top w:val="none" w:sz="0" w:space="0" w:color="auto"/>
                                        <w:left w:val="none" w:sz="0" w:space="0" w:color="auto"/>
                                        <w:bottom w:val="none" w:sz="0" w:space="0" w:color="auto"/>
                                        <w:right w:val="none" w:sz="0" w:space="0" w:color="auto"/>
                                      </w:divBdr>
                                      <w:divsChild>
                                        <w:div w:id="398600996">
                                          <w:marLeft w:val="0"/>
                                          <w:marRight w:val="0"/>
                                          <w:marTop w:val="0"/>
                                          <w:marBottom w:val="0"/>
                                          <w:divBdr>
                                            <w:top w:val="none" w:sz="0" w:space="0" w:color="auto"/>
                                            <w:left w:val="none" w:sz="0" w:space="0" w:color="auto"/>
                                            <w:bottom w:val="none" w:sz="0" w:space="0" w:color="auto"/>
                                            <w:right w:val="none" w:sz="0" w:space="0" w:color="auto"/>
                                          </w:divBdr>
                                          <w:divsChild>
                                            <w:div w:id="1373384431">
                                              <w:marLeft w:val="0"/>
                                              <w:marRight w:val="0"/>
                                              <w:marTop w:val="0"/>
                                              <w:marBottom w:val="0"/>
                                              <w:divBdr>
                                                <w:top w:val="none" w:sz="0" w:space="0" w:color="auto"/>
                                                <w:left w:val="none" w:sz="0" w:space="0" w:color="auto"/>
                                                <w:bottom w:val="none" w:sz="0" w:space="0" w:color="auto"/>
                                                <w:right w:val="none" w:sz="0" w:space="0" w:color="auto"/>
                                              </w:divBdr>
                                              <w:divsChild>
                                                <w:div w:id="11457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459347">
      <w:bodyDiv w:val="1"/>
      <w:marLeft w:val="0"/>
      <w:marRight w:val="0"/>
      <w:marTop w:val="0"/>
      <w:marBottom w:val="0"/>
      <w:divBdr>
        <w:top w:val="none" w:sz="0" w:space="0" w:color="auto"/>
        <w:left w:val="none" w:sz="0" w:space="0" w:color="auto"/>
        <w:bottom w:val="none" w:sz="0" w:space="0" w:color="auto"/>
        <w:right w:val="none" w:sz="0" w:space="0" w:color="auto"/>
      </w:divBdr>
    </w:div>
    <w:div w:id="974605139">
      <w:bodyDiv w:val="1"/>
      <w:marLeft w:val="0"/>
      <w:marRight w:val="0"/>
      <w:marTop w:val="0"/>
      <w:marBottom w:val="0"/>
      <w:divBdr>
        <w:top w:val="none" w:sz="0" w:space="0" w:color="auto"/>
        <w:left w:val="none" w:sz="0" w:space="0" w:color="auto"/>
        <w:bottom w:val="none" w:sz="0" w:space="0" w:color="auto"/>
        <w:right w:val="none" w:sz="0" w:space="0" w:color="auto"/>
      </w:divBdr>
      <w:divsChild>
        <w:div w:id="1373919593">
          <w:marLeft w:val="0"/>
          <w:marRight w:val="0"/>
          <w:marTop w:val="0"/>
          <w:marBottom w:val="0"/>
          <w:divBdr>
            <w:top w:val="none" w:sz="0" w:space="0" w:color="auto"/>
            <w:left w:val="none" w:sz="0" w:space="0" w:color="auto"/>
            <w:bottom w:val="none" w:sz="0" w:space="0" w:color="auto"/>
            <w:right w:val="none" w:sz="0" w:space="0" w:color="auto"/>
          </w:divBdr>
          <w:divsChild>
            <w:div w:id="1850754615">
              <w:marLeft w:val="0"/>
              <w:marRight w:val="0"/>
              <w:marTop w:val="0"/>
              <w:marBottom w:val="0"/>
              <w:divBdr>
                <w:top w:val="none" w:sz="0" w:space="0" w:color="auto"/>
                <w:left w:val="none" w:sz="0" w:space="0" w:color="auto"/>
                <w:bottom w:val="none" w:sz="0" w:space="0" w:color="auto"/>
                <w:right w:val="none" w:sz="0" w:space="0" w:color="auto"/>
              </w:divBdr>
              <w:divsChild>
                <w:div w:id="1798066475">
                  <w:marLeft w:val="0"/>
                  <w:marRight w:val="0"/>
                  <w:marTop w:val="0"/>
                  <w:marBottom w:val="0"/>
                  <w:divBdr>
                    <w:top w:val="none" w:sz="0" w:space="0" w:color="auto"/>
                    <w:left w:val="none" w:sz="0" w:space="0" w:color="auto"/>
                    <w:bottom w:val="none" w:sz="0" w:space="0" w:color="auto"/>
                    <w:right w:val="none" w:sz="0" w:space="0" w:color="auto"/>
                  </w:divBdr>
                  <w:divsChild>
                    <w:div w:id="178008193">
                      <w:marLeft w:val="1"/>
                      <w:marRight w:val="1"/>
                      <w:marTop w:val="0"/>
                      <w:marBottom w:val="0"/>
                      <w:divBdr>
                        <w:top w:val="none" w:sz="0" w:space="0" w:color="auto"/>
                        <w:left w:val="none" w:sz="0" w:space="0" w:color="auto"/>
                        <w:bottom w:val="none" w:sz="0" w:space="0" w:color="auto"/>
                        <w:right w:val="none" w:sz="0" w:space="0" w:color="auto"/>
                      </w:divBdr>
                      <w:divsChild>
                        <w:div w:id="1458379568">
                          <w:marLeft w:val="0"/>
                          <w:marRight w:val="0"/>
                          <w:marTop w:val="0"/>
                          <w:marBottom w:val="0"/>
                          <w:divBdr>
                            <w:top w:val="none" w:sz="0" w:space="0" w:color="auto"/>
                            <w:left w:val="none" w:sz="0" w:space="0" w:color="auto"/>
                            <w:bottom w:val="none" w:sz="0" w:space="0" w:color="auto"/>
                            <w:right w:val="none" w:sz="0" w:space="0" w:color="auto"/>
                          </w:divBdr>
                          <w:divsChild>
                            <w:div w:id="1873372793">
                              <w:marLeft w:val="0"/>
                              <w:marRight w:val="0"/>
                              <w:marTop w:val="0"/>
                              <w:marBottom w:val="360"/>
                              <w:divBdr>
                                <w:top w:val="none" w:sz="0" w:space="0" w:color="auto"/>
                                <w:left w:val="none" w:sz="0" w:space="0" w:color="auto"/>
                                <w:bottom w:val="none" w:sz="0" w:space="0" w:color="auto"/>
                                <w:right w:val="none" w:sz="0" w:space="0" w:color="auto"/>
                              </w:divBdr>
                              <w:divsChild>
                                <w:div w:id="1246575356">
                                  <w:marLeft w:val="0"/>
                                  <w:marRight w:val="0"/>
                                  <w:marTop w:val="0"/>
                                  <w:marBottom w:val="0"/>
                                  <w:divBdr>
                                    <w:top w:val="none" w:sz="0" w:space="0" w:color="auto"/>
                                    <w:left w:val="none" w:sz="0" w:space="0" w:color="auto"/>
                                    <w:bottom w:val="none" w:sz="0" w:space="0" w:color="auto"/>
                                    <w:right w:val="none" w:sz="0" w:space="0" w:color="auto"/>
                                  </w:divBdr>
                                  <w:divsChild>
                                    <w:div w:id="1681618801">
                                      <w:marLeft w:val="0"/>
                                      <w:marRight w:val="0"/>
                                      <w:marTop w:val="0"/>
                                      <w:marBottom w:val="0"/>
                                      <w:divBdr>
                                        <w:top w:val="none" w:sz="0" w:space="0" w:color="auto"/>
                                        <w:left w:val="none" w:sz="0" w:space="0" w:color="auto"/>
                                        <w:bottom w:val="none" w:sz="0" w:space="0" w:color="auto"/>
                                        <w:right w:val="none" w:sz="0" w:space="0" w:color="auto"/>
                                      </w:divBdr>
                                      <w:divsChild>
                                        <w:div w:id="1957978568">
                                          <w:marLeft w:val="0"/>
                                          <w:marRight w:val="0"/>
                                          <w:marTop w:val="0"/>
                                          <w:marBottom w:val="0"/>
                                          <w:divBdr>
                                            <w:top w:val="none" w:sz="0" w:space="0" w:color="auto"/>
                                            <w:left w:val="none" w:sz="0" w:space="0" w:color="auto"/>
                                            <w:bottom w:val="none" w:sz="0" w:space="0" w:color="auto"/>
                                            <w:right w:val="none" w:sz="0" w:space="0" w:color="auto"/>
                                          </w:divBdr>
                                          <w:divsChild>
                                            <w:div w:id="2096396770">
                                              <w:marLeft w:val="0"/>
                                              <w:marRight w:val="0"/>
                                              <w:marTop w:val="0"/>
                                              <w:marBottom w:val="0"/>
                                              <w:divBdr>
                                                <w:top w:val="none" w:sz="0" w:space="0" w:color="auto"/>
                                                <w:left w:val="none" w:sz="0" w:space="0" w:color="auto"/>
                                                <w:bottom w:val="none" w:sz="0" w:space="0" w:color="auto"/>
                                                <w:right w:val="none" w:sz="0" w:space="0" w:color="auto"/>
                                              </w:divBdr>
                                              <w:divsChild>
                                                <w:div w:id="1512258017">
                                                  <w:marLeft w:val="0"/>
                                                  <w:marRight w:val="0"/>
                                                  <w:marTop w:val="0"/>
                                                  <w:marBottom w:val="0"/>
                                                  <w:divBdr>
                                                    <w:top w:val="none" w:sz="0" w:space="0" w:color="auto"/>
                                                    <w:left w:val="none" w:sz="0" w:space="0" w:color="auto"/>
                                                    <w:bottom w:val="none" w:sz="0" w:space="0" w:color="auto"/>
                                                    <w:right w:val="none" w:sz="0" w:space="0" w:color="auto"/>
                                                  </w:divBdr>
                                                  <w:divsChild>
                                                    <w:div w:id="1586499964">
                                                      <w:marLeft w:val="0"/>
                                                      <w:marRight w:val="0"/>
                                                      <w:marTop w:val="0"/>
                                                      <w:marBottom w:val="0"/>
                                                      <w:divBdr>
                                                        <w:top w:val="none" w:sz="0" w:space="0" w:color="auto"/>
                                                        <w:left w:val="none" w:sz="0" w:space="0" w:color="auto"/>
                                                        <w:bottom w:val="none" w:sz="0" w:space="0" w:color="auto"/>
                                                        <w:right w:val="none" w:sz="0" w:space="0" w:color="auto"/>
                                                      </w:divBdr>
                                                      <w:divsChild>
                                                        <w:div w:id="16709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329292">
      <w:bodyDiv w:val="1"/>
      <w:marLeft w:val="0"/>
      <w:marRight w:val="0"/>
      <w:marTop w:val="0"/>
      <w:marBottom w:val="0"/>
      <w:divBdr>
        <w:top w:val="none" w:sz="0" w:space="0" w:color="auto"/>
        <w:left w:val="none" w:sz="0" w:space="0" w:color="auto"/>
        <w:bottom w:val="none" w:sz="0" w:space="0" w:color="auto"/>
        <w:right w:val="none" w:sz="0" w:space="0" w:color="auto"/>
      </w:divBdr>
    </w:div>
    <w:div w:id="1217468687">
      <w:bodyDiv w:val="1"/>
      <w:marLeft w:val="0"/>
      <w:marRight w:val="0"/>
      <w:marTop w:val="0"/>
      <w:marBottom w:val="0"/>
      <w:divBdr>
        <w:top w:val="none" w:sz="0" w:space="0" w:color="auto"/>
        <w:left w:val="none" w:sz="0" w:space="0" w:color="auto"/>
        <w:bottom w:val="none" w:sz="0" w:space="0" w:color="auto"/>
        <w:right w:val="none" w:sz="0" w:space="0" w:color="auto"/>
      </w:divBdr>
    </w:div>
    <w:div w:id="1230962966">
      <w:bodyDiv w:val="1"/>
      <w:marLeft w:val="0"/>
      <w:marRight w:val="0"/>
      <w:marTop w:val="0"/>
      <w:marBottom w:val="0"/>
      <w:divBdr>
        <w:top w:val="none" w:sz="0" w:space="0" w:color="auto"/>
        <w:left w:val="none" w:sz="0" w:space="0" w:color="auto"/>
        <w:bottom w:val="none" w:sz="0" w:space="0" w:color="auto"/>
        <w:right w:val="none" w:sz="0" w:space="0" w:color="auto"/>
      </w:divBdr>
    </w:div>
    <w:div w:id="1426657902">
      <w:bodyDiv w:val="1"/>
      <w:marLeft w:val="0"/>
      <w:marRight w:val="0"/>
      <w:marTop w:val="0"/>
      <w:marBottom w:val="0"/>
      <w:divBdr>
        <w:top w:val="none" w:sz="0" w:space="0" w:color="auto"/>
        <w:left w:val="none" w:sz="0" w:space="0" w:color="auto"/>
        <w:bottom w:val="none" w:sz="0" w:space="0" w:color="auto"/>
        <w:right w:val="none" w:sz="0" w:space="0" w:color="auto"/>
      </w:divBdr>
    </w:div>
    <w:div w:id="1462579975">
      <w:bodyDiv w:val="1"/>
      <w:marLeft w:val="0"/>
      <w:marRight w:val="0"/>
      <w:marTop w:val="0"/>
      <w:marBottom w:val="0"/>
      <w:divBdr>
        <w:top w:val="none" w:sz="0" w:space="0" w:color="auto"/>
        <w:left w:val="none" w:sz="0" w:space="0" w:color="auto"/>
        <w:bottom w:val="none" w:sz="0" w:space="0" w:color="auto"/>
        <w:right w:val="none" w:sz="0" w:space="0" w:color="auto"/>
      </w:divBdr>
    </w:div>
    <w:div w:id="1490369216">
      <w:bodyDiv w:val="1"/>
      <w:marLeft w:val="0"/>
      <w:marRight w:val="0"/>
      <w:marTop w:val="0"/>
      <w:marBottom w:val="0"/>
      <w:divBdr>
        <w:top w:val="none" w:sz="0" w:space="0" w:color="auto"/>
        <w:left w:val="none" w:sz="0" w:space="0" w:color="auto"/>
        <w:bottom w:val="none" w:sz="0" w:space="0" w:color="auto"/>
        <w:right w:val="none" w:sz="0" w:space="0" w:color="auto"/>
      </w:divBdr>
    </w:div>
    <w:div w:id="1544125992">
      <w:bodyDiv w:val="1"/>
      <w:marLeft w:val="0"/>
      <w:marRight w:val="0"/>
      <w:marTop w:val="0"/>
      <w:marBottom w:val="0"/>
      <w:divBdr>
        <w:top w:val="none" w:sz="0" w:space="0" w:color="auto"/>
        <w:left w:val="none" w:sz="0" w:space="0" w:color="auto"/>
        <w:bottom w:val="none" w:sz="0" w:space="0" w:color="auto"/>
        <w:right w:val="none" w:sz="0" w:space="0" w:color="auto"/>
      </w:divBdr>
      <w:divsChild>
        <w:div w:id="850031012">
          <w:marLeft w:val="0"/>
          <w:marRight w:val="0"/>
          <w:marTop w:val="0"/>
          <w:marBottom w:val="0"/>
          <w:divBdr>
            <w:top w:val="none" w:sz="0" w:space="0" w:color="auto"/>
            <w:left w:val="none" w:sz="0" w:space="0" w:color="auto"/>
            <w:bottom w:val="none" w:sz="0" w:space="0" w:color="auto"/>
            <w:right w:val="none" w:sz="0" w:space="0" w:color="auto"/>
          </w:divBdr>
          <w:divsChild>
            <w:div w:id="115638069">
              <w:marLeft w:val="0"/>
              <w:marRight w:val="0"/>
              <w:marTop w:val="0"/>
              <w:marBottom w:val="0"/>
              <w:divBdr>
                <w:top w:val="none" w:sz="0" w:space="0" w:color="auto"/>
                <w:left w:val="none" w:sz="0" w:space="0" w:color="auto"/>
                <w:bottom w:val="none" w:sz="0" w:space="0" w:color="auto"/>
                <w:right w:val="none" w:sz="0" w:space="0" w:color="auto"/>
              </w:divBdr>
              <w:divsChild>
                <w:div w:id="1601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2282">
      <w:bodyDiv w:val="1"/>
      <w:marLeft w:val="0"/>
      <w:marRight w:val="0"/>
      <w:marTop w:val="0"/>
      <w:marBottom w:val="0"/>
      <w:divBdr>
        <w:top w:val="none" w:sz="0" w:space="0" w:color="auto"/>
        <w:left w:val="none" w:sz="0" w:space="0" w:color="auto"/>
        <w:bottom w:val="none" w:sz="0" w:space="0" w:color="auto"/>
        <w:right w:val="none" w:sz="0" w:space="0" w:color="auto"/>
      </w:divBdr>
    </w:div>
    <w:div w:id="1598564522">
      <w:bodyDiv w:val="1"/>
      <w:marLeft w:val="0"/>
      <w:marRight w:val="0"/>
      <w:marTop w:val="0"/>
      <w:marBottom w:val="0"/>
      <w:divBdr>
        <w:top w:val="none" w:sz="0" w:space="0" w:color="auto"/>
        <w:left w:val="none" w:sz="0" w:space="0" w:color="auto"/>
        <w:bottom w:val="none" w:sz="0" w:space="0" w:color="auto"/>
        <w:right w:val="none" w:sz="0" w:space="0" w:color="auto"/>
      </w:divBdr>
    </w:div>
    <w:div w:id="1618174910">
      <w:bodyDiv w:val="1"/>
      <w:marLeft w:val="0"/>
      <w:marRight w:val="0"/>
      <w:marTop w:val="0"/>
      <w:marBottom w:val="0"/>
      <w:divBdr>
        <w:top w:val="none" w:sz="0" w:space="0" w:color="auto"/>
        <w:left w:val="none" w:sz="0" w:space="0" w:color="auto"/>
        <w:bottom w:val="none" w:sz="0" w:space="0" w:color="auto"/>
        <w:right w:val="none" w:sz="0" w:space="0" w:color="auto"/>
      </w:divBdr>
    </w:div>
    <w:div w:id="1641808763">
      <w:bodyDiv w:val="1"/>
      <w:marLeft w:val="0"/>
      <w:marRight w:val="0"/>
      <w:marTop w:val="0"/>
      <w:marBottom w:val="0"/>
      <w:divBdr>
        <w:top w:val="none" w:sz="0" w:space="0" w:color="auto"/>
        <w:left w:val="none" w:sz="0" w:space="0" w:color="auto"/>
        <w:bottom w:val="none" w:sz="0" w:space="0" w:color="auto"/>
        <w:right w:val="none" w:sz="0" w:space="0" w:color="auto"/>
      </w:divBdr>
      <w:divsChild>
        <w:div w:id="1136266230">
          <w:marLeft w:val="0"/>
          <w:marRight w:val="0"/>
          <w:marTop w:val="0"/>
          <w:marBottom w:val="0"/>
          <w:divBdr>
            <w:top w:val="none" w:sz="0" w:space="0" w:color="auto"/>
            <w:left w:val="none" w:sz="0" w:space="0" w:color="auto"/>
            <w:bottom w:val="none" w:sz="0" w:space="0" w:color="auto"/>
            <w:right w:val="none" w:sz="0" w:space="0" w:color="auto"/>
          </w:divBdr>
          <w:divsChild>
            <w:div w:id="1431393454">
              <w:marLeft w:val="0"/>
              <w:marRight w:val="0"/>
              <w:marTop w:val="0"/>
              <w:marBottom w:val="0"/>
              <w:divBdr>
                <w:top w:val="none" w:sz="0" w:space="0" w:color="auto"/>
                <w:left w:val="none" w:sz="0" w:space="0" w:color="auto"/>
                <w:bottom w:val="none" w:sz="0" w:space="0" w:color="auto"/>
                <w:right w:val="none" w:sz="0" w:space="0" w:color="auto"/>
              </w:divBdr>
              <w:divsChild>
                <w:div w:id="1508055204">
                  <w:marLeft w:val="0"/>
                  <w:marRight w:val="0"/>
                  <w:marTop w:val="0"/>
                  <w:marBottom w:val="0"/>
                  <w:divBdr>
                    <w:top w:val="none" w:sz="0" w:space="0" w:color="auto"/>
                    <w:left w:val="none" w:sz="0" w:space="0" w:color="auto"/>
                    <w:bottom w:val="none" w:sz="0" w:space="0" w:color="auto"/>
                    <w:right w:val="none" w:sz="0" w:space="0" w:color="auto"/>
                  </w:divBdr>
                  <w:divsChild>
                    <w:div w:id="931428466">
                      <w:marLeft w:val="0"/>
                      <w:marRight w:val="0"/>
                      <w:marTop w:val="0"/>
                      <w:marBottom w:val="0"/>
                      <w:divBdr>
                        <w:top w:val="none" w:sz="0" w:space="0" w:color="auto"/>
                        <w:left w:val="none" w:sz="0" w:space="0" w:color="auto"/>
                        <w:bottom w:val="none" w:sz="0" w:space="0" w:color="auto"/>
                        <w:right w:val="none" w:sz="0" w:space="0" w:color="auto"/>
                      </w:divBdr>
                      <w:divsChild>
                        <w:div w:id="1772044264">
                          <w:marLeft w:val="0"/>
                          <w:marRight w:val="0"/>
                          <w:marTop w:val="0"/>
                          <w:marBottom w:val="0"/>
                          <w:divBdr>
                            <w:top w:val="none" w:sz="0" w:space="0" w:color="auto"/>
                            <w:left w:val="none" w:sz="0" w:space="0" w:color="auto"/>
                            <w:bottom w:val="none" w:sz="0" w:space="0" w:color="auto"/>
                            <w:right w:val="none" w:sz="0" w:space="0" w:color="auto"/>
                          </w:divBdr>
                          <w:divsChild>
                            <w:div w:id="247077212">
                              <w:marLeft w:val="0"/>
                              <w:marRight w:val="0"/>
                              <w:marTop w:val="0"/>
                              <w:marBottom w:val="0"/>
                              <w:divBdr>
                                <w:top w:val="none" w:sz="0" w:space="0" w:color="auto"/>
                                <w:left w:val="none" w:sz="0" w:space="0" w:color="auto"/>
                                <w:bottom w:val="none" w:sz="0" w:space="0" w:color="auto"/>
                                <w:right w:val="none" w:sz="0" w:space="0" w:color="auto"/>
                              </w:divBdr>
                              <w:divsChild>
                                <w:div w:id="20998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332395">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57435262">
      <w:bodyDiv w:val="1"/>
      <w:marLeft w:val="390"/>
      <w:marRight w:val="390"/>
      <w:marTop w:val="0"/>
      <w:marBottom w:val="0"/>
      <w:divBdr>
        <w:top w:val="none" w:sz="0" w:space="0" w:color="auto"/>
        <w:left w:val="none" w:sz="0" w:space="0" w:color="auto"/>
        <w:bottom w:val="none" w:sz="0" w:space="0" w:color="auto"/>
        <w:right w:val="none" w:sz="0" w:space="0" w:color="auto"/>
      </w:divBdr>
    </w:div>
    <w:div w:id="1811945554">
      <w:bodyDiv w:val="1"/>
      <w:marLeft w:val="0"/>
      <w:marRight w:val="0"/>
      <w:marTop w:val="0"/>
      <w:marBottom w:val="0"/>
      <w:divBdr>
        <w:top w:val="none" w:sz="0" w:space="0" w:color="auto"/>
        <w:left w:val="none" w:sz="0" w:space="0" w:color="auto"/>
        <w:bottom w:val="none" w:sz="0" w:space="0" w:color="auto"/>
        <w:right w:val="none" w:sz="0" w:space="0" w:color="auto"/>
      </w:divBdr>
      <w:divsChild>
        <w:div w:id="881984715">
          <w:marLeft w:val="0"/>
          <w:marRight w:val="0"/>
          <w:marTop w:val="0"/>
          <w:marBottom w:val="0"/>
          <w:divBdr>
            <w:top w:val="none" w:sz="0" w:space="0" w:color="auto"/>
            <w:left w:val="none" w:sz="0" w:space="0" w:color="auto"/>
            <w:bottom w:val="none" w:sz="0" w:space="0" w:color="auto"/>
            <w:right w:val="none" w:sz="0" w:space="0" w:color="auto"/>
          </w:divBdr>
          <w:divsChild>
            <w:div w:id="1312826085">
              <w:marLeft w:val="0"/>
              <w:marRight w:val="0"/>
              <w:marTop w:val="0"/>
              <w:marBottom w:val="0"/>
              <w:divBdr>
                <w:top w:val="none" w:sz="0" w:space="0" w:color="auto"/>
                <w:left w:val="none" w:sz="0" w:space="0" w:color="auto"/>
                <w:bottom w:val="none" w:sz="0" w:space="0" w:color="auto"/>
                <w:right w:val="none" w:sz="0" w:space="0" w:color="auto"/>
              </w:divBdr>
              <w:divsChild>
                <w:div w:id="1859006990">
                  <w:marLeft w:val="0"/>
                  <w:marRight w:val="0"/>
                  <w:marTop w:val="0"/>
                  <w:marBottom w:val="0"/>
                  <w:divBdr>
                    <w:top w:val="none" w:sz="0" w:space="0" w:color="auto"/>
                    <w:left w:val="none" w:sz="0" w:space="0" w:color="auto"/>
                    <w:bottom w:val="none" w:sz="0" w:space="0" w:color="auto"/>
                    <w:right w:val="none" w:sz="0" w:space="0" w:color="auto"/>
                  </w:divBdr>
                  <w:divsChild>
                    <w:div w:id="752120432">
                      <w:marLeft w:val="1"/>
                      <w:marRight w:val="1"/>
                      <w:marTop w:val="0"/>
                      <w:marBottom w:val="0"/>
                      <w:divBdr>
                        <w:top w:val="none" w:sz="0" w:space="0" w:color="auto"/>
                        <w:left w:val="none" w:sz="0" w:space="0" w:color="auto"/>
                        <w:bottom w:val="none" w:sz="0" w:space="0" w:color="auto"/>
                        <w:right w:val="none" w:sz="0" w:space="0" w:color="auto"/>
                      </w:divBdr>
                      <w:divsChild>
                        <w:div w:id="1095175610">
                          <w:marLeft w:val="0"/>
                          <w:marRight w:val="0"/>
                          <w:marTop w:val="0"/>
                          <w:marBottom w:val="0"/>
                          <w:divBdr>
                            <w:top w:val="none" w:sz="0" w:space="0" w:color="auto"/>
                            <w:left w:val="none" w:sz="0" w:space="0" w:color="auto"/>
                            <w:bottom w:val="none" w:sz="0" w:space="0" w:color="auto"/>
                            <w:right w:val="none" w:sz="0" w:space="0" w:color="auto"/>
                          </w:divBdr>
                          <w:divsChild>
                            <w:div w:id="2053185056">
                              <w:marLeft w:val="0"/>
                              <w:marRight w:val="0"/>
                              <w:marTop w:val="0"/>
                              <w:marBottom w:val="360"/>
                              <w:divBdr>
                                <w:top w:val="none" w:sz="0" w:space="0" w:color="auto"/>
                                <w:left w:val="none" w:sz="0" w:space="0" w:color="auto"/>
                                <w:bottom w:val="none" w:sz="0" w:space="0" w:color="auto"/>
                                <w:right w:val="none" w:sz="0" w:space="0" w:color="auto"/>
                              </w:divBdr>
                              <w:divsChild>
                                <w:div w:id="1990209149">
                                  <w:marLeft w:val="0"/>
                                  <w:marRight w:val="0"/>
                                  <w:marTop w:val="0"/>
                                  <w:marBottom w:val="0"/>
                                  <w:divBdr>
                                    <w:top w:val="none" w:sz="0" w:space="0" w:color="auto"/>
                                    <w:left w:val="none" w:sz="0" w:space="0" w:color="auto"/>
                                    <w:bottom w:val="none" w:sz="0" w:space="0" w:color="auto"/>
                                    <w:right w:val="none" w:sz="0" w:space="0" w:color="auto"/>
                                  </w:divBdr>
                                  <w:divsChild>
                                    <w:div w:id="2068989540">
                                      <w:marLeft w:val="0"/>
                                      <w:marRight w:val="0"/>
                                      <w:marTop w:val="0"/>
                                      <w:marBottom w:val="0"/>
                                      <w:divBdr>
                                        <w:top w:val="none" w:sz="0" w:space="0" w:color="auto"/>
                                        <w:left w:val="none" w:sz="0" w:space="0" w:color="auto"/>
                                        <w:bottom w:val="none" w:sz="0" w:space="0" w:color="auto"/>
                                        <w:right w:val="none" w:sz="0" w:space="0" w:color="auto"/>
                                      </w:divBdr>
                                      <w:divsChild>
                                        <w:div w:id="1730418916">
                                          <w:marLeft w:val="0"/>
                                          <w:marRight w:val="0"/>
                                          <w:marTop w:val="0"/>
                                          <w:marBottom w:val="0"/>
                                          <w:divBdr>
                                            <w:top w:val="none" w:sz="0" w:space="0" w:color="auto"/>
                                            <w:left w:val="none" w:sz="0" w:space="0" w:color="auto"/>
                                            <w:bottom w:val="none" w:sz="0" w:space="0" w:color="auto"/>
                                            <w:right w:val="none" w:sz="0" w:space="0" w:color="auto"/>
                                          </w:divBdr>
                                          <w:divsChild>
                                            <w:div w:id="2100633765">
                                              <w:marLeft w:val="0"/>
                                              <w:marRight w:val="0"/>
                                              <w:marTop w:val="0"/>
                                              <w:marBottom w:val="0"/>
                                              <w:divBdr>
                                                <w:top w:val="none" w:sz="0" w:space="0" w:color="auto"/>
                                                <w:left w:val="none" w:sz="0" w:space="0" w:color="auto"/>
                                                <w:bottom w:val="none" w:sz="0" w:space="0" w:color="auto"/>
                                                <w:right w:val="none" w:sz="0" w:space="0" w:color="auto"/>
                                              </w:divBdr>
                                              <w:divsChild>
                                                <w:div w:id="1899584461">
                                                  <w:marLeft w:val="0"/>
                                                  <w:marRight w:val="0"/>
                                                  <w:marTop w:val="0"/>
                                                  <w:marBottom w:val="0"/>
                                                  <w:divBdr>
                                                    <w:top w:val="none" w:sz="0" w:space="0" w:color="auto"/>
                                                    <w:left w:val="none" w:sz="0" w:space="0" w:color="auto"/>
                                                    <w:bottom w:val="none" w:sz="0" w:space="0" w:color="auto"/>
                                                    <w:right w:val="none" w:sz="0" w:space="0" w:color="auto"/>
                                                  </w:divBdr>
                                                  <w:divsChild>
                                                    <w:div w:id="9197580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855026144">
      <w:bodyDiv w:val="1"/>
      <w:marLeft w:val="0"/>
      <w:marRight w:val="0"/>
      <w:marTop w:val="0"/>
      <w:marBottom w:val="0"/>
      <w:divBdr>
        <w:top w:val="none" w:sz="0" w:space="0" w:color="auto"/>
        <w:left w:val="none" w:sz="0" w:space="0" w:color="auto"/>
        <w:bottom w:val="none" w:sz="0" w:space="0" w:color="auto"/>
        <w:right w:val="none" w:sz="0" w:space="0" w:color="auto"/>
      </w:divBdr>
    </w:div>
    <w:div w:id="1858351628">
      <w:bodyDiv w:val="1"/>
      <w:marLeft w:val="0"/>
      <w:marRight w:val="0"/>
      <w:marTop w:val="0"/>
      <w:marBottom w:val="0"/>
      <w:divBdr>
        <w:top w:val="none" w:sz="0" w:space="0" w:color="auto"/>
        <w:left w:val="none" w:sz="0" w:space="0" w:color="auto"/>
        <w:bottom w:val="none" w:sz="0" w:space="0" w:color="auto"/>
        <w:right w:val="none" w:sz="0" w:space="0" w:color="auto"/>
      </w:divBdr>
      <w:divsChild>
        <w:div w:id="805591269">
          <w:marLeft w:val="0"/>
          <w:marRight w:val="0"/>
          <w:marTop w:val="0"/>
          <w:marBottom w:val="0"/>
          <w:divBdr>
            <w:top w:val="none" w:sz="0" w:space="0" w:color="auto"/>
            <w:left w:val="none" w:sz="0" w:space="0" w:color="auto"/>
            <w:bottom w:val="none" w:sz="0" w:space="0" w:color="auto"/>
            <w:right w:val="none" w:sz="0" w:space="0" w:color="auto"/>
          </w:divBdr>
          <w:divsChild>
            <w:div w:id="526067346">
              <w:marLeft w:val="0"/>
              <w:marRight w:val="0"/>
              <w:marTop w:val="0"/>
              <w:marBottom w:val="0"/>
              <w:divBdr>
                <w:top w:val="none" w:sz="0" w:space="0" w:color="auto"/>
                <w:left w:val="none" w:sz="0" w:space="0" w:color="auto"/>
                <w:bottom w:val="none" w:sz="0" w:space="0" w:color="auto"/>
                <w:right w:val="none" w:sz="0" w:space="0" w:color="auto"/>
              </w:divBdr>
              <w:divsChild>
                <w:div w:id="678890828">
                  <w:marLeft w:val="0"/>
                  <w:marRight w:val="0"/>
                  <w:marTop w:val="0"/>
                  <w:marBottom w:val="0"/>
                  <w:divBdr>
                    <w:top w:val="none" w:sz="0" w:space="0" w:color="auto"/>
                    <w:left w:val="none" w:sz="0" w:space="0" w:color="auto"/>
                    <w:bottom w:val="none" w:sz="0" w:space="0" w:color="auto"/>
                    <w:right w:val="none" w:sz="0" w:space="0" w:color="auto"/>
                  </w:divBdr>
                  <w:divsChild>
                    <w:div w:id="1959604008">
                      <w:marLeft w:val="1"/>
                      <w:marRight w:val="1"/>
                      <w:marTop w:val="0"/>
                      <w:marBottom w:val="0"/>
                      <w:divBdr>
                        <w:top w:val="none" w:sz="0" w:space="0" w:color="auto"/>
                        <w:left w:val="none" w:sz="0" w:space="0" w:color="auto"/>
                        <w:bottom w:val="none" w:sz="0" w:space="0" w:color="auto"/>
                        <w:right w:val="none" w:sz="0" w:space="0" w:color="auto"/>
                      </w:divBdr>
                      <w:divsChild>
                        <w:div w:id="350959920">
                          <w:marLeft w:val="0"/>
                          <w:marRight w:val="0"/>
                          <w:marTop w:val="0"/>
                          <w:marBottom w:val="0"/>
                          <w:divBdr>
                            <w:top w:val="none" w:sz="0" w:space="0" w:color="auto"/>
                            <w:left w:val="none" w:sz="0" w:space="0" w:color="auto"/>
                            <w:bottom w:val="none" w:sz="0" w:space="0" w:color="auto"/>
                            <w:right w:val="none" w:sz="0" w:space="0" w:color="auto"/>
                          </w:divBdr>
                          <w:divsChild>
                            <w:div w:id="2106998162">
                              <w:marLeft w:val="0"/>
                              <w:marRight w:val="0"/>
                              <w:marTop w:val="0"/>
                              <w:marBottom w:val="360"/>
                              <w:divBdr>
                                <w:top w:val="none" w:sz="0" w:space="0" w:color="auto"/>
                                <w:left w:val="none" w:sz="0" w:space="0" w:color="auto"/>
                                <w:bottom w:val="none" w:sz="0" w:space="0" w:color="auto"/>
                                <w:right w:val="none" w:sz="0" w:space="0" w:color="auto"/>
                              </w:divBdr>
                              <w:divsChild>
                                <w:div w:id="918246256">
                                  <w:marLeft w:val="0"/>
                                  <w:marRight w:val="0"/>
                                  <w:marTop w:val="0"/>
                                  <w:marBottom w:val="0"/>
                                  <w:divBdr>
                                    <w:top w:val="none" w:sz="0" w:space="0" w:color="auto"/>
                                    <w:left w:val="none" w:sz="0" w:space="0" w:color="auto"/>
                                    <w:bottom w:val="none" w:sz="0" w:space="0" w:color="auto"/>
                                    <w:right w:val="none" w:sz="0" w:space="0" w:color="auto"/>
                                  </w:divBdr>
                                  <w:divsChild>
                                    <w:div w:id="291328491">
                                      <w:marLeft w:val="0"/>
                                      <w:marRight w:val="0"/>
                                      <w:marTop w:val="0"/>
                                      <w:marBottom w:val="0"/>
                                      <w:divBdr>
                                        <w:top w:val="none" w:sz="0" w:space="0" w:color="auto"/>
                                        <w:left w:val="none" w:sz="0" w:space="0" w:color="auto"/>
                                        <w:bottom w:val="none" w:sz="0" w:space="0" w:color="auto"/>
                                        <w:right w:val="none" w:sz="0" w:space="0" w:color="auto"/>
                                      </w:divBdr>
                                      <w:divsChild>
                                        <w:div w:id="839320703">
                                          <w:marLeft w:val="0"/>
                                          <w:marRight w:val="0"/>
                                          <w:marTop w:val="0"/>
                                          <w:marBottom w:val="0"/>
                                          <w:divBdr>
                                            <w:top w:val="none" w:sz="0" w:space="0" w:color="auto"/>
                                            <w:left w:val="none" w:sz="0" w:space="0" w:color="auto"/>
                                            <w:bottom w:val="none" w:sz="0" w:space="0" w:color="auto"/>
                                            <w:right w:val="none" w:sz="0" w:space="0" w:color="auto"/>
                                          </w:divBdr>
                                          <w:divsChild>
                                            <w:div w:id="88695783">
                                              <w:marLeft w:val="0"/>
                                              <w:marRight w:val="0"/>
                                              <w:marTop w:val="0"/>
                                              <w:marBottom w:val="0"/>
                                              <w:divBdr>
                                                <w:top w:val="none" w:sz="0" w:space="0" w:color="auto"/>
                                                <w:left w:val="none" w:sz="0" w:space="0" w:color="auto"/>
                                                <w:bottom w:val="none" w:sz="0" w:space="0" w:color="auto"/>
                                                <w:right w:val="none" w:sz="0" w:space="0" w:color="auto"/>
                                              </w:divBdr>
                                              <w:divsChild>
                                                <w:div w:id="6926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421833">
      <w:bodyDiv w:val="1"/>
      <w:marLeft w:val="0"/>
      <w:marRight w:val="0"/>
      <w:marTop w:val="0"/>
      <w:marBottom w:val="0"/>
      <w:divBdr>
        <w:top w:val="none" w:sz="0" w:space="0" w:color="auto"/>
        <w:left w:val="none" w:sz="0" w:space="0" w:color="auto"/>
        <w:bottom w:val="none" w:sz="0" w:space="0" w:color="auto"/>
        <w:right w:val="none" w:sz="0" w:space="0" w:color="auto"/>
      </w:divBdr>
    </w:div>
    <w:div w:id="1912810051">
      <w:bodyDiv w:val="1"/>
      <w:marLeft w:val="0"/>
      <w:marRight w:val="0"/>
      <w:marTop w:val="0"/>
      <w:marBottom w:val="0"/>
      <w:divBdr>
        <w:top w:val="none" w:sz="0" w:space="0" w:color="auto"/>
        <w:left w:val="none" w:sz="0" w:space="0" w:color="auto"/>
        <w:bottom w:val="none" w:sz="0" w:space="0" w:color="auto"/>
        <w:right w:val="none" w:sz="0" w:space="0" w:color="auto"/>
      </w:divBdr>
    </w:div>
    <w:div w:id="1996451169">
      <w:bodyDiv w:val="1"/>
      <w:marLeft w:val="0"/>
      <w:marRight w:val="0"/>
      <w:marTop w:val="0"/>
      <w:marBottom w:val="0"/>
      <w:divBdr>
        <w:top w:val="none" w:sz="0" w:space="0" w:color="auto"/>
        <w:left w:val="none" w:sz="0" w:space="0" w:color="auto"/>
        <w:bottom w:val="none" w:sz="0" w:space="0" w:color="auto"/>
        <w:right w:val="none" w:sz="0" w:space="0" w:color="auto"/>
      </w:divBdr>
      <w:divsChild>
        <w:div w:id="597714554">
          <w:marLeft w:val="0"/>
          <w:marRight w:val="0"/>
          <w:marTop w:val="0"/>
          <w:marBottom w:val="0"/>
          <w:divBdr>
            <w:top w:val="none" w:sz="0" w:space="0" w:color="auto"/>
            <w:left w:val="none" w:sz="0" w:space="0" w:color="auto"/>
            <w:bottom w:val="none" w:sz="0" w:space="0" w:color="auto"/>
            <w:right w:val="none" w:sz="0" w:space="0" w:color="auto"/>
          </w:divBdr>
          <w:divsChild>
            <w:div w:id="1667780504">
              <w:marLeft w:val="0"/>
              <w:marRight w:val="0"/>
              <w:marTop w:val="0"/>
              <w:marBottom w:val="0"/>
              <w:divBdr>
                <w:top w:val="single" w:sz="24" w:space="0" w:color="B1AB01"/>
                <w:left w:val="single" w:sz="24" w:space="0" w:color="B1AB01"/>
                <w:bottom w:val="single" w:sz="24" w:space="0" w:color="B1AB01"/>
                <w:right w:val="single" w:sz="24" w:space="0" w:color="B1AB01"/>
              </w:divBdr>
              <w:divsChild>
                <w:div w:id="5144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4535">
      <w:bodyDiv w:val="1"/>
      <w:marLeft w:val="0"/>
      <w:marRight w:val="0"/>
      <w:marTop w:val="0"/>
      <w:marBottom w:val="0"/>
      <w:divBdr>
        <w:top w:val="none" w:sz="0" w:space="0" w:color="auto"/>
        <w:left w:val="none" w:sz="0" w:space="0" w:color="auto"/>
        <w:bottom w:val="none" w:sz="0" w:space="0" w:color="auto"/>
        <w:right w:val="none" w:sz="0" w:space="0" w:color="auto"/>
      </w:divBdr>
      <w:divsChild>
        <w:div w:id="1852915422">
          <w:marLeft w:val="0"/>
          <w:marRight w:val="0"/>
          <w:marTop w:val="0"/>
          <w:marBottom w:val="0"/>
          <w:divBdr>
            <w:top w:val="none" w:sz="0" w:space="0" w:color="auto"/>
            <w:left w:val="none" w:sz="0" w:space="0" w:color="auto"/>
            <w:bottom w:val="none" w:sz="0" w:space="0" w:color="auto"/>
            <w:right w:val="none" w:sz="0" w:space="0" w:color="auto"/>
          </w:divBdr>
          <w:divsChild>
            <w:div w:id="417136676">
              <w:marLeft w:val="0"/>
              <w:marRight w:val="0"/>
              <w:marTop w:val="0"/>
              <w:marBottom w:val="0"/>
              <w:divBdr>
                <w:top w:val="none" w:sz="0" w:space="0" w:color="auto"/>
                <w:left w:val="none" w:sz="0" w:space="0" w:color="auto"/>
                <w:bottom w:val="none" w:sz="0" w:space="0" w:color="auto"/>
                <w:right w:val="none" w:sz="0" w:space="0" w:color="auto"/>
              </w:divBdr>
              <w:divsChild>
                <w:div w:id="862717189">
                  <w:marLeft w:val="0"/>
                  <w:marRight w:val="0"/>
                  <w:marTop w:val="0"/>
                  <w:marBottom w:val="0"/>
                  <w:divBdr>
                    <w:top w:val="none" w:sz="0" w:space="0" w:color="auto"/>
                    <w:left w:val="none" w:sz="0" w:space="0" w:color="auto"/>
                    <w:bottom w:val="none" w:sz="0" w:space="0" w:color="auto"/>
                    <w:right w:val="none" w:sz="0" w:space="0" w:color="auto"/>
                  </w:divBdr>
                  <w:divsChild>
                    <w:div w:id="695929628">
                      <w:marLeft w:val="1"/>
                      <w:marRight w:val="1"/>
                      <w:marTop w:val="0"/>
                      <w:marBottom w:val="0"/>
                      <w:divBdr>
                        <w:top w:val="none" w:sz="0" w:space="0" w:color="auto"/>
                        <w:left w:val="none" w:sz="0" w:space="0" w:color="auto"/>
                        <w:bottom w:val="none" w:sz="0" w:space="0" w:color="auto"/>
                        <w:right w:val="none" w:sz="0" w:space="0" w:color="auto"/>
                      </w:divBdr>
                      <w:divsChild>
                        <w:div w:id="1762753476">
                          <w:marLeft w:val="0"/>
                          <w:marRight w:val="0"/>
                          <w:marTop w:val="0"/>
                          <w:marBottom w:val="0"/>
                          <w:divBdr>
                            <w:top w:val="none" w:sz="0" w:space="0" w:color="auto"/>
                            <w:left w:val="none" w:sz="0" w:space="0" w:color="auto"/>
                            <w:bottom w:val="none" w:sz="0" w:space="0" w:color="auto"/>
                            <w:right w:val="none" w:sz="0" w:space="0" w:color="auto"/>
                          </w:divBdr>
                          <w:divsChild>
                            <w:div w:id="1292176271">
                              <w:marLeft w:val="0"/>
                              <w:marRight w:val="0"/>
                              <w:marTop w:val="0"/>
                              <w:marBottom w:val="360"/>
                              <w:divBdr>
                                <w:top w:val="none" w:sz="0" w:space="0" w:color="auto"/>
                                <w:left w:val="none" w:sz="0" w:space="0" w:color="auto"/>
                                <w:bottom w:val="none" w:sz="0" w:space="0" w:color="auto"/>
                                <w:right w:val="none" w:sz="0" w:space="0" w:color="auto"/>
                              </w:divBdr>
                              <w:divsChild>
                                <w:div w:id="1481800398">
                                  <w:marLeft w:val="0"/>
                                  <w:marRight w:val="0"/>
                                  <w:marTop w:val="0"/>
                                  <w:marBottom w:val="0"/>
                                  <w:divBdr>
                                    <w:top w:val="none" w:sz="0" w:space="0" w:color="auto"/>
                                    <w:left w:val="none" w:sz="0" w:space="0" w:color="auto"/>
                                    <w:bottom w:val="none" w:sz="0" w:space="0" w:color="auto"/>
                                    <w:right w:val="none" w:sz="0" w:space="0" w:color="auto"/>
                                  </w:divBdr>
                                  <w:divsChild>
                                    <w:div w:id="1185166692">
                                      <w:marLeft w:val="0"/>
                                      <w:marRight w:val="0"/>
                                      <w:marTop w:val="0"/>
                                      <w:marBottom w:val="0"/>
                                      <w:divBdr>
                                        <w:top w:val="none" w:sz="0" w:space="0" w:color="auto"/>
                                        <w:left w:val="none" w:sz="0" w:space="0" w:color="auto"/>
                                        <w:bottom w:val="none" w:sz="0" w:space="0" w:color="auto"/>
                                        <w:right w:val="none" w:sz="0" w:space="0" w:color="auto"/>
                                      </w:divBdr>
                                      <w:divsChild>
                                        <w:div w:id="1474105534">
                                          <w:marLeft w:val="0"/>
                                          <w:marRight w:val="0"/>
                                          <w:marTop w:val="0"/>
                                          <w:marBottom w:val="0"/>
                                          <w:divBdr>
                                            <w:top w:val="none" w:sz="0" w:space="0" w:color="auto"/>
                                            <w:left w:val="none" w:sz="0" w:space="0" w:color="auto"/>
                                            <w:bottom w:val="none" w:sz="0" w:space="0" w:color="auto"/>
                                            <w:right w:val="none" w:sz="0" w:space="0" w:color="auto"/>
                                          </w:divBdr>
                                          <w:divsChild>
                                            <w:div w:id="910847770">
                                              <w:marLeft w:val="0"/>
                                              <w:marRight w:val="0"/>
                                              <w:marTop w:val="0"/>
                                              <w:marBottom w:val="0"/>
                                              <w:divBdr>
                                                <w:top w:val="none" w:sz="0" w:space="0" w:color="auto"/>
                                                <w:left w:val="none" w:sz="0" w:space="0" w:color="auto"/>
                                                <w:bottom w:val="none" w:sz="0" w:space="0" w:color="auto"/>
                                                <w:right w:val="none" w:sz="0" w:space="0" w:color="auto"/>
                                              </w:divBdr>
                                              <w:divsChild>
                                                <w:div w:id="4946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CC71-A550-4FD0-B783-E8812C09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2943</Words>
  <Characters>22251</Characters>
  <Application>Microsoft Office Word</Application>
  <DocSecurity>0</DocSecurity>
  <Lines>337</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2017-09-06T09:59:00Z</cp:lastPrinted>
  <dcterms:created xsi:type="dcterms:W3CDTF">2017-11-17T13:51:00Z</dcterms:created>
  <dcterms:modified xsi:type="dcterms:W3CDTF">2017-12-15T09:58:00Z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