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7646A619-AD0A-45B8-8277-F090832A3DC8" style="width:450.8pt;height:365.6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INDOKOLÁS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A JAVASLAT HÁTTERE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A javaslat indokai és céljai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A hozzáadottérték-adó (héa) Európa leghosszabb ideje létező fogyasztási adója. A héára vonatkozóan 1967-ben tett kötelezettségvállalás egy, az Európai Közösség szintjén kialakítandó olyan végleges héarendszer létrehozására irányult, amely ugyanúgy működne, mint egy egyetlen országban működő rendszer</w:t>
      </w:r>
      <w:r>
        <w:rPr>
          <w:rStyle w:val="FootnoteReference"/>
          <w:noProof/>
        </w:rPr>
        <w:footnoteReference w:id="1"/>
      </w:r>
      <w:r>
        <w:rPr>
          <w:noProof/>
        </w:rPr>
        <w:t>, anélkül, hogy – egy általános héamérték alkalmazásán túl – különös szabályokat fogadnának el a héa mértékére vonatkozóan, és kötelező érvényű alsó vagy felső határérték nélkül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A tagállamok közötti fiskális határok megszüntetésével összefüggésben 1992 végére szükségessé vált az árukereskedelem Közösségen belüli adóztatására alkalmazott módszer felülvizsgálata. A cél az volt, hogy az áruk után a származási országban kelljen megfizetni az adót, tökéletesen érvényre juttatva ezáltal a valódi belső piacra vonatkozó elképzelést. Mivel sem a politikai, sem a technikai feltételek nem voltak adottak egy ilyen rendszer működtetéséhez, átmeneti héaszabályozás került elfogadásra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Az átmeneti rendszerben szükség volt a héa mértékére vonatkozó szabályokra, hogy a fiskális határok megszüntetését követően elkerülhetők legyenek a torzulások a határokon átnyúló vásárlásokban és kereskedelemben. 1992 októberében a Tanács elfogadta a héa mértékének megállapítására vonatkozó tagállami jogkört korlátozó szabályokat</w:t>
      </w:r>
      <w:r>
        <w:rPr>
          <w:rStyle w:val="FootnoteReference"/>
          <w:noProof/>
        </w:rPr>
        <w:footnoteReference w:id="4"/>
      </w:r>
      <w:r>
        <w:rPr>
          <w:noProof/>
        </w:rPr>
        <w:t>. Ezek kötelezték a tagállamokat, hogy 1996. december 31-ig vezessenek be legalább 15 %-os általános héamértéket.</w:t>
      </w:r>
    </w:p>
    <w:p>
      <w:pPr>
        <w:rPr>
          <w:noProof/>
        </w:rPr>
      </w:pPr>
      <w:r>
        <w:rPr>
          <w:noProof/>
        </w:rPr>
        <w:t>A legalább 15 %-os általános héamértéket azóta hatszor hosszabbították meg. Jelenleg a közös hozzáadottértékadó-rendszerről szóló, 2006. november 28-i 2006/112/EK tanácsi irányelv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(a továbbiakban: héairányelv) 97. cikke értelmében 2016. január 1-jétől 2017. december 31-ig az általános adómérték nem lehet kevesebb, mint 15 %.</w:t>
      </w:r>
    </w:p>
    <w:p>
      <w:pPr>
        <w:rPr>
          <w:noProof/>
        </w:rPr>
      </w:pPr>
      <w:r>
        <w:rPr>
          <w:noProof/>
        </w:rPr>
        <w:t>A héára vonatkozó 2016-os cselekvési tervében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a Bizottság egy erős egységes európai héaövezet létrehozása érdekében javasolta a tagállamok közötti kereskedelem adóztatására vonatkozó jelenlegi átmeneti szabályozás felváltását a rendeltetési hely szerinti tagállamban való adózás elvén alapuló végleges szabályozással. Eközben a szolgáltatások adóztatásának helye is fokozatosan megváltozott, és 2010 óta a célország lett. A döntés 2008-ban született meg, amikor a Tanács elfogadott egy, a különböző héamértéket alkalmazó tagállamok között fellépő versenytorzulás megelőzésére irányuló javaslatot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2017. október 4-én a Bizottság elfogadta az első javaslatot, amely bevezeti a tagállamok közötti kereskedelem adóztatásának végleges rendszerét</w:t>
      </w:r>
      <w:r>
        <w:rPr>
          <w:rStyle w:val="FootnoteReference"/>
          <w:noProof/>
        </w:rPr>
        <w:footnoteReference w:id="8"/>
      </w:r>
      <w:r>
        <w:rPr>
          <w:noProof/>
        </w:rPr>
        <w:t>, és a héára vonatkozó cselekvési terv nyomon követésének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a részeként felvázolta e rendszer bevezetésének egymást követő szakaszait és alszakaszait. Azt is bejelentette, hogy javasolni fogja a héamértékek reformját, amelyek így összhangban lennének a jelenlegi átmeneti szabályozást fokozatosan felváltó, a rendeltetési hely elvén alapuló végleges szabályozással.</w:t>
      </w:r>
    </w:p>
    <w:p>
      <w:pPr>
        <w:rPr>
          <w:noProof/>
        </w:rPr>
      </w:pPr>
      <w:r>
        <w:rPr>
          <w:noProof/>
        </w:rPr>
        <w:t>Noha a rendeltetési hely szerinti tagállamban való adózás elvén alapuló végleges héarendszer nagyobb rugalmasságot biztosítana a tagállamoknak a héamértékek megállapításában, a végleges héarendszerben is fenn kell tartani, és ezért véglegessé kell tenni a minimális általános héamértéket.</w:t>
      </w:r>
    </w:p>
    <w:p>
      <w:pPr>
        <w:rPr>
          <w:noProof/>
        </w:rPr>
      </w:pPr>
      <w:r>
        <w:rPr>
          <w:noProof/>
        </w:rPr>
        <w:t>Figyelembe véve, hogy jelenleg minden tagállam legalább 17 %-os általános héamértéket alkalmaz, a jelenlegi 15 %-os minimális általános héamérték továbbra is megfelelő lenne. Ezzel tartósan rögzítésre kerülne egy olyan közösen megállapított határ, amely biztosítja a belső piac megfelelő működését, ugyanakkor rugalmasságot biztosít a tagállamoknak az általános héamérték megállapításában.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Összhang a szabályozási terület jelenlegi rendelkezéseivel</w:t>
      </w:r>
    </w:p>
    <w:p>
      <w:pPr>
        <w:rPr>
          <w:noProof/>
        </w:rPr>
      </w:pPr>
      <w:r>
        <w:rPr>
          <w:noProof/>
        </w:rPr>
        <w:t xml:space="preserve">Mivel a javaslat egy meglévő ideiglenes rendelkezés (a héairányelv 97. cikke) állandóvá tételére vonatkozik, összhangban van a jelenlegi jogszabályokkal. 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Összhang az Unió egyéb szakpolitikáival</w:t>
      </w:r>
    </w:p>
    <w:p>
      <w:pPr>
        <w:rPr>
          <w:rFonts w:eastAsia="Arial Unicode MS"/>
          <w:noProof/>
        </w:rPr>
      </w:pPr>
      <w:r>
        <w:rPr>
          <w:noProof/>
        </w:rPr>
        <w:t>Nem releváns.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JOGALAP, SZUBSZIDIARITÁS ÉS ARÁNYOSSÁG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Jogalap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Az irányelv módosítja a héairányelvet. A jogalap az Európai Unió működéséről szóló szerződés (EUMSZ) 113. cikke. Ez a cikk arról rendelkezik, hogy a Tanács az Európai Parlamenttel, valamint a Gazdasági és Szociális Bizottsággal folytatott konzultációt követően, különleges jogalkotási eljárás keretében, egyhangúlag rendelkezéseket fogad el a közvetett adózás területére vonatkozó tagállami szabályok harmonizálására.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Szubszidiaritás (nem kizárólagos hatáskör esetén) </w:t>
      </w:r>
    </w:p>
    <w:p>
      <w:pPr>
        <w:rPr>
          <w:rFonts w:eastAsia="Calibri"/>
          <w:noProof/>
        </w:rPr>
      </w:pPr>
      <w:r>
        <w:rPr>
          <w:noProof/>
        </w:rPr>
        <w:t>Mivel a javaslat nem tartozik az Európai Unió kizárólagos hatáskörébe, a szubszidiaritás elve érvényesül. A javaslat célkitűzéseit a tagállamok a következők miatt nem tudják kielégítően megvalósítani:</w:t>
      </w:r>
    </w:p>
    <w:p>
      <w:pPr>
        <w:rPr>
          <w:rFonts w:eastAsia="Calibri"/>
          <w:noProof/>
        </w:rPr>
      </w:pPr>
      <w:r>
        <w:rPr>
          <w:noProof/>
        </w:rPr>
        <w:t>Az Unió a héairányelvben már rögzített harmonizált rendelkezéseket a héamértékek alkalmazását illetően. Csak egy uniós jogi aktus módosíthatja e rendelkezéseket vagy hosszabbíthatja meg azok érvényességét, a tagállami törvényhozás pedig nem térhet el a harmonizált szabályoktól.</w:t>
      </w:r>
    </w:p>
    <w:p>
      <w:pPr>
        <w:rPr>
          <w:rFonts w:eastAsia="Calibri"/>
          <w:noProof/>
        </w:rPr>
      </w:pPr>
      <w:r>
        <w:rPr>
          <w:noProof/>
        </w:rPr>
        <w:t>A javaslat célkitűzései ennélfogva csak uniós fellépés révén érhetők el, és csak így biztosítható az Európai Unió állampolgáraival szemben tanúsított egyenlő bánásmód elvének érvényesülése. A javaslat ezért megfelel a szubszidiaritás elvének.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Arányosság</w:t>
      </w:r>
    </w:p>
    <w:p>
      <w:pPr>
        <w:rPr>
          <w:rFonts w:eastAsia="Calibri"/>
          <w:noProof/>
        </w:rPr>
      </w:pPr>
      <w:r>
        <w:rPr>
          <w:noProof/>
        </w:rPr>
        <w:t xml:space="preserve">E javaslat megfelel az arányosság elvének, mert fenntartja a jelenlegi helyzetet, mely szerint a tagállamok legalább 15 %-os általános héamértéket alkalmaznak.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A jogi aktus típusának megválasztása</w:t>
      </w:r>
    </w:p>
    <w:p>
      <w:pPr>
        <w:rPr>
          <w:rFonts w:eastAsia="Calibri"/>
          <w:noProof/>
        </w:rPr>
      </w:pPr>
      <w:r>
        <w:rPr>
          <w:noProof/>
        </w:rPr>
        <w:t>A jelenleg hatályos héairányelv módosításához irányelv elfogadása szükséges.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AZ UTÓLAGOS ÉRTÉKELÉSEK, AZ ÉRDEKELT FELEKKEL FOLYTATOTT KONZULTÁCIÓK ÉS A HATÁSVIZSGÁLATOK EREDMÉNYEI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A jelenleg hatályban lévő jogszabályok utólagos értékelése / célravezetőségi vizsgálata</w:t>
      </w:r>
    </w:p>
    <w:p>
      <w:pPr>
        <w:rPr>
          <w:noProof/>
        </w:rPr>
      </w:pPr>
      <w:r>
        <w:rPr>
          <w:noProof/>
        </w:rPr>
        <w:t xml:space="preserve">Nem releváns.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Az érdekelt felekkel folytatott konzultációk</w:t>
      </w:r>
    </w:p>
    <w:p>
      <w:pPr>
        <w:rPr>
          <w:rFonts w:eastAsia="Calibri"/>
          <w:noProof/>
        </w:rPr>
      </w:pPr>
      <w:r>
        <w:rPr>
          <w:noProof/>
        </w:rPr>
        <w:t>2016. december 21. és 2017. március 21. között 12 hetes nyilvános konzultáció folyt a hozzáadottérték-adó mértékéről, amelyre 327 hozzászólás érkezett. A válaszadók több mint fele (52 %) egyetértett a jelenlegi 15 %-os minimum fenntartásával, míg 16 % ellenezte annak fenntartását. 32 % nem nyilvánított véleményt a kérdésben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Hatásvizsgálat</w:t>
      </w:r>
    </w:p>
    <w:p>
      <w:pPr>
        <w:rPr>
          <w:noProof/>
        </w:rPr>
      </w:pPr>
      <w:r>
        <w:rPr>
          <w:noProof/>
        </w:rPr>
        <w:t>A javaslatnak nincs gazdasági, társadalmi, regionális vagy környezeti hatása, mivel az összes tagállam megfelel a minimumkövetelménynek, és nincs szükség a nemzeti jogszabályok módosítására.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Célravezető szabályozás és egyszerűsítés</w:t>
      </w:r>
    </w:p>
    <w:p>
      <w:pPr>
        <w:pStyle w:val="ManualHeading2"/>
        <w:ind w:left="0" w:firstLine="0"/>
        <w:rPr>
          <w:rFonts w:eastAsia="Arial Unicode MS"/>
          <w:noProof/>
        </w:rPr>
      </w:pPr>
      <w:r>
        <w:rPr>
          <w:b w:val="0"/>
          <w:noProof/>
        </w:rPr>
        <w:t xml:space="preserve">A javaslat nincs összefüggésben a REFIT-tel és nem von magával szabályozásból eredő terheket.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Alapjogok</w:t>
      </w:r>
    </w:p>
    <w:p>
      <w:pPr>
        <w:rPr>
          <w:noProof/>
        </w:rPr>
      </w:pPr>
      <w:r>
        <w:rPr>
          <w:noProof/>
        </w:rPr>
        <w:t>Tárgytalan.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KÖLTSÉGVETÉSI VONZATOK</w:t>
      </w:r>
    </w:p>
    <w:p>
      <w:pPr>
        <w:rPr>
          <w:rFonts w:eastAsia="Calibri"/>
          <w:noProof/>
        </w:rPr>
      </w:pPr>
      <w:r>
        <w:rPr>
          <w:noProof/>
        </w:rPr>
        <w:t xml:space="preserve">A javaslat nincs hatással az uniós költségvetésre. 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EGYÉB ELEMEK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Végrehajtási tervek, valamint a nyomon követés, az értékelés és a jelentéstétel szabályai</w:t>
      </w:r>
    </w:p>
    <w:p>
      <w:pPr>
        <w:pStyle w:val="Text1"/>
        <w:ind w:left="0"/>
        <w:rPr>
          <w:noProof/>
        </w:rPr>
      </w:pPr>
      <w:r>
        <w:rPr>
          <w:noProof/>
        </w:rPr>
        <w:t xml:space="preserve">A Bizottság továbbra is figyelemmel kíséri, hogy a tagállamok tiszteletben tartják-e a legalább 15 %-os általános héamértéket.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Magyarázó dokumentumok (irányelvek esetében)</w:t>
      </w:r>
    </w:p>
    <w:p>
      <w:pPr>
        <w:pStyle w:val="Text1"/>
        <w:ind w:left="0"/>
        <w:rPr>
          <w:noProof/>
        </w:rPr>
      </w:pPr>
      <w:r>
        <w:rPr>
          <w:noProof/>
        </w:rPr>
        <w:t xml:space="preserve">Jelenleg valamennyi tagállam teljesíti a 15 %-os minimális héamértéket. Nincs szükség a nemzeti jogba való átültetést magyarázó dokumentumokra.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A javaslat egyes rendelkezéseinek részletes magyarázata</w:t>
      </w:r>
    </w:p>
    <w:p>
      <w:pPr>
        <w:spacing w:before="0" w:after="0"/>
        <w:rPr>
          <w:noProof/>
        </w:rPr>
      </w:pPr>
      <w:r>
        <w:rPr>
          <w:noProof/>
        </w:rPr>
        <w:t xml:space="preserve">A </w:t>
      </w:r>
      <w:r>
        <w:rPr>
          <w:noProof/>
          <w:u w:val="single"/>
        </w:rPr>
        <w:t>97. cikk</w:t>
      </w:r>
      <w:r>
        <w:rPr>
          <w:noProof/>
        </w:rPr>
        <w:t xml:space="preserve"> megakadályozza, hogy a 15 %-os minimális általános adómérték megszűnjön 2018. január 1-jén, valamint biztosítja, hogy minden tagállam állandó jelleggel alkalmazza a 15 %-os minimális általános adómértéket.</w:t>
      </w:r>
    </w:p>
    <w:p>
      <w:pPr>
        <w:spacing w:before="0" w:after="0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2017/0349 (CNS)</w:t>
      </w:r>
    </w:p>
    <w:p>
      <w:pPr>
        <w:pStyle w:val="Statut"/>
        <w:rPr>
          <w:noProof/>
        </w:rPr>
      </w:pPr>
      <w:r>
        <w:rPr>
          <w:noProof/>
        </w:rPr>
        <w:t>Javaslat</w:t>
      </w:r>
    </w:p>
    <w:p>
      <w:pPr>
        <w:pStyle w:val="Typedudocument"/>
        <w:rPr>
          <w:noProof/>
        </w:rPr>
      </w:pPr>
      <w:r>
        <w:rPr>
          <w:noProof/>
        </w:rPr>
        <w:t>A TANÁCS IRÁNYELVE</w:t>
      </w:r>
    </w:p>
    <w:p>
      <w:pPr>
        <w:pStyle w:val="Titreobjet"/>
        <w:rPr>
          <w:noProof/>
        </w:rPr>
      </w:pPr>
      <w:r>
        <w:rPr>
          <w:noProof/>
        </w:rPr>
        <w:t>a közös hozzáadottértékadó-rendszerről szóló 2006/112/EK irányelvnek a minimális általános adómérték tiszteletben tartására vonatkozó kötelezettség tekintetében történő módosításáról</w:t>
      </w:r>
    </w:p>
    <w:p>
      <w:pPr>
        <w:pStyle w:val="Institutionquiagit"/>
        <w:rPr>
          <w:noProof/>
        </w:rPr>
      </w:pPr>
      <w:r>
        <w:rPr>
          <w:noProof/>
        </w:rPr>
        <w:t>AZ EURÓPAI UNIÓ TANÁCSA,</w:t>
      </w:r>
    </w:p>
    <w:p>
      <w:pPr>
        <w:rPr>
          <w:noProof/>
        </w:rPr>
      </w:pPr>
      <w:r>
        <w:rPr>
          <w:noProof/>
        </w:rPr>
        <w:t>tekintettel az Európai Unió működéséről szóló szerződésre és különösen annak 113. cikkére,</w:t>
      </w:r>
    </w:p>
    <w:p>
      <w:pPr>
        <w:rPr>
          <w:noProof/>
        </w:rPr>
      </w:pPr>
      <w:r>
        <w:rPr>
          <w:noProof/>
        </w:rPr>
        <w:t>tekintettel az Európai Bizottság javaslatára,</w:t>
      </w:r>
    </w:p>
    <w:p>
      <w:pPr>
        <w:rPr>
          <w:noProof/>
        </w:rPr>
      </w:pPr>
      <w:r>
        <w:rPr>
          <w:noProof/>
        </w:rPr>
        <w:t>a jogalkotási aktus tervezete nemzeti parlamenteknek való megküldését követően,</w:t>
      </w:r>
    </w:p>
    <w:p>
      <w:pPr>
        <w:rPr>
          <w:noProof/>
        </w:rPr>
      </w:pPr>
      <w:r>
        <w:rPr>
          <w:noProof/>
        </w:rPr>
        <w:t>tekintettel az Európai Parlament véleményére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, </w:t>
      </w:r>
    </w:p>
    <w:p>
      <w:pPr>
        <w:rPr>
          <w:noProof/>
        </w:rPr>
      </w:pPr>
      <w:r>
        <w:rPr>
          <w:noProof/>
        </w:rPr>
        <w:t>tekintettel az Európai Gazdasági és Szociális Bizottság véleményére</w:t>
      </w:r>
      <w:r>
        <w:rPr>
          <w:rStyle w:val="FootnoteReference"/>
          <w:noProof/>
        </w:rPr>
        <w:footnoteReference w:id="12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különleges jogalkotási eljárás keretében,</w:t>
      </w:r>
    </w:p>
    <w:p>
      <w:pPr>
        <w:rPr>
          <w:noProof/>
        </w:rPr>
      </w:pPr>
      <w:r>
        <w:rPr>
          <w:noProof/>
        </w:rPr>
        <w:t>mivel: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(1)</w:t>
      </w:r>
      <w:r>
        <w:rPr>
          <w:noProof/>
        </w:rPr>
        <w:tab/>
      </w:r>
      <w:r>
        <w:rPr>
          <w:noProof/>
          <w:sz w:val="23"/>
        </w:rPr>
        <w:t>A 2006/112/EK tanácsi irányelv</w:t>
      </w:r>
      <w:r>
        <w:rPr>
          <w:rStyle w:val="FootnoteReference"/>
          <w:noProof/>
          <w:sz w:val="23"/>
        </w:rPr>
        <w:footnoteReference w:id="13"/>
      </w:r>
      <w:r>
        <w:rPr>
          <w:noProof/>
          <w:sz w:val="23"/>
        </w:rPr>
        <w:t xml:space="preserve"> 97. cikke értelmében 2016. január 1-jétől 2017. december 31-ig az általános adómérték nem lehet kevesebb, mint 15 %. 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(2)</w:t>
      </w:r>
      <w:r>
        <w:rPr>
          <w:noProof/>
        </w:rPr>
        <w:tab/>
        <w:t xml:space="preserve">A </w:t>
      </w:r>
      <w:r>
        <w:rPr>
          <w:noProof/>
          <w:sz w:val="23"/>
        </w:rPr>
        <w:t>hozzáadottérték-adó (héa)</w:t>
      </w:r>
      <w:r>
        <w:rPr>
          <w:noProof/>
        </w:rPr>
        <w:t xml:space="preserve"> általános mértékének alkalmazása biztosítja a közös hozzáadottértékadó-rendszer zökkenőmentes működését, ezért azt fenn kell tartani.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 xml:space="preserve">A minimális általános héamértéket indokolt a rendeltetési hely szerinti tagállamban való adózás elvén alapuló végleges héarendszerben is a jelenlegi 15 %-os értéken tartani, valamint azt állandóvá tenni. 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A 2006/112/EK irányelvet ezért ennek megfelelően módosítani kell,</w:t>
      </w:r>
    </w:p>
    <w:p>
      <w:pPr>
        <w:pStyle w:val="Formuledadoption"/>
        <w:rPr>
          <w:noProof/>
        </w:rPr>
      </w:pPr>
      <w:r>
        <w:rPr>
          <w:noProof/>
        </w:rPr>
        <w:t>ELFOGADTA EZT AZ IRÁNYELVET:</w:t>
      </w:r>
    </w:p>
    <w:p>
      <w:pPr>
        <w:pStyle w:val="Titrearticle"/>
        <w:rPr>
          <w:noProof/>
        </w:rPr>
      </w:pPr>
      <w:r>
        <w:rPr>
          <w:noProof/>
        </w:rPr>
        <w:t>1. cikk</w:t>
      </w:r>
    </w:p>
    <w:p>
      <w:pPr>
        <w:rPr>
          <w:rFonts w:eastAsia="Calibri"/>
          <w:noProof/>
        </w:rPr>
      </w:pPr>
      <w:r>
        <w:rPr>
          <w:noProof/>
        </w:rPr>
        <w:t>A 2006/112/EK irányelv 97. cikke helyébe a következő szöveg lép:</w:t>
      </w:r>
    </w:p>
    <w:p>
      <w:pPr>
        <w:pStyle w:val="Titrearticle"/>
        <w:rPr>
          <w:noProof/>
        </w:rPr>
      </w:pPr>
      <w:r>
        <w:rPr>
          <w:noProof/>
        </w:rPr>
        <w:t>„97. cikk</w:t>
      </w:r>
    </w:p>
    <w:p>
      <w:pPr>
        <w:rPr>
          <w:rFonts w:eastAsia="Calibri"/>
          <w:noProof/>
        </w:rPr>
      </w:pPr>
      <w:r>
        <w:rPr>
          <w:noProof/>
        </w:rPr>
        <w:t>Az általános adómérték nem lehet kevesebb, mint 15 %.”</w:t>
      </w:r>
    </w:p>
    <w:p>
      <w:pPr>
        <w:pStyle w:val="Titrearticle"/>
        <w:rPr>
          <w:noProof/>
        </w:rPr>
      </w:pPr>
      <w:r>
        <w:rPr>
          <w:noProof/>
        </w:rPr>
        <w:t>2. cikk</w:t>
      </w:r>
    </w:p>
    <w:p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  <w:t>A tagállamok hatályba léptetik azokat a törvényi, rendeleti és közigazgatási rendelkezéseket, amelyek szükségesek ahhoz, hogy ennek az irányelvnek legkésőbb 2018. január 1-jéig megfeleljenek. E rendelkezések szövegét haladéktalanul megküldik a Bizottság számára.</w:t>
      </w:r>
    </w:p>
    <w:p>
      <w:pPr>
        <w:pStyle w:val="Point0"/>
        <w:rPr>
          <w:noProof/>
        </w:rPr>
      </w:pPr>
      <w:r>
        <w:rPr>
          <w:noProof/>
        </w:rPr>
        <w:tab/>
        <w:t>Amikor a tagállamok elfogadják ezeket a rendelkezéseket, azokban hivatkozni kell erre az irányelvre, vagy azokhoz hivatalos kihirdetésük alkalmával ilyen hivatkozást kell fűzni. A hivatkozás módját a tagállamok határozzák meg.</w:t>
      </w:r>
    </w:p>
    <w:p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  <w:t>A tagállamok közlik a Bizottsággal nemzeti joguk azon főbb rendelkezéseinek szövegét, amelyeket az ezen irányelv által szabályozott területen fogadnak el.</w:t>
      </w:r>
    </w:p>
    <w:p>
      <w:pPr>
        <w:pStyle w:val="Titrearticle"/>
        <w:rPr>
          <w:noProof/>
        </w:rPr>
      </w:pPr>
      <w:r>
        <w:rPr>
          <w:noProof/>
        </w:rPr>
        <w:t>3. cikk</w:t>
      </w:r>
    </w:p>
    <w:p>
      <w:pPr>
        <w:rPr>
          <w:noProof/>
        </w:rPr>
      </w:pPr>
      <w:r>
        <w:rPr>
          <w:noProof/>
        </w:rPr>
        <w:t xml:space="preserve">Ez az irányelv az </w:t>
      </w:r>
      <w:r>
        <w:rPr>
          <w:i/>
          <w:noProof/>
        </w:rPr>
        <w:t>Európai Unió Hivatalos Lapjában</w:t>
      </w:r>
      <w:r>
        <w:rPr>
          <w:noProof/>
        </w:rPr>
        <w:t xml:space="preserve"> való kihirdetését követő napon lép hatályba.</w:t>
      </w:r>
    </w:p>
    <w:p>
      <w:pPr>
        <w:pStyle w:val="Titrearticle"/>
        <w:rPr>
          <w:noProof/>
        </w:rPr>
      </w:pPr>
      <w:r>
        <w:rPr>
          <w:noProof/>
        </w:rPr>
        <w:t>4. cikk</w:t>
      </w:r>
    </w:p>
    <w:p>
      <w:pPr>
        <w:rPr>
          <w:noProof/>
        </w:rPr>
      </w:pPr>
      <w:r>
        <w:rPr>
          <w:noProof/>
        </w:rPr>
        <w:t>Ennek az irányelvnek a tagállamok a címzettjei.</w:t>
      </w:r>
    </w:p>
    <w:p>
      <w:pPr>
        <w:pStyle w:val="Fait"/>
        <w:rPr>
          <w:noProof/>
        </w:rPr>
      </w:pPr>
      <w:r>
        <w:t>Kelt Brüsszelben, -án/-én.</w:t>
      </w:r>
    </w:p>
    <w:p>
      <w:pPr>
        <w:pStyle w:val="Institutionquisigne"/>
        <w:rPr>
          <w:noProof/>
        </w:rPr>
      </w:pPr>
      <w:r>
        <w:rPr>
          <w:noProof/>
        </w:rPr>
        <w:tab/>
        <w:t>a Tanács részéről</w:t>
      </w:r>
    </w:p>
    <w:p>
      <w:pPr>
        <w:pStyle w:val="Personnequisigne"/>
        <w:rPr>
          <w:noProof/>
        </w:rPr>
      </w:pPr>
      <w:r>
        <w:rPr>
          <w:noProof/>
        </w:rPr>
        <w:tab/>
        <w:t>az elnök</w:t>
      </w:r>
      <w:bookmarkStart w:id="1" w:name="_CopyToNewDocument_"/>
      <w:bookmarkEnd w:id="1"/>
    </w:p>
    <w:sectPr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HU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A Tanács 67/227/EGK első irányelve (1967. április 11.) a tagállamok forgalmi adókra vonatkozó jogszabályainak összehangolásáról.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A Tanács 67/228/EGK második irányelve (1967. április 11.) a tagállamok forgalmi adóra vonatkozó jogszabályainak összehangolásáról – a közös hozzáadottértékadó-rendszer struktúrájáról és alkalmazási módjairól.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A Tanács 91/680/EGK irányelve (1991. december 16.) a hozzáadottérték-adó közös rendszerének kiegészítéséről és a 77/388/EGK irányelv módosításáról, tekintettel a fiskális határok megszüntetésére (HL L 376., 1991.12.31., 1. o.).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A Tanács 92/77/EGK irányelve (1992. október 19.) a közös hozzáadottértékadó-rendszer kiegészítéséről és a 77/388/EGK irányelv módosításáról (hozzáadottértékadó-mértékek közelítése) (HL L 316., 1992.10.31., 1. o.).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HL L 347., 2006.12.11., 1. o.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A Bizottság közleménye az Európai Parlamentnek, a Tanácsnak és az Európai Gazdasági és Szociális Bizottságnak egy, a héára vonatkozó cselekvési tervről – Úton egy egységes uniós héaövezet felé – új döntések szükségeltetnek (COM(2016) 148 final).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A Tanács 2008/8/EK irányelve (2008. február 12.) a 2006/112/EK irányelvnek a szolgáltatásnyújtás teljesítési helye tekintetében történő módosításáról (HL L 44., 2008.2.20., 11. o.).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Javaslat – A Tanács irányelve a 2006/112/EK irányelvnek a hozzáadottértékadó-rendszer egyes szabályainak harmonizálása és egyszerűsítése tekintetében történő módosításáról, valamint a tagállamok közötti kereskedelem adóztatására vonatkozó végleges rendszer bevezetéséről (COM(2017) 569 final).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A Bizottság közleménye az Európai Parlamentnek, a Tanácsnak és az Európai Gazdasági és Szociális Bizottságnak az „Úton egy egységes uniós héaövezet felé – új döntések szükségeltetnek” című, a héára vonatkozó cselekvési terv nyomon követéséről (COM(2017) 566 final).</w:t>
      </w:r>
    </w:p>
  </w:footnote>
  <w:footnote w:id="10">
    <w:p>
      <w:pPr>
        <w:pStyle w:val="FootnoteText"/>
        <w:jc w:val="left"/>
      </w:pPr>
      <w:r>
        <w:rPr>
          <w:rStyle w:val="FootnoteReference"/>
        </w:rPr>
        <w:footnoteRef/>
      </w:r>
      <w:r>
        <w:tab/>
        <w:t>Konzultációs weboldal: https://ec.europa.eu/taxation_customs/consultations-get-involved/tax-consultations/review-existing-legislation-vat-reduced-rates_en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HL C… , , . .o.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HL C… , , . .o.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A Tanács 2006/112/EK irányelve (2006. november 28.) a közös hozzáadottértékadó-rendszerről (HL L 347., 2006.12.11., 1. o.)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1964C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CE846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DDEBA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DA2E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BD2D9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FDE28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0E817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C6AD0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2-18 15:12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7646A619-AD0A-45B8-8277-F090832A3DC8"/>
    <w:docVar w:name="LW_COVERPAGE_TYPE" w:val="1"/>
    <w:docVar w:name="LW_CROSSREFERENCE" w:val="&lt;UNUSED&gt;"/>
    <w:docVar w:name="LW_DocType" w:val="COM"/>
    <w:docVar w:name="LW_EMISSION" w:val="2017.12.19."/>
    <w:docVar w:name="LW_EMISSION_ISODATE" w:val="2017-12-19"/>
    <w:docVar w:name="LW_EMISSION_LOCATION" w:val="BRX"/>
    <w:docVar w:name="LW_EMISSION_PREFIX" w:val="Brüsszel, "/>
    <w:docVar w:name="LW_EMISSION_SUFFIX" w:val=" "/>
    <w:docVar w:name="LW_ID_DOCMODEL" w:val="SJ-017"/>
    <w:docVar w:name="LW_ID_DOCSIGNATURE" w:val="SJ-017"/>
    <w:docVar w:name="LW_ID_DOCSTRUCTURE" w:val="COM/PL/ORG"/>
    <w:docVar w:name="LW_ID_DOCTYPE" w:val="SJ-017"/>
    <w:docVar w:name="LW_ID_STATUT" w:val="SJ-017"/>
    <w:docVar w:name="LW_INTERETEEE.CP" w:val="&lt;UNUSED&gt;"/>
    <w:docVar w:name="LW_LANGUE" w:val="HU"/>
    <w:docVar w:name="LW_LEVEL_OF_SENSITIVITY" w:val="Standard treatment"/>
    <w:docVar w:name="LW_NOM.INST" w:val="EURÓPAI BIZOTTSÁG"/>
    <w:docVar w:name="LW_NOM.INST_JOINTDOC" w:val="&lt;EMPTY&gt;"/>
    <w:docVar w:name="LW_PART_NBR" w:val="1"/>
    <w:docVar w:name="LW_PART_NBR_TOTAL" w:val="1"/>
    <w:docVar w:name="LW_REF.II.NEW.CP" w:val="CNS"/>
    <w:docVar w:name="LW_REF.II.NEW.CP_NUMBER" w:val="0349"/>
    <w:docVar w:name="LW_REF.II.NEW.CP_YEAR" w:val="2017"/>
    <w:docVar w:name="LW_REF.INST.NEW" w:val="COM"/>
    <w:docVar w:name="LW_REF.INST.NEW_ADOPTED" w:val="final"/>
    <w:docVar w:name="LW_REF.INST.NEW_TEXT" w:val="(2017) 78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Javaslat"/>
    <w:docVar w:name="LW_SUPERTITRE" w:val="&lt;UNUSED&gt;"/>
    <w:docVar w:name="LW_TITRE.OBJ.CP" w:val="a közös hozzáadottértékadó-rendszerr\u337?l szóló 2006/112/EK irányelvnek a minimális általános adómérték tiszteletben tartására vonatkozó kötelezettség tekintetében történ\u337? módosításáról"/>
    <w:docVar w:name="LW_TYPE.DOC.CP" w:val="A TANÁCS IRÁNYELV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u-HU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u-HU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3FA2-BC41-4B7C-AF68-993AD6BE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1194</Words>
  <Characters>8243</Characters>
  <Application>Microsoft Office Word</Application>
  <DocSecurity>0</DocSecurity>
  <Lines>158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2015-11-25T09:06:00Z</cp:lastPrinted>
  <dcterms:created xsi:type="dcterms:W3CDTF">2017-12-14T11:23:00Z</dcterms:created>
  <dcterms:modified xsi:type="dcterms:W3CDTF">2017-12-18T14:12:00Z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SJ-017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Green (DQC version 03)</vt:lpwstr>
  </property>
</Properties>
</file>