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8C93EE7-733B-49C6-8A35-319FF80D9CC2" style="width:450.75pt;height:35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UZASADNIENIE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Przyczyny i cele wniosku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Podatek od wartości dodanej (VAT) jest najdłużej stosowanym podatkiem konsumpcyjnym w Europie. W 1967 r. podjęto zobowiązanie do ustanowienia docelowego systemu VAT funkcjonującego w obrębie Wspólnoty Europejskiej w taki sam sposób, jakby miało to miejsce w jednym państwie</w:t>
      </w:r>
      <w:r>
        <w:rPr>
          <w:rStyle w:val="FootnoteReference"/>
          <w:noProof/>
        </w:rPr>
        <w:footnoteReference w:id="1"/>
      </w:r>
      <w:r>
        <w:rPr>
          <w:noProof/>
        </w:rPr>
        <w:t>, bez uzgadniania szczególnych zasad dotyczących stawek VAT poza stosowaniem stawki podstawowej podatku oraz bez narzucania dolnych ani górnych limitów stawki podatku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Zniesienie granic fiskalnych między państwami członkowskimi do końca 1992 r. sprawiło, że niezbędne było ponowne rozważenie sposobu opodatkowania handlu towarami we Wspólnocie Europejskiej. Celem było opodatkowanie towarów w państwie pochodzenia, tak aby w pełni odzwierciedlić koncepcję prawdziwego rynku wewnętrznego. Ponieważ nie było wówczas jeszcze odpowiednich warunków politycznych i technicznych do wprowadzenia takiego systemu, przyjęto przepisy przejściowe dotyczące VAT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mechanizmie przejściowym niezbędne było zastosowanie zasad dotyczących stawek VAT pozwalających uniknąć zakłóceń w transakcjach transgranicznych i transgranicznej wymianie handlowej po zniesieniu granic fiskalnych. W październiku 1992 r. Rada uzgodniła przepisy ograniczające swobodę uznania państw członkowskich w zakresie ustalania stawek VAT</w:t>
      </w:r>
      <w:r>
        <w:rPr>
          <w:rStyle w:val="FootnoteReference"/>
          <w:noProof/>
        </w:rPr>
        <w:footnoteReference w:id="4"/>
      </w:r>
      <w:r>
        <w:rPr>
          <w:noProof/>
        </w:rPr>
        <w:t>. Do dnia 31 grudnia 1996 r. państwa członkowskie zobowiązane były do stosowania stawki podstawowej VAT nie niższej niż 15 %.</w:t>
      </w:r>
    </w:p>
    <w:p>
      <w:pPr>
        <w:rPr>
          <w:noProof/>
        </w:rPr>
      </w:pPr>
      <w:r>
        <w:rPr>
          <w:noProof/>
        </w:rPr>
        <w:t>Od tamtej pory obowiązywanie stawki podstawowej VAT nie niższej niż 15 % przedłużano sześciokrotnie. Zgodnie z aktualnie obowiązującym art. 97 dyrektywy Rady 2006/112/WE z dnia 28 listopada 2006 r. w sprawie wspólnego systemu podatku od wartości dodanej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(zwanej dalej „dyrektywą VAT”) w okresie od dnia 1 stycznia 2016 r. do dnia 31 grudnia 2017 r. stawka podstawowa nie może być niższa niż 15 %.</w:t>
      </w:r>
    </w:p>
    <w:p>
      <w:pPr>
        <w:rPr>
          <w:noProof/>
        </w:rPr>
      </w:pPr>
      <w:r>
        <w:rPr>
          <w:noProof/>
        </w:rPr>
        <w:t>W swym planie działania w sprawie VAT z 2016 r.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w celu stworzenia solidnego jednolitego europejskiego obszaru VAT Komisja zaproponowała, aby obecnie obowiązujące przepisy przejściowe w zakresie opodatkowania handlu między państwami członkowskimi zastąpić regulacjami docelowymi opartymi na zasadzie opodatkowania w państwie członkowskim przeznaczenia. Tymczasem ewoluowała również kwestia wskazania miejsca opodatkowania usług, którym od 2010 r. stał się kraj przeznaczenia. Decyzję podjęto w 2008 r., gdy Rada </w:t>
      </w:r>
      <w:r>
        <w:rPr>
          <w:noProof/>
        </w:rPr>
        <w:lastRenderedPageBreak/>
        <w:t>przyjęła wniosek w celu zapobieżenia zakłóceniom konkurencji między państwami członkowskimi stosującymi różne stawki VAT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W dniu 4 października 2017 r. Komisja przyjęła pierwszy wniosek wprowadzający stały system opodatkowania handlu między państwami członkowskimi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oraz w ramach działań uzupełniających plan działania w sprawie VAT określiła szczegółowy harmonogram wprowadzania tego systemu</w:t>
      </w:r>
      <w:r>
        <w:rPr>
          <w:rStyle w:val="FootnoteReference"/>
          <w:noProof/>
        </w:rPr>
        <w:footnoteReference w:id="9"/>
      </w:r>
      <w:r>
        <w:rPr>
          <w:noProof/>
        </w:rPr>
        <w:t>. Komisja zapowiedziała również, że przedstawi projekt reformy stawek VAT w zgodzie z regulacjami stałymi opartymi na zasadzie miejsca przeznaczenia, które stopniowo zastąpią obecne przepisy przejściowe.</w:t>
      </w:r>
    </w:p>
    <w:p>
      <w:pPr>
        <w:rPr>
          <w:noProof/>
        </w:rPr>
      </w:pPr>
      <w:r>
        <w:rPr>
          <w:noProof/>
        </w:rPr>
        <w:t>Choć dzięki docelowemu systemowi VAT opartemu na zasadzie opodatkowania w państwie członkowskim przeznaczenia państwa członkowskie otrzymałyby więcej swobody w określaniu stawek VAT, należy w takim systemie utrzymać minimalną stawkę podstawową VAT i uczynić ją stawką stałą.</w:t>
      </w:r>
    </w:p>
    <w:p>
      <w:pPr>
        <w:rPr>
          <w:noProof/>
        </w:rPr>
      </w:pPr>
      <w:r>
        <w:rPr>
          <w:noProof/>
        </w:rPr>
        <w:t>Mając na uwadze, że wszystkie państwa członkowskie obecnie stosują stawkę podstawową wynoszącą co najmniej 17 %, aktualne uregulowanie stawki podstawowej na poziomie 15 % pozostaje adekwatne. Pozwoli to na stałe wdrożyć uzgodniony limit zapewniający właściwe funkcjonowanie rynku wewnętrznego, pozostawiając jednocześnie państwom członkowskim swobodę w określaniu stawki podstawowej VAT.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Spójność z przepisami obowiązującymi w tej dziedzinie polityki</w:t>
      </w:r>
    </w:p>
    <w:p>
      <w:pPr>
        <w:rPr>
          <w:noProof/>
        </w:rPr>
      </w:pPr>
      <w:r>
        <w:rPr>
          <w:noProof/>
        </w:rPr>
        <w:t xml:space="preserve">Ze względu na fakt, że wniosek dotyczy przedłużenia na trwałe obowiązywania istniejącego przejściowego przepisu (art. 97 dyrektywy VAT), jest on zgodny z obowiązującymi przepisami.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Spójność z innymi politykami Unii</w:t>
      </w:r>
    </w:p>
    <w:p>
      <w:pPr>
        <w:rPr>
          <w:rFonts w:eastAsia="Arial Unicode MS"/>
          <w:noProof/>
        </w:rPr>
      </w:pPr>
      <w:r>
        <w:rPr>
          <w:noProof/>
        </w:rPr>
        <w:t>Nie dotyczy.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Podstawa prawna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Dyrektywa wprowadza zmiany w dyrektywie VAT. Podstawą prawną jest art. 113 Traktatu o funkcjonowaniu Unii Europejskiej (TFUE). Artykuł ten stanowi, że Rada, stanowiąc jednomyślnie zgodnie ze specjalną procedurą ustawodawczą i po konsultacji z Parlamentem Europejskim oraz Komitetem Ekonomiczno-Społecznym, uchwala przepisy dotyczące harmonizacji ustawodawstw państw członkowskich odnoszących się do podatków pośrednich.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Pomocniczość (w przypadku kompetencji niewyłącznych) </w:t>
      </w:r>
    </w:p>
    <w:p>
      <w:pPr>
        <w:rPr>
          <w:rFonts w:eastAsia="Calibri"/>
          <w:noProof/>
        </w:rPr>
      </w:pPr>
      <w:r>
        <w:rPr>
          <w:noProof/>
        </w:rPr>
        <w:t>Zasada pomocniczości ma zastosowanie, o ile wniosek nie wchodzi w zakres wyłącznych kompetencji Unii Europejskiej. Cele wniosku nie mogą zostać osiągnięte w sposób zadowalający poprzez działania państw członkowskich z następujących względów:</w:t>
      </w:r>
    </w:p>
    <w:p>
      <w:pPr>
        <w:rPr>
          <w:rFonts w:eastAsia="Calibri"/>
          <w:noProof/>
        </w:rPr>
      </w:pPr>
      <w:r>
        <w:rPr>
          <w:noProof/>
        </w:rPr>
        <w:lastRenderedPageBreak/>
        <w:t>Unia Europejska ustanowiła już zharmonizowane przepisy dotyczące stosowania stawek VAT, zawierając je w dyrektywie VAT. Przepisy te mogą zostać zmienione lub rozszerzone jedynie aktem Unii Europejskiej, a ustawodawstwo państwa członkowskiego nie może odbiegać od zharmonizowanych zasad.</w:t>
      </w:r>
    </w:p>
    <w:p>
      <w:pPr>
        <w:rPr>
          <w:rFonts w:eastAsia="Calibri"/>
          <w:noProof/>
        </w:rPr>
      </w:pPr>
      <w:r>
        <w:rPr>
          <w:noProof/>
        </w:rPr>
        <w:t>Zatem tylko działanie na poziomie Unii Europejskiej umożliwi realizację celów wniosku i zapewni równe traktowanie obywateli w Unii Europejskiej. Wniosek jest zatem zgodny z zasadą pomocniczości.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Proporcjonalność</w:t>
      </w:r>
    </w:p>
    <w:p>
      <w:pPr>
        <w:rPr>
          <w:rFonts w:eastAsia="Calibri"/>
          <w:noProof/>
        </w:rPr>
      </w:pPr>
      <w:r>
        <w:rPr>
          <w:noProof/>
        </w:rPr>
        <w:t xml:space="preserve">Wniosek jest zgodny z zasadą proporcjonalności, ponieważ utrzymuje bieżący stan, zgodnie z którym państwa członkowskie stosują stawkę podstawową VAT nie niższą niż 15 %.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Wybór instrumentu</w:t>
      </w:r>
    </w:p>
    <w:p>
      <w:pPr>
        <w:rPr>
          <w:rFonts w:eastAsia="Calibri"/>
          <w:noProof/>
        </w:rPr>
      </w:pPr>
      <w:r>
        <w:rPr>
          <w:noProof/>
        </w:rPr>
        <w:t>Aby zmienić obecnie obowiązującą dyrektywę VAT, konieczne jest przyjęcie dyrektywy.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WYNIKI OCEN EX POST, KONSULTACJI Z ZAINTERESOWANYMI STRONAMI I OCEN SKUTKÓW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Oceny ex post / kontrole sprawności obowiązującego prawodawstwa</w:t>
      </w:r>
    </w:p>
    <w:p>
      <w:pPr>
        <w:rPr>
          <w:noProof/>
        </w:rPr>
      </w:pPr>
      <w:r>
        <w:rPr>
          <w:noProof/>
        </w:rPr>
        <w:t xml:space="preserve">Nie dotyczy.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Konsultacje z zainteresowanymi stronami</w:t>
      </w:r>
    </w:p>
    <w:p>
      <w:pPr>
        <w:rPr>
          <w:rFonts w:eastAsia="Calibri"/>
          <w:noProof/>
        </w:rPr>
      </w:pPr>
      <w:r>
        <w:rPr>
          <w:noProof/>
        </w:rPr>
        <w:t>Przez 12 tygodni, od dnia 21 grudnia 2016 r. do dnia 21 marca 2017 r., Komisja prowadziła otwarte konsultacje publiczne w sprawie stawek VAT. W ramach tych konsultacji zgromadzono 327 odpowiedzi. Ponad połowa respondentów (52 %) opowiedziała się za utrzymaniem aktualnie obowiązującej stawki minimalnej wynoszącej 15 %, zaś 16 % respondentów zajęło przeciwne stanowisko. 32 % respondentów nie wyraziło opinii w tej kwestii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Ocena skutków</w:t>
      </w:r>
    </w:p>
    <w:p>
      <w:pPr>
        <w:rPr>
          <w:noProof/>
        </w:rPr>
      </w:pPr>
      <w:r>
        <w:rPr>
          <w:noProof/>
        </w:rPr>
        <w:t>Wniosek nie wywołuje skutków gospodarczych, społecznych, regionalnych ani w zakresie oddziaływania na środowisko, ponieważ wszystkie państwa członkowskie spełniają wymóg minimalny oraz nie jest konieczne przeprowadzenie zmian w ustawodawstwach krajowych.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Sprawność regulacyjna i uproszczenie</w:t>
      </w:r>
    </w:p>
    <w:p>
      <w:pPr>
        <w:pStyle w:val="ManualHeading2"/>
        <w:ind w:left="0" w:firstLine="0"/>
        <w:rPr>
          <w:rFonts w:eastAsia="Arial Unicode MS"/>
          <w:noProof/>
        </w:rPr>
      </w:pPr>
      <w:r>
        <w:rPr>
          <w:b w:val="0"/>
          <w:noProof/>
        </w:rPr>
        <w:t xml:space="preserve">Wniosek nie wiąże się z REFIT i nie obejmuje obciążeń regulacyjnych.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Prawa podstawowe</w:t>
      </w:r>
    </w:p>
    <w:p>
      <w:pPr>
        <w:rPr>
          <w:noProof/>
        </w:rPr>
      </w:pPr>
      <w:r>
        <w:rPr>
          <w:noProof/>
        </w:rPr>
        <w:t>Nie dotyczy.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WPŁYW NA BUDŻET</w:t>
      </w:r>
    </w:p>
    <w:p>
      <w:pPr>
        <w:rPr>
          <w:rFonts w:eastAsia="Calibri"/>
          <w:noProof/>
        </w:rPr>
      </w:pPr>
      <w:r>
        <w:rPr>
          <w:noProof/>
        </w:rPr>
        <w:t xml:space="preserve">Wniosek nie ma wpływu finansowego na budżet Unii. 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>ELEMENTY FAKULTATYWNE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Plany wdrożenia i monitorowanie, ocena i sprawozdania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Komisja w dalszym ciągu będzie sprawdzać, czy państwa członkowskie przestrzegają stosowania minimalnej podstawowej stawki VAT na poziomie 15 %.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Dokumenty wyjaśniające (w przypadku dyrektyw)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Obecnie wszystkie państwa członkowskie przestrzegają stosowania minimalnej stawki VAT na poziomie15 %. Nie ma potrzeby przedstawiania dokumentów wyjaśniających dotyczących transpozycji.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Szczegółowe objaśnienia poszczególnych przepisów wniosku</w:t>
      </w:r>
    </w:p>
    <w:p>
      <w:pPr>
        <w:spacing w:before="0" w:after="0"/>
        <w:rPr>
          <w:noProof/>
        </w:rPr>
      </w:pPr>
      <w:r>
        <w:rPr>
          <w:noProof/>
          <w:u w:val="single"/>
        </w:rPr>
        <w:t>Art. 97</w:t>
      </w:r>
      <w:r>
        <w:rPr>
          <w:noProof/>
        </w:rPr>
        <w:t xml:space="preserve"> zapobiega wygaśnięciu w dniu 1 stycznia 2018 r. przepisu dotyczącego obowiązywania minimalnej stawki podstawowej na poziomie 15 % oraz zapewnia, że wszystkie państwa członkowskie będą stale stosowały minimalną stawkę podstawową na poziomie 15 %.</w:t>
      </w:r>
    </w:p>
    <w:p>
      <w:pPr>
        <w:spacing w:before="0" w:after="0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2017/0349 (CNS)</w:t>
      </w:r>
    </w:p>
    <w:p>
      <w:pPr>
        <w:pStyle w:val="Statut"/>
        <w:rPr>
          <w:noProof/>
        </w:rPr>
      </w:pPr>
      <w:r>
        <w:rPr>
          <w:noProof/>
        </w:rPr>
        <w:t>Wniosek</w:t>
      </w:r>
    </w:p>
    <w:p>
      <w:pPr>
        <w:pStyle w:val="Typedudocument"/>
        <w:rPr>
          <w:noProof/>
        </w:rPr>
      </w:pPr>
      <w:r>
        <w:rPr>
          <w:noProof/>
        </w:rPr>
        <w:t>DYREKTYWA RADY</w:t>
      </w:r>
    </w:p>
    <w:p>
      <w:pPr>
        <w:pStyle w:val="Titreobjet"/>
        <w:rPr>
          <w:noProof/>
        </w:rPr>
      </w:pPr>
      <w:r>
        <w:rPr>
          <w:noProof/>
        </w:rPr>
        <w:t>zmieniająca dyrektywę 2006/112/WE w sprawie wspólnego systemu podatku od wartości dodanej w zakresie okresu obowiązywania minimalnej stawki podstawowej</w:t>
      </w:r>
    </w:p>
    <w:p>
      <w:pPr>
        <w:pStyle w:val="Institutionquiagit"/>
        <w:rPr>
          <w:noProof/>
        </w:rPr>
      </w:pPr>
      <w:r>
        <w:rPr>
          <w:noProof/>
        </w:rPr>
        <w:t>RADA UNII EUROPEJSKIEJ,</w:t>
      </w:r>
    </w:p>
    <w:p>
      <w:pPr>
        <w:rPr>
          <w:noProof/>
        </w:rPr>
      </w:pPr>
      <w:r>
        <w:rPr>
          <w:noProof/>
        </w:rPr>
        <w:t>uwzględniając Traktat o funkcjonowaniu Unii Europejskiej, w szczególności jego art. 113,</w:t>
      </w:r>
    </w:p>
    <w:p>
      <w:pPr>
        <w:rPr>
          <w:noProof/>
        </w:rPr>
      </w:pPr>
      <w:r>
        <w:rPr>
          <w:noProof/>
        </w:rPr>
        <w:t>uwzględniając wniosek Komisji Europejskiej,</w:t>
      </w:r>
    </w:p>
    <w:p>
      <w:pPr>
        <w:rPr>
          <w:noProof/>
        </w:rPr>
      </w:pPr>
      <w:r>
        <w:rPr>
          <w:noProof/>
        </w:rPr>
        <w:t>po przekazaniu projektu aktu ustawodawczego parlamentom narodowym,</w:t>
      </w:r>
    </w:p>
    <w:p>
      <w:pPr>
        <w:rPr>
          <w:noProof/>
        </w:rPr>
      </w:pPr>
      <w:r>
        <w:rPr>
          <w:noProof/>
        </w:rPr>
        <w:t>uwzględniając opinię Parlamentu Europejskiego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uwzględniając opinię Europejskiego Komitetu Ekonomiczno-Społecznego</w:t>
      </w:r>
      <w:r>
        <w:rPr>
          <w:rStyle w:val="FootnoteReference"/>
          <w:noProof/>
        </w:rPr>
        <w:footnoteReference w:id="12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stanowiąc zgodnie ze specjalną procedurą ustawodawczą,</w:t>
      </w:r>
    </w:p>
    <w:p>
      <w:pPr>
        <w:rPr>
          <w:noProof/>
        </w:rPr>
      </w:pPr>
      <w:r>
        <w:rPr>
          <w:noProof/>
        </w:rPr>
        <w:t>a także mając na uwadze, co następuje: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</w:r>
      <w:r>
        <w:rPr>
          <w:noProof/>
          <w:sz w:val="23"/>
        </w:rPr>
        <w:t>Art.</w:t>
      </w:r>
      <w:r>
        <w:rPr>
          <w:noProof/>
        </w:rPr>
        <w:t> </w:t>
      </w:r>
      <w:r>
        <w:rPr>
          <w:noProof/>
          <w:sz w:val="23"/>
        </w:rPr>
        <w:t>97 dyrektywy Rady 2006/112/WE</w:t>
      </w:r>
      <w:r>
        <w:rPr>
          <w:rStyle w:val="FootnoteReference"/>
          <w:noProof/>
          <w:sz w:val="23"/>
        </w:rPr>
        <w:footnoteReference w:id="13"/>
      </w:r>
      <w:r>
        <w:rPr>
          <w:noProof/>
          <w:sz w:val="16"/>
        </w:rPr>
        <w:t xml:space="preserve"> </w:t>
      </w:r>
      <w:r>
        <w:rPr>
          <w:noProof/>
          <w:sz w:val="23"/>
        </w:rPr>
        <w:t>stanowi, że w okresie od dnia 1</w:t>
      </w:r>
      <w:r>
        <w:rPr>
          <w:noProof/>
        </w:rPr>
        <w:t> </w:t>
      </w:r>
      <w:r>
        <w:rPr>
          <w:noProof/>
          <w:sz w:val="23"/>
        </w:rPr>
        <w:t>stycznia 2016 r. do dnia 31</w:t>
      </w:r>
      <w:r>
        <w:rPr>
          <w:noProof/>
        </w:rPr>
        <w:t> </w:t>
      </w:r>
      <w:r>
        <w:rPr>
          <w:noProof/>
          <w:sz w:val="23"/>
        </w:rPr>
        <w:t xml:space="preserve">grudnia 2017 r. stawka podstawowa nie może być niższa niż 15 %. </w:t>
      </w:r>
    </w:p>
    <w:p>
      <w:pPr>
        <w:pStyle w:val="ManualConsidrant"/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 xml:space="preserve">Stosowanie stawki podstawowej </w:t>
      </w:r>
      <w:r>
        <w:rPr>
          <w:noProof/>
          <w:sz w:val="23"/>
        </w:rPr>
        <w:t xml:space="preserve">podatku od wartości dodanej (VAT) </w:t>
      </w:r>
      <w:r>
        <w:rPr>
          <w:noProof/>
        </w:rPr>
        <w:t>zapewnia sprawne funkcjonowanie systemu VAT i dlatego należy ją zachować.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Obecną minimalną stawkę podstawową VAT na poziomie 15 % należy utrzymać również w docelowym systemie VAT, opartym na zasadzie opodatkowania w państwie członkowskim przeznaczenia. Stawka ta powinna być stała. 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>
        <w:rPr>
          <w:noProof/>
        </w:rPr>
        <w:tab/>
        <w:t>Należy zatem odpowiednio zmienić dyrektywę 2006/112/WE,</w:t>
      </w:r>
    </w:p>
    <w:p>
      <w:pPr>
        <w:pStyle w:val="Formuledadoption"/>
        <w:rPr>
          <w:noProof/>
        </w:rPr>
      </w:pPr>
      <w:r>
        <w:rPr>
          <w:noProof/>
        </w:rPr>
        <w:t>PRZYJMUJE NINIEJSZĄ DYREKTYWĘ:</w:t>
      </w:r>
    </w:p>
    <w:p>
      <w:pPr>
        <w:pStyle w:val="Titrearticle"/>
        <w:rPr>
          <w:noProof/>
        </w:rPr>
      </w:pPr>
      <w:r>
        <w:rPr>
          <w:noProof/>
        </w:rPr>
        <w:t>Artykuł 1</w:t>
      </w:r>
    </w:p>
    <w:p>
      <w:pPr>
        <w:rPr>
          <w:rFonts w:eastAsia="Calibri"/>
          <w:noProof/>
        </w:rPr>
      </w:pPr>
      <w:r>
        <w:rPr>
          <w:noProof/>
        </w:rPr>
        <w:t>Art. 97 dyrektywy 2006/112/WE otrzymuje brzmienie:</w:t>
      </w:r>
    </w:p>
    <w:p>
      <w:pPr>
        <w:pStyle w:val="Titrearticle"/>
        <w:rPr>
          <w:noProof/>
        </w:rPr>
      </w:pPr>
      <w:r>
        <w:rPr>
          <w:noProof/>
        </w:rPr>
        <w:t>„Artykuł 97</w:t>
      </w:r>
    </w:p>
    <w:p>
      <w:pPr>
        <w:rPr>
          <w:rFonts w:eastAsia="Calibri"/>
          <w:noProof/>
        </w:rPr>
      </w:pPr>
      <w:r>
        <w:rPr>
          <w:noProof/>
        </w:rPr>
        <w:t>Stawka podstawowa nie może być niższa niż 15 %”</w:t>
      </w:r>
    </w:p>
    <w:p>
      <w:pPr>
        <w:pStyle w:val="Titrearticle"/>
        <w:rPr>
          <w:noProof/>
        </w:rPr>
      </w:pPr>
      <w:r>
        <w:rPr>
          <w:noProof/>
        </w:rPr>
        <w:t>Artykuł 2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Państwa członkowskie wprowadzają w życie przepisy ustawowe, wykonawcze i administracyjne niezbędne do wykonania niniejszej dyrektywy najpóźniej do dnia 1 stycznia 2018 r. Niezwłocznie przekazują Komisji tekst tych przepisów.</w:t>
      </w:r>
    </w:p>
    <w:p>
      <w:pPr>
        <w:pStyle w:val="Point0"/>
        <w:rPr>
          <w:noProof/>
        </w:rPr>
      </w:pPr>
      <w:r>
        <w:rPr>
          <w:noProof/>
        </w:rPr>
        <w:lastRenderedPageBreak/>
        <w:tab/>
        <w:t>Przepisy przyjęte przez państwa członkowskie zawierają odniesienie do niniejszej dyrektywy lub odniesienie takie towarzyszy ich urzędowej publikacji. Metody dokonywania takiego odniesienia określane są przez państwa członkowskie.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Państwa członkowskie przekazują Komisji tekst podstawowych przepisów prawa krajowego, przyjętych w dziedzinie objętej niniejszą dyrektywą.</w:t>
      </w:r>
    </w:p>
    <w:p>
      <w:pPr>
        <w:pStyle w:val="Titrearticle"/>
        <w:rPr>
          <w:noProof/>
        </w:rPr>
      </w:pPr>
      <w:r>
        <w:rPr>
          <w:noProof/>
        </w:rPr>
        <w:t>Artykuł 3</w:t>
      </w:r>
    </w:p>
    <w:p>
      <w:pPr>
        <w:rPr>
          <w:noProof/>
        </w:rPr>
      </w:pPr>
      <w:r>
        <w:rPr>
          <w:noProof/>
        </w:rPr>
        <w:t>Niniejsza dyrektywa wchodzi w życie następnego dnia po jej opublikowaniu w </w:t>
      </w:r>
      <w:r>
        <w:rPr>
          <w:i/>
          <w:noProof/>
        </w:rPr>
        <w:t>Dzienniku Urzędowym Unii Europejskiej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Artykuł 4</w:t>
      </w:r>
    </w:p>
    <w:p>
      <w:pPr>
        <w:rPr>
          <w:noProof/>
        </w:rPr>
      </w:pPr>
      <w:r>
        <w:rPr>
          <w:noProof/>
        </w:rPr>
        <w:t>Niniejsza dyrektywa skierowana jest do państw członkowskich.</w:t>
      </w:r>
    </w:p>
    <w:p>
      <w:pPr>
        <w:pStyle w:val="Fait"/>
        <w:rPr>
          <w:noProof/>
        </w:rPr>
      </w:pPr>
      <w:r>
        <w:t xml:space="preserve">Sporządzono w Brukseli dnia </w:t>
      </w:r>
      <w:r>
        <w:rPr>
          <w:rStyle w:val="Marker"/>
        </w:rPr>
        <w:t>[…]</w:t>
      </w:r>
      <w:r>
        <w:t xml:space="preserve"> r.</w:t>
      </w:r>
    </w:p>
    <w:p>
      <w:pPr>
        <w:pStyle w:val="Institutionquisigne"/>
        <w:rPr>
          <w:noProof/>
        </w:rPr>
      </w:pPr>
      <w:r>
        <w:rPr>
          <w:noProof/>
        </w:rPr>
        <w:tab/>
        <w:t>W imieniu Rady,</w:t>
      </w:r>
    </w:p>
    <w:p>
      <w:pPr>
        <w:pStyle w:val="Personnequisigne"/>
        <w:rPr>
          <w:noProof/>
        </w:rPr>
      </w:pPr>
      <w:r>
        <w:rPr>
          <w:noProof/>
        </w:rPr>
        <w:tab/>
        <w:t>Przewodniczący</w:t>
      </w:r>
      <w:bookmarkStart w:id="1" w:name="_CopyToNewDocument_"/>
      <w:bookmarkEnd w:id="1"/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Pierwsza dyrektywa Rady 67/227/EWG z dnia 11 kwietnia 1967 r. w sprawie harmonizacji ustawodawstw państw członkowskich dotyczących podatków obrotowych.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Druga dyrektywa Rady 67/228/EWG z dnia 11 kwietnia 1967 r. w sprawie harmonizacji ustawodawstw państw członkowskich dotyczących podatków obrotowych – struktura i warunki stosowania wspólnego systemu podatku od wartości dodanej.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Dyrektywa Rady 91/680/EWG z dnia 16 grudnia 1991 r. uzupełniająca wspólny system podatku od wartości dodanej i zmieniająca dyrektywę 77/388/EWG w celu zniesienia granic fiskalnych (Dz.U. L 376 z 31.12.1991, s. 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Dyrektywa Rady 92/77/EWG z dnia 19 października 1992 r. uzupełniająca wspólny system podatku od wartości dodanej i zmieniająca dyrektywę 77/388/EWG (zbliżenie stawek VAT) (Dz.U. L 316 z 31.10.1992, s. 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Dz.U. L 347 z 11.12.2006, s. 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Komunikat Komisji do Parlamentu Europejskiego, Rady i Europejskiego Komitetu Ekonomiczno-Społecznego dotyczący planu działania w sprawie VAT „W kierunku jednolitego unijnego obszaru VAT – czas na decyzje”</w:t>
      </w:r>
      <w:r>
        <w:rPr>
          <w:i/>
        </w:rPr>
        <w:t xml:space="preserve"> </w:t>
      </w:r>
      <w:r>
        <w:t>(COM(2016) 148 final)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Dyrektywa Rady 2008/8/WE z dnia 12 lutego 2008 r. zmieniająca dyrektywę 2006/112/WE w odniesieniu do miejsca świadczenia usług (Dz.U. L 44 z 20.2.2008, s. 11).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Wniosek dotyczący dyrektywy Rady zmieniającej dyrektywę 2006/112/WE w odniesieniu do harmonizacji i uproszczenia niektórych przepisów w systemie podatku od wartości dodanej oraz wprowadzenia docelowego systemu opodatkowania handlu między państwami członkowskimi (COM(2017) 569 final).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Komunikat Komisji do Parlamentu Europejskiego, Rady i Europejskiego Komitetu Ekonomiczno-Społecznego dotyczący działań następczych w odniesieniu do planu działania w sprawie VAT „W kierunku jednolitego unijnego obszaru VAT – czas na decyzje” (COM(2017) 566 final).</w:t>
      </w:r>
    </w:p>
  </w:footnote>
  <w:footnote w:id="10">
    <w:p>
      <w:pPr>
        <w:pStyle w:val="FootnoteText"/>
        <w:jc w:val="left"/>
      </w:pPr>
      <w:r>
        <w:rPr>
          <w:rStyle w:val="FootnoteReference"/>
        </w:rPr>
        <w:footnoteRef/>
      </w:r>
      <w:r>
        <w:tab/>
        <w:t>Strona poświęcona konsultacjom: https://ec.europa.eu/taxation_customs/consultations-get-involved/tax-consultations/review-existing-legislation-vat-reduced-rates_en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Dz.U. C z, s. 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Dz.U. C z, s. 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Dyrektywa 2006/112/WE Rady z dnia 28 listopada 2006 r. w sprawie wspólnego systemu podatku od wartości dodanej (Dz.U. L 347 z 11.12.2006, s.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964C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CE846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DDEBA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DA2E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BD2D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FDE28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E81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6AD0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8 15:13:1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8C93EE7-733B-49C6-8A35-319FF80D9CC2"/>
    <w:docVar w:name="LW_COVERPAGE_TYPE" w:val="1"/>
    <w:docVar w:name="LW_CROSSREFERENCE" w:val="&lt;UNUSED&gt;"/>
    <w:docVar w:name="LW_DocType" w:val="COM"/>
    <w:docVar w:name="LW_EMISSION" w:val="19.12.2017"/>
    <w:docVar w:name="LW_EMISSION_ISODATE" w:val="2017-12-19"/>
    <w:docVar w:name="LW_EMISSION_LOCATION" w:val="BRX"/>
    <w:docVar w:name="LW_EMISSION_PREFIX" w:val="Bruksela, dnia "/>
    <w:docVar w:name="LW_EMISSION_SUFFIX" w:val=" r."/>
    <w:docVar w:name="LW_ID_DOCMODEL" w:val="SJ-017"/>
    <w:docVar w:name="LW_ID_DOCSIGNATURE" w:val="SJ-017"/>
    <w:docVar w:name="LW_ID_DOCSTRUCTURE" w:val="COM/PL/ORG"/>
    <w:docVar w:name="LW_ID_DOCTYPE" w:val="SJ-017"/>
    <w:docVar w:name="LW_ID_STATUT" w:val="SJ-017"/>
    <w:docVar w:name="LW_INTERETEEE.CP" w:val="&lt;UNUSED&gt;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CNS"/>
    <w:docVar w:name="LW_REF.II.NEW.CP_NUMBER" w:val="0349"/>
    <w:docVar w:name="LW_REF.II.NEW.CP_YEAR" w:val="2017"/>
    <w:docVar w:name="LW_REF.INST.NEW" w:val="COM"/>
    <w:docVar w:name="LW_REF.INST.NEW_ADOPTED" w:val="final"/>
    <w:docVar w:name="LW_REF.INST.NEW_TEXT" w:val="(2017) 7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Wniosek"/>
    <w:docVar w:name="LW_SUPERTITRE" w:val="&lt;UNUSED&gt;"/>
    <w:docVar w:name="LW_TITRE.OBJ.CP" w:val="zmieniaj\u261?ca dyrektyw\u281? 2006/112/WE w sprawie wspólnego systemu podatku od warto\u347?ci dodanej w zakresie okresu obowi\u261?zywania minimalnej stawki podstawowej"/>
    <w:docVar w:name="LW_TYPE.DOC.CP" w:val="DYREKTYWA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7E3B-E69E-492D-9925-9B29B9B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1251</Words>
  <Characters>8362</Characters>
  <Application>Microsoft Office Word</Application>
  <DocSecurity>0</DocSecurity>
  <Lines>160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2015-11-25T09:06:00Z</cp:lastPrinted>
  <dcterms:created xsi:type="dcterms:W3CDTF">2017-12-13T10:47:00Z</dcterms:created>
  <dcterms:modified xsi:type="dcterms:W3CDTF">2017-12-18T14:13:00Z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SJ-017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