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2F" w:rsidRDefault="008E6590">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A860E7-BAEC-4E6C-9B3A-53E8C2F66B6A" style="width:450.25pt;height:320.65pt">
            <v:imagedata r:id="rId9" o:title=""/>
          </v:shape>
        </w:pict>
      </w:r>
      <w:bookmarkEnd w:id="1"/>
    </w:p>
    <w:bookmarkEnd w:id="0"/>
    <w:p w:rsidR="0013332F" w:rsidRDefault="0013332F">
      <w:pPr>
        <w:pStyle w:val="Pagedecouverture"/>
        <w:rPr>
          <w:noProof/>
        </w:rPr>
        <w:sectPr w:rsidR="001333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3332F" w:rsidRDefault="008E6590">
      <w:pPr>
        <w:pStyle w:val="Heading1"/>
        <w:rPr>
          <w:rFonts w:cs="Times New Roman"/>
          <w:noProof/>
          <w:szCs w:val="24"/>
        </w:rPr>
      </w:pPr>
      <w:r>
        <w:rPr>
          <w:noProof/>
        </w:rPr>
        <w:lastRenderedPageBreak/>
        <w:t>Ievads</w:t>
      </w:r>
    </w:p>
    <w:p w:rsidR="0013332F" w:rsidRDefault="008E6590">
      <w:pPr>
        <w:jc w:val="both"/>
        <w:rPr>
          <w:rFonts w:cs="Times New Roman"/>
          <w:noProof/>
          <w:szCs w:val="24"/>
        </w:rPr>
      </w:pPr>
      <w:r>
        <w:rPr>
          <w:noProof/>
        </w:rPr>
        <w:t xml:space="preserve">Pāreja uz </w:t>
      </w:r>
      <w:r>
        <w:rPr>
          <w:b/>
          <w:noProof/>
        </w:rPr>
        <w:t>aprites ekonomiku</w:t>
      </w:r>
      <w:r>
        <w:rPr>
          <w:noProof/>
        </w:rPr>
        <w:t xml:space="preserve"> ir milzīga </w:t>
      </w:r>
      <w:r>
        <w:rPr>
          <w:b/>
          <w:noProof/>
        </w:rPr>
        <w:t>iespēja</w:t>
      </w:r>
      <w:r>
        <w:rPr>
          <w:noProof/>
        </w:rPr>
        <w:t xml:space="preserve"> pārveidot mūsu ekonomiku un padarīt to </w:t>
      </w:r>
      <w:r>
        <w:rPr>
          <w:b/>
          <w:noProof/>
        </w:rPr>
        <w:t>ilgtspējīgāku</w:t>
      </w:r>
      <w:r>
        <w:rPr>
          <w:noProof/>
        </w:rPr>
        <w:t xml:space="preserve">, palīdzēt sasniegt </w:t>
      </w:r>
      <w:r>
        <w:rPr>
          <w:b/>
          <w:noProof/>
        </w:rPr>
        <w:t>klimata mērķus</w:t>
      </w:r>
      <w:r>
        <w:rPr>
          <w:noProof/>
        </w:rPr>
        <w:t xml:space="preserve"> un </w:t>
      </w:r>
      <w:r>
        <w:rPr>
          <w:b/>
          <w:noProof/>
        </w:rPr>
        <w:t>saglabāt</w:t>
      </w:r>
      <w:r>
        <w:rPr>
          <w:b/>
          <w:noProof/>
        </w:rPr>
        <w:t xml:space="preserve"> pasaules resursus</w:t>
      </w:r>
      <w:r>
        <w:rPr>
          <w:noProof/>
        </w:rPr>
        <w:t xml:space="preserve">, radīt </w:t>
      </w:r>
      <w:r>
        <w:rPr>
          <w:b/>
          <w:noProof/>
        </w:rPr>
        <w:t>vietējās darbvietas</w:t>
      </w:r>
      <w:r>
        <w:rPr>
          <w:noProof/>
        </w:rPr>
        <w:t xml:space="preserve"> un </w:t>
      </w:r>
      <w:r>
        <w:rPr>
          <w:b/>
          <w:noProof/>
        </w:rPr>
        <w:t>konkurences priekšrocības</w:t>
      </w:r>
      <w:r>
        <w:rPr>
          <w:noProof/>
        </w:rPr>
        <w:t xml:space="preserve"> Eiropai pasaulē, kurā notiek </w:t>
      </w:r>
      <w:r>
        <w:rPr>
          <w:b/>
          <w:noProof/>
        </w:rPr>
        <w:t>būtiskas pārmaiņas</w:t>
      </w:r>
      <w:r>
        <w:rPr>
          <w:noProof/>
        </w:rPr>
        <w:t>. Aprites ekonomikas nozīme Eiropas rūpniecībai nesen tika uzsvērta atjauninātajā ES rūpniecības politikas stratēģijā</w:t>
      </w:r>
      <w:r>
        <w:rPr>
          <w:rStyle w:val="FootnoteReference"/>
          <w:noProof/>
        </w:rPr>
        <w:footnoteReference w:id="1"/>
      </w:r>
      <w:r>
        <w:rPr>
          <w:noProof/>
        </w:rPr>
        <w:t>. Pāreja uz apri</w:t>
      </w:r>
      <w:r>
        <w:rPr>
          <w:noProof/>
        </w:rPr>
        <w:t>tes ekonomiku palīdzēs sasniegt arī 2030. gada ilgtspējīgas attīstības programmas mērķus</w:t>
      </w:r>
      <w:r>
        <w:rPr>
          <w:rStyle w:val="FootnoteReference"/>
          <w:noProof/>
        </w:rPr>
        <w:footnoteReference w:id="2"/>
      </w:r>
      <w:r>
        <w:rPr>
          <w:noProof/>
        </w:rPr>
        <w:t>.</w:t>
      </w:r>
    </w:p>
    <w:p w:rsidR="0013332F" w:rsidRDefault="008E6590">
      <w:pPr>
        <w:jc w:val="both"/>
        <w:rPr>
          <w:rFonts w:cs="Times New Roman"/>
          <w:noProof/>
          <w:szCs w:val="24"/>
        </w:rPr>
      </w:pPr>
      <w:r>
        <w:rPr>
          <w:noProof/>
        </w:rPr>
        <w:t>Aprites ekonomikas rīcības plānā</w:t>
      </w:r>
      <w:r>
        <w:rPr>
          <w:rStyle w:val="FootnoteReference"/>
          <w:noProof/>
        </w:rPr>
        <w:footnoteReference w:id="3"/>
      </w:r>
      <w:r>
        <w:rPr>
          <w:noProof/>
        </w:rPr>
        <w:t xml:space="preserve"> aprites ekonomika tiek skaidrota kā ekonomika, “</w:t>
      </w:r>
      <w:r>
        <w:rPr>
          <w:i/>
          <w:noProof/>
        </w:rPr>
        <w:t>kurā produktu, materiālu un resursu vērtība tiek uzturēta pēc iespējas ilgi un kurā</w:t>
      </w:r>
      <w:r>
        <w:rPr>
          <w:i/>
          <w:noProof/>
        </w:rPr>
        <w:t xml:space="preserve"> tiek radīts pēc iespējas maz atkritumu</w:t>
      </w:r>
      <w:r>
        <w:rPr>
          <w:noProof/>
        </w:rPr>
        <w:t>”.</w:t>
      </w:r>
    </w:p>
    <w:p w:rsidR="0013332F" w:rsidRDefault="008E6590">
      <w:pPr>
        <w:jc w:val="both"/>
        <w:rPr>
          <w:rFonts w:cs="Times New Roman"/>
          <w:noProof/>
          <w:szCs w:val="24"/>
        </w:rPr>
      </w:pPr>
      <w:r>
        <w:rPr>
          <w:noProof/>
        </w:rPr>
        <w:t xml:space="preserve">Pārejā uz izteiktāku aprites ekonomiku izšķiroša nozīme ir galveno tendenču un modeļu uzraudzībai, kas dod iespēju </w:t>
      </w:r>
      <w:r>
        <w:rPr>
          <w:b/>
          <w:noProof/>
        </w:rPr>
        <w:t>saprast</w:t>
      </w:r>
      <w:r>
        <w:rPr>
          <w:noProof/>
        </w:rPr>
        <w:t xml:space="preserve">, kā laika gaitā attīstās aprites ekonomikas dažādie elementi, palīdz </w:t>
      </w:r>
      <w:r>
        <w:rPr>
          <w:b/>
          <w:noProof/>
        </w:rPr>
        <w:t>noteikt veiksmes fakto</w:t>
      </w:r>
      <w:r>
        <w:rPr>
          <w:b/>
          <w:noProof/>
        </w:rPr>
        <w:t>rus</w:t>
      </w:r>
      <w:r>
        <w:rPr>
          <w:noProof/>
        </w:rPr>
        <w:t xml:space="preserve"> dalībvalstīs un </w:t>
      </w:r>
      <w:r>
        <w:rPr>
          <w:b/>
          <w:noProof/>
        </w:rPr>
        <w:t>novērtēt</w:t>
      </w:r>
      <w:r>
        <w:rPr>
          <w:noProof/>
        </w:rPr>
        <w:t xml:space="preserve">, vai ir paveikts pietiekami daudz. Uzraudzības rezultāti būtu jāizmanto par pamatu, </w:t>
      </w:r>
      <w:r>
        <w:rPr>
          <w:b/>
          <w:noProof/>
        </w:rPr>
        <w:t>nosakot jaunas prioritātes ceļā uz ilgtermiņa mērķi – aprites ekonomiku</w:t>
      </w:r>
      <w:r>
        <w:rPr>
          <w:noProof/>
        </w:rPr>
        <w:t>. Tie nav relevanti tikai politikas veidotājiem, tiem vajadzētu iedvesmo</w:t>
      </w:r>
      <w:r>
        <w:rPr>
          <w:noProof/>
        </w:rPr>
        <w:t>t visus un rosināt jaunas darbības.</w:t>
      </w:r>
    </w:p>
    <w:p w:rsidR="0013332F" w:rsidRDefault="008E6590">
      <w:pPr>
        <w:jc w:val="both"/>
        <w:rPr>
          <w:rFonts w:cs="Times New Roman"/>
          <w:noProof/>
          <w:szCs w:val="24"/>
        </w:rPr>
      </w:pPr>
      <w:r>
        <w:rPr>
          <w:noProof/>
        </w:rPr>
        <w:t>Tāpēc Komisija aprites ekonomikas rīcības plānā apņēmās ierosināt vienkāršu un rezultatīvu uzraudzības sistēmu.  Tas atbalsojies arī ES Padomes secinājumos par aprites ekonomikas rīcības plānu</w:t>
      </w:r>
      <w:r>
        <w:rPr>
          <w:rStyle w:val="FootnoteReference"/>
          <w:noProof/>
        </w:rPr>
        <w:footnoteReference w:id="4"/>
      </w:r>
      <w:r>
        <w:rPr>
          <w:noProof/>
        </w:rPr>
        <w:t>, kuros tā uzsvērusi “</w:t>
      </w:r>
      <w:r>
        <w:rPr>
          <w:i/>
          <w:noProof/>
        </w:rPr>
        <w:t>nepie</w:t>
      </w:r>
      <w:r>
        <w:rPr>
          <w:i/>
          <w:noProof/>
        </w:rPr>
        <w:t>ciešamību izveidot (..) uzraudzības sistēmu ar mērķi nostiprināt un novērtēt virzību uz aprites ekonomiku, vienlaikus mazinot administratīvo slogu</w:t>
      </w:r>
      <w:r>
        <w:rPr>
          <w:noProof/>
        </w:rPr>
        <w:t xml:space="preserve">”. Turklāt Eiropas Parlaments ir aicinājis Komisiju izstrādāt resursefektivitātes rādītājus, kas dotu iespēju </w:t>
      </w:r>
      <w:r>
        <w:rPr>
          <w:noProof/>
        </w:rPr>
        <w:t>izsekot ceļā uz aprites ekonomiku sasniegto progresu</w:t>
      </w:r>
      <w:r>
        <w:rPr>
          <w:rStyle w:val="FootnoteReference"/>
          <w:noProof/>
        </w:rPr>
        <w:footnoteReference w:id="5"/>
      </w:r>
      <w:r>
        <w:rPr>
          <w:noProof/>
        </w:rPr>
        <w:t>.</w:t>
      </w:r>
    </w:p>
    <w:p w:rsidR="0013332F" w:rsidRDefault="008E6590">
      <w:pPr>
        <w:jc w:val="both"/>
        <w:rPr>
          <w:rFonts w:cs="Times New Roman"/>
          <w:noProof/>
          <w:szCs w:val="24"/>
        </w:rPr>
      </w:pPr>
      <w:r>
        <w:rPr>
          <w:noProof/>
        </w:rPr>
        <w:t>Ar šo paziņojumu minētā apņemšanās tiek īstenota, ierosinot uzraudzības sistēmu, kas sastāv no vairākiem būtiskiem, jēgpilniem rādītājiem, kuri atspoguļo aprites ekonomikas galvenos elementus.</w:t>
      </w:r>
    </w:p>
    <w:p w:rsidR="0013332F" w:rsidRDefault="008E6590">
      <w:pPr>
        <w:jc w:val="both"/>
        <w:rPr>
          <w:rFonts w:cs="Times New Roman"/>
          <w:noProof/>
          <w:szCs w:val="24"/>
        </w:rPr>
      </w:pPr>
      <w:r>
        <w:rPr>
          <w:noProof/>
        </w:rPr>
        <w:t xml:space="preserve">Aprites </w:t>
      </w:r>
      <w:r>
        <w:rPr>
          <w:noProof/>
        </w:rPr>
        <w:t>ekonomikas uzraudzības sistēma izmanto un papildina esošo Resursefektivitātes rezultātu pārskatu</w:t>
      </w:r>
      <w:r>
        <w:rPr>
          <w:rStyle w:val="FootnoteReference"/>
          <w:noProof/>
        </w:rPr>
        <w:footnoteReference w:id="6"/>
      </w:r>
      <w:r>
        <w:rPr>
          <w:noProof/>
        </w:rPr>
        <w:t xml:space="preserve"> un Izejvielu rezultātu pārskatu</w:t>
      </w:r>
      <w:r>
        <w:rPr>
          <w:rStyle w:val="FootnoteReference"/>
          <w:noProof/>
        </w:rPr>
        <w:footnoteReference w:id="7"/>
      </w:r>
      <w:r>
        <w:rPr>
          <w:noProof/>
        </w:rPr>
        <w:t xml:space="preserve">, kurus pēdējos gados izstrādājusi Komisija. Sistēma ar visiem rādītājiem ir pieejama </w:t>
      </w:r>
      <w:r>
        <w:rPr>
          <w:b/>
          <w:noProof/>
        </w:rPr>
        <w:t>tīmekļa vietnē</w:t>
      </w:r>
      <w:r>
        <w:rPr>
          <w:rStyle w:val="FootnoteReference"/>
          <w:noProof/>
        </w:rPr>
        <w:footnoteReference w:id="8"/>
      </w:r>
      <w:r>
        <w:rPr>
          <w:noProof/>
        </w:rPr>
        <w:t xml:space="preserve"> un tiks regulāri atjaunināta.</w:t>
      </w:r>
    </w:p>
    <w:p w:rsidR="0013332F" w:rsidRDefault="008E6590">
      <w:pPr>
        <w:pStyle w:val="Heading1"/>
        <w:rPr>
          <w:rFonts w:cs="Times New Roman"/>
          <w:noProof/>
          <w:szCs w:val="24"/>
        </w:rPr>
      </w:pPr>
      <w:r>
        <w:rPr>
          <w:noProof/>
        </w:rPr>
        <w:t>Ceļā uz aprites ekonomiku sasniegtā progresa uzraudzība</w:t>
      </w:r>
    </w:p>
    <w:p w:rsidR="0013332F" w:rsidRDefault="008E6590">
      <w:pPr>
        <w:jc w:val="both"/>
        <w:rPr>
          <w:rFonts w:cs="Times New Roman"/>
          <w:noProof/>
          <w:szCs w:val="24"/>
        </w:rPr>
      </w:pPr>
      <w:r>
        <w:rPr>
          <w:b/>
          <w:noProof/>
        </w:rPr>
        <w:t>Ceļā uz aprites ekonomiku sasniegtā progresa uzraudzība ir sarežģīts uzdevums</w:t>
      </w:r>
      <w:r>
        <w:rPr>
          <w:noProof/>
        </w:rPr>
        <w:t>. Pāreja uz aprites ekonomiku neaprobežojas tikai ar dažiem materiāliem vai nozarēm. Tā ir s</w:t>
      </w:r>
      <w:r>
        <w:rPr>
          <w:noProof/>
        </w:rPr>
        <w:t>istēmiska pārmaiņa, kas ietekmē visu tautsaimniecību un aptver visus produktus un pakalpojumus. Ideālā gadījumā rādītājiem pirmām kārtām vajadzētu atspoguļot produktu, materiālu un resursu ekonomiskās vērtības saglabāšanas tendences, kā arī atkritumu radīš</w:t>
      </w:r>
      <w:r>
        <w:rPr>
          <w:noProof/>
        </w:rPr>
        <w:t>anas tendences.</w:t>
      </w:r>
    </w:p>
    <w:p w:rsidR="0013332F" w:rsidRDefault="008E6590">
      <w:pPr>
        <w:jc w:val="both"/>
        <w:rPr>
          <w:rFonts w:cs="Times New Roman"/>
          <w:noProof/>
          <w:szCs w:val="24"/>
        </w:rPr>
      </w:pPr>
      <w:r>
        <w:rPr>
          <w:noProof/>
        </w:rPr>
        <w:t>Līdzīgi kā nav neviena vispāratzīta aprites rādītāja, tāpat nav arī stabilu, jau gatavu rādītāju, ar kuriem varētu raksturot izteiktākās tendences. Ar vienu pasākumu vai rezultātu nebūtu iespējams pienācīgi atspoguļot sarežģītību un daudzās</w:t>
      </w:r>
      <w:r>
        <w:rPr>
          <w:noProof/>
        </w:rPr>
        <w:t xml:space="preserve"> dimensijas, kas raksturīgas pārejai uz aprites ekonomiku. Tāpēc šajā uzraudzības sistēmā tiks izmantots relevantu rādītāju kopums.</w:t>
      </w:r>
    </w:p>
    <w:p w:rsidR="0013332F" w:rsidRDefault="008E6590">
      <w:pPr>
        <w:jc w:val="both"/>
        <w:rPr>
          <w:noProof/>
        </w:rPr>
      </w:pPr>
      <w:r>
        <w:rPr>
          <w:noProof/>
        </w:rPr>
        <w:t xml:space="preserve">Viens no veidiem, kā aplūkot aprites ekonomiku, ir paskatīties uz to, kā materiāli ienāk ekonomikā, aprit tajā un (galu </w:t>
      </w:r>
      <w:r>
        <w:rPr>
          <w:noProof/>
        </w:rPr>
        <w:t>galā) atstāj ekonomiku. Šādu vizuālu pārskatu var sniegt materiālu plūsmu diagramma, kas parāda visas izejvielas – agregētas, kā arī grupētas pa materiālu kategorijām – visā ekonomikā no to ieguves līdz brīdim, kad tās kļūst par atkritumiem.</w:t>
      </w:r>
    </w:p>
    <w:p w:rsidR="0013332F" w:rsidRDefault="008E6590">
      <w:pPr>
        <w:jc w:val="both"/>
        <w:rPr>
          <w:rFonts w:cs="Times New Roman"/>
          <w:noProof/>
          <w:szCs w:val="24"/>
        </w:rPr>
      </w:pPr>
      <w:r>
        <w:rPr>
          <w:noProof/>
          <w:lang w:val="en-GB" w:eastAsia="en-GB" w:bidi="ar-SA"/>
        </w:rPr>
        <w:drawing>
          <wp:inline distT="0" distB="0" distL="0" distR="0">
            <wp:extent cx="5952067" cy="445763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2434" cy="4457913"/>
                    </a:xfrm>
                    <a:prstGeom prst="rect">
                      <a:avLst/>
                    </a:prstGeom>
                    <a:noFill/>
                    <a:ln>
                      <a:noFill/>
                    </a:ln>
                  </pic:spPr>
                </pic:pic>
              </a:graphicData>
            </a:graphic>
          </wp:inline>
        </w:drawing>
      </w:r>
    </w:p>
    <w:p w:rsidR="0013332F" w:rsidRDefault="008E6590">
      <w:pPr>
        <w:pStyle w:val="Figurecaption"/>
        <w:spacing w:after="240"/>
        <w:rPr>
          <w:rFonts w:cs="Times New Roman"/>
          <w:i/>
          <w:noProof/>
          <w:sz w:val="24"/>
          <w:szCs w:val="24"/>
        </w:rPr>
      </w:pPr>
      <w:r>
        <w:rPr>
          <w:i/>
          <w:noProof/>
          <w:sz w:val="24"/>
        </w:rPr>
        <w:t>1. att. Mate</w:t>
      </w:r>
      <w:r>
        <w:rPr>
          <w:i/>
          <w:noProof/>
          <w:sz w:val="24"/>
        </w:rPr>
        <w:t>riālu plūsmas ekonomikā (ES-28, 2014)</w:t>
      </w:r>
      <w:r>
        <w:rPr>
          <w:rStyle w:val="FootnoteReference"/>
          <w:i/>
          <w:noProof/>
        </w:rPr>
        <w:footnoteReference w:id="9"/>
      </w:r>
      <w:r>
        <w:rPr>
          <w:i/>
          <w:noProof/>
          <w:sz w:val="24"/>
          <w:vertAlign w:val="superscript"/>
        </w:rPr>
        <w:t xml:space="preserve">, </w:t>
      </w:r>
      <w:r>
        <w:rPr>
          <w:rStyle w:val="FootnoteReference"/>
          <w:i/>
          <w:noProof/>
        </w:rPr>
        <w:footnoteReference w:id="10"/>
      </w:r>
    </w:p>
    <w:p w:rsidR="0013332F" w:rsidRDefault="008E6590">
      <w:pPr>
        <w:jc w:val="both"/>
        <w:rPr>
          <w:rFonts w:cs="Times New Roman"/>
          <w:noProof/>
          <w:szCs w:val="24"/>
        </w:rPr>
      </w:pPr>
      <w:r>
        <w:rPr>
          <w:b/>
          <w:noProof/>
        </w:rPr>
        <w:t>1. attēlā sniegts pārskats par materiālu plūsmām ES 2014. gadā</w:t>
      </w:r>
      <w:r>
        <w:rPr>
          <w:noProof/>
        </w:rPr>
        <w:t>. Ielaides pusē (kreisajā malā) redzams, ka katru gadu ES enerģijā vai produktos tiek pārstrādāti 8 miljardi tonnu materiālu. Tikai 0,6 miljardi tonnu t</w:t>
      </w:r>
      <w:r>
        <w:rPr>
          <w:noProof/>
        </w:rPr>
        <w:t>iek iegūti reciklēšanā. Izlaides pusē redzams, ka no 2,2 miljardiem tonnu radīto atkritumu tikai 0,6 miljardi tonnu atgriežas sistēmā reciklētu materiālu veidā. Pārējie materiāli, kuru apjoms līdzinās 1,5 miljardiem tonnu, nonāk atkritumos. Šie aspekti nor</w:t>
      </w:r>
      <w:r>
        <w:rPr>
          <w:noProof/>
        </w:rPr>
        <w:t xml:space="preserve">āda uz </w:t>
      </w:r>
      <w:r>
        <w:rPr>
          <w:b/>
          <w:noProof/>
        </w:rPr>
        <w:t>vērā ņemamu uzlabošanas potenciālu</w:t>
      </w:r>
      <w:r>
        <w:rPr>
          <w:noProof/>
        </w:rPr>
        <w:t>, jo īpaši iespējām palielināt to materiālu daļu, ko reciklē kā otrreizējās izejvielas, un samazināt saražoto atkritumu apjomu.</w:t>
      </w:r>
    </w:p>
    <w:p w:rsidR="0013332F" w:rsidRDefault="008E6590">
      <w:pPr>
        <w:jc w:val="both"/>
        <w:rPr>
          <w:rFonts w:cs="Times New Roman"/>
          <w:noProof/>
          <w:szCs w:val="24"/>
        </w:rPr>
      </w:pPr>
      <w:r>
        <w:rPr>
          <w:noProof/>
        </w:rPr>
        <w:t>Uzraudzības sistēmas mērķis ir ceļā uz aprites ekonomiku sasniegto progresu novērtēt tā</w:t>
      </w:r>
      <w:r>
        <w:rPr>
          <w:noProof/>
        </w:rPr>
        <w:t xml:space="preserve">, lai visos resursu, produktu un pakalpojumu aprites cikla posmos tiktu aptvertas tās dažādās dimensijas. Tādēļ uzraudzības sistēmā ir </w:t>
      </w:r>
      <w:r>
        <w:rPr>
          <w:b/>
          <w:noProof/>
        </w:rPr>
        <w:t>desmit rādītāji</w:t>
      </w:r>
      <w:r>
        <w:rPr>
          <w:noProof/>
        </w:rPr>
        <w:t xml:space="preserve"> (sk. 1. tabulu), kas sagrupēti </w:t>
      </w:r>
      <w:r>
        <w:rPr>
          <w:b/>
          <w:noProof/>
        </w:rPr>
        <w:t>četros aprites ekonomikas posmos un aspektos</w:t>
      </w:r>
      <w:r>
        <w:rPr>
          <w:noProof/>
        </w:rPr>
        <w:t xml:space="preserve">: 1) ražošana un patēriņš, 2) </w:t>
      </w:r>
      <w:r>
        <w:rPr>
          <w:noProof/>
        </w:rPr>
        <w:t>atkritumu apsaimniekošana, 3) otrreizējās izejvielas un 4) konkurētspēja un inovācija. Tas kopumā atbilst aprites ekonomikas rīcības plāna loģikai un struktūrai.</w:t>
      </w:r>
    </w:p>
    <w:p w:rsidR="0013332F" w:rsidRDefault="008E6590">
      <w:pPr>
        <w:rPr>
          <w:noProof/>
        </w:rPr>
      </w:pPr>
      <w:r>
        <w:rPr>
          <w:noProof/>
          <w:lang w:val="en-GB" w:eastAsia="en-GB" w:bidi="ar-SA"/>
        </w:rPr>
        <w:drawing>
          <wp:inline distT="0" distB="0" distL="0" distR="0">
            <wp:extent cx="5871777" cy="3725333"/>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4197" cy="3726869"/>
                    </a:xfrm>
                    <a:prstGeom prst="rect">
                      <a:avLst/>
                    </a:prstGeom>
                    <a:noFill/>
                    <a:ln>
                      <a:noFill/>
                    </a:ln>
                  </pic:spPr>
                </pic:pic>
              </a:graphicData>
            </a:graphic>
          </wp:inline>
        </w:drawing>
      </w:r>
    </w:p>
    <w:p w:rsidR="0013332F" w:rsidRDefault="008E6590">
      <w:pPr>
        <w:rPr>
          <w:rFonts w:cs="Times New Roman"/>
          <w:noProof/>
          <w:szCs w:val="24"/>
        </w:rPr>
      </w:pPr>
      <w:r>
        <w:rPr>
          <w:noProof/>
        </w:rPr>
        <w:br w:type="page"/>
      </w:r>
    </w:p>
    <w:tbl>
      <w:tblPr>
        <w:tblStyle w:val="TableGrid"/>
        <w:tblW w:w="9180" w:type="dxa"/>
        <w:tblLook w:val="04A0" w:firstRow="1" w:lastRow="0" w:firstColumn="1" w:lastColumn="0" w:noHBand="0" w:noVBand="1"/>
      </w:tblPr>
      <w:tblGrid>
        <w:gridCol w:w="591"/>
        <w:gridCol w:w="1995"/>
        <w:gridCol w:w="3297"/>
        <w:gridCol w:w="3297"/>
      </w:tblGrid>
      <w:tr w:rsidR="0013332F">
        <w:trPr>
          <w:cantSplit/>
        </w:trPr>
        <w:tc>
          <w:tcPr>
            <w:tcW w:w="591" w:type="dxa"/>
            <w:shd w:val="clear" w:color="auto" w:fill="C4BC96" w:themeFill="background2" w:themeFillShade="BF"/>
          </w:tcPr>
          <w:p w:rsidR="0013332F" w:rsidRDefault="008E6590">
            <w:pPr>
              <w:pStyle w:val="Body"/>
              <w:spacing w:before="40" w:after="40"/>
              <w:rPr>
                <w:rFonts w:ascii="EC Square Sans Cond Pro" w:hAnsi="EC Square Sans Cond Pro" w:cs="Times New Roman"/>
                <w:b/>
                <w:noProof/>
                <w:sz w:val="22"/>
                <w:szCs w:val="24"/>
              </w:rPr>
            </w:pPr>
            <w:r>
              <w:rPr>
                <w:rFonts w:ascii="EC Square Sans Cond Pro" w:hAnsi="EC Square Sans Cond Pro"/>
                <w:b/>
                <w:noProof/>
                <w:sz w:val="22"/>
              </w:rPr>
              <w:t xml:space="preserve">Nr. </w:t>
            </w:r>
          </w:p>
        </w:tc>
        <w:tc>
          <w:tcPr>
            <w:tcW w:w="1995" w:type="dxa"/>
            <w:shd w:val="clear" w:color="auto" w:fill="C4BC96" w:themeFill="background2" w:themeFillShade="BF"/>
          </w:tcPr>
          <w:p w:rsidR="0013332F" w:rsidRDefault="008E6590">
            <w:pPr>
              <w:pStyle w:val="Body"/>
              <w:spacing w:before="40" w:after="40"/>
              <w:jc w:val="left"/>
              <w:rPr>
                <w:rFonts w:ascii="EC Square Sans Cond Pro" w:hAnsi="EC Square Sans Cond Pro" w:cs="Times New Roman"/>
                <w:b/>
                <w:noProof/>
                <w:sz w:val="22"/>
                <w:szCs w:val="24"/>
              </w:rPr>
            </w:pPr>
            <w:r>
              <w:rPr>
                <w:rFonts w:ascii="EC Square Sans Cond Pro" w:hAnsi="EC Square Sans Cond Pro"/>
                <w:b/>
                <w:noProof/>
                <w:sz w:val="22"/>
              </w:rPr>
              <w:t>Nosaukums</w:t>
            </w:r>
          </w:p>
        </w:tc>
        <w:tc>
          <w:tcPr>
            <w:tcW w:w="3297" w:type="dxa"/>
            <w:shd w:val="clear" w:color="auto" w:fill="C4BC96" w:themeFill="background2" w:themeFillShade="BF"/>
          </w:tcPr>
          <w:p w:rsidR="0013332F" w:rsidRDefault="008E6590">
            <w:pPr>
              <w:pStyle w:val="Body"/>
              <w:spacing w:before="40" w:after="40"/>
              <w:jc w:val="left"/>
              <w:rPr>
                <w:rFonts w:ascii="EC Square Sans Cond Pro" w:hAnsi="EC Square Sans Cond Pro" w:cs="Times New Roman"/>
                <w:b/>
                <w:noProof/>
                <w:sz w:val="22"/>
                <w:szCs w:val="24"/>
              </w:rPr>
            </w:pPr>
            <w:r>
              <w:rPr>
                <w:rFonts w:ascii="EC Square Sans Cond Pro" w:hAnsi="EC Square Sans Cond Pro"/>
                <w:b/>
                <w:noProof/>
                <w:sz w:val="22"/>
              </w:rPr>
              <w:t>Nozīmība</w:t>
            </w:r>
          </w:p>
        </w:tc>
        <w:tc>
          <w:tcPr>
            <w:tcW w:w="3297" w:type="dxa"/>
            <w:shd w:val="clear" w:color="auto" w:fill="C4BC96" w:themeFill="background2" w:themeFillShade="BF"/>
          </w:tcPr>
          <w:p w:rsidR="0013332F" w:rsidRDefault="008E6590">
            <w:pPr>
              <w:pStyle w:val="Body"/>
              <w:spacing w:before="40" w:after="40"/>
              <w:jc w:val="left"/>
              <w:rPr>
                <w:rFonts w:ascii="EC Square Sans Cond Pro" w:hAnsi="EC Square Sans Cond Pro" w:cs="Times New Roman"/>
                <w:b/>
                <w:noProof/>
                <w:sz w:val="22"/>
                <w:szCs w:val="24"/>
              </w:rPr>
            </w:pPr>
            <w:r>
              <w:rPr>
                <w:rFonts w:ascii="EC Square Sans Cond Pro" w:hAnsi="EC Square Sans Cond Pro"/>
                <w:b/>
                <w:noProof/>
                <w:sz w:val="22"/>
              </w:rPr>
              <w:t>ES instrumenti (piemēri)</w:t>
            </w:r>
          </w:p>
        </w:tc>
      </w:tr>
      <w:tr w:rsidR="0013332F">
        <w:trPr>
          <w:cantSplit/>
        </w:trPr>
        <w:tc>
          <w:tcPr>
            <w:tcW w:w="9180" w:type="dxa"/>
            <w:gridSpan w:val="4"/>
            <w:shd w:val="clear" w:color="auto" w:fill="EEECE1" w:themeFill="background2"/>
          </w:tcPr>
          <w:p w:rsidR="0013332F" w:rsidRDefault="008E6590">
            <w:pPr>
              <w:pStyle w:val="Body"/>
              <w:spacing w:before="40" w:after="40"/>
              <w:jc w:val="left"/>
              <w:rPr>
                <w:rFonts w:ascii="EC Square Sans Cond Pro" w:hAnsi="EC Square Sans Cond Pro" w:cs="Times New Roman"/>
                <w:b/>
                <w:noProof/>
                <w:sz w:val="22"/>
                <w:szCs w:val="24"/>
              </w:rPr>
            </w:pPr>
            <w:r>
              <w:rPr>
                <w:rFonts w:ascii="EC Square Sans Cond Pro" w:hAnsi="EC Square Sans Cond Pro"/>
                <w:b/>
                <w:noProof/>
                <w:sz w:val="22"/>
              </w:rPr>
              <w:t>Ražošana un patēriņš</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1.</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 xml:space="preserve">ES izejvielu </w:t>
            </w:r>
            <w:r>
              <w:rPr>
                <w:rFonts w:ascii="EC Square Sans Cond Pro" w:hAnsi="EC Square Sans Cond Pro"/>
                <w:noProof/>
                <w:sz w:val="22"/>
              </w:rPr>
              <w:t>pašpietiekamība</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Aprites ekonomikai būtu jāpalīdz novērst izejvielu, jo īpaši kritiski svarīgo izejvielu, piegādes riskus.</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Izejvielu iniciatīva; Resursefektivitātes ceļvedis</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2.</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Zaļais publiskais iepirkums*</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 xml:space="preserve">Publiskais iepirkums veido lielu daļu no patēriņa </w:t>
            </w:r>
            <w:r>
              <w:rPr>
                <w:rFonts w:ascii="EC Square Sans Cond Pro" w:hAnsi="EC Square Sans Cond Pro"/>
                <w:noProof/>
                <w:sz w:val="22"/>
              </w:rPr>
              <w:t>un var kalpot par aprites ekonomikas virzītājspēku.</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Publiskā iepirkuma stratēģija; ES atbalsta shēmas un brīvprātīgi kritēriji zaļajam publiskajam iepirkumam</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3.a–c</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Atkritumu radīšana</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Aprites ekonomikā atkritumu radīšana ir samazināta līdz minimumam.</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Atkri</w:t>
            </w:r>
            <w:r>
              <w:rPr>
                <w:rFonts w:ascii="EC Square Sans Cond Pro" w:hAnsi="EC Square Sans Cond Pro"/>
                <w:noProof/>
                <w:sz w:val="22"/>
              </w:rPr>
              <w:t>tumu pamatdirektīva; direktīvas par konkrētām atkritumu plūsmām; stratēģija attiecībā uz plastmasu</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4.</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Pārtikas atkritumi*</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Pārtikas izmešana nelabvēlīgi ietekmē vidi, klimatu un ekonomiku.</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 xml:space="preserve">Vispārīgais pārtikas aprites tiesību akts; Atkritumu </w:t>
            </w:r>
            <w:r>
              <w:rPr>
                <w:rFonts w:ascii="EC Square Sans Cond Pro" w:hAnsi="EC Square Sans Cond Pro"/>
                <w:noProof/>
                <w:sz w:val="22"/>
              </w:rPr>
              <w:t>pamatdirektīva; dažādas iniciatīvas (piem., Pārtikas zudumu un pārtikas atkritumu platforma)</w:t>
            </w:r>
          </w:p>
        </w:tc>
      </w:tr>
      <w:tr w:rsidR="0013332F">
        <w:trPr>
          <w:cantSplit/>
        </w:trPr>
        <w:tc>
          <w:tcPr>
            <w:tcW w:w="9180" w:type="dxa"/>
            <w:gridSpan w:val="4"/>
            <w:shd w:val="clear" w:color="auto" w:fill="EEECE1" w:themeFill="background2"/>
          </w:tcPr>
          <w:p w:rsidR="0013332F" w:rsidRDefault="008E6590">
            <w:pPr>
              <w:pStyle w:val="Body"/>
              <w:spacing w:before="40" w:after="40"/>
              <w:jc w:val="left"/>
              <w:rPr>
                <w:rFonts w:ascii="EC Square Sans Cond Pro" w:hAnsi="EC Square Sans Cond Pro" w:cs="Times New Roman"/>
                <w:b/>
                <w:noProof/>
                <w:sz w:val="22"/>
                <w:szCs w:val="24"/>
              </w:rPr>
            </w:pPr>
            <w:r>
              <w:rPr>
                <w:rFonts w:ascii="EC Square Sans Cond Pro" w:hAnsi="EC Square Sans Cond Pro"/>
                <w:b/>
                <w:noProof/>
                <w:sz w:val="22"/>
              </w:rPr>
              <w:t>Atkritumu apsaimniekošana</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5.a–b</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Vispārējie reciklēšanas rādītāji</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Reciklēšanas īpatsvara palielināšana ir daļa no pārejas uz aprites ekonomiku.</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Atkritumu pamatdir</w:t>
            </w:r>
            <w:r>
              <w:rPr>
                <w:rFonts w:ascii="EC Square Sans Cond Pro" w:hAnsi="EC Square Sans Cond Pro"/>
                <w:noProof/>
                <w:sz w:val="22"/>
              </w:rPr>
              <w:t>ektīva</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6.a–f</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 xml:space="preserve">Atsevišķu atkritumu plūsmu reciklēšanas rādītāji </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Tie atspoguļo galveno atkritumu plūsmu reciklēšanā sasniegto progresu.</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Atkritumu pamatdirektīva; Atkritumu poligonu direktīva; direktīvas par konkrētām atkritumu plūsmām</w:t>
            </w:r>
          </w:p>
        </w:tc>
      </w:tr>
      <w:tr w:rsidR="0013332F">
        <w:trPr>
          <w:cantSplit/>
        </w:trPr>
        <w:tc>
          <w:tcPr>
            <w:tcW w:w="9180" w:type="dxa"/>
            <w:gridSpan w:val="4"/>
            <w:shd w:val="clear" w:color="auto" w:fill="EEECE1" w:themeFill="background2"/>
          </w:tcPr>
          <w:p w:rsidR="0013332F" w:rsidRDefault="008E6590">
            <w:pPr>
              <w:pStyle w:val="Body"/>
              <w:spacing w:before="40" w:after="40"/>
              <w:jc w:val="left"/>
              <w:rPr>
                <w:rFonts w:ascii="EC Square Sans Cond Pro" w:hAnsi="EC Square Sans Cond Pro" w:cs="Times New Roman"/>
                <w:b/>
                <w:noProof/>
                <w:sz w:val="22"/>
                <w:szCs w:val="24"/>
              </w:rPr>
            </w:pPr>
            <w:r>
              <w:rPr>
                <w:rFonts w:ascii="EC Square Sans Cond Pro" w:hAnsi="EC Square Sans Cond Pro"/>
                <w:b/>
                <w:noProof/>
                <w:sz w:val="22"/>
              </w:rPr>
              <w:t xml:space="preserve">Otrreizējās </w:t>
            </w:r>
            <w:r>
              <w:rPr>
                <w:rFonts w:ascii="EC Square Sans Cond Pro" w:hAnsi="EC Square Sans Cond Pro"/>
                <w:b/>
                <w:noProof/>
                <w:sz w:val="22"/>
              </w:rPr>
              <w:t>izejvielas</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7.a–b</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Reciklēto materiālu devums izejvielu pieprasījuma apmierināšanā</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Aprites ekonomikā jaunu produktu ražošanā bieži tiek izmantotas otrreizējās izejvielas.</w:t>
            </w:r>
          </w:p>
        </w:tc>
        <w:tc>
          <w:tcPr>
            <w:tcW w:w="3297" w:type="dxa"/>
          </w:tcPr>
          <w:p w:rsidR="0013332F" w:rsidRDefault="008E6590">
            <w:pPr>
              <w:pStyle w:val="Body"/>
              <w:spacing w:before="40" w:after="40"/>
              <w:jc w:val="left"/>
              <w:rPr>
                <w:rFonts w:ascii="EC Square Sans Cond Pro" w:hAnsi="EC Square Sans Cond Pro" w:cs="Times New Roman"/>
                <w:noProof/>
                <w:sz w:val="22"/>
                <w:szCs w:val="24"/>
                <w:highlight w:val="yellow"/>
              </w:rPr>
            </w:pPr>
            <w:r>
              <w:rPr>
                <w:rFonts w:ascii="EC Square Sans Cond Pro" w:hAnsi="EC Square Sans Cond Pro"/>
                <w:noProof/>
                <w:sz w:val="22"/>
              </w:rPr>
              <w:t xml:space="preserve">Atkritumu pamatdirektīva; Ekodizaina direktīva; ES ekomarķējums; </w:t>
            </w:r>
            <w:r>
              <w:rPr>
                <w:rFonts w:ascii="EC Square Sans Cond Pro" w:hAnsi="EC Square Sans Cond Pro"/>
                <w:i/>
                <w:noProof/>
                <w:sz w:val="22"/>
              </w:rPr>
              <w:t>REACH</w:t>
            </w:r>
            <w:r>
              <w:rPr>
                <w:rFonts w:ascii="EC Square Sans Cond Pro" w:hAnsi="EC Square Sans Cond Pro"/>
                <w:noProof/>
                <w:sz w:val="22"/>
              </w:rPr>
              <w:t>; iniciatīva par</w:t>
            </w:r>
            <w:r>
              <w:rPr>
                <w:rFonts w:ascii="EC Square Sans Cond Pro" w:hAnsi="EC Square Sans Cond Pro"/>
                <w:noProof/>
                <w:sz w:val="22"/>
              </w:rPr>
              <w:t xml:space="preserve"> ķīmisko vielu, produktu un atkritumu politikas jomu saskari; stratēģija attiecībā uz plastmasu; otrreizējām izejvielām piemērojami kvalitātes standarti</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8.</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Reciklējamo izejvielu tirdzniecība</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Reciklējamo izejvielu tirdzniecība atspoguļo iekšējā tirgus nozī</w:t>
            </w:r>
            <w:r>
              <w:rPr>
                <w:rFonts w:ascii="EC Square Sans Cond Pro" w:hAnsi="EC Square Sans Cond Pro"/>
                <w:noProof/>
                <w:sz w:val="22"/>
              </w:rPr>
              <w:t>mi un globālo līdzdalību aprites ekonomikā.</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Iekšējā tirgus politika; Atkritumu sūtījumu regula; tirdzniecības politika</w:t>
            </w:r>
          </w:p>
        </w:tc>
      </w:tr>
      <w:tr w:rsidR="0013332F">
        <w:trPr>
          <w:cantSplit/>
        </w:trPr>
        <w:tc>
          <w:tcPr>
            <w:tcW w:w="9180" w:type="dxa"/>
            <w:gridSpan w:val="4"/>
            <w:shd w:val="clear" w:color="auto" w:fill="EEECE1" w:themeFill="background2"/>
          </w:tcPr>
          <w:p w:rsidR="0013332F" w:rsidRDefault="008E6590">
            <w:pPr>
              <w:pStyle w:val="Body"/>
              <w:spacing w:before="40" w:after="40"/>
              <w:rPr>
                <w:rFonts w:ascii="EC Square Sans Cond Pro" w:hAnsi="EC Square Sans Cond Pro" w:cs="Times New Roman"/>
                <w:b/>
                <w:noProof/>
                <w:sz w:val="22"/>
                <w:szCs w:val="24"/>
              </w:rPr>
            </w:pPr>
            <w:r>
              <w:rPr>
                <w:rFonts w:ascii="EC Square Sans Cond Pro" w:hAnsi="EC Square Sans Cond Pro"/>
                <w:b/>
                <w:noProof/>
                <w:sz w:val="22"/>
              </w:rPr>
              <w:t>Konkurētspēja un inovācija</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9.a–c</w:t>
            </w:r>
          </w:p>
        </w:tc>
        <w:tc>
          <w:tcPr>
            <w:tcW w:w="1995"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Privātie ieguldījumi, darbvietas un bruto pievienotā vērtība</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 xml:space="preserve">Tie atspoguļo aprites ekonomikas devumu </w:t>
            </w:r>
            <w:r>
              <w:rPr>
                <w:rFonts w:ascii="EC Square Sans Cond Pro" w:hAnsi="EC Square Sans Cond Pro"/>
                <w:noProof/>
                <w:sz w:val="22"/>
              </w:rPr>
              <w:t>darbvietu radīšanā un izaugsmē.</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 xml:space="preserve">Investīciju plāns Eiropai; strukturālie un investīciju fondi; </w:t>
            </w:r>
            <w:r>
              <w:rPr>
                <w:rFonts w:ascii="EC Square Sans Cond Pro" w:hAnsi="EC Square Sans Cond Pro"/>
                <w:i/>
                <w:noProof/>
                <w:sz w:val="22"/>
              </w:rPr>
              <w:t>InnovFin</w:t>
            </w:r>
            <w:r>
              <w:rPr>
                <w:rFonts w:ascii="EC Square Sans Cond Pro" w:hAnsi="EC Square Sans Cond Pro"/>
                <w:noProof/>
                <w:sz w:val="22"/>
              </w:rPr>
              <w:t>; Aprites ekonomikas finansējuma atbalsta platforma; Ilgtspējīga finanšu stratēģija; Videi nekaitīgas nodarbinātības iniciatīva; jaunā prasmju programma E</w:t>
            </w:r>
            <w:r>
              <w:rPr>
                <w:rFonts w:ascii="EC Square Sans Cond Pro" w:hAnsi="EC Square Sans Cond Pro"/>
                <w:noProof/>
                <w:sz w:val="22"/>
              </w:rPr>
              <w:t>iropai; iekšējā tirgus politika</w:t>
            </w:r>
          </w:p>
        </w:tc>
      </w:tr>
      <w:tr w:rsidR="0013332F">
        <w:trPr>
          <w:cantSplit/>
        </w:trPr>
        <w:tc>
          <w:tcPr>
            <w:tcW w:w="591"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10.</w:t>
            </w:r>
          </w:p>
        </w:tc>
        <w:tc>
          <w:tcPr>
            <w:tcW w:w="1995" w:type="dxa"/>
          </w:tcPr>
          <w:p w:rsidR="0013332F" w:rsidRDefault="008E6590">
            <w:pPr>
              <w:pStyle w:val="Body"/>
              <w:spacing w:before="40" w:after="40"/>
              <w:rPr>
                <w:rFonts w:ascii="EC Square Sans Cond Pro" w:hAnsi="EC Square Sans Cond Pro" w:cs="Times New Roman"/>
                <w:noProof/>
                <w:sz w:val="22"/>
                <w:szCs w:val="24"/>
              </w:rPr>
            </w:pPr>
            <w:r>
              <w:rPr>
                <w:rFonts w:ascii="EC Square Sans Cond Pro" w:hAnsi="EC Square Sans Cond Pro"/>
                <w:noProof/>
                <w:sz w:val="22"/>
              </w:rPr>
              <w:t xml:space="preserve">Patenti </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Novatoriskas tehnoloģijas, kas saistītas ar aprites ekonomiku, veicina ES konkurētspēju pasaulē.</w:t>
            </w:r>
          </w:p>
        </w:tc>
        <w:tc>
          <w:tcPr>
            <w:tcW w:w="3297" w:type="dxa"/>
          </w:tcPr>
          <w:p w:rsidR="0013332F" w:rsidRDefault="008E6590">
            <w:pPr>
              <w:pStyle w:val="Body"/>
              <w:spacing w:before="40" w:after="40"/>
              <w:jc w:val="left"/>
              <w:rPr>
                <w:rFonts w:ascii="EC Square Sans Cond Pro" w:hAnsi="EC Square Sans Cond Pro" w:cs="Times New Roman"/>
                <w:noProof/>
                <w:sz w:val="22"/>
                <w:szCs w:val="24"/>
              </w:rPr>
            </w:pPr>
            <w:r>
              <w:rPr>
                <w:rFonts w:ascii="EC Square Sans Cond Pro" w:hAnsi="EC Square Sans Cond Pro"/>
                <w:noProof/>
                <w:sz w:val="22"/>
              </w:rPr>
              <w:t>“Apvārsnis 2020”</w:t>
            </w:r>
          </w:p>
        </w:tc>
      </w:tr>
    </w:tbl>
    <w:p w:rsidR="0013332F" w:rsidRDefault="008E6590">
      <w:pPr>
        <w:jc w:val="both"/>
        <w:rPr>
          <w:noProof/>
        </w:rPr>
      </w:pPr>
      <w:r>
        <w:rPr>
          <w:noProof/>
        </w:rPr>
        <w:t>* Rādītāji vēl tiek izstrādāti.</w:t>
      </w:r>
    </w:p>
    <w:p w:rsidR="0013332F" w:rsidRDefault="008E6590">
      <w:pPr>
        <w:pStyle w:val="Figurecaption"/>
        <w:spacing w:before="120" w:after="240"/>
        <w:rPr>
          <w:rFonts w:cs="Times New Roman"/>
          <w:i/>
          <w:noProof/>
          <w:sz w:val="24"/>
          <w:szCs w:val="24"/>
        </w:rPr>
      </w:pPr>
      <w:r>
        <w:rPr>
          <w:i/>
          <w:noProof/>
          <w:sz w:val="24"/>
        </w:rPr>
        <w:t xml:space="preserve">1. tabula. Uzraudzības sistēmā iekļautie aprites ekonomikas </w:t>
      </w:r>
      <w:r>
        <w:rPr>
          <w:i/>
          <w:noProof/>
          <w:sz w:val="24"/>
        </w:rPr>
        <w:t>rādītāji</w:t>
      </w:r>
    </w:p>
    <w:p w:rsidR="0013332F" w:rsidRDefault="008E6590">
      <w:pPr>
        <w:jc w:val="both"/>
        <w:rPr>
          <w:rFonts w:cs="Times New Roman"/>
          <w:noProof/>
          <w:szCs w:val="24"/>
        </w:rPr>
      </w:pPr>
      <w:r>
        <w:rPr>
          <w:noProof/>
        </w:rPr>
        <w:t>Šie rādītāji tika atlasīti ar mērķi atspoguļot galvenos aprites ekonomikas elementus. To izvēlē tika ņemta vērā datu pieejamība, vadoties pēc Resursefektivitātes rezultātu pārskata un Izejvielu rezultātu pārskata. Lai mazinātu administratīvo slogu</w:t>
      </w:r>
      <w:r>
        <w:rPr>
          <w:noProof/>
        </w:rPr>
        <w:t>, rādītāji, cik vien iespējams, pamatojas uz jau esošiem datiem. Citi kritēriji, pēc kuriem tika novērtēti rādītāji, ir nozīmība, pieņemamība, uzticamība, ērta lietošana un stabilitāte.</w:t>
      </w:r>
    </w:p>
    <w:p w:rsidR="0013332F" w:rsidRDefault="008E6590">
      <w:pPr>
        <w:jc w:val="both"/>
        <w:rPr>
          <w:rFonts w:cs="Times New Roman"/>
          <w:noProof/>
          <w:szCs w:val="24"/>
        </w:rPr>
      </w:pPr>
      <w:r>
        <w:rPr>
          <w:noProof/>
        </w:rPr>
        <w:t>Rādītāju izvēlē tika ņemtas vērā arī atbildes, kas saņemtas sabiedrisk</w:t>
      </w:r>
      <w:r>
        <w:rPr>
          <w:noProof/>
        </w:rPr>
        <w:t>ajā apspriešanā par ceļvedi</w:t>
      </w:r>
      <w:r>
        <w:rPr>
          <w:rStyle w:val="FootnoteReference"/>
          <w:noProof/>
        </w:rPr>
        <w:footnoteReference w:id="11"/>
      </w:r>
      <w:r>
        <w:rPr>
          <w:noProof/>
        </w:rPr>
        <w:t>, un diskusijas ar dalībvalstu pārstāvjiem un ieinteresēto personu ekspertiem</w:t>
      </w:r>
      <w:r>
        <w:rPr>
          <w:rStyle w:val="FootnoteReference"/>
          <w:noProof/>
        </w:rPr>
        <w:footnoteReference w:id="12"/>
      </w:r>
      <w:r>
        <w:rPr>
          <w:noProof/>
        </w:rPr>
        <w:t>.</w:t>
      </w:r>
    </w:p>
    <w:p w:rsidR="0013332F" w:rsidRDefault="008E6590">
      <w:pPr>
        <w:spacing w:after="0"/>
        <w:jc w:val="both"/>
        <w:rPr>
          <w:rFonts w:cs="Times New Roman"/>
          <w:noProof/>
          <w:szCs w:val="24"/>
        </w:rPr>
      </w:pPr>
      <w:r>
        <w:rPr>
          <w:noProof/>
        </w:rPr>
        <w:t xml:space="preserve">Komisija uzlabos aprites ekonomikas progresa novērtēšanai vajadzīgo zināšanu bāzi un </w:t>
      </w:r>
      <w:r>
        <w:rPr>
          <w:b/>
          <w:noProof/>
        </w:rPr>
        <w:t>datu pieejamību</w:t>
      </w:r>
      <w:r>
        <w:rPr>
          <w:noProof/>
        </w:rPr>
        <w:t>.</w:t>
      </w:r>
    </w:p>
    <w:p w:rsidR="0013332F" w:rsidRDefault="008E6590">
      <w:pPr>
        <w:pStyle w:val="ListParagraph"/>
        <w:numPr>
          <w:ilvl w:val="0"/>
          <w:numId w:val="3"/>
        </w:numPr>
        <w:spacing w:after="0"/>
        <w:ind w:left="426"/>
        <w:jc w:val="both"/>
        <w:rPr>
          <w:rFonts w:cs="Times New Roman"/>
          <w:noProof/>
          <w:szCs w:val="24"/>
        </w:rPr>
      </w:pPr>
      <w:r>
        <w:rPr>
          <w:noProof/>
        </w:rPr>
        <w:t xml:space="preserve">Notiek darbs pie tā, lai </w:t>
      </w:r>
      <w:r>
        <w:rPr>
          <w:b/>
          <w:noProof/>
        </w:rPr>
        <w:t>izstrādātu metodiku</w:t>
      </w:r>
      <w:r>
        <w:rPr>
          <w:noProof/>
        </w:rPr>
        <w:t xml:space="preserve"> un savāktu datus, ko var izmantot zaļā publiskā iepirkuma un pārtikas atkritumu rādītājiem, un šos datus plānots publicēt nākamajos gados. Savukārt </w:t>
      </w:r>
      <w:r>
        <w:rPr>
          <w:i/>
          <w:noProof/>
        </w:rPr>
        <w:t>Eurostat</w:t>
      </w:r>
      <w:r>
        <w:rPr>
          <w:noProof/>
        </w:rPr>
        <w:t xml:space="preserve"> gatavo dažas provizoriskas aplēses par pārtikas atkritumiem.</w:t>
      </w:r>
    </w:p>
    <w:p w:rsidR="0013332F" w:rsidRDefault="008E6590">
      <w:pPr>
        <w:pStyle w:val="ListParagraph"/>
        <w:numPr>
          <w:ilvl w:val="0"/>
          <w:numId w:val="3"/>
        </w:numPr>
        <w:spacing w:after="0"/>
        <w:ind w:left="426"/>
        <w:jc w:val="both"/>
        <w:rPr>
          <w:rFonts w:cs="Times New Roman"/>
          <w:noProof/>
          <w:szCs w:val="24"/>
        </w:rPr>
      </w:pPr>
      <w:r>
        <w:rPr>
          <w:noProof/>
        </w:rPr>
        <w:t>Kā daļu no 2015. gada aprites ekonomi</w:t>
      </w:r>
      <w:r>
        <w:rPr>
          <w:noProof/>
        </w:rPr>
        <w:t xml:space="preserve">kas paketes un plašākiem Komisijas centieniem uzlabot ES atkritumu statistikas kvalitāti Komisija ir ierosinājusi </w:t>
      </w:r>
      <w:r>
        <w:rPr>
          <w:b/>
          <w:noProof/>
        </w:rPr>
        <w:t>saskaņot</w:t>
      </w:r>
      <w:r>
        <w:rPr>
          <w:noProof/>
        </w:rPr>
        <w:t xml:space="preserve"> sadzīves atkritumu</w:t>
      </w:r>
      <w:r>
        <w:rPr>
          <w:rStyle w:val="FootnoteReference"/>
          <w:noProof/>
        </w:rPr>
        <w:footnoteReference w:id="13"/>
      </w:r>
      <w:r>
        <w:rPr>
          <w:noProof/>
        </w:rPr>
        <w:t xml:space="preserve"> un izlietotā iepakojuma</w:t>
      </w:r>
      <w:r>
        <w:rPr>
          <w:rStyle w:val="FootnoteReference"/>
          <w:noProof/>
        </w:rPr>
        <w:footnoteReference w:id="14"/>
      </w:r>
      <w:r>
        <w:rPr>
          <w:noProof/>
        </w:rPr>
        <w:t xml:space="preserve"> </w:t>
      </w:r>
      <w:r>
        <w:rPr>
          <w:b/>
          <w:noProof/>
        </w:rPr>
        <w:t>reciklēšanas rādītāju aprēķina metodiku</w:t>
      </w:r>
      <w:r>
        <w:rPr>
          <w:noProof/>
        </w:rPr>
        <w:t xml:space="preserve">. Kad Padome un Eiropas Parlaments būs pieņēmuši </w:t>
      </w:r>
      <w:r>
        <w:rPr>
          <w:noProof/>
        </w:rPr>
        <w:t>un dalībvalstis būs īstenojušas šos priekšlikumus, tie nodrošinās ticamāku un labāk salīdzināmu statistiku.</w:t>
      </w:r>
    </w:p>
    <w:p w:rsidR="0013332F" w:rsidRDefault="008E6590">
      <w:pPr>
        <w:pStyle w:val="ListParagraph"/>
        <w:numPr>
          <w:ilvl w:val="0"/>
          <w:numId w:val="3"/>
        </w:numPr>
        <w:ind w:left="426"/>
        <w:jc w:val="both"/>
        <w:rPr>
          <w:rFonts w:cs="Times New Roman"/>
          <w:noProof/>
          <w:szCs w:val="24"/>
        </w:rPr>
      </w:pPr>
      <w:r>
        <w:rPr>
          <w:noProof/>
        </w:rPr>
        <w:t xml:space="preserve">Izmantojot programmu “Apvārsnis 2020”, Komisija finansē vairākus </w:t>
      </w:r>
      <w:r>
        <w:rPr>
          <w:b/>
          <w:noProof/>
        </w:rPr>
        <w:t>pētniecības projektus</w:t>
      </w:r>
      <w:r>
        <w:rPr>
          <w:noProof/>
        </w:rPr>
        <w:t>, kas nodrošinās labākus datus, ar kuriem varēs papildināt ofi</w:t>
      </w:r>
      <w:r>
        <w:rPr>
          <w:noProof/>
        </w:rPr>
        <w:t>ciālo statistiku, jo īpaši izmantojot ES Izejvielu informācijas sistēmu</w:t>
      </w:r>
      <w:r>
        <w:rPr>
          <w:rStyle w:val="FootnoteReference"/>
          <w:noProof/>
        </w:rPr>
        <w:footnoteReference w:id="15"/>
      </w:r>
      <w:r>
        <w:rPr>
          <w:noProof/>
        </w:rPr>
        <w:t>.</w:t>
      </w:r>
    </w:p>
    <w:p w:rsidR="0013332F" w:rsidRDefault="008E6590">
      <w:pPr>
        <w:pStyle w:val="Heading1"/>
        <w:keepNext/>
        <w:rPr>
          <w:rFonts w:cs="Times New Roman"/>
          <w:noProof/>
          <w:szCs w:val="24"/>
        </w:rPr>
      </w:pPr>
      <w:r>
        <w:rPr>
          <w:noProof/>
        </w:rPr>
        <w:t>Pirmie konstatējumi</w:t>
      </w:r>
    </w:p>
    <w:p w:rsidR="0013332F" w:rsidRDefault="008E6590">
      <w:pPr>
        <w:jc w:val="both"/>
        <w:rPr>
          <w:rFonts w:cs="Times New Roman"/>
          <w:noProof/>
          <w:szCs w:val="24"/>
        </w:rPr>
      </w:pPr>
      <w:r>
        <w:rPr>
          <w:noProof/>
        </w:rPr>
        <w:t>Desmit uzraudzības sistēmas rādītāji sniedz plašu priekšstatu par galvenajiem instrumentiem, kas izmantojami, lai uzlabotu ES ekonomikas apriti. Lai gan paies zin</w:t>
      </w:r>
      <w:r>
        <w:rPr>
          <w:noProof/>
        </w:rPr>
        <w:t xml:space="preserve">āms laiks, līdz aprites ekonomikas pasākumu rezultāti būs redzami statistikā, ir lietderīgi sākt </w:t>
      </w:r>
      <w:r>
        <w:rPr>
          <w:b/>
          <w:noProof/>
        </w:rPr>
        <w:t>bāzlīniju noteikšanu</w:t>
      </w:r>
      <w:r>
        <w:rPr>
          <w:noProof/>
        </w:rPr>
        <w:t>. Tas palīdzēs uzraudzīt turpmāko attīstību un informēt par politikas veidošanas procesiem.</w:t>
      </w:r>
    </w:p>
    <w:p w:rsidR="0013332F" w:rsidRDefault="008E6590">
      <w:pPr>
        <w:jc w:val="both"/>
        <w:rPr>
          <w:rFonts w:cs="Times New Roman"/>
          <w:noProof/>
          <w:szCs w:val="24"/>
        </w:rPr>
      </w:pPr>
      <w:r>
        <w:rPr>
          <w:noProof/>
        </w:rPr>
        <w:t>Pastāv gan liela vajadzība, gan ievērojams pote</w:t>
      </w:r>
      <w:r>
        <w:rPr>
          <w:noProof/>
        </w:rPr>
        <w:t>nciāls uzlabot ES un tās dalībvalstu sniegumu. Dažās jomās (piemēram, reciklējamu izejvielu tirdzniecība) ES mēroga darbībai ir lielāka nozīme nekā citās (piemēram, zaļais publiskais iepirkums).</w:t>
      </w:r>
    </w:p>
    <w:p w:rsidR="0013332F" w:rsidRDefault="008E6590">
      <w:pPr>
        <w:spacing w:after="120"/>
        <w:jc w:val="both"/>
        <w:rPr>
          <w:rFonts w:cs="Times New Roman"/>
          <w:b/>
          <w:i/>
          <w:noProof/>
          <w:szCs w:val="24"/>
        </w:rPr>
      </w:pPr>
      <w:r>
        <w:rPr>
          <w:b/>
          <w:i/>
          <w:noProof/>
        </w:rPr>
        <w:t>Ražošana un patēriņš</w:t>
      </w:r>
    </w:p>
    <w:tbl>
      <w:tblPr>
        <w:tblStyle w:val="TableGrid"/>
        <w:tblW w:w="0" w:type="auto"/>
        <w:tblInd w:w="108" w:type="dxa"/>
        <w:shd w:val="clear" w:color="auto" w:fill="F2F2F2" w:themeFill="background1" w:themeFillShade="F2"/>
        <w:tblLook w:val="04A0" w:firstRow="1" w:lastRow="0" w:firstColumn="1" w:lastColumn="0" w:noHBand="0" w:noVBand="1"/>
      </w:tblPr>
      <w:tblGrid>
        <w:gridCol w:w="9072"/>
      </w:tblGrid>
      <w:tr w:rsidR="0013332F">
        <w:tc>
          <w:tcPr>
            <w:tcW w:w="9072" w:type="dxa"/>
            <w:shd w:val="clear" w:color="auto" w:fill="F2F2F2" w:themeFill="background1" w:themeFillShade="F2"/>
          </w:tcPr>
          <w:p w:rsidR="0013332F" w:rsidRDefault="008E6590">
            <w:pPr>
              <w:spacing w:before="120" w:after="120"/>
              <w:jc w:val="both"/>
              <w:rPr>
                <w:rFonts w:ascii="Times New Roman" w:hAnsi="Times New Roman" w:cs="Times New Roman"/>
                <w:noProof/>
                <w:sz w:val="24"/>
              </w:rPr>
            </w:pPr>
            <w:r>
              <w:rPr>
                <w:rFonts w:ascii="Times New Roman" w:hAnsi="Times New Roman"/>
                <w:noProof/>
                <w:sz w:val="24"/>
              </w:rPr>
              <w:t xml:space="preserve">Attiecībā uz aprites tendenču pieaugumu </w:t>
            </w:r>
            <w:r>
              <w:rPr>
                <w:rFonts w:ascii="Times New Roman" w:hAnsi="Times New Roman"/>
                <w:noProof/>
                <w:sz w:val="24"/>
              </w:rPr>
              <w:t>ražošanā un patēriņā, piemēram, atkritumu radīšanā, ir vērojams neliels progress. Tomēr joprojām pastāv lielas iespējas mazināt dalībvalstu veikuma un dažādu materiālu veiktspējas atšķirības.</w:t>
            </w:r>
          </w:p>
        </w:tc>
      </w:tr>
    </w:tbl>
    <w:p w:rsidR="0013332F" w:rsidRDefault="0013332F">
      <w:pPr>
        <w:spacing w:after="0"/>
        <w:jc w:val="both"/>
        <w:rPr>
          <w:rFonts w:cs="Times New Roman"/>
          <w:noProof/>
          <w:szCs w:val="24"/>
        </w:rPr>
      </w:pPr>
    </w:p>
    <w:p w:rsidR="0013332F" w:rsidRDefault="008E6590">
      <w:pPr>
        <w:spacing w:after="0"/>
        <w:jc w:val="both"/>
        <w:rPr>
          <w:rFonts w:cs="Times New Roman"/>
          <w:noProof/>
          <w:szCs w:val="24"/>
        </w:rPr>
      </w:pPr>
      <w:r>
        <w:rPr>
          <w:noProof/>
        </w:rPr>
        <w:t xml:space="preserve">Izejvielu </w:t>
      </w:r>
      <w:r>
        <w:rPr>
          <w:b/>
          <w:noProof/>
        </w:rPr>
        <w:t>pašpietiekamības</w:t>
      </w:r>
      <w:r>
        <w:rPr>
          <w:noProof/>
        </w:rPr>
        <w:t xml:space="preserve"> rādītājs liecina, ka ES </w:t>
      </w:r>
      <w:r>
        <w:rPr>
          <w:b/>
          <w:noProof/>
        </w:rPr>
        <w:t xml:space="preserve">lielā mērā </w:t>
      </w:r>
      <w:r>
        <w:rPr>
          <w:b/>
          <w:noProof/>
        </w:rPr>
        <w:t>apgādā sevi</w:t>
      </w:r>
      <w:r>
        <w:rPr>
          <w:noProof/>
        </w:rPr>
        <w:t xml:space="preserve"> ar lielāko daļu nemetālu minerālu, piemēram, celtniecības materiāliem un rūpnieciskajiem minerāliem. Tomēr rādītājs apstiprina arī to, ka Eiropas Savienībai </w:t>
      </w:r>
      <w:r>
        <w:rPr>
          <w:b/>
          <w:noProof/>
        </w:rPr>
        <w:t>kritiski svarīgo izejvielu jomā</w:t>
      </w:r>
      <w:r>
        <w:rPr>
          <w:rStyle w:val="FootnoteReference"/>
          <w:noProof/>
        </w:rPr>
        <w:footnoteReference w:id="16"/>
      </w:r>
      <w:r>
        <w:rPr>
          <w:noProof/>
        </w:rPr>
        <w:t xml:space="preserve"> ES lielā mērā ir atkarīga no importa, un tas apliecina</w:t>
      </w:r>
      <w:r>
        <w:rPr>
          <w:noProof/>
        </w:rPr>
        <w:t xml:space="preserve"> vajadzību pēc drošas piekļuves un piegādes dažādošanas. Daudzas no šīm izejvielām ir vajadzīgas, lai sasniegtu ES mērķi – ilgtspējīgu, resursefektīvu un konkurētspējīgu mazoglekļa ekonomiku</w:t>
      </w:r>
      <w:r>
        <w:rPr>
          <w:rStyle w:val="FootnoteReference"/>
          <w:noProof/>
        </w:rPr>
        <w:footnoteReference w:id="17"/>
      </w:r>
      <w:r>
        <w:rPr>
          <w:noProof/>
        </w:rPr>
        <w:t>.</w:t>
      </w:r>
    </w:p>
    <w:p w:rsidR="0013332F" w:rsidRDefault="0013332F">
      <w:pPr>
        <w:spacing w:after="0"/>
        <w:jc w:val="both"/>
        <w:rPr>
          <w:rFonts w:cs="Times New Roman"/>
          <w:noProof/>
          <w:szCs w:val="24"/>
        </w:rPr>
      </w:pPr>
    </w:p>
    <w:p w:rsidR="0013332F" w:rsidRDefault="008E6590">
      <w:pPr>
        <w:spacing w:after="0"/>
        <w:jc w:val="both"/>
        <w:rPr>
          <w:rFonts w:cs="Times New Roman"/>
          <w:noProof/>
          <w:szCs w:val="24"/>
        </w:rPr>
      </w:pPr>
      <w:r>
        <w:rPr>
          <w:noProof/>
        </w:rPr>
        <w:t xml:space="preserve">Publiskais iepirkums veido lielu daļu no IKP, un tas nozīmē, ka </w:t>
      </w:r>
      <w:r>
        <w:rPr>
          <w:b/>
          <w:noProof/>
        </w:rPr>
        <w:t>zaļais publiskais iepirkums</w:t>
      </w:r>
      <w:r>
        <w:rPr>
          <w:noProof/>
        </w:rPr>
        <w:t xml:space="preserve">, – t. i., kad publiskā sektora iestādes izmanto savu pirktspēju, lai izvēlētos videi draudzīgas preces, pakalpojumus un darbus, – var kalpot par aprites ekonomikas </w:t>
      </w:r>
      <w:r>
        <w:rPr>
          <w:noProof/>
        </w:rPr>
        <w:t>un inovāciju virzītājspēku</w:t>
      </w:r>
      <w:r>
        <w:rPr>
          <w:rStyle w:val="FootnoteReference"/>
          <w:noProof/>
        </w:rPr>
        <w:footnoteReference w:id="18"/>
      </w:r>
      <w:r>
        <w:rPr>
          <w:noProof/>
        </w:rPr>
        <w:t>. Šā rādītāja dati vēl ir jāizstrādā.</w:t>
      </w:r>
    </w:p>
    <w:p w:rsidR="0013332F" w:rsidRDefault="0013332F">
      <w:pPr>
        <w:spacing w:after="0"/>
        <w:jc w:val="both"/>
        <w:rPr>
          <w:rFonts w:cs="Times New Roman"/>
          <w:noProof/>
          <w:szCs w:val="24"/>
        </w:rPr>
      </w:pPr>
    </w:p>
    <w:p w:rsidR="0013332F" w:rsidRDefault="008E6590">
      <w:pPr>
        <w:spacing w:after="0"/>
        <w:jc w:val="both"/>
        <w:rPr>
          <w:rFonts w:cs="Times New Roman"/>
          <w:noProof/>
          <w:szCs w:val="24"/>
        </w:rPr>
      </w:pPr>
      <w:r>
        <w:rPr>
          <w:noProof/>
        </w:rPr>
        <w:t xml:space="preserve">ES </w:t>
      </w:r>
      <w:r>
        <w:rPr>
          <w:b/>
          <w:noProof/>
        </w:rPr>
        <w:t>sadzīves atkritumu</w:t>
      </w:r>
      <w:r>
        <w:rPr>
          <w:rStyle w:val="FootnoteReference"/>
          <w:b/>
          <w:noProof/>
        </w:rPr>
        <w:footnoteReference w:id="19"/>
      </w:r>
      <w:r>
        <w:rPr>
          <w:noProof/>
        </w:rPr>
        <w:t xml:space="preserve"> radīšana uz vienu iedzīvotāju 2006.–2016. gadā ir </w:t>
      </w:r>
      <w:r>
        <w:rPr>
          <w:b/>
          <w:noProof/>
        </w:rPr>
        <w:t>samazinājusies</w:t>
      </w:r>
      <w:r>
        <w:rPr>
          <w:noProof/>
        </w:rPr>
        <w:t xml:space="preserve"> par 8 % līdz vidēji 480 kg uz vienu iedzīvotāju gadā. Tas ir skaidrs piemērs tam, ka pozitīvu ieguldīj</w:t>
      </w:r>
      <w:r>
        <w:rPr>
          <w:noProof/>
        </w:rPr>
        <w:t>umu var dot ikviens. Tomēr starp dalībvalstīm pastāv lielas atšķirības (no 250 kg līdz 750 kg uz vienu iedzīvotāju gadā)</w:t>
      </w:r>
      <w:r>
        <w:rPr>
          <w:rStyle w:val="FootnoteReference"/>
          <w:noProof/>
        </w:rPr>
        <w:t xml:space="preserve"> </w:t>
      </w:r>
      <w:r>
        <w:rPr>
          <w:rStyle w:val="FootnoteReference"/>
          <w:noProof/>
        </w:rPr>
        <w:footnoteReference w:id="20"/>
      </w:r>
      <w:r>
        <w:rPr>
          <w:noProof/>
        </w:rPr>
        <w:t xml:space="preserve">, un vairākās dalībvalstīs sadzīves atkritumu apjoms joprojām pieaug. Radīto atkritumu daudzums zināmā mērā joprojām korelē ar IKP uz </w:t>
      </w:r>
      <w:r>
        <w:rPr>
          <w:noProof/>
        </w:rPr>
        <w:t xml:space="preserve">vienu iedzīvotāju. Tāpēc pozitīvi jāvērtē tas, ka dati par </w:t>
      </w:r>
      <w:r>
        <w:rPr>
          <w:b/>
          <w:noProof/>
        </w:rPr>
        <w:t>kopējo atkritumu</w:t>
      </w:r>
      <w:r>
        <w:rPr>
          <w:noProof/>
        </w:rPr>
        <w:t xml:space="preserve"> daudzumu (ieskaitot rūpnieciskos un komerciālos atkritumus, bet izņemot galvenos minerālu atkritumus) uz vienu IKP vienību liecina par 11 % </w:t>
      </w:r>
      <w:r>
        <w:rPr>
          <w:b/>
          <w:noProof/>
        </w:rPr>
        <w:t>samazinājumu</w:t>
      </w:r>
      <w:r>
        <w:rPr>
          <w:noProof/>
        </w:rPr>
        <w:t xml:space="preserve">, kas panākts kopš </w:t>
      </w:r>
      <w:r>
        <w:rPr>
          <w:noProof/>
        </w:rPr>
        <w:t>2006. gada.</w:t>
      </w:r>
    </w:p>
    <w:p w:rsidR="0013332F" w:rsidRDefault="0013332F">
      <w:pPr>
        <w:spacing w:after="0"/>
        <w:jc w:val="both"/>
        <w:rPr>
          <w:rFonts w:cs="Times New Roman"/>
          <w:noProof/>
          <w:szCs w:val="24"/>
        </w:rPr>
      </w:pPr>
    </w:p>
    <w:p w:rsidR="0013332F" w:rsidRDefault="008E6590">
      <w:pPr>
        <w:spacing w:after="0"/>
        <w:jc w:val="both"/>
        <w:rPr>
          <w:rFonts w:cs="Times New Roman"/>
          <w:noProof/>
          <w:color w:val="000000"/>
          <w:position w:val="-2"/>
          <w:szCs w:val="24"/>
        </w:rPr>
      </w:pPr>
      <w:r>
        <w:rPr>
          <w:b/>
          <w:noProof/>
        </w:rPr>
        <w:t>Pārtikas atkritumu</w:t>
      </w:r>
      <w:r>
        <w:rPr>
          <w:noProof/>
        </w:rPr>
        <w:t xml:space="preserve"> samazināšanai</w:t>
      </w:r>
      <w:r>
        <w:rPr>
          <w:rStyle w:val="FootnoteReference"/>
          <w:noProof/>
        </w:rPr>
        <w:footnoteReference w:id="21"/>
      </w:r>
      <w:r>
        <w:rPr>
          <w:noProof/>
        </w:rPr>
        <w:t xml:space="preserve"> ir milzīgs potenciāls ietaupīt resursus, kas tiek izlietoti, lai saražotu pārtiku. Pārtikas izšķērdēšana notiek visā vērtības ķēdē: pārtikas ražošanā un izplatīšanā, veikalos, sabiedriskās ēdināšanas vietās un</w:t>
      </w:r>
      <w:r>
        <w:rPr>
          <w:noProof/>
        </w:rPr>
        <w:t xml:space="preserve"> mājās. Tāpēc pārtikas atkritumu daudzumu izteikt skaitļos ir īpaši grūti. Saskaņā ar provizoriskām </w:t>
      </w:r>
      <w:r>
        <w:rPr>
          <w:i/>
          <w:noProof/>
        </w:rPr>
        <w:t>Eurostat</w:t>
      </w:r>
      <w:r>
        <w:rPr>
          <w:noProof/>
        </w:rPr>
        <w:t xml:space="preserve"> aplēsēm ES pārtikas atkritumu daudzums laikā no 2012. līdz 2014. gadam ir </w:t>
      </w:r>
      <w:r>
        <w:rPr>
          <w:b/>
          <w:noProof/>
        </w:rPr>
        <w:t>samazinājies</w:t>
      </w:r>
      <w:r>
        <w:rPr>
          <w:noProof/>
        </w:rPr>
        <w:t xml:space="preserve"> no 81 līdz 76 miljoniem tonnu (t. i., aptuveni par 7 %), kas</w:t>
      </w:r>
      <w:r>
        <w:rPr>
          <w:noProof/>
        </w:rPr>
        <w:t xml:space="preserve"> atbilst samazinājumam no 161 kg līdz 149 kg uz vienu iedzīvotāju.</w:t>
      </w:r>
    </w:p>
    <w:p w:rsidR="0013332F" w:rsidRDefault="0013332F">
      <w:pPr>
        <w:spacing w:after="0"/>
        <w:jc w:val="both"/>
        <w:rPr>
          <w:rFonts w:cs="Times New Roman"/>
          <w:noProof/>
          <w:szCs w:val="24"/>
        </w:rPr>
      </w:pPr>
    </w:p>
    <w:p w:rsidR="0013332F" w:rsidRDefault="008E6590">
      <w:pPr>
        <w:spacing w:after="120"/>
        <w:jc w:val="both"/>
        <w:rPr>
          <w:rFonts w:cs="Times New Roman"/>
          <w:b/>
          <w:i/>
          <w:noProof/>
          <w:szCs w:val="24"/>
        </w:rPr>
      </w:pPr>
      <w:r>
        <w:rPr>
          <w:b/>
          <w:i/>
          <w:noProof/>
        </w:rPr>
        <w:t>Atkritumu apsaimniekošana</w:t>
      </w:r>
    </w:p>
    <w:tbl>
      <w:tblPr>
        <w:tblStyle w:val="TableGrid"/>
        <w:tblW w:w="0" w:type="auto"/>
        <w:tblInd w:w="108" w:type="dxa"/>
        <w:shd w:val="clear" w:color="auto" w:fill="F2F2F2" w:themeFill="background1" w:themeFillShade="F2"/>
        <w:tblLook w:val="04A0" w:firstRow="1" w:lastRow="0" w:firstColumn="1" w:lastColumn="0" w:noHBand="0" w:noVBand="1"/>
      </w:tblPr>
      <w:tblGrid>
        <w:gridCol w:w="9072"/>
      </w:tblGrid>
      <w:tr w:rsidR="0013332F">
        <w:tc>
          <w:tcPr>
            <w:tcW w:w="9072" w:type="dxa"/>
            <w:shd w:val="clear" w:color="auto" w:fill="F2F2F2" w:themeFill="background1" w:themeFillShade="F2"/>
          </w:tcPr>
          <w:p w:rsidR="0013332F" w:rsidRDefault="008E6590">
            <w:pPr>
              <w:spacing w:before="120" w:after="120"/>
              <w:jc w:val="both"/>
              <w:rPr>
                <w:rFonts w:ascii="Times New Roman" w:hAnsi="Times New Roman" w:cs="Times New Roman"/>
                <w:noProof/>
                <w:sz w:val="24"/>
              </w:rPr>
            </w:pPr>
            <w:r>
              <w:rPr>
                <w:rFonts w:ascii="Times New Roman" w:hAnsi="Times New Roman"/>
                <w:noProof/>
                <w:sz w:val="24"/>
              </w:rPr>
              <w:t xml:space="preserve">Atkritumu apsaimniekošanā kopumā notiek pozitīvas pārmaiņas, tomēr joprojām iespējami lieli uzlabojumi un pastāv atšķirības starp dalībvalstīm un starp atkritumu </w:t>
            </w:r>
            <w:r>
              <w:rPr>
                <w:rFonts w:ascii="Times New Roman" w:hAnsi="Times New Roman"/>
                <w:noProof/>
                <w:sz w:val="24"/>
              </w:rPr>
              <w:t>plūsmām.</w:t>
            </w:r>
          </w:p>
        </w:tc>
      </w:tr>
    </w:tbl>
    <w:p w:rsidR="0013332F" w:rsidRDefault="0013332F">
      <w:pPr>
        <w:spacing w:after="0"/>
        <w:jc w:val="both"/>
        <w:rPr>
          <w:rFonts w:cs="Times New Roman"/>
          <w:noProof/>
          <w:color w:val="000000"/>
          <w:position w:val="-2"/>
          <w:szCs w:val="24"/>
        </w:rPr>
      </w:pPr>
    </w:p>
    <w:p w:rsidR="0013332F" w:rsidRDefault="008E6590">
      <w:pPr>
        <w:jc w:val="both"/>
        <w:rPr>
          <w:rFonts w:cs="Times New Roman"/>
          <w:noProof/>
          <w:color w:val="000000"/>
          <w:position w:val="-2"/>
          <w:szCs w:val="24"/>
        </w:rPr>
      </w:pPr>
      <w:r>
        <w:rPr>
          <w:noProof/>
          <w:color w:val="000000"/>
          <w:position w:val="-2"/>
        </w:rPr>
        <w:t xml:space="preserve">2008.–2016. gadā ES </w:t>
      </w:r>
      <w:r>
        <w:rPr>
          <w:b/>
          <w:noProof/>
          <w:color w:val="000000"/>
          <w:position w:val="-2"/>
        </w:rPr>
        <w:t>sadzīves atkritumu reciklēšanas rādītājs ir pieaudzis</w:t>
      </w:r>
      <w:r>
        <w:rPr>
          <w:noProof/>
          <w:color w:val="000000"/>
          <w:position w:val="-2"/>
        </w:rPr>
        <w:t xml:space="preserve"> no 37 % līdz 46 %. Piecas dalībvalstis reciklē vairāk par pusi no saviem sadzīves atkritumiem, dažas valstis tuvojas Komisijas ierosinātajam 2030. gada reciklēšanas mērķrā</w:t>
      </w:r>
      <w:r>
        <w:rPr>
          <w:noProof/>
          <w:color w:val="000000"/>
          <w:position w:val="-2"/>
        </w:rPr>
        <w:t>dītājam – 65 %</w:t>
      </w:r>
      <w:r>
        <w:rPr>
          <w:rStyle w:val="FootnoteReference"/>
          <w:noProof/>
        </w:rPr>
        <w:footnoteReference w:id="22"/>
      </w:r>
      <w:r>
        <w:rPr>
          <w:noProof/>
          <w:color w:val="000000"/>
          <w:position w:val="-2"/>
        </w:rPr>
        <w:t>, tomēr piecas dalībvalstis joprojām nav sasniegušas 25 %</w:t>
      </w:r>
      <w:r>
        <w:rPr>
          <w:rStyle w:val="FootnoteReference"/>
          <w:noProof/>
          <w:color w:val="000000"/>
          <w:position w:val="-2"/>
        </w:rPr>
        <w:footnoteReference w:id="23"/>
      </w:r>
      <w:r>
        <w:rPr>
          <w:noProof/>
        </w:rPr>
        <w:t>.</w:t>
      </w:r>
    </w:p>
    <w:p w:rsidR="0013332F" w:rsidRDefault="008E6590">
      <w:pPr>
        <w:jc w:val="both"/>
        <w:rPr>
          <w:rFonts w:cs="Times New Roman"/>
          <w:noProof/>
          <w:szCs w:val="24"/>
          <w:highlight w:val="yellow"/>
        </w:rPr>
      </w:pPr>
      <w:r>
        <w:rPr>
          <w:noProof/>
          <w:lang w:val="en-GB" w:eastAsia="en-GB" w:bidi="ar-SA"/>
        </w:rPr>
        <w:drawing>
          <wp:inline distT="0" distB="0" distL="0" distR="0">
            <wp:extent cx="5760720" cy="29773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977305"/>
                    </a:xfrm>
                    <a:prstGeom prst="rect">
                      <a:avLst/>
                    </a:prstGeom>
                    <a:noFill/>
                    <a:ln>
                      <a:noFill/>
                    </a:ln>
                  </pic:spPr>
                </pic:pic>
              </a:graphicData>
            </a:graphic>
          </wp:inline>
        </w:drawing>
      </w:r>
    </w:p>
    <w:p w:rsidR="0013332F" w:rsidRDefault="008E6590">
      <w:pPr>
        <w:jc w:val="both"/>
        <w:rPr>
          <w:rFonts w:eastAsia="Cambria" w:cs="Times New Roman"/>
          <w:noProof/>
          <w:color w:val="000000"/>
          <w:position w:val="-2"/>
          <w:sz w:val="22"/>
        </w:rPr>
      </w:pPr>
      <w:r>
        <w:rPr>
          <w:noProof/>
          <w:color w:val="000000"/>
          <w:position w:val="-2"/>
          <w:sz w:val="22"/>
        </w:rPr>
        <w:t xml:space="preserve">Avots: </w:t>
      </w:r>
      <w:r>
        <w:rPr>
          <w:i/>
          <w:noProof/>
          <w:color w:val="000000"/>
          <w:position w:val="-2"/>
          <w:sz w:val="22"/>
        </w:rPr>
        <w:t>Eurostat</w:t>
      </w:r>
      <w:r>
        <w:rPr>
          <w:noProof/>
          <w:color w:val="000000"/>
          <w:position w:val="-2"/>
          <w:sz w:val="22"/>
        </w:rPr>
        <w:t>.</w:t>
      </w:r>
    </w:p>
    <w:p w:rsidR="0013332F" w:rsidRDefault="008E6590">
      <w:pPr>
        <w:jc w:val="both"/>
        <w:rPr>
          <w:rFonts w:cs="Times New Roman"/>
          <w:noProof/>
          <w:color w:val="000000"/>
          <w:position w:val="-2"/>
          <w:szCs w:val="24"/>
        </w:rPr>
      </w:pPr>
      <w:r>
        <w:rPr>
          <w:noProof/>
          <w:color w:val="000000"/>
          <w:position w:val="-2"/>
        </w:rPr>
        <w:t xml:space="preserve">Laikā no 2008. līdz 2015. gadam </w:t>
      </w:r>
      <w:r>
        <w:rPr>
          <w:b/>
          <w:noProof/>
          <w:color w:val="000000"/>
          <w:position w:val="-2"/>
        </w:rPr>
        <w:t>arī izlietotā iepakojuma reciklēšanas rādītāji ES ir palielinājušies</w:t>
      </w:r>
      <w:r>
        <w:rPr>
          <w:noProof/>
          <w:color w:val="000000"/>
          <w:position w:val="-2"/>
        </w:rPr>
        <w:t xml:space="preserve"> no 62 % līdz 66 %; tie pieauguši gandrīz visās dalībvalstīs, un 2015. gadā </w:t>
      </w:r>
      <w:r>
        <w:rPr>
          <w:b/>
          <w:noProof/>
          <w:color w:val="000000"/>
          <w:position w:val="-2"/>
        </w:rPr>
        <w:t>teju visas dalībvalstis bija sasniegušas 2008. gada mērķrādītāju – 55 %</w:t>
      </w:r>
      <w:r>
        <w:rPr>
          <w:noProof/>
          <w:color w:val="000000"/>
          <w:position w:val="-2"/>
        </w:rPr>
        <w:t xml:space="preserve"> (Komisija ir ierosinājusi 65 % mērķrādītāju, kas sasniedzams līdz 2025. gadam, un 75 % mērķrādītāju, kas sas</w:t>
      </w:r>
      <w:r>
        <w:rPr>
          <w:noProof/>
          <w:color w:val="000000"/>
          <w:position w:val="-2"/>
        </w:rPr>
        <w:t>niedzams līdz 2030. gadam</w:t>
      </w:r>
      <w:r>
        <w:rPr>
          <w:rStyle w:val="FootnoteReference"/>
          <w:noProof/>
        </w:rPr>
        <w:footnoteReference w:id="24"/>
      </w:r>
      <w:r>
        <w:rPr>
          <w:noProof/>
          <w:color w:val="000000"/>
          <w:position w:val="-2"/>
        </w:rPr>
        <w:t xml:space="preserve">). Attiecībā uz </w:t>
      </w:r>
      <w:r>
        <w:rPr>
          <w:b/>
          <w:noProof/>
          <w:color w:val="000000"/>
          <w:position w:val="-2"/>
        </w:rPr>
        <w:t>plastmasas iepakojumu</w:t>
      </w:r>
      <w:r>
        <w:rPr>
          <w:noProof/>
          <w:color w:val="000000"/>
          <w:position w:val="-2"/>
        </w:rPr>
        <w:t xml:space="preserve"> vidējais reciklēšanas rādītājs ES ir ievērojami mazāks – </w:t>
      </w:r>
      <w:r>
        <w:rPr>
          <w:b/>
          <w:noProof/>
          <w:color w:val="000000"/>
          <w:position w:val="-2"/>
        </w:rPr>
        <w:t>40 %</w:t>
      </w:r>
      <w:r>
        <w:rPr>
          <w:noProof/>
          <w:color w:val="000000"/>
          <w:position w:val="-2"/>
        </w:rPr>
        <w:t>, lai gan pēdējos gados ir panākti uzlabojumi.</w:t>
      </w:r>
    </w:p>
    <w:p w:rsidR="0013332F" w:rsidRDefault="008E6590">
      <w:pPr>
        <w:jc w:val="both"/>
        <w:rPr>
          <w:rFonts w:eastAsia="Cambria" w:cs="Times New Roman"/>
          <w:noProof/>
          <w:color w:val="000000"/>
          <w:position w:val="-2"/>
          <w:szCs w:val="24"/>
        </w:rPr>
      </w:pPr>
      <w:r>
        <w:rPr>
          <w:noProof/>
        </w:rPr>
        <w:t xml:space="preserve">Sadzīves </w:t>
      </w:r>
      <w:r>
        <w:rPr>
          <w:b/>
          <w:noProof/>
        </w:rPr>
        <w:t>bioatkritumu reciklēšanas</w:t>
      </w:r>
      <w:r>
        <w:rPr>
          <w:noProof/>
        </w:rPr>
        <w:t xml:space="preserve"> rādītājs ES 2016. gadā bija 79 kg uz vienu iedzīv</w:t>
      </w:r>
      <w:r>
        <w:rPr>
          <w:noProof/>
        </w:rPr>
        <w:t xml:space="preserve">otāju, un tas nozīmē 23 % </w:t>
      </w:r>
      <w:r>
        <w:rPr>
          <w:b/>
          <w:noProof/>
        </w:rPr>
        <w:t>pieaugumu</w:t>
      </w:r>
      <w:r>
        <w:rPr>
          <w:noProof/>
        </w:rPr>
        <w:t xml:space="preserve"> salīdzinājumā ar 2007. gadu.</w:t>
      </w:r>
    </w:p>
    <w:p w:rsidR="0013332F" w:rsidRDefault="008E6590">
      <w:pPr>
        <w:jc w:val="both"/>
        <w:rPr>
          <w:rFonts w:cs="Times New Roman"/>
          <w:noProof/>
          <w:color w:val="000000"/>
          <w:position w:val="-2"/>
          <w:szCs w:val="24"/>
        </w:rPr>
      </w:pPr>
      <w:r>
        <w:rPr>
          <w:noProof/>
          <w:color w:val="000000"/>
          <w:position w:val="-2"/>
        </w:rPr>
        <w:t xml:space="preserve">Dati par </w:t>
      </w:r>
      <w:r>
        <w:rPr>
          <w:b/>
          <w:noProof/>
          <w:color w:val="000000"/>
          <w:position w:val="-2"/>
        </w:rPr>
        <w:t>elektrisko un elektronisko iekārtu</w:t>
      </w:r>
      <w:r>
        <w:rPr>
          <w:noProof/>
          <w:color w:val="000000"/>
          <w:position w:val="-2"/>
        </w:rPr>
        <w:t xml:space="preserve"> (EEIA) </w:t>
      </w:r>
      <w:r>
        <w:rPr>
          <w:b/>
          <w:noProof/>
          <w:color w:val="000000"/>
          <w:position w:val="-2"/>
        </w:rPr>
        <w:t>atkritumu reciklēšanu</w:t>
      </w:r>
      <w:r>
        <w:rPr>
          <w:noProof/>
          <w:color w:val="000000"/>
          <w:position w:val="-2"/>
        </w:rPr>
        <w:t xml:space="preserve"> liecina, ka savākšanas un reciklēšanas līmenis ES dalībvalstīs ievērojami atšķiras un liecina par lielām iespējām uzla</w:t>
      </w:r>
      <w:r>
        <w:rPr>
          <w:noProof/>
          <w:color w:val="000000"/>
          <w:position w:val="-2"/>
        </w:rPr>
        <w:t xml:space="preserve">bot resursefektivitāti un samazināt atkritumu nelikumīgu savākšanu, apstrādi un sūtījumus. 2015. gadā </w:t>
      </w:r>
      <w:r>
        <w:rPr>
          <w:b/>
          <w:noProof/>
          <w:color w:val="000000"/>
          <w:position w:val="-2"/>
        </w:rPr>
        <w:t>tikai četras dalībvalstis</w:t>
      </w:r>
      <w:r>
        <w:rPr>
          <w:noProof/>
          <w:color w:val="000000"/>
          <w:position w:val="-2"/>
        </w:rPr>
        <w:t xml:space="preserve"> reciklēja</w:t>
      </w:r>
      <w:r>
        <w:rPr>
          <w:rStyle w:val="FootnoteReference"/>
          <w:noProof/>
          <w:color w:val="000000"/>
          <w:position w:val="-2"/>
        </w:rPr>
        <w:footnoteReference w:id="25"/>
      </w:r>
      <w:r>
        <w:rPr>
          <w:noProof/>
          <w:color w:val="000000"/>
          <w:position w:val="-2"/>
        </w:rPr>
        <w:t xml:space="preserve"> vairāk nekā pusi no elektriskā un elektroniskā aprīkojuma, kas bija laists tirgū.</w:t>
      </w:r>
    </w:p>
    <w:p w:rsidR="0013332F" w:rsidRDefault="008E6590">
      <w:pPr>
        <w:jc w:val="both"/>
        <w:rPr>
          <w:rFonts w:cs="Times New Roman"/>
          <w:noProof/>
          <w:color w:val="000000"/>
          <w:position w:val="-2"/>
          <w:szCs w:val="24"/>
        </w:rPr>
      </w:pPr>
      <w:r>
        <w:rPr>
          <w:noProof/>
          <w:color w:val="000000"/>
          <w:position w:val="-2"/>
        </w:rPr>
        <w:t xml:space="preserve">Visbeidzot, attiecībā uz </w:t>
      </w:r>
      <w:r>
        <w:rPr>
          <w:b/>
          <w:noProof/>
          <w:color w:val="000000"/>
          <w:position w:val="-2"/>
        </w:rPr>
        <w:t>būvdarbu u</w:t>
      </w:r>
      <w:r>
        <w:rPr>
          <w:b/>
          <w:noProof/>
          <w:color w:val="000000"/>
          <w:position w:val="-2"/>
        </w:rPr>
        <w:t>n ēku nojaukšanas atkritumiem</w:t>
      </w:r>
      <w:r>
        <w:rPr>
          <w:noProof/>
          <w:color w:val="000000"/>
          <w:position w:val="-2"/>
        </w:rPr>
        <w:t xml:space="preserve"> 20 dalībvalstis ir ziņojušas, ka 2020. gadam noteiktais 70 % atgūšanas mērķrādītājs jau ir sasniegts</w:t>
      </w:r>
      <w:r>
        <w:rPr>
          <w:rStyle w:val="FootnoteReference"/>
          <w:noProof/>
          <w:color w:val="000000"/>
          <w:position w:val="-2"/>
        </w:rPr>
        <w:footnoteReference w:id="26"/>
      </w:r>
      <w:r>
        <w:rPr>
          <w:noProof/>
          <w:color w:val="000000"/>
          <w:position w:val="-2"/>
        </w:rPr>
        <w:t xml:space="preserve">. Ņemot vērā to, ka masas ziņā tā ir lielākā atkritumu plūsma ES, tā ir </w:t>
      </w:r>
      <w:r>
        <w:rPr>
          <w:b/>
          <w:noProof/>
          <w:color w:val="000000"/>
          <w:position w:val="-2"/>
        </w:rPr>
        <w:t>pozitīva</w:t>
      </w:r>
      <w:r>
        <w:rPr>
          <w:noProof/>
          <w:color w:val="000000"/>
          <w:position w:val="-2"/>
        </w:rPr>
        <w:t xml:space="preserve"> ievirze. Tomēr jāatzīmē, ka mērķrādītājs iet</w:t>
      </w:r>
      <w:r>
        <w:rPr>
          <w:noProof/>
          <w:color w:val="000000"/>
          <w:position w:val="-2"/>
        </w:rPr>
        <w:t>ver aizbēršanu</w:t>
      </w:r>
      <w:r>
        <w:rPr>
          <w:rStyle w:val="FootnoteReference"/>
          <w:noProof/>
          <w:color w:val="000000"/>
          <w:position w:val="-2"/>
        </w:rPr>
        <w:footnoteReference w:id="27"/>
      </w:r>
      <w:r>
        <w:rPr>
          <w:noProof/>
          <w:color w:val="000000"/>
          <w:position w:val="-2"/>
        </w:rPr>
        <w:t> – praksi, kas nesaglabā materiālu vērtību tautsaimniecībā un tātad neveicina aprites ekonomiku. Turklāt starp dalībvalstīm pastāv lielas atšķirības datu paziņošanas aspektā.</w:t>
      </w:r>
    </w:p>
    <w:p w:rsidR="0013332F" w:rsidRDefault="008E6590">
      <w:pPr>
        <w:jc w:val="both"/>
        <w:rPr>
          <w:rFonts w:cs="Times New Roman"/>
          <w:noProof/>
          <w:szCs w:val="24"/>
          <w:highlight w:val="yellow"/>
        </w:rPr>
      </w:pPr>
      <w:r>
        <w:rPr>
          <w:noProof/>
          <w:lang w:val="en-GB" w:eastAsia="en-GB" w:bidi="ar-SA"/>
        </w:rPr>
        <w:drawing>
          <wp:inline distT="0" distB="0" distL="0" distR="0">
            <wp:extent cx="5905500" cy="34536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220" cy="3453458"/>
                    </a:xfrm>
                    <a:prstGeom prst="rect">
                      <a:avLst/>
                    </a:prstGeom>
                    <a:noFill/>
                    <a:ln>
                      <a:noFill/>
                    </a:ln>
                  </pic:spPr>
                </pic:pic>
              </a:graphicData>
            </a:graphic>
          </wp:inline>
        </w:drawing>
      </w:r>
    </w:p>
    <w:p w:rsidR="0013332F" w:rsidRDefault="008E6590">
      <w:pPr>
        <w:spacing w:after="120"/>
        <w:contextualSpacing/>
        <w:jc w:val="both"/>
        <w:rPr>
          <w:rFonts w:cs="Times New Roman"/>
          <w:noProof/>
          <w:sz w:val="22"/>
        </w:rPr>
      </w:pPr>
      <w:r>
        <w:rPr>
          <w:noProof/>
          <w:sz w:val="22"/>
        </w:rPr>
        <w:t xml:space="preserve">Avots: </w:t>
      </w:r>
      <w:r>
        <w:rPr>
          <w:i/>
          <w:noProof/>
          <w:sz w:val="22"/>
        </w:rPr>
        <w:t>Eurostat</w:t>
      </w:r>
      <w:r>
        <w:rPr>
          <w:noProof/>
          <w:sz w:val="22"/>
        </w:rPr>
        <w:t>.</w:t>
      </w:r>
    </w:p>
    <w:p w:rsidR="0013332F" w:rsidRDefault="0013332F">
      <w:pPr>
        <w:spacing w:after="120"/>
        <w:contextualSpacing/>
        <w:jc w:val="both"/>
        <w:rPr>
          <w:rFonts w:cs="Times New Roman"/>
          <w:b/>
          <w:i/>
          <w:noProof/>
          <w:szCs w:val="24"/>
        </w:rPr>
      </w:pPr>
    </w:p>
    <w:p w:rsidR="0013332F" w:rsidRDefault="008E6590">
      <w:pPr>
        <w:spacing w:after="120"/>
        <w:jc w:val="both"/>
        <w:rPr>
          <w:rFonts w:cs="Times New Roman"/>
          <w:b/>
          <w:i/>
          <w:noProof/>
          <w:szCs w:val="24"/>
        </w:rPr>
      </w:pPr>
      <w:r>
        <w:rPr>
          <w:b/>
          <w:i/>
          <w:noProof/>
        </w:rPr>
        <w:t>Otrreizējās izejvielas</w:t>
      </w:r>
    </w:p>
    <w:tbl>
      <w:tblPr>
        <w:tblStyle w:val="TableGrid"/>
        <w:tblW w:w="0" w:type="auto"/>
        <w:tblInd w:w="108" w:type="dxa"/>
        <w:shd w:val="clear" w:color="auto" w:fill="F2F2F2" w:themeFill="background1" w:themeFillShade="F2"/>
        <w:tblLook w:val="04A0" w:firstRow="1" w:lastRow="0" w:firstColumn="1" w:lastColumn="0" w:noHBand="0" w:noVBand="1"/>
      </w:tblPr>
      <w:tblGrid>
        <w:gridCol w:w="9072"/>
      </w:tblGrid>
      <w:tr w:rsidR="0013332F">
        <w:tc>
          <w:tcPr>
            <w:tcW w:w="9072" w:type="dxa"/>
            <w:shd w:val="clear" w:color="auto" w:fill="F2F2F2" w:themeFill="background1" w:themeFillShade="F2"/>
          </w:tcPr>
          <w:p w:rsidR="0013332F" w:rsidRDefault="008E6590">
            <w:pPr>
              <w:spacing w:before="120" w:after="120"/>
              <w:jc w:val="both"/>
              <w:rPr>
                <w:rFonts w:ascii="Times New Roman" w:hAnsi="Times New Roman" w:cs="Times New Roman"/>
                <w:noProof/>
                <w:sz w:val="24"/>
              </w:rPr>
            </w:pPr>
            <w:r>
              <w:rPr>
                <w:rFonts w:ascii="Times New Roman" w:hAnsi="Times New Roman"/>
                <w:noProof/>
                <w:sz w:val="24"/>
              </w:rPr>
              <w:t xml:space="preserve">Reciklēto materiālu </w:t>
            </w:r>
            <w:r>
              <w:rPr>
                <w:rFonts w:ascii="Times New Roman" w:hAnsi="Times New Roman"/>
                <w:noProof/>
                <w:sz w:val="24"/>
              </w:rPr>
              <w:t>devums vispārējā izejvielu pieprasījuma segšanā ir relatīvi mazs. Otrreizējo izejvielu tirdzniecības apjoms palielinās gan ES teritorijā, gan ar trešām valstīm.</w:t>
            </w:r>
          </w:p>
        </w:tc>
      </w:tr>
    </w:tbl>
    <w:p w:rsidR="0013332F" w:rsidRDefault="0013332F">
      <w:pPr>
        <w:spacing w:after="0"/>
        <w:jc w:val="both"/>
        <w:rPr>
          <w:rFonts w:cs="Times New Roman"/>
          <w:noProof/>
          <w:color w:val="000000"/>
          <w:position w:val="-2"/>
          <w:szCs w:val="24"/>
        </w:rPr>
      </w:pPr>
    </w:p>
    <w:p w:rsidR="0013332F" w:rsidRDefault="008E6590">
      <w:pPr>
        <w:spacing w:after="0"/>
        <w:jc w:val="both"/>
        <w:rPr>
          <w:rFonts w:cs="Times New Roman"/>
          <w:noProof/>
          <w:color w:val="000000"/>
          <w:position w:val="-2"/>
          <w:szCs w:val="24"/>
        </w:rPr>
      </w:pPr>
      <w:r>
        <w:rPr>
          <w:noProof/>
          <w:color w:val="000000"/>
          <w:position w:val="-2"/>
        </w:rPr>
        <w:t xml:space="preserve">Aprites ekonomikā materiāli, kas ir iestrādāti produktos un sastāvdaļās, tiek reciklēti, kad </w:t>
      </w:r>
      <w:r>
        <w:rPr>
          <w:noProof/>
          <w:color w:val="000000"/>
          <w:position w:val="-2"/>
        </w:rPr>
        <w:t>ir sasniegtas to darbmūža beigas, un pēc tam ievadīti atpakaļ ekonomikā kā otrreizējās izejvielas. Tas samazina ražošanas un patēriņa vidisko pēdas nospiedumu un palielina izejvielu piegādes drošību. ES pieprasījums pēc izejvielām pārsniedz piedāvājumu, ko</w:t>
      </w:r>
      <w:r>
        <w:rPr>
          <w:noProof/>
          <w:color w:val="000000"/>
          <w:position w:val="-2"/>
        </w:rPr>
        <w:t xml:space="preserve"> varētu piegādāt, pat ja visi atkritumi tiktu pārveidoti par otrreizējām izejvielām. Tāpēc primāro izejvielu piegāde joprojām būs vajadzīga.</w:t>
      </w:r>
    </w:p>
    <w:p w:rsidR="0013332F" w:rsidRDefault="0013332F">
      <w:pPr>
        <w:spacing w:after="0"/>
        <w:jc w:val="both"/>
        <w:rPr>
          <w:rFonts w:cs="Times New Roman"/>
          <w:noProof/>
          <w:color w:val="000000"/>
          <w:position w:val="-2"/>
          <w:szCs w:val="24"/>
        </w:rPr>
      </w:pPr>
    </w:p>
    <w:p w:rsidR="0013332F" w:rsidRDefault="008E6590">
      <w:pPr>
        <w:spacing w:after="0"/>
        <w:jc w:val="both"/>
        <w:rPr>
          <w:rFonts w:eastAsia="Cambria" w:cs="Times New Roman"/>
          <w:noProof/>
          <w:color w:val="000000"/>
          <w:position w:val="-2"/>
          <w:szCs w:val="24"/>
        </w:rPr>
      </w:pPr>
      <w:r>
        <w:rPr>
          <w:noProof/>
          <w:color w:val="000000"/>
          <w:position w:val="-2"/>
        </w:rPr>
        <w:t xml:space="preserve">Neraugoties uz pastāvīgiem uzlabojumiem kopš 2004. gada, </w:t>
      </w:r>
      <w:r>
        <w:rPr>
          <w:b/>
          <w:noProof/>
          <w:color w:val="000000"/>
          <w:position w:val="-2"/>
        </w:rPr>
        <w:t>reciklētie materiāli</w:t>
      </w:r>
      <w:r>
        <w:rPr>
          <w:noProof/>
          <w:color w:val="000000"/>
          <w:position w:val="-2"/>
        </w:rPr>
        <w:t xml:space="preserve"> vidēji sedz </w:t>
      </w:r>
      <w:r>
        <w:rPr>
          <w:b/>
          <w:noProof/>
          <w:color w:val="000000"/>
          <w:position w:val="-2"/>
        </w:rPr>
        <w:t>aptuveni 10 % no ES piep</w:t>
      </w:r>
      <w:r>
        <w:rPr>
          <w:b/>
          <w:noProof/>
          <w:color w:val="000000"/>
          <w:position w:val="-2"/>
        </w:rPr>
        <w:t>rasījuma pēc izejvielām</w:t>
      </w:r>
      <w:r>
        <w:rPr>
          <w:noProof/>
          <w:color w:val="000000"/>
          <w:position w:val="-2"/>
        </w:rPr>
        <w:t>. Attiecībā uz vairākiem berammateriāliem otrreizējās izejvielas apmierina vairāk nekā 30 % no kopējā pieprasījuma (piemēram, vara un niķeļa). Tomēr attiecībā uz lielu skaitu izejvielu, tostarp gandrīz visām kritiski svarīgajām izejv</w:t>
      </w:r>
      <w:r>
        <w:rPr>
          <w:noProof/>
          <w:color w:val="000000"/>
          <w:position w:val="-2"/>
        </w:rPr>
        <w:t>ielām, reciklēto materiālu devums izejvielu pieprasījuma apmierināšanā joprojām ir mazs un nenozīmīgs. Tas varētu būt tāpēc, ka to reciklēšana nav ienesīga, trūkst reciklēšanas tehnoloģiju vai arī materiāli ir iestrādāti ilgstoši lietotos produktos (piemēr</w:t>
      </w:r>
      <w:r>
        <w:rPr>
          <w:noProof/>
          <w:color w:val="000000"/>
          <w:position w:val="-2"/>
        </w:rPr>
        <w:t>am, retzemju elementi, ko izmanto vēja turbīnās).</w:t>
      </w:r>
    </w:p>
    <w:p w:rsidR="0013332F" w:rsidRDefault="0013332F">
      <w:pPr>
        <w:spacing w:after="0"/>
        <w:jc w:val="both"/>
        <w:rPr>
          <w:rFonts w:eastAsia="Cambria" w:cs="Times New Roman"/>
          <w:noProof/>
          <w:color w:val="000000"/>
          <w:position w:val="-2"/>
          <w:szCs w:val="24"/>
        </w:rPr>
      </w:pPr>
    </w:p>
    <w:p w:rsidR="0013332F" w:rsidRDefault="008E6590">
      <w:pPr>
        <w:contextualSpacing/>
        <w:jc w:val="both"/>
        <w:rPr>
          <w:rFonts w:eastAsia="Cambria" w:cs="Times New Roman"/>
          <w:noProof/>
          <w:color w:val="000000"/>
          <w:position w:val="-2"/>
          <w:szCs w:val="24"/>
        </w:rPr>
      </w:pPr>
      <w:r>
        <w:rPr>
          <w:noProof/>
          <w:color w:val="000000"/>
          <w:position w:val="-2"/>
        </w:rPr>
        <w:t xml:space="preserve">Turklāt, reciklējamo atkritumu tirdzniecības rādītājs liecina, ka </w:t>
      </w:r>
      <w:r>
        <w:rPr>
          <w:b/>
          <w:noProof/>
          <w:color w:val="000000"/>
          <w:position w:val="-2"/>
        </w:rPr>
        <w:t>ES ir vairāku lielu reciklējamu atkritumu plūsmu</w:t>
      </w:r>
      <w:r>
        <w:rPr>
          <w:noProof/>
          <w:color w:val="000000"/>
          <w:position w:val="-2"/>
        </w:rPr>
        <w:t xml:space="preserve">, piemēram, plastmasas, papīra un kartona, dzelzs un tērauda, vara, alumīnija un niķeļa, </w:t>
      </w:r>
      <w:r>
        <w:rPr>
          <w:b/>
          <w:noProof/>
          <w:color w:val="000000"/>
          <w:position w:val="-2"/>
        </w:rPr>
        <w:t>ne</w:t>
      </w:r>
      <w:r>
        <w:rPr>
          <w:b/>
          <w:noProof/>
          <w:color w:val="000000"/>
          <w:position w:val="-2"/>
        </w:rPr>
        <w:t>to eksportētāja</w:t>
      </w:r>
      <w:r>
        <w:rPr>
          <w:noProof/>
          <w:color w:val="000000"/>
          <w:position w:val="-2"/>
        </w:rPr>
        <w:t xml:space="preserve">. 2004.–2016. gadā plastmasas, papīra un kartona, vara, alumīnija, niķeļa un dārgmetālu atkritumu </w:t>
      </w:r>
      <w:r>
        <w:rPr>
          <w:b/>
          <w:noProof/>
          <w:color w:val="000000"/>
          <w:position w:val="-2"/>
        </w:rPr>
        <w:t>tirdzniecība ES ir ievērojami pieaugusi</w:t>
      </w:r>
      <w:r>
        <w:rPr>
          <w:noProof/>
          <w:color w:val="000000"/>
          <w:position w:val="-2"/>
        </w:rPr>
        <w:t>, un tas ļauj tirgus dalībniekiem izmantot ES otrreizējo izejvielu iekšējā tirgus priekšrocības.</w:t>
      </w:r>
    </w:p>
    <w:p w:rsidR="0013332F" w:rsidRDefault="0013332F">
      <w:pPr>
        <w:spacing w:after="120"/>
        <w:contextualSpacing/>
        <w:jc w:val="both"/>
        <w:rPr>
          <w:rFonts w:cs="Times New Roman"/>
          <w:b/>
          <w:i/>
          <w:noProof/>
          <w:szCs w:val="24"/>
        </w:rPr>
      </w:pPr>
    </w:p>
    <w:p w:rsidR="0013332F" w:rsidRDefault="008E6590">
      <w:pPr>
        <w:spacing w:after="120"/>
        <w:jc w:val="both"/>
        <w:rPr>
          <w:rFonts w:cs="Times New Roman"/>
          <w:b/>
          <w:i/>
          <w:noProof/>
          <w:szCs w:val="24"/>
        </w:rPr>
      </w:pPr>
      <w:r>
        <w:rPr>
          <w:b/>
          <w:i/>
          <w:noProof/>
        </w:rPr>
        <w:t>Konkur</w:t>
      </w:r>
      <w:r>
        <w:rPr>
          <w:b/>
          <w:i/>
          <w:noProof/>
        </w:rPr>
        <w:t>ētspēja un inovācija</w:t>
      </w:r>
    </w:p>
    <w:tbl>
      <w:tblPr>
        <w:tblStyle w:val="TableGrid"/>
        <w:tblW w:w="0" w:type="auto"/>
        <w:tblInd w:w="108" w:type="dxa"/>
        <w:shd w:val="clear" w:color="auto" w:fill="F2F2F2" w:themeFill="background1" w:themeFillShade="F2"/>
        <w:tblLook w:val="04A0" w:firstRow="1" w:lastRow="0" w:firstColumn="1" w:lastColumn="0" w:noHBand="0" w:noVBand="1"/>
      </w:tblPr>
      <w:tblGrid>
        <w:gridCol w:w="9072"/>
      </w:tblGrid>
      <w:tr w:rsidR="0013332F">
        <w:tc>
          <w:tcPr>
            <w:tcW w:w="9072" w:type="dxa"/>
            <w:shd w:val="clear" w:color="auto" w:fill="F2F2F2" w:themeFill="background1" w:themeFillShade="F2"/>
          </w:tcPr>
          <w:p w:rsidR="0013332F" w:rsidRDefault="008E6590">
            <w:pPr>
              <w:spacing w:before="120" w:after="120"/>
              <w:jc w:val="both"/>
              <w:rPr>
                <w:rFonts w:ascii="Times New Roman" w:hAnsi="Times New Roman" w:cs="Times New Roman"/>
                <w:noProof/>
                <w:sz w:val="24"/>
              </w:rPr>
            </w:pPr>
            <w:r>
              <w:rPr>
                <w:rFonts w:ascii="Times New Roman" w:hAnsi="Times New Roman"/>
                <w:noProof/>
                <w:sz w:val="24"/>
              </w:rPr>
              <w:t>Pāreja uz aprites ekonomiku palielina investīcijas, pievienoto vērtību un darbvietu skaitu, kā arī sekmē inovāciju.</w:t>
            </w:r>
          </w:p>
        </w:tc>
      </w:tr>
    </w:tbl>
    <w:p w:rsidR="0013332F" w:rsidRDefault="0013332F">
      <w:pPr>
        <w:spacing w:after="0"/>
        <w:jc w:val="both"/>
        <w:rPr>
          <w:rFonts w:cs="Times New Roman"/>
          <w:noProof/>
          <w:color w:val="000000"/>
          <w:position w:val="-2"/>
          <w:szCs w:val="24"/>
        </w:rPr>
      </w:pPr>
    </w:p>
    <w:p w:rsidR="0013332F" w:rsidRDefault="008E6590">
      <w:pPr>
        <w:jc w:val="both"/>
        <w:rPr>
          <w:rFonts w:cs="Times New Roman"/>
          <w:noProof/>
          <w:color w:val="000000"/>
          <w:position w:val="-2"/>
          <w:szCs w:val="24"/>
        </w:rPr>
      </w:pPr>
      <w:r>
        <w:rPr>
          <w:noProof/>
          <w:lang w:val="en-GB" w:eastAsia="en-GB" w:bidi="ar-SA"/>
        </w:rPr>
        <w:drawing>
          <wp:inline distT="0" distB="0" distL="0" distR="0">
            <wp:extent cx="5760720" cy="15965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1596513"/>
                    </a:xfrm>
                    <a:prstGeom prst="rect">
                      <a:avLst/>
                    </a:prstGeom>
                    <a:noFill/>
                    <a:ln>
                      <a:noFill/>
                    </a:ln>
                  </pic:spPr>
                </pic:pic>
              </a:graphicData>
            </a:graphic>
          </wp:inline>
        </w:drawing>
      </w:r>
    </w:p>
    <w:p w:rsidR="0013332F" w:rsidRDefault="008E6590">
      <w:pPr>
        <w:jc w:val="both"/>
        <w:rPr>
          <w:rFonts w:cs="Times New Roman"/>
          <w:noProof/>
          <w:color w:val="000000"/>
          <w:position w:val="-2"/>
          <w:sz w:val="22"/>
        </w:rPr>
      </w:pPr>
      <w:r>
        <w:rPr>
          <w:noProof/>
          <w:color w:val="000000"/>
          <w:position w:val="-2"/>
          <w:sz w:val="22"/>
        </w:rPr>
        <w:t xml:space="preserve">Avots: </w:t>
      </w:r>
      <w:r>
        <w:rPr>
          <w:i/>
          <w:noProof/>
          <w:color w:val="000000"/>
          <w:position w:val="-2"/>
          <w:sz w:val="22"/>
        </w:rPr>
        <w:t>Eurostat</w:t>
      </w:r>
      <w:r>
        <w:rPr>
          <w:noProof/>
          <w:color w:val="000000"/>
          <w:position w:val="-2"/>
          <w:sz w:val="22"/>
        </w:rPr>
        <w:t>.</w:t>
      </w:r>
    </w:p>
    <w:p w:rsidR="0013332F" w:rsidRDefault="008E6590">
      <w:pPr>
        <w:jc w:val="both"/>
        <w:rPr>
          <w:rFonts w:cs="Times New Roman"/>
          <w:noProof/>
          <w:color w:val="000000"/>
          <w:position w:val="-2"/>
          <w:szCs w:val="24"/>
        </w:rPr>
      </w:pPr>
      <w:r>
        <w:rPr>
          <w:noProof/>
          <w:color w:val="000000"/>
          <w:position w:val="-2"/>
        </w:rPr>
        <w:t xml:space="preserve">Tiek lēsts, ka 2014. gadā </w:t>
      </w:r>
      <w:r>
        <w:rPr>
          <w:b/>
          <w:noProof/>
          <w:color w:val="000000"/>
          <w:position w:val="-2"/>
        </w:rPr>
        <w:t>privātā sektora investīcijas</w:t>
      </w:r>
      <w:r>
        <w:rPr>
          <w:noProof/>
          <w:color w:val="000000"/>
          <w:position w:val="-2"/>
        </w:rPr>
        <w:t xml:space="preserve"> aprites ekonomikai relevanto tautsaimniecības nozaru apakšgrupā</w:t>
      </w:r>
      <w:r>
        <w:rPr>
          <w:rStyle w:val="FootnoteReference"/>
          <w:noProof/>
          <w:color w:val="000000"/>
          <w:position w:val="-2"/>
        </w:rPr>
        <w:footnoteReference w:id="28"/>
      </w:r>
      <w:r>
        <w:rPr>
          <w:noProof/>
          <w:color w:val="000000"/>
          <w:position w:val="-2"/>
        </w:rPr>
        <w:t xml:space="preserve"> ES ir sasniegušas aptuveni </w:t>
      </w:r>
      <w:r>
        <w:rPr>
          <w:b/>
          <w:noProof/>
          <w:color w:val="000000"/>
          <w:position w:val="-2"/>
        </w:rPr>
        <w:t>EUR</w:t>
      </w:r>
      <w:r>
        <w:rPr>
          <w:noProof/>
          <w:color w:val="000000"/>
          <w:position w:val="-2"/>
        </w:rPr>
        <w:t> </w:t>
      </w:r>
      <w:r>
        <w:rPr>
          <w:b/>
          <w:noProof/>
          <w:color w:val="000000"/>
          <w:position w:val="-2"/>
        </w:rPr>
        <w:t>15 miljardus</w:t>
      </w:r>
      <w:r>
        <w:rPr>
          <w:noProof/>
          <w:color w:val="000000"/>
          <w:position w:val="-2"/>
        </w:rPr>
        <w:t xml:space="preserve"> (t. i., 0,1 % no IKP). Tajā pašā gadā šajās nozarēs bija vairāk nekā 3,9 miljoni </w:t>
      </w:r>
      <w:r>
        <w:rPr>
          <w:b/>
          <w:noProof/>
          <w:color w:val="000000"/>
          <w:position w:val="-2"/>
        </w:rPr>
        <w:t>darbvietu</w:t>
      </w:r>
      <w:r>
        <w:rPr>
          <w:noProof/>
          <w:color w:val="000000"/>
          <w:position w:val="-2"/>
        </w:rPr>
        <w:t xml:space="preserve">, kas ir </w:t>
      </w:r>
      <w:r>
        <w:rPr>
          <w:b/>
          <w:noProof/>
          <w:color w:val="000000"/>
          <w:position w:val="-2"/>
        </w:rPr>
        <w:t>par 2,3 % vairāk</w:t>
      </w:r>
      <w:r>
        <w:rPr>
          <w:noProof/>
          <w:color w:val="000000"/>
          <w:position w:val="-2"/>
        </w:rPr>
        <w:t xml:space="preserve"> nekā 2012. gadā. Neraugoties u</w:t>
      </w:r>
      <w:r>
        <w:rPr>
          <w:noProof/>
          <w:color w:val="000000"/>
          <w:position w:val="-2"/>
        </w:rPr>
        <w:t xml:space="preserve">z ekonomisko un finansiālo krīzi, šīs aprites ekonomikas nozares 2014. gadā radīja </w:t>
      </w:r>
      <w:r>
        <w:rPr>
          <w:b/>
          <w:noProof/>
          <w:color w:val="000000"/>
          <w:position w:val="-2"/>
        </w:rPr>
        <w:t>pievienoto vērtību</w:t>
      </w:r>
      <w:r>
        <w:rPr>
          <w:noProof/>
          <w:color w:val="000000"/>
          <w:position w:val="-2"/>
        </w:rPr>
        <w:t xml:space="preserve"> aptuveni EUR 141 miljarda apmērā, kas ir </w:t>
      </w:r>
      <w:r>
        <w:rPr>
          <w:b/>
          <w:noProof/>
          <w:color w:val="000000"/>
          <w:position w:val="-2"/>
        </w:rPr>
        <w:t>par 6,1 % vairāk</w:t>
      </w:r>
      <w:r>
        <w:rPr>
          <w:noProof/>
          <w:color w:val="000000"/>
          <w:position w:val="-2"/>
        </w:rPr>
        <w:t xml:space="preserve"> nekā 2012. gadā. Ir pieejamas vairākas ES finansēšanas programmas, kas atbalsta pāreju uz aprite</w:t>
      </w:r>
      <w:r>
        <w:rPr>
          <w:noProof/>
          <w:color w:val="000000"/>
          <w:position w:val="-2"/>
        </w:rPr>
        <w:t xml:space="preserve">s ekonomiku, tādas kā Eiropas Stratēģisko ieguldījumu fonds, Eiropas struktūrfondi un investīciju fondi, programma “Apvārsnis 2020” un programma </w:t>
      </w:r>
      <w:r>
        <w:rPr>
          <w:i/>
          <w:noProof/>
          <w:color w:val="000000"/>
          <w:position w:val="-2"/>
        </w:rPr>
        <w:t>LIFE</w:t>
      </w:r>
      <w:r>
        <w:rPr>
          <w:noProof/>
          <w:color w:val="000000"/>
          <w:position w:val="-2"/>
        </w:rPr>
        <w:t>. Turklāt 2017. gada janvārī darboties sāka Aprites ekonomikas finansējuma atbalsta platforma.</w:t>
      </w:r>
    </w:p>
    <w:p w:rsidR="0013332F" w:rsidRDefault="008E6590">
      <w:pPr>
        <w:jc w:val="both"/>
        <w:rPr>
          <w:rFonts w:cs="Times New Roman"/>
          <w:noProof/>
          <w:color w:val="000000"/>
          <w:position w:val="-2"/>
          <w:szCs w:val="24"/>
        </w:rPr>
      </w:pPr>
      <w:r>
        <w:rPr>
          <w:noProof/>
          <w:color w:val="000000"/>
          <w:position w:val="-2"/>
        </w:rPr>
        <w:t>Dati par rec</w:t>
      </w:r>
      <w:r>
        <w:rPr>
          <w:noProof/>
          <w:color w:val="000000"/>
          <w:position w:val="-2"/>
        </w:rPr>
        <w:t xml:space="preserve">iklēšanas un otrreizējo izejvielu </w:t>
      </w:r>
      <w:r>
        <w:rPr>
          <w:b/>
          <w:noProof/>
          <w:color w:val="000000"/>
          <w:position w:val="-2"/>
        </w:rPr>
        <w:t>patentiem</w:t>
      </w:r>
      <w:r>
        <w:rPr>
          <w:noProof/>
          <w:color w:val="000000"/>
          <w:position w:val="-2"/>
        </w:rPr>
        <w:t xml:space="preserve"> liecina, ka laikā no 2000. līdz 2013. gadam sasniegts </w:t>
      </w:r>
      <w:r>
        <w:rPr>
          <w:b/>
          <w:noProof/>
          <w:color w:val="000000"/>
          <w:position w:val="-2"/>
        </w:rPr>
        <w:t>pieaugums 35 % apmērā</w:t>
      </w:r>
      <w:r>
        <w:rPr>
          <w:noProof/>
          <w:color w:val="000000"/>
          <w:position w:val="-2"/>
        </w:rPr>
        <w:t>. ES patenti stikla reciklēšanas jomā veido 44 % no šādu patentu kopskaita pasaulē, savukārt ES daļa plastmasas reciklēšanas jomā sasnied</w:t>
      </w:r>
      <w:r>
        <w:rPr>
          <w:noProof/>
          <w:color w:val="000000"/>
          <w:position w:val="-2"/>
        </w:rPr>
        <w:t>z 18 % un papīra reciklēšanas jomā – 23 %.</w:t>
      </w:r>
    </w:p>
    <w:p w:rsidR="0013332F" w:rsidRDefault="008E6590">
      <w:pPr>
        <w:pStyle w:val="Heading1"/>
        <w:keepNext/>
        <w:rPr>
          <w:rFonts w:cs="Times New Roman"/>
          <w:noProof/>
          <w:szCs w:val="24"/>
        </w:rPr>
      </w:pPr>
      <w:r>
        <w:rPr>
          <w:noProof/>
        </w:rPr>
        <w:t>Secinājumi</w:t>
      </w:r>
    </w:p>
    <w:p w:rsidR="0013332F" w:rsidRDefault="008E6590">
      <w:pPr>
        <w:jc w:val="both"/>
        <w:rPr>
          <w:rFonts w:cs="Times New Roman"/>
          <w:noProof/>
          <w:szCs w:val="24"/>
        </w:rPr>
      </w:pPr>
      <w:r>
        <w:rPr>
          <w:noProof/>
        </w:rPr>
        <w:t>Šajā uzraudzības sistēmā ar precīzu rādītāju kopumu ir atspoguļoti galvenie aprites ekonomikas elementi, tostarp produktu un materiālu aprites cikls, prioritārās jomas un nozares, kā arī ietekme uz konk</w:t>
      </w:r>
      <w:r>
        <w:rPr>
          <w:noProof/>
        </w:rPr>
        <w:t>urētspēju, inovācijām un darbvietām. Tātad tā būs instruments, kas ļaus sekot galvenajām tendencēm pārejas periodā un novērtēt, vai ieviestie pasākumi un visu aktoru iesaistīšanās ir bijusi pietiekami rezultatīva, un palīdzēt noteikt dalībvalstu paraugprak</w:t>
      </w:r>
      <w:r>
        <w:rPr>
          <w:noProof/>
        </w:rPr>
        <w:t>si, kas būtu izplatāma.</w:t>
      </w:r>
    </w:p>
    <w:p w:rsidR="0013332F" w:rsidRDefault="008E6590">
      <w:pPr>
        <w:jc w:val="both"/>
        <w:rPr>
          <w:rFonts w:cs="Times New Roman"/>
          <w:noProof/>
          <w:szCs w:val="24"/>
        </w:rPr>
      </w:pPr>
      <w:r>
        <w:rPr>
          <w:noProof/>
        </w:rPr>
        <w:t>Rādītāji tiks pastāvīgi atjaunināti uzraudzības sistēmai atvēlētajā tīmekļa vietnē</w:t>
      </w:r>
      <w:r>
        <w:rPr>
          <w:rStyle w:val="FootnoteReference"/>
          <w:noProof/>
        </w:rPr>
        <w:footnoteReference w:id="29"/>
      </w:r>
      <w:r>
        <w:rPr>
          <w:noProof/>
        </w:rPr>
        <w:t>. Šajā tīmekļa vietnē ir ietverti arī progresa uzraudzības rīki un tiek dokumentēta rādītāju metodika, datu avoti, definīcijas un publicēšanas standa</w:t>
      </w:r>
      <w:r>
        <w:rPr>
          <w:noProof/>
        </w:rPr>
        <w:t>rti. Komisija turpinās izstrādāt rādītājus, kuriem nepieciešami papildu uzlabojumi, jo īpaši attiecībā uz pārtikas atkritumiem un zaļo publisko iepirkumu.</w:t>
      </w:r>
    </w:p>
    <w:p w:rsidR="0013332F" w:rsidRDefault="008E6590">
      <w:pPr>
        <w:jc w:val="both"/>
        <w:rPr>
          <w:noProof/>
        </w:rPr>
      </w:pPr>
      <w:r>
        <w:rPr>
          <w:noProof/>
        </w:rPr>
        <w:t>Dialogs ar dalībvalstīm un ieinteresētajām personām palīdzēs sistēmu pilnveidot. Proti, sistēma lielā</w:t>
      </w:r>
      <w:r>
        <w:rPr>
          <w:noProof/>
        </w:rPr>
        <w:t xml:space="preserve"> mērā balstās uz augstas kvalitātes statistiku, ko dalībvalstis sniedz </w:t>
      </w:r>
      <w:r>
        <w:rPr>
          <w:i/>
          <w:noProof/>
        </w:rPr>
        <w:t>Eurostat</w:t>
      </w:r>
      <w:r>
        <w:rPr>
          <w:noProof/>
        </w:rPr>
        <w:t>. Komisija atzinīgi vērtētu arī visu ES iestāžu iesaistīšanos.</w:t>
      </w:r>
    </w:p>
    <w:sectPr w:rsidR="0013332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474710" w15:done="0"/>
  <w15:commentEx w15:paraId="3F7E23D4" w15:done="0"/>
  <w15:commentEx w15:paraId="65314EF6" w15:done="0"/>
  <w15:commentEx w15:paraId="2FAF1021" w15:done="0"/>
  <w15:commentEx w15:paraId="6A0A96E1" w15:done="0"/>
  <w15:commentEx w15:paraId="334B2E39" w15:done="0"/>
  <w15:commentEx w15:paraId="66391D8B" w15:done="0"/>
  <w15:commentEx w15:paraId="2A96B26A" w15:done="0"/>
  <w15:commentEx w15:paraId="382F395C" w15:done="0"/>
  <w15:commentEx w15:paraId="06B84C6D" w15:done="0"/>
  <w15:commentEx w15:paraId="6758A871" w15:done="0"/>
  <w15:commentEx w15:paraId="4F42F5C1" w15:done="0"/>
  <w15:commentEx w15:paraId="56DACCDF" w15:done="0"/>
  <w15:commentEx w15:paraId="22F26619" w15:done="0"/>
  <w15:commentEx w15:paraId="484393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74710" w16cid:durableId="1DCACE53"/>
  <w16cid:commentId w16cid:paraId="3F7E23D4" w16cid:durableId="1DCACE54"/>
  <w16cid:commentId w16cid:paraId="65314EF6" w16cid:durableId="1DCACE55"/>
  <w16cid:commentId w16cid:paraId="2FAF1021" w16cid:durableId="1DCACE56"/>
  <w16cid:commentId w16cid:paraId="6A0A96E1" w16cid:durableId="1DCACE57"/>
  <w16cid:commentId w16cid:paraId="334B2E39" w16cid:durableId="1DCACE58"/>
  <w16cid:commentId w16cid:paraId="66391D8B" w16cid:durableId="1DCACE59"/>
  <w16cid:commentId w16cid:paraId="2A96B26A" w16cid:durableId="1DCAD2DD"/>
  <w16cid:commentId w16cid:paraId="382F395C" w16cid:durableId="1DCACE5A"/>
  <w16cid:commentId w16cid:paraId="06B84C6D" w16cid:durableId="1DCACE5B"/>
  <w16cid:commentId w16cid:paraId="6758A871" w16cid:durableId="1DCACE5C"/>
  <w16cid:commentId w16cid:paraId="4F42F5C1" w16cid:durableId="1DCACE5D"/>
  <w16cid:commentId w16cid:paraId="56DACCDF" w16cid:durableId="1DCACE5E"/>
  <w16cid:commentId w16cid:paraId="22F26619" w16cid:durableId="1DCACE5F"/>
  <w16cid:commentId w16cid:paraId="484393D0" w16cid:durableId="1DCACE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2F" w:rsidRDefault="008E6590">
      <w:pPr>
        <w:spacing w:after="0" w:line="240" w:lineRule="auto"/>
      </w:pPr>
      <w:r>
        <w:separator/>
      </w:r>
    </w:p>
  </w:endnote>
  <w:endnote w:type="continuationSeparator" w:id="0">
    <w:p w:rsidR="0013332F" w:rsidRDefault="008E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C Square Sans Cond Pro">
    <w:altName w:val="Calibri"/>
    <w:panose1 w:val="020B0506040000020004"/>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8E6590">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97340"/>
      <w:docPartObj>
        <w:docPartGallery w:val="Page Numbers (Bottom of Page)"/>
        <w:docPartUnique/>
      </w:docPartObj>
    </w:sdtPr>
    <w:sdtEndPr/>
    <w:sdtContent>
      <w:p w:rsidR="0013332F" w:rsidRDefault="008E6590">
        <w:pPr>
          <w:pStyle w:val="Footer"/>
          <w:jc w:val="right"/>
        </w:pPr>
        <w:r>
          <w:fldChar w:fldCharType="begin"/>
        </w:r>
        <w:r>
          <w:instrText xml:space="preserve"> PAGE   \* MERGEFORMAT </w:instrText>
        </w:r>
        <w:r>
          <w:fldChar w:fldCharType="separate"/>
        </w:r>
        <w:r>
          <w:rPr>
            <w:noProof/>
          </w:rPr>
          <w:t>3</w:t>
        </w:r>
        <w:r>
          <w:fldChar w:fldCharType="end"/>
        </w:r>
      </w:p>
    </w:sdtContent>
  </w:sdt>
  <w:p w:rsidR="0013332F" w:rsidRDefault="001333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2F" w:rsidRDefault="008E6590">
      <w:pPr>
        <w:spacing w:after="0" w:line="240" w:lineRule="auto"/>
      </w:pPr>
      <w:r>
        <w:separator/>
      </w:r>
    </w:p>
  </w:footnote>
  <w:footnote w:type="continuationSeparator" w:id="0">
    <w:p w:rsidR="0013332F" w:rsidRDefault="008E6590">
      <w:pPr>
        <w:spacing w:after="0" w:line="240" w:lineRule="auto"/>
      </w:pPr>
      <w:r>
        <w:continuationSeparator/>
      </w:r>
    </w:p>
  </w:footnote>
  <w:footnote w:id="1">
    <w:p w:rsidR="0013332F" w:rsidRDefault="008E6590">
      <w:pPr>
        <w:pStyle w:val="FootnoteText"/>
        <w:rPr>
          <w:lang w:val="pt-PT"/>
        </w:rPr>
      </w:pPr>
      <w:r>
        <w:rPr>
          <w:rStyle w:val="FootnoteReference"/>
        </w:rPr>
        <w:footnoteRef/>
      </w:r>
      <w:r>
        <w:t xml:space="preserve"> COM(2017) 479.</w:t>
      </w:r>
    </w:p>
  </w:footnote>
  <w:footnote w:id="2">
    <w:p w:rsidR="0013332F" w:rsidRDefault="008E6590">
      <w:pPr>
        <w:pStyle w:val="FootnoteText"/>
        <w:rPr>
          <w:lang w:val="pt-PT"/>
        </w:rPr>
      </w:pPr>
      <w:r>
        <w:rPr>
          <w:rStyle w:val="FootnoteReference"/>
        </w:rPr>
        <w:footnoteRef/>
      </w:r>
      <w:r>
        <w:t xml:space="preserve"> </w:t>
      </w:r>
      <w:hyperlink r:id="rId1">
        <w:r>
          <w:rPr>
            <w:rStyle w:val="Hyperlink"/>
          </w:rPr>
          <w:t>https://ec.europa.eu/info/strategy/international-strategies/global-topics/sustainable-developmen</w:t>
        </w:r>
        <w:r>
          <w:rPr>
            <w:rStyle w:val="Hyperlink"/>
          </w:rPr>
          <w:t>t-goals/eu-approach-sustainable-development_lv</w:t>
        </w:r>
      </w:hyperlink>
      <w:r>
        <w:t>.</w:t>
      </w:r>
    </w:p>
  </w:footnote>
  <w:footnote w:id="3">
    <w:p w:rsidR="0013332F" w:rsidRDefault="008E6590">
      <w:pPr>
        <w:pStyle w:val="FootnoteText"/>
        <w:rPr>
          <w:lang w:val="pt-PT"/>
        </w:rPr>
      </w:pPr>
      <w:r>
        <w:rPr>
          <w:rStyle w:val="FootnoteReference"/>
        </w:rPr>
        <w:footnoteRef/>
      </w:r>
      <w:r>
        <w:t xml:space="preserve"> COM(2015) 614.</w:t>
      </w:r>
    </w:p>
  </w:footnote>
  <w:footnote w:id="4">
    <w:p w:rsidR="0013332F" w:rsidRDefault="008E6590">
      <w:pPr>
        <w:pStyle w:val="FootnoteText"/>
        <w:rPr>
          <w:lang w:val="pt-PT"/>
        </w:rPr>
      </w:pPr>
      <w:r>
        <w:rPr>
          <w:rStyle w:val="FootnoteReference"/>
        </w:rPr>
        <w:footnoteRef/>
      </w:r>
      <w:r>
        <w:t xml:space="preserve"> </w:t>
      </w:r>
      <w:hyperlink r:id="rId2" w:history="1">
        <w:r>
          <w:rPr>
            <w:rStyle w:val="Hyperlink"/>
            <w:lang w:val="sl-SI"/>
          </w:rPr>
          <w:t>http://www.consilium.europa.eu/en/press/press-releases/2016/06/20/envi-conclusions-circular-economy/pdf</w:t>
        </w:r>
      </w:hyperlink>
      <w:r>
        <w:t>.</w:t>
      </w:r>
    </w:p>
  </w:footnote>
  <w:footnote w:id="5">
    <w:p w:rsidR="0013332F" w:rsidRDefault="008E6590">
      <w:pPr>
        <w:pStyle w:val="FootnoteText"/>
      </w:pPr>
      <w:r>
        <w:rPr>
          <w:rStyle w:val="FootnoteReference"/>
        </w:rPr>
        <w:footnoteRef/>
      </w:r>
      <w:r>
        <w:t xml:space="preserve"> Eiropas Parlame</w:t>
      </w:r>
      <w:r>
        <w:t>nta 2015. gada 9. jūlija rezolūcija “Resursu lietderīga izmantošana – ceļā uz aprites ekonomiku” (</w:t>
      </w:r>
      <w:hyperlink r:id="rId3">
        <w:r>
          <w:rPr>
            <w:rStyle w:val="Hyperlink"/>
          </w:rPr>
          <w:t>2014/2208(INI)</w:t>
        </w:r>
      </w:hyperlink>
      <w:r>
        <w:t>).</w:t>
      </w:r>
    </w:p>
  </w:footnote>
  <w:footnote w:id="6">
    <w:p w:rsidR="0013332F" w:rsidRDefault="008E6590">
      <w:pPr>
        <w:pStyle w:val="FootnoteText"/>
      </w:pPr>
      <w:r>
        <w:rPr>
          <w:rStyle w:val="FootnoteReference"/>
        </w:rPr>
        <w:footnoteRef/>
      </w:r>
      <w:r>
        <w:t xml:space="preserve"> </w:t>
      </w:r>
      <w:hyperlink r:id="rId4">
        <w:r>
          <w:rPr>
            <w:rStyle w:val="Hyperlink"/>
          </w:rPr>
          <w:t>http://ec.europa.eu/environment/resource_efficiency/targets_indicators/scoreboard/index_en.htm</w:t>
        </w:r>
      </w:hyperlink>
      <w:r>
        <w:t>.</w:t>
      </w:r>
    </w:p>
  </w:footnote>
  <w:footnote w:id="7">
    <w:p w:rsidR="0013332F" w:rsidRDefault="008E6590">
      <w:pPr>
        <w:pStyle w:val="FootnoteText"/>
      </w:pPr>
      <w:r>
        <w:rPr>
          <w:rStyle w:val="FootnoteReference"/>
        </w:rPr>
        <w:footnoteRef/>
      </w:r>
      <w:r>
        <w:t xml:space="preserve"> </w:t>
      </w:r>
      <w:hyperlink r:id="rId5">
        <w:r>
          <w:rPr>
            <w:rStyle w:val="Hyperlink"/>
          </w:rPr>
          <w:t>https://publications.europa.eu/en/publication-detail/-/publication/1ee65e21-9ac4-11e6-868c-01aa75ed71a1</w:t>
        </w:r>
      </w:hyperlink>
      <w:r>
        <w:t>.</w:t>
      </w:r>
    </w:p>
  </w:footnote>
  <w:footnote w:id="8">
    <w:p w:rsidR="0013332F" w:rsidRDefault="008E6590">
      <w:pPr>
        <w:pStyle w:val="FootnoteText"/>
      </w:pPr>
      <w:r>
        <w:rPr>
          <w:rStyle w:val="FootnoteReference"/>
        </w:rPr>
        <w:footnoteRef/>
      </w:r>
      <w:r>
        <w:t xml:space="preserve"> </w:t>
      </w:r>
      <w:hyperlink r:id="rId6">
        <w:r>
          <w:rPr>
            <w:rStyle w:val="Hyperlink"/>
          </w:rPr>
          <w:t>http://ec.europa.eu/eurostat</w:t>
        </w:r>
        <w:r>
          <w:rPr>
            <w:rStyle w:val="Hyperlink"/>
          </w:rPr>
          <w:t>/web/circular-economy</w:t>
        </w:r>
      </w:hyperlink>
      <w:r>
        <w:t>.</w:t>
      </w:r>
    </w:p>
  </w:footnote>
  <w:footnote w:id="9">
    <w:p w:rsidR="0013332F" w:rsidRDefault="008E6590">
      <w:pPr>
        <w:pStyle w:val="FootnoteText"/>
        <w:rPr>
          <w:sz w:val="16"/>
        </w:rPr>
      </w:pPr>
      <w:r>
        <w:rPr>
          <w:rStyle w:val="FootnoteReference"/>
        </w:rPr>
        <w:footnoteRef/>
      </w:r>
      <w:r>
        <w:rPr>
          <w:sz w:val="16"/>
        </w:rPr>
        <w:t xml:space="preserve"> </w:t>
      </w:r>
      <w:r>
        <w:t xml:space="preserve">Avots: </w:t>
      </w:r>
      <w:r>
        <w:rPr>
          <w:i/>
        </w:rPr>
        <w:t>Andreas Mayer, Willi Haas, Dominik Wiedenhofer, Fridolin Krausmann, Philip Nuss, Gian Andrea Blengini</w:t>
      </w:r>
      <w:r>
        <w:t xml:space="preserve"> (drīzumā): </w:t>
      </w:r>
      <w:r>
        <w:rPr>
          <w:i/>
        </w:rPr>
        <w:t xml:space="preserve">Monitoring the circular economy in the EU28 - A mass-balanced assessment of economy wide material flows, waste </w:t>
      </w:r>
      <w:r>
        <w:rPr>
          <w:i/>
        </w:rPr>
        <w:t>and emissions from official statistics</w:t>
      </w:r>
      <w:r>
        <w:t xml:space="preserve">. Sk.: </w:t>
      </w:r>
      <w:r>
        <w:rPr>
          <w:i/>
        </w:rPr>
        <w:t>Journal of Industrial Ecology</w:t>
      </w:r>
      <w:r>
        <w:t>.</w:t>
      </w:r>
    </w:p>
  </w:footnote>
  <w:footnote w:id="10">
    <w:p w:rsidR="0013332F" w:rsidRDefault="008E6590">
      <w:pPr>
        <w:pStyle w:val="FootnoteText"/>
      </w:pPr>
      <w:r>
        <w:rPr>
          <w:rStyle w:val="FootnoteReference"/>
        </w:rPr>
        <w:footnoteRef/>
      </w:r>
      <w:r>
        <w:t xml:space="preserve"> Izmantošana enerģētikā aptver izejvielas, ko izmanto sadedzināšanā vai pārtikas un barības ražošanā.</w:t>
      </w:r>
    </w:p>
  </w:footnote>
  <w:footnote w:id="11">
    <w:p w:rsidR="0013332F" w:rsidRDefault="008E6590">
      <w:pPr>
        <w:pStyle w:val="FootnoteText"/>
      </w:pPr>
      <w:r>
        <w:rPr>
          <w:rStyle w:val="FootnoteReference"/>
        </w:rPr>
        <w:footnoteRef/>
      </w:r>
      <w:r>
        <w:t xml:space="preserve"> </w:t>
      </w:r>
      <w:hyperlink r:id="rId7">
        <w:r>
          <w:rPr>
            <w:rStyle w:val="Hyperlink"/>
          </w:rPr>
          <w:t>https://ec.europa.eu/info/law/better-regulation/initiatives/ares-2017-1830357_en</w:t>
        </w:r>
      </w:hyperlink>
      <w:r>
        <w:t>.</w:t>
      </w:r>
    </w:p>
  </w:footnote>
  <w:footnote w:id="12">
    <w:p w:rsidR="0013332F" w:rsidRDefault="008E6590">
      <w:pPr>
        <w:pStyle w:val="FootnoteText"/>
      </w:pPr>
      <w:r>
        <w:rPr>
          <w:rStyle w:val="FootnoteReference"/>
        </w:rPr>
        <w:footnoteRef/>
      </w:r>
      <w:r>
        <w:t xml:space="preserve"> Vides pārskatu oficiālās statistikas veidotāji un resursefektivitātes / integrētās produktu politikas un izejvielu politikas eksperti: </w:t>
      </w:r>
      <w:hyperlink r:id="rId8">
        <w:r>
          <w:rPr>
            <w:rStyle w:val="Hyperlink"/>
          </w:rPr>
          <w:t>http://ec.europa.eu/transparency/regexpert/index.cfm?do=groupDetail.groupDetail&amp;groupID=2673</w:t>
        </w:r>
      </w:hyperlink>
      <w:r>
        <w:t xml:space="preserve">, </w:t>
      </w:r>
      <w:hyperlink r:id="rId9">
        <w:r>
          <w:rPr>
            <w:rStyle w:val="Hyperlink"/>
          </w:rPr>
          <w:t>http://ec.europa.eu/transparency/regexpert/index.cfm?do=groupDetail.groupDetail&amp;groupID=470</w:t>
        </w:r>
      </w:hyperlink>
      <w:r>
        <w:t xml:space="preserve">, </w:t>
      </w:r>
      <w:hyperlink r:id="rId10">
        <w:r>
          <w:rPr>
            <w:rStyle w:val="Hyperlink"/>
          </w:rPr>
          <w:t>http://ec.europa.eu/transparency/regexpert/index.cfm?do=groupDetail.groupDetail&amp;groupID=2812</w:t>
        </w:r>
      </w:hyperlink>
      <w:r>
        <w:t xml:space="preserve">, </w:t>
      </w:r>
      <w:hyperlink r:id="rId11">
        <w:r>
          <w:rPr>
            <w:rStyle w:val="Hyperlink"/>
          </w:rPr>
          <w:t>http://ec.europa.eu/transparency/regexpert</w:t>
        </w:r>
        <w:r>
          <w:rPr>
            <w:rStyle w:val="Hyperlink"/>
          </w:rPr>
          <w:t>/index.cfm?do=groupDetail.groupDetail&amp;groupID=1353</w:t>
        </w:r>
      </w:hyperlink>
      <w:r>
        <w:t>.</w:t>
      </w:r>
    </w:p>
  </w:footnote>
  <w:footnote w:id="13">
    <w:p w:rsidR="0013332F" w:rsidRDefault="008E6590">
      <w:pPr>
        <w:pStyle w:val="FootnoteText"/>
        <w:rPr>
          <w:lang w:val="pt-PT"/>
        </w:rPr>
      </w:pPr>
      <w:r>
        <w:rPr>
          <w:rStyle w:val="FootnoteReference"/>
        </w:rPr>
        <w:footnoteRef/>
      </w:r>
      <w:r>
        <w:t xml:space="preserve"> COM(2015) 595 </w:t>
      </w:r>
      <w:r>
        <w:rPr>
          <w:i/>
        </w:rPr>
        <w:t>final</w:t>
      </w:r>
      <w:r>
        <w:t>.</w:t>
      </w:r>
    </w:p>
  </w:footnote>
  <w:footnote w:id="14">
    <w:p w:rsidR="0013332F" w:rsidRDefault="008E6590">
      <w:pPr>
        <w:pStyle w:val="FootnoteText"/>
        <w:rPr>
          <w:lang w:val="pt-PT"/>
        </w:rPr>
      </w:pPr>
      <w:r>
        <w:rPr>
          <w:rStyle w:val="FootnoteReference"/>
        </w:rPr>
        <w:footnoteRef/>
      </w:r>
      <w:r>
        <w:t xml:space="preserve"> </w:t>
      </w:r>
      <w:hyperlink r:id="rId12">
        <w:r>
          <w:rPr>
            <w:rStyle w:val="Hyperlink"/>
          </w:rPr>
          <w:t xml:space="preserve">COM(2015) 596 </w:t>
        </w:r>
        <w:r>
          <w:rPr>
            <w:rStyle w:val="Hyperlink"/>
            <w:i/>
          </w:rPr>
          <w:t>final</w:t>
        </w:r>
      </w:hyperlink>
      <w:r>
        <w:t>.</w:t>
      </w:r>
    </w:p>
  </w:footnote>
  <w:footnote w:id="15">
    <w:p w:rsidR="0013332F" w:rsidRDefault="008E6590">
      <w:pPr>
        <w:pStyle w:val="FootnoteText"/>
        <w:rPr>
          <w:lang w:val="pt-PT"/>
        </w:rPr>
      </w:pPr>
      <w:r>
        <w:rPr>
          <w:rStyle w:val="FootnoteReference"/>
        </w:rPr>
        <w:footnoteRef/>
      </w:r>
      <w:r>
        <w:t xml:space="preserve"> </w:t>
      </w:r>
      <w:hyperlink r:id="rId13">
        <w:r>
          <w:rPr>
            <w:rStyle w:val="Hyperlink"/>
          </w:rPr>
          <w:t>http://rmis.jrc.ec.</w:t>
        </w:r>
        <w:r>
          <w:rPr>
            <w:rStyle w:val="Hyperlink"/>
          </w:rPr>
          <w:t>europa.eu/</w:t>
        </w:r>
      </w:hyperlink>
      <w:r>
        <w:t>.</w:t>
      </w:r>
    </w:p>
  </w:footnote>
  <w:footnote w:id="16">
    <w:p w:rsidR="0013332F" w:rsidRDefault="008E6590">
      <w:pPr>
        <w:pStyle w:val="FootnoteText"/>
      </w:pPr>
      <w:r>
        <w:rPr>
          <w:rStyle w:val="FootnoteReference"/>
        </w:rPr>
        <w:footnoteRef/>
      </w:r>
      <w:r>
        <w:t xml:space="preserve"> COM(2017) 490.</w:t>
      </w:r>
    </w:p>
  </w:footnote>
  <w:footnote w:id="17">
    <w:p w:rsidR="0013332F" w:rsidRDefault="008E6590">
      <w:pPr>
        <w:pStyle w:val="FootnoteText"/>
      </w:pPr>
      <w:r>
        <w:rPr>
          <w:rStyle w:val="FootnoteReference"/>
        </w:rPr>
        <w:footnoteRef/>
      </w:r>
      <w:r>
        <w:t xml:space="preserve"> Piemēram, kobalts baterijām, ko izmanto elektromobiļos, silīcijs saules paneļiem.</w:t>
      </w:r>
    </w:p>
  </w:footnote>
  <w:footnote w:id="18">
    <w:p w:rsidR="0013332F" w:rsidRDefault="008E6590">
      <w:pPr>
        <w:pStyle w:val="FootnoteText"/>
      </w:pPr>
      <w:r>
        <w:rPr>
          <w:rStyle w:val="FootnoteReference"/>
        </w:rPr>
        <w:footnoteRef/>
      </w:r>
      <w:r>
        <w:t xml:space="preserve"> </w:t>
      </w:r>
      <w:hyperlink r:id="rId14">
        <w:r>
          <w:rPr>
            <w:rStyle w:val="Hyperlink"/>
          </w:rPr>
          <w:t>http://ec.europa.eu/environment/gpp/index_en.htm</w:t>
        </w:r>
      </w:hyperlink>
      <w:r>
        <w:t>.</w:t>
      </w:r>
    </w:p>
  </w:footnote>
  <w:footnote w:id="19">
    <w:p w:rsidR="0013332F" w:rsidRDefault="008E6590">
      <w:pPr>
        <w:pStyle w:val="FootnoteText"/>
      </w:pPr>
      <w:r>
        <w:rPr>
          <w:rStyle w:val="FootnoteReference"/>
        </w:rPr>
        <w:footnoteRef/>
      </w:r>
      <w:r>
        <w:t xml:space="preserve"> Mājsaimniecību un sab</w:t>
      </w:r>
      <w:r>
        <w:t>iedrisko vietu atkritumi un līdzīgi atkritumi no citiem avotiem.</w:t>
      </w:r>
    </w:p>
  </w:footnote>
  <w:footnote w:id="20">
    <w:p w:rsidR="0013332F" w:rsidRDefault="008E6590">
      <w:pPr>
        <w:pStyle w:val="FootnoteText"/>
      </w:pPr>
      <w:r>
        <w:rPr>
          <w:rStyle w:val="FootnoteReference"/>
        </w:rPr>
        <w:footnoteRef/>
      </w:r>
      <w:r>
        <w:t xml:space="preserve"> Dažas atšķirības var izskaidrot ar atšķirīgo veidu, kā dalībvalstis mēra saražoto atkritumu daudzumu.</w:t>
      </w:r>
    </w:p>
  </w:footnote>
  <w:footnote w:id="21">
    <w:p w:rsidR="0013332F" w:rsidRDefault="008E6590">
      <w:pPr>
        <w:pStyle w:val="FootnoteText"/>
      </w:pPr>
      <w:r>
        <w:rPr>
          <w:rStyle w:val="FootnoteReference"/>
        </w:rPr>
        <w:footnoteRef/>
      </w:r>
      <w:r>
        <w:t xml:space="preserve"> </w:t>
      </w:r>
      <w:hyperlink r:id="rId15">
        <w:r>
          <w:rPr>
            <w:rStyle w:val="Hyperlink"/>
          </w:rPr>
          <w:t>https://</w:t>
        </w:r>
        <w:r>
          <w:rPr>
            <w:rStyle w:val="Hyperlink"/>
          </w:rPr>
          <w:t>ec.europa.eu/food/safety/food_waste/eu_actions_en</w:t>
        </w:r>
      </w:hyperlink>
      <w:r>
        <w:t>.</w:t>
      </w:r>
    </w:p>
  </w:footnote>
  <w:footnote w:id="22">
    <w:p w:rsidR="0013332F" w:rsidRDefault="008E6590">
      <w:pPr>
        <w:pStyle w:val="FootnoteText"/>
      </w:pPr>
      <w:r>
        <w:rPr>
          <w:rStyle w:val="FootnoteReference"/>
        </w:rPr>
        <w:footnoteRef/>
      </w:r>
      <w:r>
        <w:t xml:space="preserve"> COM(2015) 595 </w:t>
      </w:r>
      <w:r>
        <w:rPr>
          <w:i/>
        </w:rPr>
        <w:t>final</w:t>
      </w:r>
      <w:r>
        <w:t>.</w:t>
      </w:r>
    </w:p>
  </w:footnote>
  <w:footnote w:id="23">
    <w:p w:rsidR="0013332F" w:rsidRDefault="008E6590">
      <w:pPr>
        <w:pStyle w:val="FootnoteText"/>
      </w:pPr>
      <w:r>
        <w:rPr>
          <w:rStyle w:val="FootnoteReference"/>
        </w:rPr>
        <w:footnoteRef/>
      </w:r>
      <w:r>
        <w:t xml:space="preserve"> Reciklēšanas rādītāju aprēķināšanai dalībvalstis izmanto dažādas metodes, un ar to var izskaidrot daļu atšķirību. Komisijas priekšlikumā tiesību aktam par atkritumiem ir ierosināta</w:t>
      </w:r>
      <w:r>
        <w:t xml:space="preserve"> kopīga metode.</w:t>
      </w:r>
    </w:p>
  </w:footnote>
  <w:footnote w:id="24">
    <w:p w:rsidR="0013332F" w:rsidRDefault="008E6590">
      <w:pPr>
        <w:pStyle w:val="FootnoteText"/>
      </w:pPr>
      <w:r>
        <w:rPr>
          <w:rStyle w:val="FootnoteReference"/>
        </w:rPr>
        <w:footnoteRef/>
      </w:r>
      <w:r>
        <w:t xml:space="preserve"> </w:t>
      </w:r>
      <w:hyperlink r:id="rId16">
        <w:r>
          <w:rPr>
            <w:rStyle w:val="Hyperlink"/>
          </w:rPr>
          <w:t xml:space="preserve">COM(2015) 596 </w:t>
        </w:r>
        <w:r>
          <w:rPr>
            <w:rStyle w:val="Hyperlink"/>
            <w:i/>
          </w:rPr>
          <w:t>final</w:t>
        </w:r>
      </w:hyperlink>
      <w:r>
        <w:t>.</w:t>
      </w:r>
    </w:p>
  </w:footnote>
  <w:footnote w:id="25">
    <w:p w:rsidR="0013332F" w:rsidRDefault="008E6590">
      <w:pPr>
        <w:pStyle w:val="FootnoteText"/>
      </w:pPr>
      <w:r>
        <w:rPr>
          <w:rStyle w:val="FootnoteReference"/>
        </w:rPr>
        <w:footnoteRef/>
      </w:r>
      <w:r>
        <w:t xml:space="preserve"> Vai sagatavoja atkalizmantošanai.</w:t>
      </w:r>
    </w:p>
  </w:footnote>
  <w:footnote w:id="26">
    <w:p w:rsidR="0013332F" w:rsidRDefault="008E6590">
      <w:pPr>
        <w:pStyle w:val="FootnoteText"/>
      </w:pPr>
      <w:r>
        <w:rPr>
          <w:rStyle w:val="FootnoteReference"/>
        </w:rPr>
        <w:footnoteRef/>
      </w:r>
      <w:r>
        <w:t xml:space="preserve"> Mērķrādītājs aptver ne tikai reciklēšanu, bet arī atkalizmantošanu un citādu materiālu atgūšanu, tostarp aizbēršanu ar nebīstamiem būvniecības un ēku nojaukšanas atkritumiem, izņemot dabā sastopamus materiālus.</w:t>
      </w:r>
    </w:p>
  </w:footnote>
  <w:footnote w:id="27">
    <w:p w:rsidR="0013332F" w:rsidRDefault="008E6590">
      <w:pPr>
        <w:pStyle w:val="FootnoteText"/>
      </w:pPr>
      <w:r>
        <w:rPr>
          <w:rStyle w:val="FootnoteReference"/>
        </w:rPr>
        <w:footnoteRef/>
      </w:r>
      <w:r>
        <w:t xml:space="preserve"> Atgūšanas operācija, kurā piemērotus atkri</w:t>
      </w:r>
      <w:r>
        <w:t>tumus izmanto izrakto zonu aizbēršanai vai inženiertehniskām vajadzībām ainavu veidošanā.</w:t>
      </w:r>
    </w:p>
  </w:footnote>
  <w:footnote w:id="28">
    <w:p w:rsidR="0013332F" w:rsidRDefault="008E6590">
      <w:pPr>
        <w:pStyle w:val="FootnoteText"/>
      </w:pPr>
      <w:r>
        <w:rPr>
          <w:rStyle w:val="FootnoteReference"/>
        </w:rPr>
        <w:footnoteRef/>
      </w:r>
      <w:r>
        <w:t xml:space="preserve"> T. i., atkalizmantošanas un reciklēšanas darbības. Aprites ekonomiku var veicināt arī iznomāšanas un līzinga darbības, taču pagaidām tās nav iekļautas, jo pašreizēj</w:t>
      </w:r>
      <w:r>
        <w:t>ā statistika nespēj pietiekami detalizēti atšķirt informāciju par darbībām, kas nepārprotami veicina aprites ekonomiku, no tām, kuras to neveicina. Papildu informāciju skatīt Komisijas dienestu darba dokumentā.</w:t>
      </w:r>
    </w:p>
  </w:footnote>
  <w:footnote w:id="29">
    <w:p w:rsidR="0013332F" w:rsidRDefault="008E6590">
      <w:pPr>
        <w:pStyle w:val="FootnoteText"/>
      </w:pPr>
      <w:r>
        <w:rPr>
          <w:rStyle w:val="FootnoteReference"/>
        </w:rPr>
        <w:footnoteRef/>
      </w:r>
      <w:r>
        <w:t xml:space="preserve"> </w:t>
      </w:r>
      <w:hyperlink r:id="rId17">
        <w:r>
          <w:rPr>
            <w:rStyle w:val="Hyperlink"/>
          </w:rPr>
          <w:t>http://ec.europa.eu/eurostat/web/circular-economy</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2F" w:rsidRDefault="00133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868"/>
    <w:multiLevelType w:val="hybridMultilevel"/>
    <w:tmpl w:val="0250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0119D5"/>
    <w:multiLevelType w:val="hybridMultilevel"/>
    <w:tmpl w:val="882810D6"/>
    <w:lvl w:ilvl="0" w:tplc="640A2BD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D17B9D"/>
    <w:multiLevelType w:val="hybridMultilevel"/>
    <w:tmpl w:val="064CD4BA"/>
    <w:lvl w:ilvl="0" w:tplc="4BA2E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nus Gislev">
    <w15:presenceInfo w15:providerId="None" w15:userId="Magnus Gisl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A860E7-BAEC-4E6C-9B3A-53E8C2F66B6A"/>
    <w:docVar w:name="LW_COVERPAGE_TYPE" w:val="1"/>
    <w:docVar w:name="LW_CROSSREFERENCE" w:val="{SWD(2018) 17 final}"/>
    <w:docVar w:name="LW_DocType" w:val="NORMAL"/>
    <w:docVar w:name="LW_EMISSION" w:val="16.1.2018"/>
    <w:docVar w:name="LW_EMISSION_ISODATE" w:val="2018-01-16"/>
    <w:docVar w:name="LW_EMISSION_LOCATION" w:val="STR"/>
    <w:docVar w:name="LW_EMISSION_PREFIX" w:val="Strasbūrā,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8)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ar aprites ekonomikas uzraudz\u299?bas sist\u275?mu"/>
    <w:docVar w:name="LW_TYPE.DOC.CP" w:val="KOMISIJAS PAZI\u325?OJUMS EIROPAS PARLAMENTAM, PADOMEI, EIROPAS EKONOMIKAS UN SOCI\u256?LO LIETU KOMITEJAI UN RE\u290?IONU KOMITEJAI"/>
    <w:docVar w:name="LW_TYPE.DOC.CP.USERTEXT" w:val="&lt;EMPTY&gt;"/>
    <w:docVar w:name="Stamp" w:val="\\dossiers.dgt.cec.eu.int\dossiers\ENV\ENV-2017-00787\ENV-2017-00787-00-00-EN-REV-00.201710201550353413389.DOCX"/>
  </w:docVars>
  <w:rsids>
    <w:rsidRoot w:val="0013332F"/>
    <w:rsid w:val="0013332F"/>
    <w:rsid w:val="008E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1"/>
      </w:numPr>
      <w:spacing w:after="120"/>
      <w:ind w:left="425" w:hanging="357"/>
      <w:contextualSpacing w:val="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style>
  <w:style w:type="paragraph" w:styleId="FootnoteText">
    <w:name w:val="footnote text"/>
    <w:aliases w:val="footnote,Footnote text,fn,Schriftart: 9 pt,Schriftart: 10 pt,Schriftart: 8 pt,WB-Fußnotentext,Footnote Text_EP-LCA,Text_EP-LCA,Char5,Text,Reference,Fußnote,Footnote Text Char Char,Footnote Text Char Char Char Char,Footnote Text1,o,Fußn,f"/>
    <w:basedOn w:val="Normal"/>
    <w:uiPriority w:val="99"/>
    <w:unhideWhenUsed/>
    <w:qFormat/>
    <w:pPr>
      <w:spacing w:after="0" w:line="240" w:lineRule="auto"/>
    </w:pPr>
    <w:rPr>
      <w:sz w:val="20"/>
      <w:szCs w:val="20"/>
    </w:rPr>
  </w:style>
  <w:style w:type="character" w:customStyle="1" w:styleId="FootnoteTextChar">
    <w:name w:val="Footnote Text Char"/>
    <w:aliases w:val="footnote Char,Footnote text Char,fn Char,Schriftart: 9 pt Char,Schriftart: 10 pt Char,Schriftart: 8 pt Char,WB-Fußnotentext Char,Footnote Text_EP-LCA Char,Text_EP-LCA Char,Char5 Char,Text Char,Reference Char,Fußnote Char,o Char,f Char"/>
    <w:basedOn w:val="DefaultParagraphFont"/>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number,no...,(Footnote Reference),Footnote Reference_EP-LCA"/>
    <w:basedOn w:val="DefaultParagraphFont"/>
    <w:unhideWhenUsed/>
    <w:rPr>
      <w:vertAlign w:val="superscript"/>
    </w:rPr>
  </w:style>
  <w:style w:type="paragraph" w:customStyle="1" w:styleId="Figurecaption">
    <w:name w:val="Figure caption"/>
    <w:basedOn w:val="Normal"/>
    <w:link w:val="FigurecaptionChar"/>
    <w:qFormat/>
    <w:pPr>
      <w:spacing w:after="120"/>
    </w:pPr>
    <w:rPr>
      <w:rFonts w:cs="Arial"/>
      <w:b/>
      <w:sz w:val="20"/>
      <w:szCs w:val="20"/>
    </w:rPr>
  </w:style>
  <w:style w:type="character" w:customStyle="1" w:styleId="FigurecaptionChar">
    <w:name w:val="Figure caption Char"/>
    <w:basedOn w:val="DefaultParagraphFont"/>
    <w:link w:val="Figurecaption"/>
    <w:rPr>
      <w:rFonts w:cs="Arial"/>
      <w:b/>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pPr>
      <w:widowControl w:val="0"/>
      <w:autoSpaceDE w:val="0"/>
      <w:autoSpaceDN w:val="0"/>
      <w:adjustRightInd w:val="0"/>
      <w:spacing w:after="113" w:line="236" w:lineRule="atLeast"/>
      <w:jc w:val="both"/>
      <w:textAlignment w:val="center"/>
    </w:pPr>
    <w:rPr>
      <w:rFonts w:ascii="Arial" w:eastAsia="Cambria" w:hAnsi="Arial" w:cs="Times-Roman"/>
      <w:color w:val="000000"/>
      <w:sz w:val="19"/>
      <w:szCs w:val="16"/>
    </w:rPr>
  </w:style>
  <w:style w:type="character" w:customStyle="1" w:styleId="BodyChar">
    <w:name w:val="Body Char"/>
    <w:link w:val="Body"/>
    <w:rPr>
      <w:rFonts w:ascii="Arial" w:eastAsia="Cambria" w:hAnsi="Arial" w:cs="Times-Roman"/>
      <w:color w:val="000000"/>
      <w:sz w:val="19"/>
      <w:szCs w:val="16"/>
      <w:lang w:eastAsia="lv-LV"/>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1Char"/>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1"/>
      </w:numPr>
      <w:spacing w:after="120"/>
      <w:ind w:left="425" w:hanging="357"/>
      <w:contextualSpacing w:val="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style>
  <w:style w:type="paragraph" w:styleId="FootnoteText">
    <w:name w:val="footnote text"/>
    <w:aliases w:val="footnote,Footnote text,fn,Schriftart: 9 pt,Schriftart: 10 pt,Schriftart: 8 pt,WB-Fußnotentext,Footnote Text_EP-LCA,Text_EP-LCA,Char5,Text,Reference,Fußnote,Footnote Text Char Char,Footnote Text Char Char Char Char,Footnote Text1,o,Fußn,f"/>
    <w:basedOn w:val="Normal"/>
    <w:uiPriority w:val="99"/>
    <w:unhideWhenUsed/>
    <w:qFormat/>
    <w:pPr>
      <w:spacing w:after="0" w:line="240" w:lineRule="auto"/>
    </w:pPr>
    <w:rPr>
      <w:sz w:val="20"/>
      <w:szCs w:val="20"/>
    </w:rPr>
  </w:style>
  <w:style w:type="character" w:customStyle="1" w:styleId="FootnoteTextChar">
    <w:name w:val="Footnote Text Char"/>
    <w:aliases w:val="footnote Char,Footnote text Char,fn Char,Schriftart: 9 pt Char,Schriftart: 10 pt Char,Schriftart: 8 pt Char,WB-Fußnotentext Char,Footnote Text_EP-LCA Char,Text_EP-LCA Char,Char5 Char,Text Char,Reference Char,Fußnote Char,o Char,f Char"/>
    <w:basedOn w:val="DefaultParagraphFont"/>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number,no...,(Footnote Reference),Footnote Reference_EP-LCA"/>
    <w:basedOn w:val="DefaultParagraphFont"/>
    <w:unhideWhenUsed/>
    <w:rPr>
      <w:vertAlign w:val="superscript"/>
    </w:rPr>
  </w:style>
  <w:style w:type="paragraph" w:customStyle="1" w:styleId="Figurecaption">
    <w:name w:val="Figure caption"/>
    <w:basedOn w:val="Normal"/>
    <w:link w:val="FigurecaptionChar"/>
    <w:qFormat/>
    <w:pPr>
      <w:spacing w:after="120"/>
    </w:pPr>
    <w:rPr>
      <w:rFonts w:cs="Arial"/>
      <w:b/>
      <w:sz w:val="20"/>
      <w:szCs w:val="20"/>
    </w:rPr>
  </w:style>
  <w:style w:type="character" w:customStyle="1" w:styleId="FigurecaptionChar">
    <w:name w:val="Figure caption Char"/>
    <w:basedOn w:val="DefaultParagraphFont"/>
    <w:link w:val="Figurecaption"/>
    <w:rPr>
      <w:rFonts w:cs="Arial"/>
      <w:b/>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pPr>
      <w:widowControl w:val="0"/>
      <w:autoSpaceDE w:val="0"/>
      <w:autoSpaceDN w:val="0"/>
      <w:adjustRightInd w:val="0"/>
      <w:spacing w:after="113" w:line="236" w:lineRule="atLeast"/>
      <w:jc w:val="both"/>
      <w:textAlignment w:val="center"/>
    </w:pPr>
    <w:rPr>
      <w:rFonts w:ascii="Arial" w:eastAsia="Cambria" w:hAnsi="Arial" w:cs="Times-Roman"/>
      <w:color w:val="000000"/>
      <w:sz w:val="19"/>
      <w:szCs w:val="16"/>
    </w:rPr>
  </w:style>
  <w:style w:type="character" w:customStyle="1" w:styleId="BodyChar">
    <w:name w:val="Body Char"/>
    <w:link w:val="Body"/>
    <w:rPr>
      <w:rFonts w:ascii="Arial" w:eastAsia="Cambria" w:hAnsi="Arial" w:cs="Times-Roman"/>
      <w:color w:val="000000"/>
      <w:sz w:val="19"/>
      <w:szCs w:val="16"/>
      <w:lang w:eastAsia="lv-LV"/>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1Char"/>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6489">
      <w:bodyDiv w:val="1"/>
      <w:marLeft w:val="0"/>
      <w:marRight w:val="0"/>
      <w:marTop w:val="0"/>
      <w:marBottom w:val="0"/>
      <w:divBdr>
        <w:top w:val="none" w:sz="0" w:space="0" w:color="auto"/>
        <w:left w:val="none" w:sz="0" w:space="0" w:color="auto"/>
        <w:bottom w:val="none" w:sz="0" w:space="0" w:color="auto"/>
        <w:right w:val="none" w:sz="0" w:space="0" w:color="auto"/>
      </w:divBdr>
    </w:div>
    <w:div w:id="17234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expert/index.cfm?do=groupDetail.groupDetail&amp;groupID=2673" TargetMode="External"/><Relationship Id="rId13" Type="http://schemas.openxmlformats.org/officeDocument/2006/relationships/hyperlink" Target="http://rmis.jrc.ec.europa.eu/" TargetMode="External"/><Relationship Id="rId3" Type="http://schemas.openxmlformats.org/officeDocument/2006/relationships/hyperlink" Target="http://www.europarl.europa.eu/oeil/popups/ficheprocedure.do?lang=en&amp;reference=2014/2208(INI)" TargetMode="External"/><Relationship Id="rId7" Type="http://schemas.openxmlformats.org/officeDocument/2006/relationships/hyperlink" Target="https://ec.europa.eu/info/law/better-regulation/initiatives/ares-2017-1830357_en" TargetMode="External"/><Relationship Id="rId12" Type="http://schemas.openxmlformats.org/officeDocument/2006/relationships/hyperlink" Target="http://eur-lex.europa.eu/legal-content/LV/TXT/?uri=CELEX:52015PC0596" TargetMode="External"/><Relationship Id="rId17" Type="http://schemas.openxmlformats.org/officeDocument/2006/relationships/hyperlink" Target="http://ec.europa.eu/eurostat/web/circular-economy" TargetMode="External"/><Relationship Id="rId2" Type="http://schemas.openxmlformats.org/officeDocument/2006/relationships/hyperlink" Target="http://www.consilium.europa.eu/en/press/press-releases/2016/06/20/envi-conclusions-circular-economy/pdf" TargetMode="External"/><Relationship Id="rId16" Type="http://schemas.openxmlformats.org/officeDocument/2006/relationships/hyperlink" Target="http://eur-lex.europa.eu/legal-content/LV/TXT/?uri=CELEX:52015PC0596" TargetMode="External"/><Relationship Id="rId1" Type="http://schemas.openxmlformats.org/officeDocument/2006/relationships/hyperlink" Target="https://ec.europa.eu/info/strategy/international-strategies/global-topics/sustainable-development-goals/eu-approach-sustainable-development_lv" TargetMode="External"/><Relationship Id="rId6" Type="http://schemas.openxmlformats.org/officeDocument/2006/relationships/hyperlink" Target="http://ec.europa.eu/eurostat/web/circular-economy" TargetMode="External"/><Relationship Id="rId11" Type="http://schemas.openxmlformats.org/officeDocument/2006/relationships/hyperlink" Target="http://ec.europa.eu/transparency/regexpert/index.cfm?do=groupDetail.groupDetail&amp;groupID=1353" TargetMode="External"/><Relationship Id="rId5" Type="http://schemas.openxmlformats.org/officeDocument/2006/relationships/hyperlink" Target="https://publications.europa.eu/en/publication-detail/-/publication/1ee65e21-9ac4-11e6-868c-01aa75ed71a1" TargetMode="External"/><Relationship Id="rId15" Type="http://schemas.openxmlformats.org/officeDocument/2006/relationships/hyperlink" Target="https://ec.europa.eu/food/safety/food_waste/eu_actions_en" TargetMode="External"/><Relationship Id="rId10" Type="http://schemas.openxmlformats.org/officeDocument/2006/relationships/hyperlink" Target="http://ec.europa.eu/transparency/regexpert/index.cfm?do=groupDetail.groupDetail&amp;groupID=2812" TargetMode="External"/><Relationship Id="rId4" Type="http://schemas.openxmlformats.org/officeDocument/2006/relationships/hyperlink" Target="http://ec.europa.eu/environment/resource_efficiency/targets_indicators/scoreboard/index_en.htm" TargetMode="External"/><Relationship Id="rId9" Type="http://schemas.openxmlformats.org/officeDocument/2006/relationships/hyperlink" Target="http://ec.europa.eu/transparency/regexpert/index.cfm?do=groupDetail.groupDetail&amp;groupID=470" TargetMode="External"/><Relationship Id="rId14" Type="http://schemas.openxmlformats.org/officeDocument/2006/relationships/hyperlink" Target="http://ec.europa.eu/environment/gpp/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AEA9-52E2-4208-8DA6-180BFF2D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2379</Words>
  <Characters>15854</Characters>
  <Application>Microsoft Office Word</Application>
  <DocSecurity>0</DocSecurity>
  <Lines>132</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2018-01-08T15:21:00Z</cp:lastPrinted>
  <dcterms:created xsi:type="dcterms:W3CDTF">2018-01-12T15:01:00Z</dcterms:created>
  <dcterms:modified xsi:type="dcterms:W3CDTF">2018-01-19T09:54:00Z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