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835" w:rsidRDefault="00BF45FD">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F130AF0-71FE-4847-956F-9C64D9D06C50" style="width:451pt;height:375pt">
            <v:imagedata r:id="rId9" o:title=""/>
          </v:shape>
        </w:pict>
      </w:r>
    </w:p>
    <w:bookmarkEnd w:id="0"/>
    <w:p w:rsidR="005B5835" w:rsidRDefault="005B5835">
      <w:pPr>
        <w:rPr>
          <w:noProof/>
        </w:rPr>
        <w:sectPr w:rsidR="005B5835">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rsidR="005B5835" w:rsidRDefault="00BF45FD">
      <w:pPr>
        <w:spacing w:before="360" w:after="0" w:line="240" w:lineRule="auto"/>
        <w:jc w:val="center"/>
        <w:rPr>
          <w:rFonts w:ascii="Times New Roman" w:eastAsia="Times New Roman" w:hAnsi="Times New Roman"/>
          <w:b/>
          <w:noProof/>
          <w:sz w:val="24"/>
          <w:szCs w:val="24"/>
        </w:rPr>
      </w:pPr>
      <w:r>
        <w:rPr>
          <w:rFonts w:ascii="Times New Roman" w:hAnsi="Times New Roman"/>
          <w:b/>
          <w:noProof/>
          <w:sz w:val="24"/>
        </w:rPr>
        <w:lastRenderedPageBreak/>
        <w:t>KOMISSION TIEDONANTO EUROOPAN PARLAMENTILLE, NEUVOSTOLLE, EUROOPAN TALOUS- JA SOSIAALIKOMITEALLE JA ALUEIDEN KOMITEALLE</w:t>
      </w:r>
    </w:p>
    <w:p w:rsidR="005B5835" w:rsidRDefault="00BF45FD">
      <w:pPr>
        <w:spacing w:before="360" w:after="360" w:line="240" w:lineRule="auto"/>
        <w:jc w:val="center"/>
        <w:rPr>
          <w:rFonts w:ascii="Times New Roman" w:eastAsia="Times New Roman" w:hAnsi="Times New Roman"/>
          <w:b/>
          <w:noProof/>
          <w:sz w:val="24"/>
          <w:szCs w:val="24"/>
        </w:rPr>
      </w:pPr>
      <w:r>
        <w:rPr>
          <w:rFonts w:ascii="Times New Roman" w:hAnsi="Times New Roman"/>
          <w:b/>
          <w:noProof/>
          <w:sz w:val="24"/>
        </w:rPr>
        <w:t xml:space="preserve">kiertotalouspaketin </w:t>
      </w:r>
      <w:r>
        <w:rPr>
          <w:rFonts w:ascii="Times New Roman" w:hAnsi="Times New Roman"/>
          <w:b/>
          <w:noProof/>
          <w:sz w:val="24"/>
        </w:rPr>
        <w:t>täytäntöönpanosta:</w:t>
      </w:r>
    </w:p>
    <w:p w:rsidR="005B5835" w:rsidRDefault="00BF45FD">
      <w:pPr>
        <w:spacing w:before="360" w:after="360" w:line="240" w:lineRule="auto"/>
        <w:jc w:val="center"/>
        <w:rPr>
          <w:rFonts w:ascii="Times New Roman" w:eastAsia="Times New Roman" w:hAnsi="Times New Roman"/>
          <w:b/>
          <w:noProof/>
          <w:sz w:val="24"/>
          <w:szCs w:val="24"/>
        </w:rPr>
      </w:pPr>
      <w:r>
        <w:rPr>
          <w:rFonts w:ascii="Times New Roman" w:hAnsi="Times New Roman"/>
          <w:b/>
          <w:noProof/>
          <w:sz w:val="24"/>
        </w:rPr>
        <w:t xml:space="preserve">vaihtoehtoja kemikaali-, tuote- ja jätelainsäädännön rajapinnalla yksilöityjen ongelmien ratkaisemiseksi </w:t>
      </w:r>
    </w:p>
    <w:p w:rsidR="005B5835" w:rsidRDefault="00BF45FD">
      <w:pPr>
        <w:spacing w:before="360" w:after="240" w:line="240" w:lineRule="auto"/>
        <w:jc w:val="center"/>
        <w:rPr>
          <w:rFonts w:ascii="Times New Roman" w:eastAsia="Times New Roman" w:hAnsi="Times New Roman"/>
          <w:noProof/>
          <w:sz w:val="24"/>
          <w:szCs w:val="24"/>
        </w:rPr>
      </w:pPr>
      <w:r>
        <w:rPr>
          <w:rFonts w:ascii="Times New Roman" w:hAnsi="Times New Roman"/>
          <w:noProof/>
          <w:sz w:val="24"/>
        </w:rPr>
        <w:t xml:space="preserve"> (ETA:n kannalta merkityksellinen teksti)</w:t>
      </w:r>
    </w:p>
    <w:p w:rsidR="005B5835" w:rsidRDefault="00BF45FD">
      <w:pPr>
        <w:pStyle w:val="ManualHeading1"/>
        <w:rPr>
          <w:noProof/>
        </w:rPr>
      </w:pPr>
      <w:r>
        <w:rPr>
          <w:noProof/>
        </w:rPr>
        <w:t>1.</w:t>
      </w:r>
      <w:r>
        <w:rPr>
          <w:noProof/>
        </w:rPr>
        <w:tab/>
        <w:t>Johdanto</w:t>
      </w:r>
    </w:p>
    <w:p w:rsidR="005B5835" w:rsidRDefault="00BF45FD">
      <w:pPr>
        <w:spacing w:before="120" w:after="120" w:line="240" w:lineRule="auto"/>
        <w:jc w:val="both"/>
        <w:rPr>
          <w:rFonts w:ascii="Times New Roman" w:hAnsi="Times New Roman"/>
          <w:noProof/>
          <w:sz w:val="24"/>
          <w:szCs w:val="24"/>
        </w:rPr>
      </w:pPr>
      <w:r>
        <w:rPr>
          <w:rFonts w:ascii="Times New Roman" w:hAnsi="Times New Roman"/>
          <w:noProof/>
          <w:sz w:val="24"/>
        </w:rPr>
        <w:t xml:space="preserve">Euroopan komissio hyväksyi joulukuussa 2015 kunnianhimoisen </w:t>
      </w:r>
      <w:r>
        <w:rPr>
          <w:rFonts w:ascii="Times New Roman" w:hAnsi="Times New Roman"/>
          <w:noProof/>
          <w:sz w:val="24"/>
        </w:rPr>
        <w:t>kiertotalouspaketin, jotta ​​EU:n yritysten ja kuluttajien olisi helpompi siirtyä entistä vahvempaan kiertotalouteen, jossa resursseja käytetään aiempaa kestävämmin.</w:t>
      </w:r>
    </w:p>
    <w:p w:rsidR="005B5835" w:rsidRDefault="00BF45FD">
      <w:pPr>
        <w:spacing w:before="120" w:after="120" w:line="240" w:lineRule="auto"/>
        <w:jc w:val="both"/>
        <w:rPr>
          <w:rFonts w:ascii="Times New Roman" w:hAnsi="Times New Roman"/>
          <w:noProof/>
          <w:sz w:val="24"/>
          <w:szCs w:val="24"/>
        </w:rPr>
      </w:pPr>
      <w:r>
        <w:rPr>
          <w:rFonts w:ascii="Times New Roman" w:hAnsi="Times New Roman"/>
          <w:noProof/>
          <w:sz w:val="24"/>
        </w:rPr>
        <w:t>Ehdotetuilla toimilla pyritään laittamaan ”kierto kuntoon” tuotteiden koko elinkaaren osal</w:t>
      </w:r>
      <w:r>
        <w:rPr>
          <w:rFonts w:ascii="Times New Roman" w:hAnsi="Times New Roman"/>
          <w:noProof/>
          <w:sz w:val="24"/>
        </w:rPr>
        <w:t xml:space="preserve">ta lisäämällä kierrätystä ja uudelleenkäyttöä sekä taloudellisten hyötyjen että ympäristöhyötyjen saavuttamiseksi. Tavoitteena on maksimoida raaka-aineiden, tuotteiden ja jätteiden arvo ja käyttö ja siten säästää energiaa ja vähentää kasvihuonepäästöjä. </w:t>
      </w:r>
    </w:p>
    <w:p w:rsidR="005B5835" w:rsidRDefault="00BF45FD">
      <w:pPr>
        <w:spacing w:before="120" w:after="120" w:line="240" w:lineRule="auto"/>
        <w:jc w:val="both"/>
        <w:rPr>
          <w:rFonts w:ascii="Times New Roman" w:hAnsi="Times New Roman"/>
          <w:noProof/>
          <w:sz w:val="24"/>
          <w:szCs w:val="24"/>
        </w:rPr>
      </w:pPr>
      <w:r>
        <w:rPr>
          <w:rFonts w:ascii="Times New Roman" w:hAnsi="Times New Roman"/>
          <w:noProof/>
          <w:sz w:val="24"/>
        </w:rPr>
        <w:t>T</w:t>
      </w:r>
      <w:r>
        <w:rPr>
          <w:rFonts w:ascii="Times New Roman" w:hAnsi="Times New Roman"/>
          <w:noProof/>
          <w:sz w:val="24"/>
        </w:rPr>
        <w:t>ietyt kemikaalit voivat vaikeuttaa kierrätystä ja uudelleenkäyttöä.  Jotkin kemikaalit voivat yksinkertaisesti muodostaa teknisiä esteitä kierrättämiselle. Jopa vaaraton aine, jolla on esimerkiksi voimakas tuoksu, voi joissakin tapauksissa estää kierrätety</w:t>
      </w:r>
      <w:r>
        <w:rPr>
          <w:rFonts w:ascii="Times New Roman" w:hAnsi="Times New Roman"/>
          <w:noProof/>
          <w:sz w:val="24"/>
        </w:rPr>
        <w:t>n materiaalin käytön</w:t>
      </w:r>
      <w:r>
        <w:rPr>
          <w:rStyle w:val="FootnoteReference"/>
          <w:rFonts w:ascii="Times New Roman" w:hAnsi="Times New Roman"/>
          <w:noProof/>
          <w:sz w:val="24"/>
        </w:rPr>
        <w:footnoteReference w:id="1"/>
      </w:r>
      <w:r>
        <w:rPr>
          <w:rFonts w:ascii="Times New Roman" w:hAnsi="Times New Roman"/>
          <w:noProof/>
          <w:sz w:val="24"/>
        </w:rPr>
        <w:t>. Jotkin kemikaalit ovat vaarallisia ihmisille tai ympäristölle. Yhä useampia kemikaaleja tunnistetaan vaarallisiksi ja asetetaan rajoitusten tai kieltojen alaisiksi. Tällaisia kemikaaleja voi esiintyä tuotteissa, jotka myytiin ennen r</w:t>
      </w:r>
      <w:r>
        <w:rPr>
          <w:rFonts w:ascii="Times New Roman" w:hAnsi="Times New Roman"/>
          <w:noProof/>
          <w:sz w:val="24"/>
        </w:rPr>
        <w:t>ajoitusten alkamisajankohtaa. Koska joidenkin tällaisia kemikaaleja sisältävien tuotteiden elinkaari on pitkä, kiellettyjä kemikaaleja voi joskus löytyä kierrätysvirroista. Tällaisten aineiden havaitseminen tai poistaminen voi olla kallista, mikä on ongelm</w:t>
      </w:r>
      <w:r>
        <w:rPr>
          <w:rFonts w:ascii="Times New Roman" w:hAnsi="Times New Roman"/>
          <w:noProof/>
          <w:sz w:val="24"/>
        </w:rPr>
        <w:t>allista erityisesti pienille kierrätysyrityksille. Kaikkia näitä erityyppisiä kemikaaleja kutsutaan tässä tiedonannossa ”huolta aiheuttaviksi kemikaaleiksi”.</w:t>
      </w:r>
    </w:p>
    <w:p w:rsidR="005B5835" w:rsidRDefault="00BF45FD">
      <w:pPr>
        <w:spacing w:before="120" w:after="120" w:line="240" w:lineRule="auto"/>
        <w:jc w:val="both"/>
        <w:rPr>
          <w:rFonts w:ascii="Times New Roman" w:hAnsi="Times New Roman"/>
          <w:noProof/>
          <w:sz w:val="24"/>
          <w:szCs w:val="24"/>
        </w:rPr>
      </w:pPr>
      <w:r>
        <w:rPr>
          <w:rFonts w:ascii="Times New Roman" w:hAnsi="Times New Roman"/>
          <w:noProof/>
          <w:sz w:val="24"/>
        </w:rPr>
        <w:t>Tämä tiedonanto ja siihen liittyvä komission yksiköiden valmisteluasiakirja on laadittu eri lainsä</w:t>
      </w:r>
      <w:r>
        <w:rPr>
          <w:rFonts w:ascii="Times New Roman" w:hAnsi="Times New Roman"/>
          <w:noProof/>
          <w:sz w:val="24"/>
        </w:rPr>
        <w:t xml:space="preserve">ädäntöalueiden asiantuntijoiden välisen monialaisen työn tuloksena. Sidosryhmien laaja kohdennettu kuuleminen järjestettiin 12. huhtikuuta − 7. heinäkuuta 2017. Siihen saatiin kannanottoja yli 100 asiantuntijalta. </w:t>
      </w:r>
    </w:p>
    <w:p w:rsidR="005B5835" w:rsidRDefault="00BF45FD">
      <w:pPr>
        <w:spacing w:before="120" w:after="120" w:line="240" w:lineRule="auto"/>
        <w:jc w:val="both"/>
        <w:rPr>
          <w:rFonts w:ascii="Times New Roman" w:hAnsi="Times New Roman"/>
          <w:noProof/>
          <w:sz w:val="24"/>
          <w:szCs w:val="24"/>
        </w:rPr>
      </w:pPr>
      <w:r>
        <w:rPr>
          <w:rFonts w:ascii="Times New Roman" w:hAnsi="Times New Roman"/>
          <w:noProof/>
          <w:sz w:val="24"/>
        </w:rPr>
        <w:t>Tiedonannossa tarkastellaan neljää suurin</w:t>
      </w:r>
      <w:r>
        <w:rPr>
          <w:rFonts w:ascii="Times New Roman" w:hAnsi="Times New Roman"/>
          <w:noProof/>
          <w:sz w:val="24"/>
        </w:rPr>
        <w:t>ta ongelmaa, jotka on yksilöity kemikaaleja, tuotteita ja jätteitä koskevan lainsäädännön rajapinnalla. Erityisesti tarkastellaan, missä määrin säädökset toimivat yhteen ja missä määrin ongelmat haittaavat kiertotalouden kehittymistä. Tältä pohjalta esitet</w:t>
      </w:r>
      <w:r>
        <w:rPr>
          <w:rFonts w:ascii="Times New Roman" w:hAnsi="Times New Roman"/>
          <w:noProof/>
          <w:sz w:val="24"/>
        </w:rPr>
        <w:t>ään keskeisiä kysymyksiä ongelmien mahdollisista ratkaisuista ja ilmoitetaan toimet, jotka komissio käynnistää jo tässä vaiheessa. Liitteenä olevassa komission yksiköiden valmisteluasiakirjassa esitetään yksityiskohtaisempi analyysi oikeudellisista ja tekn</w:t>
      </w:r>
      <w:r>
        <w:rPr>
          <w:rFonts w:ascii="Times New Roman" w:hAnsi="Times New Roman"/>
          <w:noProof/>
          <w:sz w:val="24"/>
        </w:rPr>
        <w:t>isistä haasteista, joista on tarpeen keskustella, ja ehdotetaan vaihtoehtoja näiden haasteiden ratkaisemiseksi.</w:t>
      </w:r>
    </w:p>
    <w:p w:rsidR="005B5835" w:rsidRDefault="00BF45FD">
      <w:pPr>
        <w:pStyle w:val="ManualHeading1"/>
        <w:rPr>
          <w:noProof/>
        </w:rPr>
      </w:pPr>
      <w:r>
        <w:rPr>
          <w:noProof/>
        </w:rPr>
        <w:lastRenderedPageBreak/>
        <w:t>2.</w:t>
      </w:r>
      <w:r>
        <w:rPr>
          <w:noProof/>
        </w:rPr>
        <w:tab/>
        <w:t>päämäärä</w:t>
      </w:r>
    </w:p>
    <w:p w:rsidR="005B5835" w:rsidRDefault="00BF45FD">
      <w:pPr>
        <w:spacing w:before="120" w:after="120" w:line="240" w:lineRule="auto"/>
        <w:jc w:val="both"/>
        <w:rPr>
          <w:rFonts w:ascii="Times New Roman" w:hAnsi="Times New Roman"/>
          <w:noProof/>
          <w:sz w:val="24"/>
          <w:szCs w:val="24"/>
        </w:rPr>
      </w:pPr>
      <w:r>
        <w:rPr>
          <w:rFonts w:ascii="Times New Roman" w:hAnsi="Times New Roman"/>
          <w:noProof/>
          <w:sz w:val="24"/>
        </w:rPr>
        <w:t>Kiertotaloutta koskevassa EU:n toimintasuunnitelmassa mainitaan seuraavat kaksi tavoitetta:</w:t>
      </w:r>
    </w:p>
    <w:p w:rsidR="005B5835" w:rsidRDefault="00BF45FD">
      <w:pPr>
        <w:numPr>
          <w:ilvl w:val="0"/>
          <w:numId w:val="62"/>
        </w:numPr>
        <w:spacing w:before="120" w:after="120" w:line="240" w:lineRule="auto"/>
        <w:jc w:val="both"/>
        <w:rPr>
          <w:rFonts w:ascii="Times New Roman" w:hAnsi="Times New Roman"/>
          <w:noProof/>
          <w:sz w:val="24"/>
          <w:szCs w:val="24"/>
        </w:rPr>
      </w:pPr>
      <w:r>
        <w:rPr>
          <w:rFonts w:ascii="Times New Roman" w:hAnsi="Times New Roman"/>
          <w:noProof/>
          <w:sz w:val="24"/>
        </w:rPr>
        <w:t>mahdollistetaan kierrättäminen ja ediste</w:t>
      </w:r>
      <w:r>
        <w:rPr>
          <w:rFonts w:ascii="Times New Roman" w:hAnsi="Times New Roman"/>
          <w:noProof/>
          <w:sz w:val="24"/>
        </w:rPr>
        <w:t>tään uusioraaka-aineiden laajempaa käyttöönottoa vähentämällä tarpeettomia rasitteita ja helpottamalla uusioraaka-aineiden kuljetuksia kansallisten rajojen yli, jotta uusioraaka-aineilla voidaan käydä vaivattomasti kauppaa kaikkialla EU:ssa ja</w:t>
      </w:r>
    </w:p>
    <w:p w:rsidR="005B5835" w:rsidRDefault="00BF45FD">
      <w:pPr>
        <w:numPr>
          <w:ilvl w:val="0"/>
          <w:numId w:val="62"/>
        </w:numPr>
        <w:spacing w:before="120" w:after="120" w:line="240" w:lineRule="auto"/>
        <w:jc w:val="both"/>
        <w:rPr>
          <w:rFonts w:ascii="Times New Roman" w:hAnsi="Times New Roman"/>
          <w:noProof/>
          <w:sz w:val="24"/>
          <w:szCs w:val="24"/>
        </w:rPr>
      </w:pPr>
      <w:r>
        <w:rPr>
          <w:rFonts w:ascii="Times New Roman" w:hAnsi="Times New Roman"/>
          <w:noProof/>
          <w:sz w:val="24"/>
        </w:rPr>
        <w:t>korvataan hu</w:t>
      </w:r>
      <w:r>
        <w:rPr>
          <w:rFonts w:ascii="Times New Roman" w:hAnsi="Times New Roman"/>
          <w:noProof/>
          <w:sz w:val="24"/>
        </w:rPr>
        <w:t xml:space="preserve">olta aiheuttavat kemikaalit ja, jos se ei ole mahdollista, vähennetään niiden esiintymistä ja parannetaan niiden seurantaa. </w:t>
      </w:r>
    </w:p>
    <w:p w:rsidR="005B5835" w:rsidRDefault="00BF45FD">
      <w:pPr>
        <w:spacing w:before="120" w:after="120" w:line="240" w:lineRule="auto"/>
        <w:jc w:val="both"/>
        <w:rPr>
          <w:rFonts w:ascii="Times New Roman" w:hAnsi="Times New Roman"/>
          <w:noProof/>
          <w:sz w:val="24"/>
          <w:szCs w:val="24"/>
        </w:rPr>
      </w:pPr>
      <w:r>
        <w:rPr>
          <w:rFonts w:ascii="Times New Roman" w:hAnsi="Times New Roman"/>
          <w:noProof/>
          <w:sz w:val="24"/>
        </w:rPr>
        <w:t xml:space="preserve">Näitä kahta tavoitetta, joista toinen on jätepoliittinen ja toinen kemikaalipoliittinen, on usein pidetty vastakkaisina siten, että toisen politikan alan on väitetty estävän toisen alan tavoitteiden saavuttamisen. </w:t>
      </w:r>
    </w:p>
    <w:p w:rsidR="005B5835" w:rsidRDefault="00BF45FD">
      <w:pPr>
        <w:spacing w:before="120" w:after="120" w:line="240" w:lineRule="auto"/>
        <w:jc w:val="both"/>
        <w:rPr>
          <w:rFonts w:ascii="Times New Roman" w:hAnsi="Times New Roman"/>
          <w:noProof/>
          <w:sz w:val="24"/>
          <w:szCs w:val="24"/>
        </w:rPr>
      </w:pPr>
      <w:r>
        <w:rPr>
          <w:rFonts w:ascii="Times New Roman" w:hAnsi="Times New Roman"/>
          <w:noProof/>
          <w:sz w:val="24"/>
        </w:rPr>
        <w:t>Tämän tiedonannon tarkoituksena on edistä</w:t>
      </w:r>
      <w:r>
        <w:rPr>
          <w:rFonts w:ascii="Times New Roman" w:hAnsi="Times New Roman"/>
          <w:noProof/>
          <w:sz w:val="24"/>
        </w:rPr>
        <w:t>ä laajaa keskustelua unionissa siitä, miten kemikaali-, tuote- ja jätelainsäädännön rajapinnalla yksilöidyt tärkeimmät tekijät voidaan ratkaista tyydyttävällä tavalla. Ratkaisuissa on otettava huomioon se, että tällä politiikan alalla erityisolosuhteilla –</w:t>
      </w:r>
      <w:r>
        <w:rPr>
          <w:rFonts w:ascii="Times New Roman" w:hAnsi="Times New Roman"/>
          <w:noProof/>
          <w:sz w:val="24"/>
        </w:rPr>
        <w:t xml:space="preserve"> usein alueellisilla mutta joskus myös paikallisilla –  on merkittävä rooli. </w:t>
      </w:r>
    </w:p>
    <w:p w:rsidR="005B5835" w:rsidRDefault="00BF45FD">
      <w:pPr>
        <w:spacing w:before="120" w:after="120" w:line="240" w:lineRule="auto"/>
        <w:jc w:val="both"/>
        <w:rPr>
          <w:rFonts w:ascii="Times New Roman" w:hAnsi="Times New Roman"/>
          <w:noProof/>
          <w:sz w:val="24"/>
          <w:szCs w:val="24"/>
        </w:rPr>
      </w:pPr>
      <w:r>
        <w:rPr>
          <w:rFonts w:ascii="Times New Roman" w:hAnsi="Times New Roman"/>
          <w:noProof/>
          <w:sz w:val="24"/>
        </w:rPr>
        <w:t>Ratkaisujen olisi saatava taakseen laaja sidosryhmätuki. Ratkaisut olisi myös toteutettava tarkoituksenmukaisella tasolla. Ongelmiin ei välttämättä tarvitse puuttua EU:n tason to</w:t>
      </w:r>
      <w:r>
        <w:rPr>
          <w:rFonts w:ascii="Times New Roman" w:hAnsi="Times New Roman"/>
          <w:noProof/>
          <w:sz w:val="24"/>
        </w:rPr>
        <w:t xml:space="preserve">imilla, jos kansallisten tai paikallisten ratkaisujen avulla päästään parempiin tuloksiin. </w:t>
      </w:r>
    </w:p>
    <w:p w:rsidR="005B5835" w:rsidRDefault="00BF45FD">
      <w:pPr>
        <w:pStyle w:val="ManualHeading1"/>
        <w:rPr>
          <w:noProof/>
        </w:rPr>
      </w:pPr>
      <w:r>
        <w:rPr>
          <w:noProof/>
        </w:rPr>
        <w:t>3.</w:t>
      </w:r>
      <w:r>
        <w:rPr>
          <w:noProof/>
        </w:rPr>
        <w:tab/>
        <w:t>Yksilöidyt neljä ongelmaa</w:t>
      </w:r>
    </w:p>
    <w:p w:rsidR="005B5835" w:rsidRDefault="00BF45FD">
      <w:pPr>
        <w:spacing w:before="120" w:after="120" w:line="240" w:lineRule="auto"/>
        <w:jc w:val="both"/>
        <w:rPr>
          <w:rFonts w:ascii="Times New Roman" w:hAnsi="Times New Roman"/>
          <w:noProof/>
          <w:sz w:val="24"/>
          <w:szCs w:val="24"/>
        </w:rPr>
      </w:pPr>
      <w:r>
        <w:rPr>
          <w:rFonts w:ascii="Times New Roman" w:hAnsi="Times New Roman"/>
          <w:noProof/>
          <w:sz w:val="24"/>
        </w:rPr>
        <w:t>Avoimilla kilpailukykyisillä EU:n markkinoilla yritykset käyttävät tuotteissaan materiaaleja, joiden ne katsovat soveltuvan parhaiten o</w:t>
      </w:r>
      <w:r>
        <w:rPr>
          <w:rFonts w:ascii="Times New Roman" w:hAnsi="Times New Roman"/>
          <w:noProof/>
          <w:sz w:val="24"/>
        </w:rPr>
        <w:t>miin tarpeisiinsa. Kun jäte on käsitelty palautettavaksi markkinoille, siitä tulee hyödynnettyä materiaalia, joka kilpailee suoraan perusraaka-aineiden kanssa. Näin ollen minkä tahansa hyödynnetyn materiaalin kilpailuasema markkinoilla on vahvimmillaan sil</w:t>
      </w:r>
      <w:r>
        <w:rPr>
          <w:rFonts w:ascii="Times New Roman" w:hAnsi="Times New Roman"/>
          <w:noProof/>
          <w:sz w:val="24"/>
        </w:rPr>
        <w:t xml:space="preserve">loin, kun se suorituskyvyltään ja laadultaan muistuttaa mahdollisimman pitkälle perusraaka-ainetta. Tällaisella hyödynnetyllä materiaalilla on aiempaa enemmän käyttötarkoituksia. </w:t>
      </w:r>
    </w:p>
    <w:p w:rsidR="005B5835" w:rsidRDefault="00BF45FD">
      <w:pPr>
        <w:spacing w:before="120" w:after="120" w:line="240" w:lineRule="auto"/>
        <w:jc w:val="both"/>
        <w:rPr>
          <w:rFonts w:ascii="Times New Roman" w:hAnsi="Times New Roman"/>
          <w:noProof/>
          <w:sz w:val="24"/>
          <w:szCs w:val="24"/>
        </w:rPr>
      </w:pPr>
      <w:r>
        <w:rPr>
          <w:rFonts w:ascii="Times New Roman" w:hAnsi="Times New Roman"/>
          <w:noProof/>
          <w:sz w:val="24"/>
        </w:rPr>
        <w:t>Huolta aiheuttavia aineita sisältäviä hyödynnettyjä materiaaleja saatetaan j</w:t>
      </w:r>
      <w:r>
        <w:rPr>
          <w:rFonts w:ascii="Times New Roman" w:hAnsi="Times New Roman"/>
          <w:noProof/>
          <w:sz w:val="24"/>
        </w:rPr>
        <w:t>ättää käyttämättä, koska niiden käyttö voisi yksinkertaisesti vahingoittaa niitä sisältävän tuotteen tuotekuvaa. Lisäksi tällaisten materiaalien uudelleenkäyttö voi olla kiellettyä joissakin tapauksissa, esimerkiksi elintarvikepakkausmateriaalien tuotannos</w:t>
      </w:r>
      <w:r>
        <w:rPr>
          <w:rFonts w:ascii="Times New Roman" w:hAnsi="Times New Roman"/>
          <w:noProof/>
          <w:sz w:val="24"/>
        </w:rPr>
        <w:t>sa.</w:t>
      </w:r>
    </w:p>
    <w:p w:rsidR="005B5835" w:rsidRDefault="00BF45FD">
      <w:pPr>
        <w:spacing w:before="120" w:after="120" w:line="240" w:lineRule="auto"/>
        <w:jc w:val="both"/>
        <w:rPr>
          <w:rFonts w:ascii="Times New Roman" w:hAnsi="Times New Roman"/>
          <w:noProof/>
          <w:sz w:val="24"/>
          <w:szCs w:val="24"/>
        </w:rPr>
      </w:pPr>
      <w:r>
        <w:rPr>
          <w:rFonts w:ascii="Times New Roman" w:hAnsi="Times New Roman"/>
          <w:noProof/>
          <w:sz w:val="24"/>
        </w:rPr>
        <w:t>Jätehuoltoon, kemikaaleihin ja tuotteisiin sovellettavia EU:n sääntöjä on nyt tarkasteltu perusteellisesti, jotta voidaan antaa panos kierrätyksen maksimoimiseen ja perusraaka-aineiden käytön minimoimiseen unionissa. Tarkastelussa havaittiin, että näid</w:t>
      </w:r>
      <w:r>
        <w:rPr>
          <w:rFonts w:ascii="Times New Roman" w:hAnsi="Times New Roman"/>
          <w:noProof/>
          <w:sz w:val="24"/>
        </w:rPr>
        <w:t xml:space="preserve">en sääntöjen välisellä rajapinnalla ilmenee neljä suurta ongelmaa. </w:t>
      </w:r>
    </w:p>
    <w:p w:rsidR="005B5835" w:rsidRDefault="005B5835">
      <w:pPr>
        <w:spacing w:before="120" w:after="120" w:line="240" w:lineRule="auto"/>
        <w:jc w:val="both"/>
        <w:rPr>
          <w:rFonts w:ascii="Times New Roman" w:hAnsi="Times New Roman"/>
          <w:noProof/>
          <w:sz w:val="24"/>
          <w:szCs w:val="24"/>
        </w:rPr>
      </w:pPr>
    </w:p>
    <w:p w:rsidR="005B5835" w:rsidRDefault="00BF45FD">
      <w:pPr>
        <w:pStyle w:val="ManualHeading2"/>
        <w:rPr>
          <w:noProof/>
        </w:rPr>
      </w:pPr>
      <w:r>
        <w:rPr>
          <w:noProof/>
        </w:rPr>
        <w:t>3.1.</w:t>
      </w:r>
      <w:r>
        <w:rPr>
          <w:noProof/>
        </w:rPr>
        <w:tab/>
        <w:t>Tietoja huolta aiheuttavien aineiden esiintymisestä ei ole niiden yritysten saatavilla, jotka käsittelevät jätettä ja valmistelevat sitä hyödyntämistä varten</w:t>
      </w:r>
    </w:p>
    <w:p w:rsidR="005B5835" w:rsidRDefault="00BF45FD">
      <w:pPr>
        <w:spacing w:before="120" w:after="120" w:line="240" w:lineRule="auto"/>
        <w:jc w:val="both"/>
        <w:rPr>
          <w:rFonts w:ascii="Times New Roman" w:hAnsi="Times New Roman"/>
          <w:noProof/>
          <w:sz w:val="24"/>
          <w:szCs w:val="24"/>
        </w:rPr>
      </w:pPr>
      <w:r>
        <w:rPr>
          <w:rFonts w:ascii="Times New Roman" w:hAnsi="Times New Roman"/>
          <w:noProof/>
          <w:sz w:val="24"/>
        </w:rPr>
        <w:t>Jäte koostuu usein monen</w:t>
      </w:r>
      <w:r>
        <w:rPr>
          <w:rFonts w:ascii="Times New Roman" w:hAnsi="Times New Roman"/>
          <w:noProof/>
          <w:sz w:val="24"/>
        </w:rPr>
        <w:t>laisista tuotteista, jotka on tuotettu eri ajankohtina ja jotka ovat erilaisten tuotestandardien mukaisia. Jätteenkäsittely-yrityksillä ei useinkaan ole käytettävissään tietoja käsittelemiensä käytöstä poistettujen tuotteiden koostumuksesta: tietoja joko e</w:t>
      </w:r>
      <w:r>
        <w:rPr>
          <w:rFonts w:ascii="Times New Roman" w:hAnsi="Times New Roman"/>
          <w:noProof/>
          <w:sz w:val="24"/>
        </w:rPr>
        <w:t xml:space="preserve">i ole lainkaan tai, jos niitä on, ne eivät ole saatavilla sillä hetkellä, kun tuotteesta </w:t>
      </w:r>
      <w:r>
        <w:rPr>
          <w:rFonts w:ascii="Times New Roman" w:hAnsi="Times New Roman"/>
          <w:noProof/>
          <w:sz w:val="24"/>
        </w:rPr>
        <w:lastRenderedPageBreak/>
        <w:t xml:space="preserve">tulee jätettä. Lisäksi materiaalit voivat altistua tahattomalle kontaminaatiolle elinkaarensa aikana.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5B5835">
        <w:tc>
          <w:tcPr>
            <w:tcW w:w="9242" w:type="dxa"/>
            <w:shd w:val="clear" w:color="auto" w:fill="auto"/>
          </w:tcPr>
          <w:p w:rsidR="005B5835" w:rsidRDefault="00BF45FD">
            <w:pPr>
              <w:spacing w:before="120" w:after="120" w:line="240" w:lineRule="auto"/>
              <w:jc w:val="both"/>
              <w:rPr>
                <w:rFonts w:ascii="Times New Roman" w:hAnsi="Times New Roman"/>
                <w:noProof/>
                <w:sz w:val="24"/>
              </w:rPr>
            </w:pPr>
            <w:r>
              <w:rPr>
                <w:rFonts w:ascii="Times New Roman" w:hAnsi="Times New Roman"/>
                <w:noProof/>
                <w:sz w:val="24"/>
                <w:u w:val="single"/>
              </w:rPr>
              <w:t>Esimerkki:</w:t>
            </w:r>
            <w:r>
              <w:rPr>
                <w:rFonts w:ascii="Times New Roman" w:hAnsi="Times New Roman"/>
                <w:noProof/>
                <w:sz w:val="24"/>
              </w:rPr>
              <w:t xml:space="preserve"> </w:t>
            </w:r>
          </w:p>
          <w:p w:rsidR="005B5835" w:rsidRDefault="00BF45FD">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Paperiteollisuus pyrkii pitämään tuotteensa turvalli</w:t>
            </w:r>
            <w:r>
              <w:rPr>
                <w:rFonts w:ascii="Times New Roman" w:hAnsi="Times New Roman"/>
                <w:noProof/>
                <w:sz w:val="24"/>
              </w:rPr>
              <w:t>sina ja helposti kierrätettävinä. Kun paperinjalostajat käyttävät paperia painotuotteiden valmistuksessa, siihen voidaan lisätä musteita ja muita materiaaleja. Nykyisillä säännöillä ei pystytä varmistamaan, että paperin kierrätyksestä vastaavilla tehtailla</w:t>
            </w:r>
            <w:r>
              <w:rPr>
                <w:rFonts w:ascii="Times New Roman" w:hAnsi="Times New Roman"/>
                <w:noProof/>
                <w:sz w:val="24"/>
              </w:rPr>
              <w:t xml:space="preserve"> on käytössään riittävät tiedot kemikaaleista, joita paperiin on lisätty sen aikaisempien elinkaarien aikana. Tämä rajoittaa paperin kierrättämistä ja lisää kustannuksia, koska on tehtävä ylimääräisiä tarkastuksia ja testejä</w:t>
            </w:r>
            <w:r>
              <w:rPr>
                <w:rStyle w:val="FootnoteReference"/>
                <w:rFonts w:ascii="Times New Roman" w:hAnsi="Times New Roman"/>
                <w:noProof/>
                <w:sz w:val="24"/>
              </w:rPr>
              <w:footnoteReference w:id="2"/>
            </w:r>
            <w:r>
              <w:rPr>
                <w:rFonts w:ascii="Times New Roman" w:hAnsi="Times New Roman"/>
                <w:noProof/>
                <w:sz w:val="24"/>
              </w:rPr>
              <w:t>. Viimeaikaisissa tapauksissa e</w:t>
            </w:r>
            <w:r>
              <w:rPr>
                <w:rFonts w:ascii="Times New Roman" w:hAnsi="Times New Roman"/>
                <w:noProof/>
                <w:sz w:val="24"/>
              </w:rPr>
              <w:t>lintarvikkeista on löytynyt mustejäämiä ja mineraaliöljyjä, jotka ovat peräisin pakkauksista, jotka on valmistettu kierrätyspaperista ja -pahvista</w:t>
            </w:r>
            <w:r>
              <w:rPr>
                <w:rStyle w:val="FootnoteReference"/>
                <w:rFonts w:ascii="Times New Roman" w:hAnsi="Times New Roman"/>
                <w:noProof/>
                <w:sz w:val="24"/>
              </w:rPr>
              <w:footnoteReference w:id="3"/>
            </w:r>
            <w:r>
              <w:rPr>
                <w:rFonts w:ascii="Times New Roman" w:hAnsi="Times New Roman"/>
                <w:noProof/>
                <w:sz w:val="24"/>
              </w:rPr>
              <w:t xml:space="preserve">.   </w:t>
            </w:r>
          </w:p>
          <w:p w:rsidR="005B5835" w:rsidRDefault="00BF45FD">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Myös jäsenvaltioiden tekemät sähkö- ja elektroniikkalaiteromua koskevat selvitykset ovat osoittaneet, et</w:t>
            </w:r>
            <w:r>
              <w:rPr>
                <w:rFonts w:ascii="Times New Roman" w:hAnsi="Times New Roman"/>
                <w:noProof/>
                <w:sz w:val="24"/>
              </w:rPr>
              <w:t>tä  EU:n lainsäädännössä vaaditut tiedot siirretään jätteenkäsittelylaitoksille tai asetetaan niiden saataville vain harvoin</w:t>
            </w:r>
            <w:r>
              <w:rPr>
                <w:rStyle w:val="FootnoteReference"/>
                <w:rFonts w:ascii="Times New Roman" w:hAnsi="Times New Roman"/>
                <w:noProof/>
                <w:sz w:val="24"/>
              </w:rPr>
              <w:footnoteReference w:id="4"/>
            </w:r>
            <w:r>
              <w:rPr>
                <w:rFonts w:ascii="Times New Roman" w:hAnsi="Times New Roman"/>
                <w:noProof/>
                <w:sz w:val="24"/>
              </w:rPr>
              <w:t>.</w:t>
            </w:r>
          </w:p>
        </w:tc>
      </w:tr>
    </w:tbl>
    <w:p w:rsidR="005B5835" w:rsidRDefault="005B5835">
      <w:pPr>
        <w:spacing w:before="120" w:after="120" w:line="240" w:lineRule="auto"/>
        <w:jc w:val="both"/>
        <w:rPr>
          <w:rFonts w:ascii="Times New Roman" w:hAnsi="Times New Roman"/>
          <w:noProof/>
          <w:sz w:val="24"/>
          <w:szCs w:val="24"/>
        </w:rPr>
      </w:pPr>
    </w:p>
    <w:p w:rsidR="005B5835" w:rsidRDefault="00BF45FD">
      <w:pPr>
        <w:pStyle w:val="ManualHeading3"/>
        <w:rPr>
          <w:noProof/>
        </w:rPr>
      </w:pPr>
      <w:r>
        <w:t>3.1.1.</w:t>
      </w:r>
      <w:r>
        <w:tab/>
      </w:r>
      <w:r>
        <w:rPr>
          <w:noProof/>
        </w:rPr>
        <w:t>Tavoite</w:t>
      </w:r>
    </w:p>
    <w:p w:rsidR="005B5835" w:rsidRDefault="00BF45FD">
      <w:pPr>
        <w:spacing w:before="120" w:after="120" w:line="240" w:lineRule="auto"/>
        <w:jc w:val="both"/>
        <w:rPr>
          <w:rFonts w:ascii="Times New Roman" w:hAnsi="Times New Roman"/>
          <w:noProof/>
          <w:sz w:val="24"/>
          <w:szCs w:val="24"/>
        </w:rPr>
      </w:pPr>
      <w:r>
        <w:rPr>
          <w:rFonts w:ascii="Times New Roman" w:hAnsi="Times New Roman"/>
          <w:noProof/>
          <w:sz w:val="24"/>
        </w:rPr>
        <w:t xml:space="preserve">On varmistettava, että asianmukaiset tiedot tuotteiden sisältämistä huolta aiheuttavista aineista ovat kaikkien </w:t>
      </w:r>
      <w:r>
        <w:rPr>
          <w:rFonts w:ascii="Times New Roman" w:hAnsi="Times New Roman"/>
          <w:noProof/>
          <w:sz w:val="24"/>
        </w:rPr>
        <w:t>toimijoiden saatavilla toimitusketjussa ja että ne saatetaan myös jätehuollon palveluntarjoajien saataville. Näin voidaan edistää myrkyttömiä materiaalikiertoja ja parantaa kemikaalien riskienhallintaa korjaamisen ja muunlaisen uudelleenkäytön yhteydessä s</w:t>
      </w:r>
      <w:r>
        <w:rPr>
          <w:rFonts w:ascii="Times New Roman" w:hAnsi="Times New Roman"/>
          <w:noProof/>
          <w:sz w:val="24"/>
        </w:rPr>
        <w:t>ekä jätteen hyödyntämisessä.</w:t>
      </w:r>
    </w:p>
    <w:p w:rsidR="00BF45FD" w:rsidRPr="00BF45FD" w:rsidRDefault="00BF45FD" w:rsidP="00BF45FD">
      <w:pPr>
        <w:pStyle w:val="ListParagraph"/>
        <w:keepNext/>
        <w:numPr>
          <w:ilvl w:val="0"/>
          <w:numId w:val="9"/>
        </w:numPr>
        <w:spacing w:before="360" w:after="120" w:line="240" w:lineRule="auto"/>
        <w:jc w:val="both"/>
        <w:outlineLvl w:val="0"/>
        <w:rPr>
          <w:rFonts w:ascii="Times New Roman" w:eastAsia="Times New Roman" w:hAnsi="Times New Roman"/>
          <w:b/>
          <w:bCs/>
          <w:smallCaps/>
          <w:noProof/>
          <w:vanish/>
          <w:sz w:val="24"/>
          <w:szCs w:val="32"/>
        </w:rPr>
      </w:pPr>
    </w:p>
    <w:p w:rsidR="00BF45FD" w:rsidRPr="00BF45FD" w:rsidRDefault="00BF45FD" w:rsidP="00BF45FD">
      <w:pPr>
        <w:pStyle w:val="ListParagraph"/>
        <w:keepNext/>
        <w:numPr>
          <w:ilvl w:val="0"/>
          <w:numId w:val="9"/>
        </w:numPr>
        <w:spacing w:before="360" w:after="120" w:line="240" w:lineRule="auto"/>
        <w:jc w:val="both"/>
        <w:outlineLvl w:val="0"/>
        <w:rPr>
          <w:rFonts w:ascii="Times New Roman" w:eastAsia="Times New Roman" w:hAnsi="Times New Roman"/>
          <w:b/>
          <w:bCs/>
          <w:smallCaps/>
          <w:noProof/>
          <w:vanish/>
          <w:sz w:val="24"/>
          <w:szCs w:val="32"/>
        </w:rPr>
      </w:pPr>
    </w:p>
    <w:p w:rsidR="00BF45FD" w:rsidRPr="00BF45FD" w:rsidRDefault="00BF45FD" w:rsidP="00BF45FD">
      <w:pPr>
        <w:pStyle w:val="ListParagraph"/>
        <w:keepNext/>
        <w:numPr>
          <w:ilvl w:val="0"/>
          <w:numId w:val="9"/>
        </w:numPr>
        <w:spacing w:before="360" w:after="120" w:line="240" w:lineRule="auto"/>
        <w:jc w:val="both"/>
        <w:outlineLvl w:val="0"/>
        <w:rPr>
          <w:rFonts w:ascii="Times New Roman" w:eastAsia="Times New Roman" w:hAnsi="Times New Roman"/>
          <w:b/>
          <w:bCs/>
          <w:smallCaps/>
          <w:noProof/>
          <w:vanish/>
          <w:sz w:val="24"/>
          <w:szCs w:val="32"/>
        </w:rPr>
      </w:pPr>
    </w:p>
    <w:p w:rsidR="00BF45FD" w:rsidRPr="00BF45FD" w:rsidRDefault="00BF45FD" w:rsidP="00BF45FD">
      <w:pPr>
        <w:pStyle w:val="ListParagraph"/>
        <w:keepNext/>
        <w:numPr>
          <w:ilvl w:val="1"/>
          <w:numId w:val="9"/>
        </w:numPr>
        <w:spacing w:before="120" w:after="120" w:line="240" w:lineRule="auto"/>
        <w:jc w:val="both"/>
        <w:outlineLvl w:val="1"/>
        <w:rPr>
          <w:rFonts w:ascii="Times New Roman" w:eastAsia="Times New Roman" w:hAnsi="Times New Roman"/>
          <w:b/>
          <w:bCs/>
          <w:iCs/>
          <w:noProof/>
          <w:vanish/>
          <w:sz w:val="24"/>
          <w:szCs w:val="28"/>
        </w:rPr>
      </w:pPr>
    </w:p>
    <w:p w:rsidR="00BF45FD" w:rsidRPr="00BF45FD" w:rsidRDefault="00BF45FD" w:rsidP="00BF45FD">
      <w:pPr>
        <w:pStyle w:val="ListParagraph"/>
        <w:keepNext/>
        <w:numPr>
          <w:ilvl w:val="2"/>
          <w:numId w:val="9"/>
        </w:numPr>
        <w:spacing w:before="120" w:after="120" w:line="240" w:lineRule="auto"/>
        <w:jc w:val="both"/>
        <w:outlineLvl w:val="2"/>
        <w:rPr>
          <w:rFonts w:ascii="Times New Roman" w:eastAsia="Times New Roman" w:hAnsi="Times New Roman"/>
          <w:bCs/>
          <w:i/>
          <w:noProof/>
          <w:vanish/>
          <w:sz w:val="24"/>
          <w:szCs w:val="26"/>
        </w:rPr>
      </w:pPr>
    </w:p>
    <w:p w:rsidR="005B5835" w:rsidRDefault="00BF45FD" w:rsidP="00BF45FD">
      <w:pPr>
        <w:pStyle w:val="Heading3"/>
        <w:rPr>
          <w:noProof/>
        </w:rPr>
      </w:pPr>
      <w:bookmarkStart w:id="1" w:name="_GoBack"/>
      <w:bookmarkEnd w:id="1"/>
      <w:r>
        <w:rPr>
          <w:noProof/>
        </w:rPr>
        <w:t>Suunnitellut toimet</w:t>
      </w:r>
    </w:p>
    <w:p w:rsidR="005B5835" w:rsidRDefault="00BF45FD">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Tämän kuulemisen ohessa käynnistetään toteutettavuustutkimus näyttöpohjan parantamiseksi. Tutkimus koskee edustavia aloja, ja siinä tarkastellaan sellaisten erilaisten tietojärjestelmien, innovatiivisten seu</w:t>
      </w:r>
      <w:r>
        <w:rPr>
          <w:rFonts w:ascii="Times New Roman" w:hAnsi="Times New Roman"/>
          <w:noProof/>
          <w:sz w:val="24"/>
        </w:rPr>
        <w:t>rantateknologioiden ja strategioiden käyttöä, joiden avulla merkitykselliset tiedot voitaisiin siirtää tuotteen toimitusketjua pitkin aina kierrättäjille saakka. Tutkimuksen odotetaan valmistuvan vuoden 2019 loppuun mennessä. Muita suunniteltuja toimia ova</w:t>
      </w:r>
      <w:r>
        <w:rPr>
          <w:rFonts w:ascii="Times New Roman" w:hAnsi="Times New Roman"/>
          <w:noProof/>
          <w:sz w:val="24"/>
        </w:rPr>
        <w:t>t työmenetelmien kehittäminen sen varmistamiseksi, että maahantuodut tuotteet eivät sisällä sellaisia ​​aineita, joita ei saa käyttää EU:ssa tuotetuissa tuotteissa, sekä yksinkertaistetut menettelyt CMR-aineiden</w:t>
      </w:r>
      <w:r>
        <w:rPr>
          <w:rStyle w:val="FootnoteReference"/>
          <w:rFonts w:ascii="Times New Roman" w:hAnsi="Times New Roman"/>
          <w:noProof/>
          <w:sz w:val="24"/>
        </w:rPr>
        <w:footnoteReference w:id="5"/>
      </w:r>
      <w:r>
        <w:rPr>
          <w:rFonts w:ascii="Times New Roman" w:hAnsi="Times New Roman"/>
          <w:noProof/>
          <w:sz w:val="24"/>
        </w:rPr>
        <w:t xml:space="preserve"> rajoittamiseksi kulutustuotteissa. </w:t>
      </w:r>
    </w:p>
    <w:p w:rsidR="005B5835" w:rsidRDefault="00BF45FD">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5B5835">
        <w:tc>
          <w:tcPr>
            <w:tcW w:w="9242" w:type="dxa"/>
            <w:shd w:val="clear" w:color="auto" w:fill="auto"/>
          </w:tcPr>
          <w:p w:rsidR="005B5835" w:rsidRDefault="00BF45FD">
            <w:pPr>
              <w:spacing w:before="120" w:after="120" w:line="240" w:lineRule="auto"/>
              <w:jc w:val="both"/>
              <w:rPr>
                <w:rFonts w:ascii="Times New Roman" w:hAnsi="Times New Roman"/>
                <w:b/>
                <w:noProof/>
                <w:sz w:val="24"/>
                <w:szCs w:val="24"/>
              </w:rPr>
            </w:pPr>
            <w:r>
              <w:rPr>
                <w:rFonts w:ascii="Times New Roman" w:hAnsi="Times New Roman"/>
                <w:b/>
                <w:noProof/>
                <w:sz w:val="24"/>
              </w:rPr>
              <w:t xml:space="preserve">Kysymykset: </w:t>
            </w:r>
          </w:p>
          <w:p w:rsidR="005B5835" w:rsidRDefault="00BF45FD">
            <w:pPr>
              <w:spacing w:before="120" w:after="120" w:line="240" w:lineRule="auto"/>
              <w:jc w:val="both"/>
              <w:rPr>
                <w:rFonts w:ascii="Times New Roman" w:hAnsi="Times New Roman"/>
                <w:noProof/>
                <w:sz w:val="24"/>
                <w:szCs w:val="24"/>
              </w:rPr>
            </w:pPr>
            <w:r>
              <w:rPr>
                <w:rFonts w:ascii="Times New Roman" w:hAnsi="Times New Roman"/>
                <w:noProof/>
                <w:sz w:val="24"/>
              </w:rPr>
              <w:t xml:space="preserve">Mitä lisäarvoa saadaan siitä, että unionissa otetaan käyttöön pakollinen tietojärjestelmä, jonka kautta jätehuollon ja jätettä hyödyntävät palveluntarjoajat saavat tiedon huolta aiheuttavien kemikaalien esiintymisestä tuotteessa? </w:t>
            </w:r>
          </w:p>
          <w:p w:rsidR="005B5835" w:rsidRDefault="00BF45FD">
            <w:pPr>
              <w:spacing w:before="120" w:after="120" w:line="240" w:lineRule="auto"/>
              <w:jc w:val="both"/>
              <w:rPr>
                <w:rFonts w:ascii="Times New Roman" w:hAnsi="Times New Roman"/>
                <w:noProof/>
                <w:sz w:val="24"/>
                <w:szCs w:val="24"/>
              </w:rPr>
            </w:pPr>
            <w:r>
              <w:rPr>
                <w:rFonts w:ascii="Times New Roman" w:hAnsi="Times New Roman"/>
                <w:noProof/>
                <w:sz w:val="24"/>
              </w:rPr>
              <w:t>Miten unioni</w:t>
            </w:r>
            <w:r>
              <w:rPr>
                <w:rFonts w:ascii="Times New Roman" w:hAnsi="Times New Roman"/>
                <w:noProof/>
                <w:sz w:val="24"/>
              </w:rPr>
              <w:t>in tuoduista tuotteista olisi huolehdittava?</w:t>
            </w:r>
          </w:p>
        </w:tc>
      </w:tr>
    </w:tbl>
    <w:p w:rsidR="005B5835" w:rsidRDefault="00BF45FD">
      <w:pPr>
        <w:pStyle w:val="ManualHeading2"/>
        <w:rPr>
          <w:noProof/>
        </w:rPr>
      </w:pPr>
      <w:r>
        <w:rPr>
          <w:noProof/>
        </w:rPr>
        <w:t>3.2.</w:t>
      </w:r>
      <w:r>
        <w:rPr>
          <w:noProof/>
        </w:rPr>
        <w:tab/>
        <w:t>Jäte voi sisältää aineita, jotka eivät uusissa tuotteissa ole enää sallittuja</w:t>
      </w:r>
    </w:p>
    <w:p w:rsidR="005B5835" w:rsidRDefault="00BF45FD">
      <w:pPr>
        <w:spacing w:before="120" w:after="120" w:line="240" w:lineRule="auto"/>
        <w:jc w:val="both"/>
        <w:rPr>
          <w:rFonts w:ascii="Times New Roman" w:hAnsi="Times New Roman"/>
          <w:noProof/>
          <w:sz w:val="24"/>
          <w:szCs w:val="24"/>
        </w:rPr>
      </w:pPr>
      <w:r>
        <w:rPr>
          <w:rFonts w:ascii="Times New Roman" w:hAnsi="Times New Roman"/>
          <w:noProof/>
          <w:sz w:val="24"/>
        </w:rPr>
        <w:t>Markkinoille tulee jatkuvasti uusia kemikaaleja. Kemikaaleille myös asetetaan kieltoja, jos niihin havaitaan liittyvän riskejä.</w:t>
      </w:r>
      <w:r>
        <w:rPr>
          <w:rFonts w:ascii="Times New Roman" w:hAnsi="Times New Roman"/>
          <w:noProof/>
          <w:sz w:val="24"/>
        </w:rPr>
        <w:t xml:space="preserve"> Tästä seuraa, että lain mukaisesti tuotetut tuotteet voivat sisältää ainetta, joka myöhemmin saatetaan kieltää. Kun tuotteesta tulee jätettä, jota hyödynennetään, hyödynnettyyn materiaaliin saattaa edelleen sisältyä kiellettyä ainetta. Tätä kutsutaan ”tun</w:t>
      </w:r>
      <w:r>
        <w:rPr>
          <w:rFonts w:ascii="Times New Roman" w:hAnsi="Times New Roman"/>
          <w:noProof/>
          <w:sz w:val="24"/>
        </w:rPr>
        <w:t>netusti vaarallisten aineiden” ongelmaksi.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5B5835">
        <w:tc>
          <w:tcPr>
            <w:tcW w:w="9242" w:type="dxa"/>
            <w:shd w:val="clear" w:color="auto" w:fill="auto"/>
          </w:tcPr>
          <w:p w:rsidR="005B5835" w:rsidRDefault="00BF45FD">
            <w:pPr>
              <w:spacing w:before="120" w:after="120" w:line="240" w:lineRule="auto"/>
              <w:jc w:val="both"/>
              <w:rPr>
                <w:rFonts w:ascii="Times New Roman" w:hAnsi="Times New Roman"/>
                <w:noProof/>
                <w:sz w:val="24"/>
              </w:rPr>
            </w:pPr>
            <w:r>
              <w:rPr>
                <w:rFonts w:ascii="Times New Roman" w:hAnsi="Times New Roman"/>
                <w:noProof/>
                <w:sz w:val="24"/>
                <w:u w:val="single"/>
              </w:rPr>
              <w:t>Esimerkkejä</w:t>
            </w:r>
            <w:r>
              <w:rPr>
                <w:rFonts w:ascii="Times New Roman" w:hAnsi="Times New Roman"/>
                <w:noProof/>
                <w:sz w:val="24"/>
              </w:rPr>
              <w:t xml:space="preserve"> tunnetusti vaarallisten aineiden aiheuttamista ongelmista:</w:t>
            </w:r>
          </w:p>
          <w:p w:rsidR="005B5835" w:rsidRDefault="00BF45FD">
            <w:pPr>
              <w:spacing w:before="120" w:after="120" w:line="240" w:lineRule="auto"/>
              <w:jc w:val="both"/>
              <w:rPr>
                <w:rFonts w:ascii="Times New Roman" w:hAnsi="Times New Roman"/>
                <w:noProof/>
                <w:sz w:val="24"/>
              </w:rPr>
            </w:pPr>
            <w:r>
              <w:rPr>
                <w:rFonts w:ascii="Times New Roman" w:hAnsi="Times New Roman"/>
                <w:noProof/>
                <w:sz w:val="24"/>
              </w:rPr>
              <w:t>Kierrätysmuovista valmistettujen tuotteiden, kuten lelujen ja keittiötarvikkeiden, on raportoitu sisältävän tiettyjä bromattuja palonestoainei</w:t>
            </w:r>
            <w:r>
              <w:rPr>
                <w:rFonts w:ascii="Times New Roman" w:hAnsi="Times New Roman"/>
                <w:noProof/>
                <w:sz w:val="24"/>
              </w:rPr>
              <w:t>ta, jotka ovat hitaasti hajoavia, biokertyviä ja myrkyllisiä</w:t>
            </w:r>
            <w:r>
              <w:rPr>
                <w:rStyle w:val="FootnoteReference"/>
                <w:rFonts w:ascii="Times New Roman" w:hAnsi="Times New Roman"/>
                <w:noProof/>
                <w:sz w:val="24"/>
              </w:rPr>
              <w:footnoteReference w:id="6"/>
            </w:r>
            <w:r>
              <w:rPr>
                <w:rFonts w:ascii="Times New Roman" w:hAnsi="Times New Roman"/>
                <w:noProof/>
                <w:sz w:val="24"/>
              </w:rPr>
              <w:t xml:space="preserve">. Tiettyjen alun perin PVC:n pehmentämiseen käytettyjen aineiden käyttö on nykyään säänneltyä. Tämä tarkoittaa sitä, että kierrätettyä PVC:tä, joka sisältää näitä aineita yli sallitun määrän, ei </w:t>
            </w:r>
            <w:r>
              <w:rPr>
                <w:rFonts w:ascii="Times New Roman" w:hAnsi="Times New Roman"/>
                <w:noProof/>
                <w:sz w:val="24"/>
              </w:rPr>
              <w:t xml:space="preserve">saa käyttää tai tuoda markkinoille EU:ssa. </w:t>
            </w:r>
          </w:p>
        </w:tc>
      </w:tr>
    </w:tbl>
    <w:p w:rsidR="005B5835" w:rsidRDefault="00BF45FD">
      <w:pPr>
        <w:pStyle w:val="ManualHeading3"/>
        <w:rPr>
          <w:noProof/>
        </w:rPr>
      </w:pPr>
      <w:r>
        <w:rPr>
          <w:noProof/>
        </w:rPr>
        <w:t>3.1.2.</w:t>
      </w:r>
      <w:r>
        <w:rPr>
          <w:noProof/>
        </w:rPr>
        <w:tab/>
        <w:t>Tavoite</w:t>
      </w:r>
    </w:p>
    <w:p w:rsidR="005B5835" w:rsidRDefault="00BF45FD">
      <w:pPr>
        <w:spacing w:before="120" w:after="120" w:line="240" w:lineRule="auto"/>
        <w:jc w:val="both"/>
        <w:rPr>
          <w:rFonts w:ascii="Times New Roman" w:hAnsi="Times New Roman"/>
          <w:noProof/>
          <w:sz w:val="24"/>
          <w:szCs w:val="24"/>
        </w:rPr>
      </w:pPr>
      <w:r>
        <w:rPr>
          <w:rFonts w:ascii="Times New Roman" w:hAnsi="Times New Roman"/>
          <w:noProof/>
          <w:sz w:val="24"/>
        </w:rPr>
        <w:t>On helpotettava kierrätystä ja parannettava uusioraaka-aineiden laajempaa käyttöönottoa edistämällä myrkyttömiä materiaalikiertoja. Lisäksi on kiinnitettävä enemmän huomiota vaikutuksiin, joita kemikaalirajoituksilla ja erityisesti rajoituksia koskevilla p</w:t>
      </w:r>
      <w:r>
        <w:rPr>
          <w:rFonts w:ascii="Times New Roman" w:hAnsi="Times New Roman"/>
          <w:noProof/>
          <w:sz w:val="24"/>
        </w:rPr>
        <w:t xml:space="preserve">oikkeuksilla on tulevaisuuden kierrätys- ja uudelleenkäyttömahdollisuuksiin. </w:t>
      </w:r>
    </w:p>
    <w:p w:rsidR="005B5835" w:rsidRDefault="00BF45FD">
      <w:pPr>
        <w:pStyle w:val="ManualHeading3"/>
        <w:rPr>
          <w:noProof/>
        </w:rPr>
      </w:pPr>
      <w:r>
        <w:rPr>
          <w:noProof/>
        </w:rPr>
        <w:t>3.2.2.</w:t>
      </w:r>
      <w:r>
        <w:rPr>
          <w:noProof/>
        </w:rPr>
        <w:tab/>
        <w:t>Suunnitellut toimet</w:t>
      </w:r>
    </w:p>
    <w:p w:rsidR="005B5835" w:rsidRDefault="00BF45FD">
      <w:pPr>
        <w:pStyle w:val="Text1"/>
        <w:ind w:left="0"/>
        <w:rPr>
          <w:noProof/>
        </w:rPr>
      </w:pPr>
      <w:r>
        <w:rPr>
          <w:noProof/>
        </w:rPr>
        <w:t xml:space="preserve">Tunnetusti vaaralliset aineet ovat edelleen este kiertotaloudelle. Siksi on kehitettävä erityinen menetelmä, joka helpottaa päätösten tekemistä huolta </w:t>
      </w:r>
      <w:r>
        <w:rPr>
          <w:noProof/>
        </w:rPr>
        <w:t>aiheuttavia aineita sisältävän jätteen kierrätettävyydestä. Menetelmässä on tarkoitus ottaa huomioon materiaalin kierrätyksen kokonaiskustannukset ja -hyödyt verrattuna materiaalin hävittämiseen (mukaan lukien polttaminen ja siitä saatavan energian talteen</w:t>
      </w:r>
      <w:r>
        <w:rPr>
          <w:noProof/>
        </w:rPr>
        <w:t xml:space="preserve">otto). Työn odotetaan valmistuvan vuoden 2019 puoleenväliin mennessä. </w:t>
      </w:r>
    </w:p>
    <w:p w:rsidR="005B5835" w:rsidRDefault="00BF45FD">
      <w:pPr>
        <w:pStyle w:val="Text1"/>
        <w:ind w:left="0"/>
        <w:rPr>
          <w:noProof/>
        </w:rPr>
      </w:pPr>
      <w:r>
        <w:rPr>
          <w:noProof/>
        </w:rPr>
        <w:t>On myös tarpeen laatia suuntaviivoja, jotta huolta aiheuttavien aineiden esiintyminen hyödynnetyissä materiaaleissa otetaan paremmin huomioon asiaan liittyvää riskienhallintaa koskevien</w:t>
      </w:r>
      <w:r>
        <w:rPr>
          <w:noProof/>
        </w:rPr>
        <w:t xml:space="preserve"> ehdotusten valmistelun alkuvaiheessa.</w:t>
      </w:r>
    </w:p>
    <w:p w:rsidR="005B5835" w:rsidRDefault="00BF45FD">
      <w:pPr>
        <w:pStyle w:val="Text1"/>
        <w:ind w:left="0"/>
        <w:rPr>
          <w:noProof/>
        </w:rPr>
      </w:pPr>
      <w:r>
        <w:rPr>
          <w:noProof/>
        </w:rPr>
        <w:t>Lisäksi harkitaan täytäntöönpanolainsäädännön antamista, jotta voidaan valvoa tosiasiassa, miten voimassa olevaa vapautusta REACH-rekisteröinnistä sovelletaan hyödynnettyjen aineiden osalta.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5B5835">
        <w:tc>
          <w:tcPr>
            <w:tcW w:w="9242" w:type="dxa"/>
            <w:shd w:val="clear" w:color="auto" w:fill="auto"/>
          </w:tcPr>
          <w:p w:rsidR="005B5835" w:rsidRDefault="00BF45FD">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 xml:space="preserve">Kysymykset: </w:t>
            </w:r>
          </w:p>
          <w:p w:rsidR="005B5835" w:rsidRDefault="00BF45FD">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Miten voidaan</w:t>
            </w:r>
            <w:r>
              <w:rPr>
                <w:rFonts w:ascii="Times New Roman" w:hAnsi="Times New Roman"/>
                <w:noProof/>
                <w:sz w:val="24"/>
              </w:rPr>
              <w:t xml:space="preserve"> samalla ottaa huomioon ajatus siitä, että jäte on resurssi, jota pitäisi kierrättää, ja varmistaa, että huolta aiheuttavia aineita sisältävää jätettä hyödynnetään ainoastaan sellaisina materiaaleina, joita voidaan käyttää turvallisesti?</w:t>
            </w:r>
          </w:p>
          <w:p w:rsidR="005B5835" w:rsidRDefault="00BF45FD">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Pitäisikö kierräty</w:t>
            </w:r>
            <w:r>
              <w:rPr>
                <w:rFonts w:ascii="Times New Roman" w:hAnsi="Times New Roman"/>
                <w:noProof/>
                <w:sz w:val="24"/>
              </w:rPr>
              <w:t>smateriaaleissa sallia kemikaaleja, joita ei enää sallita perusraaka-aineissa? Jos pitäisi, millä ehdoilla?</w:t>
            </w:r>
          </w:p>
        </w:tc>
      </w:tr>
    </w:tbl>
    <w:p w:rsidR="005B5835" w:rsidRDefault="00BF45FD">
      <w:pPr>
        <w:pStyle w:val="ManualHeading2"/>
        <w:rPr>
          <w:noProof/>
        </w:rPr>
      </w:pPr>
      <w:r>
        <w:rPr>
          <w:noProof/>
        </w:rPr>
        <w:t>3.3.</w:t>
      </w:r>
      <w:r>
        <w:rPr>
          <w:noProof/>
        </w:rPr>
        <w:tab/>
        <w:t>Jätevaiheen päättymistä koskevia EU:n sääntöjä ei ole täysin yhdenmukaistettu, mikä aiheuttaa epävarmuutta siitä, milloin jätteestä tulee uutt</w:t>
      </w:r>
      <w:r>
        <w:rPr>
          <w:noProof/>
        </w:rPr>
        <w:t xml:space="preserve">a materiaalia tai uusi tuote </w:t>
      </w:r>
    </w:p>
    <w:p w:rsidR="005B5835" w:rsidRDefault="00BF45FD">
      <w:pPr>
        <w:spacing w:before="120" w:after="120" w:line="240" w:lineRule="auto"/>
        <w:jc w:val="both"/>
        <w:rPr>
          <w:rFonts w:ascii="Times New Roman" w:hAnsi="Times New Roman"/>
          <w:noProof/>
          <w:sz w:val="24"/>
          <w:szCs w:val="24"/>
        </w:rPr>
      </w:pPr>
      <w:r>
        <w:rPr>
          <w:rFonts w:ascii="Times New Roman" w:hAnsi="Times New Roman"/>
          <w:noProof/>
          <w:sz w:val="24"/>
        </w:rPr>
        <w:t>Säännöt, oikeuskäytäntö ja monivuotinen kokemus kertovat, milloin tuotteesta on tullut jätettä. Jätteeseen sovelletaan EU:n jätelainsäädäntöä. Jätettä koskevat EU:n säännöt ovat tiukkoja, jotta ihmisten terveyttä ja ympäristöä</w:t>
      </w:r>
      <w:r>
        <w:rPr>
          <w:rFonts w:ascii="Times New Roman" w:hAnsi="Times New Roman"/>
          <w:noProof/>
          <w:sz w:val="24"/>
        </w:rPr>
        <w:t xml:space="preserve"> voidaan suojella. Kiertotaloudessa materiaalien olisi oltava jätevaiheessa vain tilapäisesti, koska tavoitteena on, että ne hyödynnetään ja palautetaan talouden kiertoon korvaamaan perusraaka-aineita. Jotta tämä olisi mahdollista, kierrätettyjä materiaale</w:t>
      </w:r>
      <w:r>
        <w:rPr>
          <w:rFonts w:ascii="Times New Roman" w:hAnsi="Times New Roman"/>
          <w:noProof/>
          <w:sz w:val="24"/>
        </w:rPr>
        <w:t xml:space="preserve">ja ei useimmissa tapauksissa enää pitäisi pitää jätteenä. </w:t>
      </w:r>
    </w:p>
    <w:p w:rsidR="005B5835" w:rsidRDefault="00BF45FD">
      <w:pPr>
        <w:spacing w:before="120" w:after="120" w:line="240" w:lineRule="auto"/>
        <w:jc w:val="both"/>
        <w:rPr>
          <w:rFonts w:ascii="Times New Roman" w:hAnsi="Times New Roman"/>
          <w:noProof/>
          <w:sz w:val="24"/>
          <w:szCs w:val="24"/>
        </w:rPr>
      </w:pPr>
      <w:r>
        <w:rPr>
          <w:rFonts w:ascii="Times New Roman" w:hAnsi="Times New Roman"/>
          <w:noProof/>
          <w:sz w:val="24"/>
        </w:rPr>
        <w:t>Jotta jäte voidaan luokitella muuksi kuin jätteeksi, sen on täytettävä tietyt jätevaiheen päättymiselle asetetut perusteet. Joillekin jätevirroille on asetettu tällaisia perusteita EU:n tai jäsenva</w:t>
      </w:r>
      <w:r>
        <w:rPr>
          <w:rFonts w:ascii="Times New Roman" w:hAnsi="Times New Roman"/>
          <w:noProof/>
          <w:sz w:val="24"/>
        </w:rPr>
        <w:t xml:space="preserve">ltion tasolla. Näiden sääntöjen soveltamisalaa ja käyttötapaa ei ole kuitenkaan määritelty. Jätevirtojen, hyödyntämisprosessien ja hyödynnettyjen materiaalien monimutkaisuus tarkoittaa sitä, ettei ole helppoa määritellä jätevaiheen päättymisen perusteita, </w:t>
      </w:r>
      <w:r>
        <w:rPr>
          <w:rFonts w:ascii="Times New Roman" w:hAnsi="Times New Roman"/>
          <w:noProof/>
          <w:sz w:val="24"/>
        </w:rPr>
        <w:t>joita voitaisiin soveltaa jätevirtoihin kauttaaltaan. Jätevaiheen päättymiseen sovellettavien vakiintuneiden perusteiden puuttuessa monia hyödynnettyjä materiaaleja pidetään kaupan ja käytetään oikeudellisesti epävarmoissa olosuhteissa ja ilman toiminnan l</w:t>
      </w:r>
      <w:r>
        <w:rPr>
          <w:rFonts w:ascii="Times New Roman" w:hAnsi="Times New Roman"/>
          <w:noProof/>
          <w:sz w:val="24"/>
        </w:rPr>
        <w:t>äpinäkyvyyttä.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5B5835">
        <w:tc>
          <w:tcPr>
            <w:tcW w:w="9242" w:type="dxa"/>
            <w:shd w:val="clear" w:color="auto" w:fill="auto"/>
          </w:tcPr>
          <w:p w:rsidR="005B5835" w:rsidRDefault="00BF45FD">
            <w:pPr>
              <w:spacing w:before="120" w:after="120" w:line="240" w:lineRule="auto"/>
              <w:jc w:val="both"/>
              <w:rPr>
                <w:rFonts w:ascii="Times New Roman" w:hAnsi="Times New Roman"/>
                <w:noProof/>
                <w:sz w:val="24"/>
              </w:rPr>
            </w:pPr>
            <w:r>
              <w:rPr>
                <w:rFonts w:ascii="Times New Roman" w:hAnsi="Times New Roman"/>
                <w:noProof/>
                <w:sz w:val="24"/>
                <w:u w:val="single"/>
              </w:rPr>
              <w:t>Esimerkki:</w:t>
            </w:r>
            <w:r>
              <w:rPr>
                <w:rFonts w:ascii="Times New Roman" w:hAnsi="Times New Roman"/>
                <w:noProof/>
                <w:sz w:val="24"/>
              </w:rPr>
              <w:t xml:space="preserve"> </w:t>
            </w:r>
          </w:p>
          <w:p w:rsidR="005B5835" w:rsidRDefault="00BF45FD">
            <w:pPr>
              <w:spacing w:before="120" w:after="120" w:line="240" w:lineRule="auto"/>
              <w:jc w:val="both"/>
              <w:rPr>
                <w:rFonts w:ascii="Times New Roman" w:hAnsi="Times New Roman"/>
                <w:noProof/>
                <w:sz w:val="24"/>
                <w:szCs w:val="24"/>
              </w:rPr>
            </w:pPr>
            <w:r>
              <w:rPr>
                <w:rFonts w:ascii="Times New Roman" w:hAnsi="Times New Roman"/>
                <w:noProof/>
                <w:sz w:val="24"/>
              </w:rPr>
              <w:t>Metalli- ja sähköteollisuus ilmoittivat kohdennetun kuulemisen aikana vaikeuksista määritellä jätteen tai tuotteen tila tiettyjen materiaalien osalta. Tällaisia ovat esimerkiksi hiilituhka, kuparikuona tai ferromolybdeenikuona. E</w:t>
            </w:r>
            <w:r>
              <w:rPr>
                <w:rFonts w:ascii="Times New Roman" w:hAnsi="Times New Roman"/>
                <w:noProof/>
                <w:sz w:val="24"/>
              </w:rPr>
              <w:t xml:space="preserve">ri perusteita sovelletaan eri jäsenvaltioissa ja jopa eri alueilla. Tämä aiheuttaa ongelmia näiden materiaalien kuljetuksissa kansallisten rajojen yli ja tekee toisinaan mahdottomaksi hyödyllisten resurssien talteen ottamisen näistä materiaaleista, joista </w:t>
            </w:r>
            <w:r>
              <w:rPr>
                <w:rFonts w:ascii="Times New Roman" w:hAnsi="Times New Roman"/>
                <w:noProof/>
                <w:sz w:val="24"/>
              </w:rPr>
              <w:t>osa on jätettä, jota syntyy miljoonia tonneja vuodessa</w:t>
            </w:r>
            <w:r>
              <w:rPr>
                <w:rStyle w:val="FootnoteReference"/>
                <w:rFonts w:ascii="Times New Roman" w:hAnsi="Times New Roman"/>
                <w:noProof/>
                <w:sz w:val="24"/>
              </w:rPr>
              <w:footnoteReference w:id="7"/>
            </w:r>
            <w:r>
              <w:rPr>
                <w:rFonts w:ascii="Times New Roman" w:hAnsi="Times New Roman"/>
                <w:noProof/>
                <w:sz w:val="24"/>
              </w:rPr>
              <w:t xml:space="preserve">. </w:t>
            </w:r>
          </w:p>
          <w:p w:rsidR="005B5835" w:rsidRDefault="00BF45FD">
            <w:pPr>
              <w:spacing w:before="120" w:after="120" w:line="240" w:lineRule="auto"/>
              <w:jc w:val="both"/>
              <w:rPr>
                <w:rFonts w:ascii="Times New Roman" w:hAnsi="Times New Roman"/>
                <w:noProof/>
                <w:sz w:val="24"/>
                <w:szCs w:val="24"/>
              </w:rPr>
            </w:pPr>
            <w:r>
              <w:rPr>
                <w:rFonts w:ascii="Times New Roman" w:hAnsi="Times New Roman"/>
                <w:noProof/>
                <w:sz w:val="24"/>
              </w:rPr>
              <w:t xml:space="preserve">Epävarmuus siitä, luokitellaanko materiaali jätteeksi vai tuotteeksi, on ongelma myös viranomaisille, joilla on usein vaikeuksia määritellä, sovelletaanko materiaaliin jäte- vai tuotelainsäädäntöä. </w:t>
            </w:r>
            <w:r>
              <w:rPr>
                <w:rFonts w:ascii="Times New Roman" w:hAnsi="Times New Roman"/>
                <w:noProof/>
                <w:sz w:val="24"/>
              </w:rPr>
              <w:t>Näin on esimerkiksi silloin, kun on päätettävä, pitäisikö DEHP:tä sisältävää kierrätettyä PVC:tä pitää yhä jätteenä vai olisiko sitä käsiteltävä tuotteena.</w:t>
            </w:r>
          </w:p>
        </w:tc>
      </w:tr>
    </w:tbl>
    <w:p w:rsidR="005B5835" w:rsidRDefault="00BF45FD">
      <w:pPr>
        <w:pStyle w:val="ManualHeading3"/>
        <w:rPr>
          <w:noProof/>
        </w:rPr>
      </w:pPr>
      <w:r>
        <w:rPr>
          <w:noProof/>
        </w:rPr>
        <w:t>3.3.1.</w:t>
      </w:r>
      <w:r>
        <w:rPr>
          <w:noProof/>
        </w:rPr>
        <w:tab/>
        <w:t>Tavoite</w:t>
      </w:r>
    </w:p>
    <w:p w:rsidR="005B5835" w:rsidRDefault="00BF45FD">
      <w:pPr>
        <w:spacing w:before="120" w:after="120" w:line="240" w:lineRule="auto"/>
        <w:jc w:val="both"/>
        <w:rPr>
          <w:rFonts w:ascii="Times New Roman" w:hAnsi="Times New Roman"/>
          <w:noProof/>
          <w:sz w:val="24"/>
          <w:szCs w:val="24"/>
        </w:rPr>
      </w:pPr>
      <w:r>
        <w:rPr>
          <w:rFonts w:ascii="Times New Roman" w:hAnsi="Times New Roman"/>
          <w:noProof/>
          <w:sz w:val="24"/>
        </w:rPr>
        <w:t xml:space="preserve">Jätevaiheen päättymistä koskevia sääntöjä on voitava tulkinta ja panna täytäntöön yhdenmukaisemmin kaikkialla EU:ssa, jotta hyödynnetyn materiaalin käyttöä EU:ssa voidaan helpottaa edelleen.  </w:t>
      </w:r>
    </w:p>
    <w:p w:rsidR="005B5835" w:rsidRDefault="00BF45FD">
      <w:pPr>
        <w:pStyle w:val="ManualHeading3"/>
        <w:rPr>
          <w:noProof/>
        </w:rPr>
      </w:pPr>
      <w:r>
        <w:rPr>
          <w:noProof/>
        </w:rPr>
        <w:t>3.3.2.</w:t>
      </w:r>
      <w:r>
        <w:rPr>
          <w:noProof/>
        </w:rPr>
        <w:tab/>
        <w:t>Suunnitellut toimet</w:t>
      </w:r>
    </w:p>
    <w:p w:rsidR="005B5835" w:rsidRDefault="00BF45FD">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Komissio helpottaa tiiviimpää yhteis</w:t>
      </w:r>
      <w:r>
        <w:rPr>
          <w:rFonts w:ascii="Times New Roman" w:hAnsi="Times New Roman"/>
          <w:noProof/>
          <w:sz w:val="24"/>
        </w:rPr>
        <w:t>työtä nykyisten kemikaalialan ja jätehuollon asiantuntijaverkostojen välillä ja laatii verkkopohjaisen EU-tietokannan, joka kattaa kaikki kansalliset ja EU:n tasolla hyväksytyt jätevaiheen päättymistä ja sivutuotteita koskevat perusteet. Lisäksi komissio k</w:t>
      </w:r>
      <w:r>
        <w:rPr>
          <w:rFonts w:ascii="Times New Roman" w:hAnsi="Times New Roman"/>
          <w:noProof/>
          <w:sz w:val="24"/>
        </w:rPr>
        <w:t>äynnistää tutkimuksen saadakseen lisää tietoa siitä, millaisia käytäntöjä jäsenvaltiot soveltavat jätevaiheen päättymistä koskevien säännösten täytäntöönpanossa ja valvonnassa. Tietoja on tarkoitus käyttää mahdollisten suuntaviivojen pohjana.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5B5835">
        <w:tc>
          <w:tcPr>
            <w:tcW w:w="9242" w:type="dxa"/>
            <w:shd w:val="clear" w:color="auto" w:fill="auto"/>
          </w:tcPr>
          <w:p w:rsidR="005B5835" w:rsidRDefault="00BF45FD">
            <w:pPr>
              <w:spacing w:before="120" w:after="120" w:line="240" w:lineRule="auto"/>
              <w:jc w:val="both"/>
              <w:rPr>
                <w:rFonts w:ascii="Times New Roman" w:hAnsi="Times New Roman"/>
                <w:noProof/>
                <w:sz w:val="24"/>
                <w:szCs w:val="24"/>
              </w:rPr>
            </w:pPr>
            <w:r>
              <w:rPr>
                <w:rFonts w:ascii="Times New Roman" w:hAnsi="Times New Roman"/>
                <w:noProof/>
                <w:sz w:val="24"/>
              </w:rPr>
              <w:t xml:space="preserve">Kysymys: </w:t>
            </w:r>
          </w:p>
          <w:p w:rsidR="005B5835" w:rsidRDefault="00BF45FD">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Mil</w:t>
            </w:r>
            <w:r>
              <w:rPr>
                <w:rFonts w:ascii="Times New Roman" w:hAnsi="Times New Roman"/>
                <w:noProof/>
                <w:sz w:val="24"/>
              </w:rPr>
              <w:t xml:space="preserve">lä tavoin ja millaisten jätevirtojen osalta jätevaiheen päättymistä koskevien sääntöjen yhdenmukaistamista pitäisi helpottaa? </w:t>
            </w:r>
          </w:p>
        </w:tc>
      </w:tr>
    </w:tbl>
    <w:p w:rsidR="005B5835" w:rsidRDefault="00BF45FD">
      <w:pPr>
        <w:pStyle w:val="ManualHeading2"/>
        <w:rPr>
          <w:noProof/>
        </w:rPr>
      </w:pPr>
      <w:r>
        <w:rPr>
          <w:noProof/>
        </w:rPr>
        <w:t>3.4.</w:t>
      </w:r>
      <w:r>
        <w:rPr>
          <w:noProof/>
        </w:rPr>
        <w:tab/>
        <w:t>Sääntöjä, joiden pohjalta päätetään, mikä jäte ja mitkä kemikaalit ovat vaarallisia, ei ole yhdenmukaistettu asianmukaisest</w:t>
      </w:r>
      <w:r>
        <w:rPr>
          <w:noProof/>
        </w:rPr>
        <w:t>i, mikä vaikuttaa uusioraaka-aineiden käyttöönottoon</w:t>
      </w:r>
    </w:p>
    <w:p w:rsidR="005B5835" w:rsidRDefault="00BF45FD">
      <w:pPr>
        <w:spacing w:before="120" w:after="120" w:line="240" w:lineRule="auto"/>
        <w:jc w:val="both"/>
        <w:rPr>
          <w:rFonts w:ascii="Times New Roman" w:hAnsi="Times New Roman"/>
          <w:noProof/>
          <w:sz w:val="24"/>
          <w:szCs w:val="24"/>
        </w:rPr>
      </w:pPr>
      <w:r>
        <w:rPr>
          <w:rFonts w:ascii="Times New Roman" w:hAnsi="Times New Roman"/>
          <w:noProof/>
          <w:sz w:val="24"/>
        </w:rPr>
        <w:t>Vaarallisten kemikaalien ja tuotteiden tuotantoon ja käyttöön sovelletaan tiukkoja EU:n sääntöjä, jotta työntekijöitä</w:t>
      </w:r>
      <w:r>
        <w:rPr>
          <w:rStyle w:val="FootnoteReference"/>
          <w:rFonts w:ascii="Times New Roman" w:hAnsi="Times New Roman"/>
          <w:noProof/>
          <w:sz w:val="24"/>
        </w:rPr>
        <w:footnoteReference w:id="8"/>
      </w:r>
      <w:r>
        <w:rPr>
          <w:rFonts w:ascii="Times New Roman" w:hAnsi="Times New Roman"/>
          <w:noProof/>
          <w:sz w:val="24"/>
        </w:rPr>
        <w:t>, kansalaisia ja ympäristöä voidaan suojella. Kun kemikaali määritellään vaaralliseks</w:t>
      </w:r>
      <w:r>
        <w:rPr>
          <w:rFonts w:ascii="Times New Roman" w:hAnsi="Times New Roman"/>
          <w:noProof/>
          <w:sz w:val="24"/>
        </w:rPr>
        <w:t xml:space="preserve">i, sille annetaan vastaava luokitus. Tämä velvoittaa toiminnanharjoittajat varmistamaan, että vaarallisia kemikaaleja käsitellään turvallisesti.  </w:t>
      </w:r>
    </w:p>
    <w:p w:rsidR="005B5835" w:rsidRDefault="00BF45FD">
      <w:pPr>
        <w:spacing w:before="120" w:after="120" w:line="240" w:lineRule="auto"/>
        <w:jc w:val="both"/>
        <w:rPr>
          <w:rFonts w:ascii="Times New Roman" w:hAnsi="Times New Roman"/>
          <w:noProof/>
          <w:sz w:val="24"/>
          <w:szCs w:val="24"/>
        </w:rPr>
      </w:pPr>
      <w:r>
        <w:rPr>
          <w:rFonts w:ascii="Times New Roman" w:hAnsi="Times New Roman"/>
          <w:noProof/>
          <w:sz w:val="24"/>
        </w:rPr>
        <w:t>Myös jätehuoltoa säännellään samojen tavoitteiden pohjalta hyväksytyillä EU:n säännöillä: vaarallisia jätteit</w:t>
      </w:r>
      <w:r>
        <w:rPr>
          <w:rFonts w:ascii="Times New Roman" w:hAnsi="Times New Roman"/>
          <w:noProof/>
          <w:sz w:val="24"/>
        </w:rPr>
        <w:t>ä käsitellään vahingoittamatta ympäristöä tai ihmisten terveyttä. Nämä kaksi säännöstöä eivät kuitenkaan ole täysin yhdenmukaisia. Tämä johtaa tilanteisiin, joissa samaa materiaalia, joka sisältää vaarallista ainetta, voidaan pitää joko vaarallisena tai va</w:t>
      </w:r>
      <w:r>
        <w:rPr>
          <w:rFonts w:ascii="Times New Roman" w:hAnsi="Times New Roman"/>
          <w:noProof/>
          <w:sz w:val="24"/>
        </w:rPr>
        <w:t>arattomana riippuen siitä, luokitellaanko se jätteeksi vai tuotteeksi. Tämän epäjohdonmukaisuuden vuoksi ei voida olettaa, että materiaaleista, jotka vaarattoman jätteen hyödyntämisen seurauksena palaavat talouden kiertoon, välttämättä voidaan valmistaa va</w:t>
      </w:r>
      <w:r>
        <w:rPr>
          <w:rFonts w:ascii="Times New Roman" w:hAnsi="Times New Roman"/>
          <w:noProof/>
          <w:sz w:val="24"/>
        </w:rPr>
        <w:t>arattomia tuotteita.</w:t>
      </w:r>
    </w:p>
    <w:p w:rsidR="005B5835" w:rsidRDefault="00BF45FD">
      <w:pPr>
        <w:spacing w:before="120" w:after="120" w:line="240" w:lineRule="auto"/>
        <w:jc w:val="both"/>
        <w:rPr>
          <w:rFonts w:ascii="Times New Roman" w:hAnsi="Times New Roman"/>
          <w:noProof/>
          <w:sz w:val="24"/>
          <w:szCs w:val="24"/>
        </w:rPr>
      </w:pPr>
      <w:r>
        <w:rPr>
          <w:rFonts w:ascii="Times New Roman" w:hAnsi="Times New Roman"/>
          <w:noProof/>
          <w:sz w:val="24"/>
        </w:rPr>
        <w:t>Se, miten jäteluokittelusäännöt pannaan täytäntöön ja miten niiden täytäntöönpanoa valvotaan, vaikuttaa suuresti tuleviin jätehuoltovalintoihin, kuten keräyksen toteutettavuuteen ja taloudelliseen elinkelpoisuuteen, kierrätysmenetelmää</w:t>
      </w:r>
      <w:r>
        <w:rPr>
          <w:rFonts w:ascii="Times New Roman" w:hAnsi="Times New Roman"/>
          <w:noProof/>
          <w:sz w:val="24"/>
        </w:rPr>
        <w:t xml:space="preserve">n tai valintaan kierrätyksen ja loppusijoituksen välillä. Tällaisilla epäjohdonmukaisuuksilla voi olla vaikutusta uusioraaka-aineiden käyttöönottoon.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5B5835">
        <w:tc>
          <w:tcPr>
            <w:tcW w:w="9242" w:type="dxa"/>
            <w:shd w:val="clear" w:color="auto" w:fill="auto"/>
          </w:tcPr>
          <w:p w:rsidR="005B5835" w:rsidRDefault="00BF45FD">
            <w:pPr>
              <w:spacing w:before="120" w:after="120" w:line="240" w:lineRule="auto"/>
              <w:jc w:val="both"/>
              <w:rPr>
                <w:rFonts w:ascii="Times New Roman" w:hAnsi="Times New Roman"/>
                <w:noProof/>
                <w:sz w:val="24"/>
                <w:u w:val="single"/>
              </w:rPr>
            </w:pPr>
            <w:r>
              <w:rPr>
                <w:rFonts w:ascii="Times New Roman" w:hAnsi="Times New Roman"/>
                <w:noProof/>
                <w:sz w:val="24"/>
                <w:u w:val="single"/>
              </w:rPr>
              <w:t xml:space="preserve">Esimerkkejä: </w:t>
            </w:r>
          </w:p>
          <w:p w:rsidR="005B5835" w:rsidRDefault="00BF45FD">
            <w:pPr>
              <w:spacing w:before="120" w:after="120" w:line="240" w:lineRule="auto"/>
              <w:jc w:val="both"/>
              <w:rPr>
                <w:rFonts w:ascii="Times New Roman" w:hAnsi="Times New Roman"/>
                <w:noProof/>
                <w:sz w:val="24"/>
              </w:rPr>
            </w:pPr>
            <w:r>
              <w:rPr>
                <w:rFonts w:ascii="Times New Roman" w:hAnsi="Times New Roman"/>
                <w:noProof/>
                <w:sz w:val="24"/>
              </w:rPr>
              <w:t>Lyijymetalli kuuluu eri luokkiin sen mukaan, pidetäänkö sitä jätteenä vai tuotteena. Rakenn</w:t>
            </w:r>
            <w:r>
              <w:rPr>
                <w:rFonts w:ascii="Times New Roman" w:hAnsi="Times New Roman"/>
                <w:noProof/>
                <w:sz w:val="24"/>
              </w:rPr>
              <w:t>us- ja purkutoiminnasta peräisin oleva lyijymetallijäte luokitellaan vaarattomaksi jätteeksi Euroopan jäteluettelossa, kun taas lyijymetalli tuotteena luokitellaan vaaralliseksi aineeksi kemikaalien luokitusta, pakkaamista ja merkintää koskevassa EU:n lain</w:t>
            </w:r>
            <w:r>
              <w:rPr>
                <w:rFonts w:ascii="Times New Roman" w:hAnsi="Times New Roman"/>
                <w:noProof/>
                <w:sz w:val="24"/>
              </w:rPr>
              <w:t xml:space="preserve">säädännössä (CLP-asetus) sen lisääntymiselle haitallisten vaikutusten vuoksi. </w:t>
            </w:r>
          </w:p>
          <w:p w:rsidR="005B5835" w:rsidRDefault="00BF45FD">
            <w:pPr>
              <w:spacing w:before="120" w:after="120" w:line="240" w:lineRule="auto"/>
              <w:jc w:val="both"/>
              <w:rPr>
                <w:rFonts w:ascii="Times New Roman" w:hAnsi="Times New Roman"/>
                <w:noProof/>
                <w:sz w:val="24"/>
                <w:szCs w:val="24"/>
              </w:rPr>
            </w:pPr>
            <w:r>
              <w:rPr>
                <w:rFonts w:ascii="Times New Roman" w:hAnsi="Times New Roman"/>
                <w:noProof/>
                <w:sz w:val="24"/>
                <w:szCs w:val="24"/>
              </w:rPr>
              <w:t>P</w:t>
            </w:r>
            <w:r>
              <w:rPr>
                <w:rFonts w:ascii="Times New Roman" w:hAnsi="Times New Roman"/>
                <w:noProof/>
                <w:sz w:val="24"/>
              </w:rPr>
              <w:t>ehmitetty PVC sisältää tiettyjä lisäaineita. Jätehuollon toiminnanharjoittajat luokittelevat sen jätteen usein vaarattomaksi, vaikka hyödyntämisen tuloksena syntyvä tuote luoki</w:t>
            </w:r>
            <w:r>
              <w:rPr>
                <w:rFonts w:ascii="Times New Roman" w:hAnsi="Times New Roman"/>
                <w:noProof/>
                <w:sz w:val="24"/>
              </w:rPr>
              <w:t>tellaan CLP-asetuksen nojalla vaarallisten kemiallisten seosten luokkaan.</w:t>
            </w:r>
          </w:p>
        </w:tc>
      </w:tr>
    </w:tbl>
    <w:p w:rsidR="005B5835" w:rsidRDefault="00BF45FD">
      <w:pPr>
        <w:pStyle w:val="ManualHeading3"/>
        <w:rPr>
          <w:noProof/>
        </w:rPr>
      </w:pPr>
      <w:r>
        <w:rPr>
          <w:noProof/>
        </w:rPr>
        <w:t>3.4.1.</w:t>
      </w:r>
      <w:r>
        <w:rPr>
          <w:noProof/>
        </w:rPr>
        <w:tab/>
        <w:t>Tavoite</w:t>
      </w:r>
    </w:p>
    <w:p w:rsidR="005B5835" w:rsidRDefault="00BF45FD">
      <w:pPr>
        <w:spacing w:before="120" w:after="120" w:line="240" w:lineRule="auto"/>
        <w:jc w:val="both"/>
        <w:rPr>
          <w:rFonts w:ascii="Times New Roman" w:hAnsi="Times New Roman"/>
          <w:noProof/>
          <w:sz w:val="24"/>
          <w:szCs w:val="24"/>
        </w:rPr>
      </w:pPr>
      <w:r>
        <w:rPr>
          <w:rFonts w:ascii="Times New Roman" w:hAnsi="Times New Roman"/>
          <w:noProof/>
          <w:sz w:val="24"/>
        </w:rPr>
        <w:t xml:space="preserve">On varmistettava, että kemikaalien ja jätteiden luokittelusääntöjä johdonmukaistetaan. </w:t>
      </w:r>
    </w:p>
    <w:p w:rsidR="005B5835" w:rsidRDefault="00BF45FD">
      <w:pPr>
        <w:pStyle w:val="ManualHeading3"/>
        <w:rPr>
          <w:noProof/>
        </w:rPr>
      </w:pPr>
      <w:r>
        <w:rPr>
          <w:noProof/>
        </w:rPr>
        <w:t>3.4.2.</w:t>
      </w:r>
      <w:r>
        <w:rPr>
          <w:noProof/>
        </w:rPr>
        <w:tab/>
        <w:t>Suunnitellut toimet</w:t>
      </w:r>
    </w:p>
    <w:p w:rsidR="005B5835" w:rsidRDefault="00BF45FD">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 xml:space="preserve">Lähiaikoina julkaistaan jäteluokittelua koskeva </w:t>
      </w:r>
      <w:r>
        <w:rPr>
          <w:rFonts w:ascii="Times New Roman" w:hAnsi="Times New Roman"/>
          <w:noProof/>
          <w:sz w:val="24"/>
        </w:rPr>
        <w:t>ohjeasiakirja, jotta jätealan toiminnanharjoittajien ja toimivaltaisten ​​viranomaisten on helpompi määritellä ja luokitella jäte yhdenmukaisella tavalla. Aikomuksena on myös edistää parhaiden käytäntöjen vaihtoa aineiden arvioimiseen tarkoitetuista testau</w:t>
      </w:r>
      <w:r>
        <w:rPr>
          <w:rFonts w:ascii="Times New Roman" w:hAnsi="Times New Roman"/>
          <w:noProof/>
          <w:sz w:val="24"/>
        </w:rPr>
        <w:t>smenetelmistä vaarallisen ominaisuuden HP 14 (”ympäristölle vaarallinen”) osalta mahdollista yhdenmukaistamista silmällä pitäen.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5B5835">
        <w:tc>
          <w:tcPr>
            <w:tcW w:w="9242" w:type="dxa"/>
            <w:shd w:val="clear" w:color="auto" w:fill="auto"/>
          </w:tcPr>
          <w:p w:rsidR="005B5835" w:rsidRDefault="00BF45FD">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 xml:space="preserve">Kysymys: </w:t>
            </w:r>
          </w:p>
          <w:p w:rsidR="005B5835" w:rsidRDefault="00BF45FD">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Pitäisikö vaaraluokitussääntöjä yhdenmukaistaa edelleen siten, että jätettä pidettäisiin vaarallisena samojen sääntöj</w:t>
            </w:r>
            <w:r>
              <w:rPr>
                <w:rFonts w:ascii="Times New Roman" w:hAnsi="Times New Roman"/>
                <w:noProof/>
                <w:sz w:val="24"/>
              </w:rPr>
              <w:t xml:space="preserve">en perusteella kuin tuotteita? </w:t>
            </w:r>
          </w:p>
        </w:tc>
      </w:tr>
    </w:tbl>
    <w:p w:rsidR="005B5835" w:rsidRDefault="00BF45FD">
      <w:pPr>
        <w:pStyle w:val="ManualHeading1"/>
        <w:rPr>
          <w:noProof/>
        </w:rPr>
      </w:pPr>
      <w:r>
        <w:rPr>
          <w:noProof/>
        </w:rPr>
        <w:t>4.</w:t>
      </w:r>
      <w:r>
        <w:rPr>
          <w:noProof/>
        </w:rPr>
        <w:tab/>
        <w:t>Päätelmät ja jatkotoimet</w:t>
      </w:r>
    </w:p>
    <w:p w:rsidR="005B5835" w:rsidRDefault="00BF45FD">
      <w:pPr>
        <w:spacing w:before="120" w:after="120" w:line="240" w:lineRule="auto"/>
        <w:jc w:val="both"/>
        <w:rPr>
          <w:rFonts w:ascii="Times New Roman" w:hAnsi="Times New Roman"/>
          <w:noProof/>
          <w:sz w:val="24"/>
          <w:szCs w:val="24"/>
        </w:rPr>
      </w:pPr>
      <w:r>
        <w:rPr>
          <w:rFonts w:ascii="Times New Roman" w:hAnsi="Times New Roman"/>
          <w:noProof/>
          <w:sz w:val="24"/>
        </w:rPr>
        <w:t>Edellä mainitut neljä ongelmaa muodostavat merkittäviä esteitä kiertotaloudelle. Saatujen kannanottojen perusteella on selvää, että käytännön toteutus on haasteellista, koska resursseja ja tietoa</w:t>
      </w:r>
      <w:r>
        <w:rPr>
          <w:rFonts w:ascii="Times New Roman" w:hAnsi="Times New Roman"/>
          <w:noProof/>
          <w:sz w:val="24"/>
        </w:rPr>
        <w:t xml:space="preserve"> on saatavilla vähän. Lisäksi eri toimijoiden välisessä koordinoinnissa on puutteita paikallisella, kansallisella ja EU:n tasolla.</w:t>
      </w:r>
    </w:p>
    <w:p w:rsidR="005B5835" w:rsidRDefault="00BF45FD">
      <w:pPr>
        <w:spacing w:before="120" w:after="120" w:line="240" w:lineRule="auto"/>
        <w:jc w:val="both"/>
        <w:rPr>
          <w:rFonts w:ascii="Times New Roman" w:hAnsi="Times New Roman"/>
          <w:noProof/>
          <w:sz w:val="24"/>
          <w:szCs w:val="24"/>
        </w:rPr>
      </w:pPr>
      <w:r>
        <w:rPr>
          <w:rFonts w:ascii="Times New Roman" w:hAnsi="Times New Roman"/>
          <w:noProof/>
          <w:sz w:val="24"/>
        </w:rPr>
        <w:t>Analyysi osoittaa, että haasteita asettavat myös oikeudelliset kysymykset. Pidemmällä aikavälillä on pyrittävä täydelliseen j</w:t>
      </w:r>
      <w:r>
        <w:rPr>
          <w:rFonts w:ascii="Times New Roman" w:hAnsi="Times New Roman"/>
          <w:noProof/>
          <w:sz w:val="24"/>
        </w:rPr>
        <w:t>ohdonmukaisuuteen jäte- ja kemikaalipolitiikan täytäntöönpanolainsäädännössä. Näin voidaan helpommin saavuttaa päämäärä eli se, että materiaalit ovat turvallisia, tarkoitukseensa soveltuvia, kestäviksi ja kierrätettäviksi suunniteltuja ja ympäristöystäväll</w:t>
      </w:r>
      <w:r>
        <w:rPr>
          <w:rFonts w:ascii="Times New Roman" w:hAnsi="Times New Roman"/>
          <w:noProof/>
          <w:sz w:val="24"/>
        </w:rPr>
        <w:t>isiä. Tuotteita suunniteltaessa, valmistettaessa, pidettäessä kaupan ja kierrätettäessä olisi käytettävä mahdollisimman vähän aineita, jotka aiheuttavat huolta. Tämä helpottaisi materiaalien uudelleenkäyttöä niin, että materiaaleista saataisiin mahdollisim</w:t>
      </w:r>
      <w:r>
        <w:rPr>
          <w:rFonts w:ascii="Times New Roman" w:hAnsi="Times New Roman"/>
          <w:noProof/>
          <w:sz w:val="24"/>
        </w:rPr>
        <w:t>man paljon taloudellista ja yhteiskunnallista hyötyä. Samalla on säilytettävä ihmisten terveyden ja ympäristön suojelun korkea taso.</w:t>
      </w:r>
    </w:p>
    <w:p w:rsidR="005B5835" w:rsidRDefault="00BF45FD">
      <w:pPr>
        <w:spacing w:before="120" w:after="120" w:line="240" w:lineRule="auto"/>
        <w:jc w:val="both"/>
        <w:rPr>
          <w:rFonts w:ascii="Times New Roman" w:hAnsi="Times New Roman"/>
          <w:noProof/>
          <w:sz w:val="24"/>
          <w:szCs w:val="24"/>
        </w:rPr>
      </w:pPr>
      <w:r>
        <w:rPr>
          <w:rFonts w:ascii="Times New Roman" w:hAnsi="Times New Roman"/>
          <w:noProof/>
          <w:sz w:val="24"/>
        </w:rPr>
        <w:t xml:space="preserve">Komission yksiköiden valmisteluasiakirjaan sisältyvät toimintavaihtoehdot kattavat sekä välitöntä huomioita vaativat </w:t>
      </w:r>
      <w:r>
        <w:rPr>
          <w:rFonts w:ascii="Times New Roman" w:hAnsi="Times New Roman"/>
          <w:noProof/>
          <w:sz w:val="24"/>
        </w:rPr>
        <w:t>ongelmat että kysymykset, jotka voidaan ratkaista vain ajan myötä. Asiakirjassa ehdotetaan useita ratkaisuvaihtoehtoja kuhunkin ongelmaan. Siinä kehotetaan myös pohtimaan, miten voitaisiin saavuttaa sopiva tasapaino näiden materiaalien kiertoon perustuvast</w:t>
      </w:r>
      <w:r>
        <w:rPr>
          <w:rFonts w:ascii="Times New Roman" w:hAnsi="Times New Roman"/>
          <w:noProof/>
          <w:sz w:val="24"/>
        </w:rPr>
        <w:t>a käytöstä saatavien yleisten pitkän aikavälin hyötyjen ja näissä materiaaleissa esiintyviin aineisiin liittyvien yleisten pitkän aikavälin terveys- ja ympäristökysymysten välillä.</w:t>
      </w:r>
    </w:p>
    <w:p w:rsidR="005B5835" w:rsidRDefault="00BF45FD">
      <w:pPr>
        <w:spacing w:before="120" w:after="120" w:line="240" w:lineRule="auto"/>
        <w:jc w:val="both"/>
        <w:rPr>
          <w:rFonts w:ascii="Times New Roman" w:eastAsia="Times New Roman" w:hAnsi="Times New Roman"/>
          <w:iCs/>
          <w:noProof/>
          <w:sz w:val="24"/>
          <w:szCs w:val="24"/>
        </w:rPr>
      </w:pPr>
      <w:r>
        <w:rPr>
          <w:rFonts w:ascii="Times New Roman" w:hAnsi="Times New Roman"/>
          <w:noProof/>
          <w:sz w:val="24"/>
        </w:rPr>
        <w:t>On poistettava esteet, jotka haittaavat kiertotalouteen siirtymistä unionis</w:t>
      </w:r>
      <w:r>
        <w:rPr>
          <w:rFonts w:ascii="Times New Roman" w:hAnsi="Times New Roman"/>
          <w:noProof/>
          <w:sz w:val="24"/>
        </w:rPr>
        <w:t xml:space="preserve">sa. Käytettävissä olevilla välineillä voidaan karsia joitakin ongelmia, mutta tarvitaan lisää näyttöä ja kannanottoja kaikkialta EU:sta, jotta voidaan varmistua siitä, mikä on paras tapa puuttua tiettyihin laajamittaisiin kysymyksiin. </w:t>
      </w:r>
    </w:p>
    <w:p w:rsidR="005B5835" w:rsidRDefault="00BF45FD">
      <w:pPr>
        <w:spacing w:before="120" w:after="120" w:line="240" w:lineRule="auto"/>
        <w:jc w:val="both"/>
        <w:rPr>
          <w:rFonts w:ascii="Times New Roman" w:eastAsia="Times New Roman" w:hAnsi="Times New Roman"/>
          <w:iCs/>
          <w:noProof/>
          <w:sz w:val="24"/>
          <w:szCs w:val="24"/>
        </w:rPr>
      </w:pPr>
      <w:r>
        <w:rPr>
          <w:rFonts w:ascii="Times New Roman" w:hAnsi="Times New Roman"/>
          <w:noProof/>
          <w:sz w:val="24"/>
        </w:rPr>
        <w:t>Euroopan parlamentti</w:t>
      </w:r>
      <w:r>
        <w:rPr>
          <w:rFonts w:ascii="Times New Roman" w:hAnsi="Times New Roman"/>
          <w:noProof/>
          <w:sz w:val="24"/>
        </w:rPr>
        <w:t>, neuvosto ja alueiden komitea sekä sidosryhmät, joita asia koskee, kutsutaan osallistumaan keskusteluun ja ottamaan kantaa yksilöityihin haasteisiin, jotta voidaan määrittää tapa edetä kohti todellista kiertotaloutta.</w:t>
      </w:r>
    </w:p>
    <w:p w:rsidR="005B5835" w:rsidRDefault="00BF45FD">
      <w:pPr>
        <w:spacing w:before="120" w:after="120" w:line="240" w:lineRule="auto"/>
        <w:jc w:val="both"/>
        <w:rPr>
          <w:rFonts w:ascii="Times New Roman" w:eastAsia="Times New Roman" w:hAnsi="Times New Roman"/>
          <w:iCs/>
          <w:noProof/>
          <w:sz w:val="24"/>
          <w:szCs w:val="24"/>
        </w:rPr>
      </w:pPr>
      <w:r>
        <w:rPr>
          <w:rFonts w:ascii="Times New Roman" w:hAnsi="Times New Roman"/>
          <w:noProof/>
          <w:sz w:val="24"/>
        </w:rPr>
        <w:t xml:space="preserve">Tavoitteena on, että luvatut toimet, </w:t>
      </w:r>
      <w:r>
        <w:rPr>
          <w:rFonts w:ascii="Times New Roman" w:hAnsi="Times New Roman"/>
          <w:noProof/>
          <w:sz w:val="24"/>
        </w:rPr>
        <w:t>joiden tukena on vankkaa näyttöä, ovat jo hyvällä mallilla, kun tämän komission toimikausi loppuu vuonna 2019. Töiden edistymisessä on ensiarvoisen tärkeä asema tutkimuksilla, joita ollaan paraikaa käynnistämässä, ja kuulemisella, johon kaikkia sidosryhmiä</w:t>
      </w:r>
      <w:r>
        <w:rPr>
          <w:rFonts w:ascii="Times New Roman" w:hAnsi="Times New Roman"/>
          <w:noProof/>
          <w:sz w:val="24"/>
        </w:rPr>
        <w:t xml:space="preserve"> pyydetään nyt osallistumaan.  </w:t>
      </w:r>
    </w:p>
    <w:sectPr w:rsidR="005B5835">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835" w:rsidRDefault="00BF45FD">
      <w:pPr>
        <w:spacing w:after="0" w:line="240" w:lineRule="auto"/>
      </w:pPr>
      <w:r>
        <w:separator/>
      </w:r>
    </w:p>
  </w:endnote>
  <w:endnote w:type="continuationSeparator" w:id="0">
    <w:p w:rsidR="005B5835" w:rsidRDefault="00BF4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835" w:rsidRDefault="005B58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835" w:rsidRDefault="00BF45FD">
    <w:pPr>
      <w:pStyle w:val="FooterCoverPage"/>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835" w:rsidRDefault="005B5835">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835" w:rsidRDefault="005B583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835" w:rsidRDefault="00BF45FD">
    <w:pPr>
      <w:pStyle w:val="Footer"/>
      <w:jc w:val="center"/>
    </w:pPr>
    <w:r>
      <w:fldChar w:fldCharType="begin"/>
    </w:r>
    <w:r>
      <w:instrText xml:space="preserve"> PAGE   \* MERGEFORMAT </w:instrText>
    </w:r>
    <w:r>
      <w:fldChar w:fldCharType="separate"/>
    </w:r>
    <w:r>
      <w:rPr>
        <w:noProof/>
      </w:rPr>
      <w:t>5</w:t>
    </w:r>
    <w:r>
      <w:rPr>
        <w:noProof/>
      </w:rPr>
      <w:fldChar w:fldCharType="end"/>
    </w:r>
  </w:p>
  <w:p w:rsidR="005B5835" w:rsidRDefault="005B583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835" w:rsidRDefault="005B58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835" w:rsidRDefault="00BF45FD">
      <w:pPr>
        <w:spacing w:after="0" w:line="240" w:lineRule="auto"/>
      </w:pPr>
      <w:r>
        <w:separator/>
      </w:r>
    </w:p>
  </w:footnote>
  <w:footnote w:type="continuationSeparator" w:id="0">
    <w:p w:rsidR="005B5835" w:rsidRDefault="00BF45FD">
      <w:pPr>
        <w:spacing w:after="0" w:line="240" w:lineRule="auto"/>
      </w:pPr>
      <w:r>
        <w:continuationSeparator/>
      </w:r>
    </w:p>
  </w:footnote>
  <w:footnote w:id="1">
    <w:p w:rsidR="005B5835" w:rsidRDefault="00BF45FD">
      <w:pPr>
        <w:pStyle w:val="FootnoteText"/>
      </w:pPr>
      <w:r>
        <w:rPr>
          <w:rStyle w:val="FootnoteReference"/>
        </w:rPr>
        <w:footnoteRef/>
      </w:r>
      <w:r>
        <w:t xml:space="preserve"> Esimerkiksi silloin, kun hyödynnettyjä materiaaleja on tarkoitus käyttää elintarvikepakkausmateriaaleina.</w:t>
      </w:r>
    </w:p>
  </w:footnote>
  <w:footnote w:id="2">
    <w:p w:rsidR="005B5835" w:rsidRDefault="00BF45FD">
      <w:pPr>
        <w:pStyle w:val="FootnoteText"/>
      </w:pPr>
      <w:r>
        <w:rPr>
          <w:rStyle w:val="FootnoteReference"/>
        </w:rPr>
        <w:footnoteRef/>
      </w:r>
      <w:r>
        <w:t xml:space="preserve"> Lähde: kohdennetussa kuulemisessa saadut eurooppalaisia sellu-, paperi- ja kartonkiyrityksiä edustavan CEPI:n (Confederation of European Paper Industries) tiedot.</w:t>
      </w:r>
    </w:p>
  </w:footnote>
  <w:footnote w:id="3">
    <w:p w:rsidR="005B5835" w:rsidRDefault="00BF45FD">
      <w:pPr>
        <w:pStyle w:val="FootnoteText"/>
      </w:pPr>
      <w:r>
        <w:rPr>
          <w:rStyle w:val="FootnoteReference"/>
        </w:rPr>
        <w:footnoteRef/>
      </w:r>
      <w:r>
        <w:t xml:space="preserve"> Ks. esimerkiksi </w:t>
      </w:r>
      <w:hyperlink r:id="rId1">
        <w:r>
          <w:rPr>
            <w:rStyle w:val="Hyperlink"/>
          </w:rPr>
          <w:t>https://chemicalwatch.com/7210/mineral-oils-health-scare-sparks-food-packaging-debate</w:t>
        </w:r>
      </w:hyperlink>
      <w:r>
        <w:t xml:space="preserve"> tai Euroopan kuluttajaliiton BEUC:n kannanotto </w:t>
      </w:r>
      <w:hyperlink r:id="rId2">
        <w:r>
          <w:rPr>
            <w:rStyle w:val="Hyperlink"/>
          </w:rPr>
          <w:t>https://www.anec.eu/images/Publications/position-papers/Sustainability/ANEC-PT-2017-CEG-017.pdf</w:t>
        </w:r>
      </w:hyperlink>
      <w:r>
        <w:t xml:space="preserve">, s. 5. </w:t>
      </w:r>
    </w:p>
  </w:footnote>
  <w:footnote w:id="4">
    <w:p w:rsidR="005B5835" w:rsidRDefault="00BF45FD">
      <w:pPr>
        <w:pStyle w:val="FootnoteText"/>
        <w:rPr>
          <w:lang w:val="en-GB"/>
        </w:rPr>
      </w:pPr>
      <w:r>
        <w:rPr>
          <w:rStyle w:val="FootnoteReference"/>
        </w:rPr>
        <w:footnoteRef/>
      </w:r>
      <w:r>
        <w:t xml:space="preserve"> Lähde: Ruotsin ympäristönsuojeluvirasto ja Ranska. </w:t>
      </w:r>
      <w:r w:rsidRPr="00BF45FD">
        <w:rPr>
          <w:lang w:val="en-GB"/>
        </w:rPr>
        <w:t>Tutkimukset</w:t>
      </w:r>
      <w:r>
        <w:rPr>
          <w:lang w:val="en-GB"/>
        </w:rPr>
        <w:t>: Goodpoint, ”Information on Hazardous Substances in Waste”, 2016</w:t>
      </w:r>
      <w:r>
        <w:rPr>
          <w:lang w:val="en-GB"/>
        </w:rPr>
        <w:t>; Goodpoint, ”Information Transfer on Hazardous Substances”, 2017.</w:t>
      </w:r>
    </w:p>
  </w:footnote>
  <w:footnote w:id="5">
    <w:p w:rsidR="005B5835" w:rsidRDefault="00BF45FD">
      <w:pPr>
        <w:pStyle w:val="FootnoteText"/>
      </w:pPr>
      <w:r>
        <w:rPr>
          <w:rStyle w:val="FootnoteReference"/>
        </w:rPr>
        <w:footnoteRef/>
      </w:r>
      <w:r>
        <w:t xml:space="preserve"> Aineet, jotka aiheuttavat syöpää tai mutaatioita tai joilla on haitallisia vaikutuksia lisääntymiseen. </w:t>
      </w:r>
    </w:p>
  </w:footnote>
  <w:footnote w:id="6">
    <w:p w:rsidR="005B5835" w:rsidRDefault="00BF45FD">
      <w:pPr>
        <w:pStyle w:val="FootnoteText"/>
      </w:pPr>
      <w:r>
        <w:rPr>
          <w:rStyle w:val="FootnoteReference"/>
        </w:rPr>
        <w:footnoteRef/>
      </w:r>
      <w:r>
        <w:t xml:space="preserve"> Tiedot ovat peräisin useista EEB:n ja BEUC:n toimittamista tutkimuksista. Ks. esi</w:t>
      </w:r>
      <w:r>
        <w:t xml:space="preserve">merkiksi </w:t>
      </w:r>
      <w:hyperlink r:id="rId3">
        <w:r>
          <w:rPr>
            <w:rStyle w:val="Hyperlink"/>
          </w:rPr>
          <w:t>http://eeb.org/publications/81/circular-economy/33789/pops-in-the-circular-economy.pdf</w:t>
        </w:r>
      </w:hyperlink>
      <w:r>
        <w:t xml:space="preserve">, s. 4. </w:t>
      </w:r>
    </w:p>
  </w:footnote>
  <w:footnote w:id="7">
    <w:p w:rsidR="005B5835" w:rsidRDefault="00BF45FD">
      <w:pPr>
        <w:pStyle w:val="FootnoteText"/>
        <w:rPr>
          <w:lang w:val="fr-BE"/>
        </w:rPr>
      </w:pPr>
      <w:r>
        <w:rPr>
          <w:rStyle w:val="FootnoteReference"/>
        </w:rPr>
        <w:footnoteRef/>
      </w:r>
      <w:r>
        <w:rPr>
          <w:lang w:val="fr-BE"/>
        </w:rPr>
        <w:t xml:space="preserve"> Ks. Eurometaux: </w:t>
      </w:r>
      <w:hyperlink r:id="rId4">
        <w:r>
          <w:rPr>
            <w:rStyle w:val="Hyperlink"/>
            <w:lang w:val="fr-BE"/>
          </w:rPr>
          <w:t>https://www.eurometaux.eu/media/1634/eurometaux-response-chemicals-products-waste-interface-stakeholder-c.pdf</w:t>
        </w:r>
      </w:hyperlink>
      <w:r>
        <w:rPr>
          <w:lang w:val="fr-BE"/>
        </w:rPr>
        <w:t xml:space="preserve"> ja Eurelectric: </w:t>
      </w:r>
      <w:hyperlink r:id="rId5">
        <w:r>
          <w:rPr>
            <w:rStyle w:val="Hyperlink"/>
            <w:lang w:val="fr-BE"/>
          </w:rPr>
          <w:t>http://www.eurelectric.org/media/340047/eurelectric-interface_consultation-final_07072017-2017-2430-0001-01-e.pdf</w:t>
        </w:r>
      </w:hyperlink>
      <w:r>
        <w:rPr>
          <w:lang w:val="fr-BE"/>
        </w:rPr>
        <w:t xml:space="preserve"> </w:t>
      </w:r>
    </w:p>
  </w:footnote>
  <w:footnote w:id="8">
    <w:p w:rsidR="005B5835" w:rsidRDefault="00BF45FD">
      <w:pPr>
        <w:pStyle w:val="FootnoteText"/>
      </w:pPr>
      <w:r>
        <w:rPr>
          <w:rStyle w:val="FootnoteReference"/>
        </w:rPr>
        <w:footnoteRef/>
      </w:r>
      <w:r>
        <w:t xml:space="preserve"> </w:t>
      </w:r>
      <w:r>
        <w:rPr>
          <w:sz w:val="16"/>
        </w:rPr>
        <w:t>Direktii</w:t>
      </w:r>
      <w:r>
        <w:rPr>
          <w:sz w:val="16"/>
        </w:rPr>
        <w:t xml:space="preserve">vi 89/391/ETY toimenpiteistä työntekijöiden turvallisuuden ja terveyden parantamisen edistämiseksi työssä, direktiivi 98/24/EY  työntekijöiden terveyden ja turvallisuuden suojelemisesta työpaikalla esiintyviin kemiallisiin tekijöihin liittyviltä riskeiltä </w:t>
      </w:r>
      <w:r>
        <w:rPr>
          <w:sz w:val="16"/>
        </w:rPr>
        <w:t>ja direktiivi 2004/37/EY työntekijöiden suojelemisesta syöpäsairauden vaaraa aiheuttaville tekijöille tai perimän muutoksia aiheuttaville aineille altistumiseen työssä liittyviltä vaaroilta.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835" w:rsidRDefault="005B58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835" w:rsidRDefault="005B5835">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835" w:rsidRDefault="005B5835">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835" w:rsidRDefault="005B583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835" w:rsidRDefault="005B583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835" w:rsidRDefault="005B58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CB60A60"/>
    <w:lvl w:ilvl="0">
      <w:start w:val="1"/>
      <w:numFmt w:val="decimal"/>
      <w:lvlText w:val="%1."/>
      <w:lvlJc w:val="left"/>
      <w:pPr>
        <w:tabs>
          <w:tab w:val="num" w:pos="1492"/>
        </w:tabs>
        <w:ind w:left="1492" w:hanging="360"/>
      </w:pPr>
    </w:lvl>
  </w:abstractNum>
  <w:abstractNum w:abstractNumId="1">
    <w:nsid w:val="FFFFFF7D"/>
    <w:multiLevelType w:val="singleLevel"/>
    <w:tmpl w:val="120A6174"/>
    <w:lvl w:ilvl="0">
      <w:start w:val="1"/>
      <w:numFmt w:val="decimal"/>
      <w:pStyle w:val="ListBullet2"/>
      <w:lvlText w:val="%1."/>
      <w:lvlJc w:val="left"/>
      <w:pPr>
        <w:tabs>
          <w:tab w:val="num" w:pos="1209"/>
        </w:tabs>
        <w:ind w:left="1209" w:hanging="360"/>
      </w:pPr>
      <w:rPr>
        <w:rFonts w:cs="Times New Roman"/>
      </w:rPr>
    </w:lvl>
  </w:abstractNum>
  <w:abstractNum w:abstractNumId="2">
    <w:nsid w:val="FFFFFF7E"/>
    <w:multiLevelType w:val="singleLevel"/>
    <w:tmpl w:val="52D649BE"/>
    <w:lvl w:ilvl="0">
      <w:start w:val="1"/>
      <w:numFmt w:val="decimal"/>
      <w:pStyle w:val="ListBullet"/>
      <w:lvlText w:val="%1."/>
      <w:lvlJc w:val="left"/>
      <w:pPr>
        <w:tabs>
          <w:tab w:val="num" w:pos="926"/>
        </w:tabs>
        <w:ind w:left="926" w:hanging="360"/>
      </w:pPr>
      <w:rPr>
        <w:rFonts w:cs="Times New Roman"/>
      </w:rPr>
    </w:lvl>
  </w:abstractNum>
  <w:abstractNum w:abstractNumId="3">
    <w:nsid w:val="FFFFFF80"/>
    <w:multiLevelType w:val="singleLevel"/>
    <w:tmpl w:val="5EAA11DC"/>
    <w:lvl w:ilvl="0">
      <w:start w:val="1"/>
      <w:numFmt w:val="bullet"/>
      <w:lvlText w:val=""/>
      <w:lvlJc w:val="left"/>
      <w:pPr>
        <w:tabs>
          <w:tab w:val="num" w:pos="1492"/>
        </w:tabs>
        <w:ind w:left="1492" w:hanging="360"/>
      </w:pPr>
      <w:rPr>
        <w:rFonts w:ascii="Symbol" w:hAnsi="Symbol" w:hint="default"/>
      </w:rPr>
    </w:lvl>
  </w:abstractNum>
  <w:abstractNum w:abstractNumId="4">
    <w:nsid w:val="03353EEC"/>
    <w:multiLevelType w:val="hybridMultilevel"/>
    <w:tmpl w:val="83D8741C"/>
    <w:lvl w:ilvl="0" w:tplc="501482D8">
      <w:start w:val="1"/>
      <w:numFmt w:val="upperRoman"/>
      <w:lvlText w:val="Objective %1."/>
      <w:lvlJc w:val="left"/>
      <w:pPr>
        <w:ind w:left="1637" w:hanging="360"/>
      </w:pPr>
      <w:rPr>
        <w:rFonts w:hint="default"/>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5">
    <w:nsid w:val="05694990"/>
    <w:multiLevelType w:val="hybridMultilevel"/>
    <w:tmpl w:val="BBA40E00"/>
    <w:lvl w:ilvl="0" w:tplc="501482D8">
      <w:start w:val="1"/>
      <w:numFmt w:val="upperRoman"/>
      <w:lvlText w:val="Objective %1."/>
      <w:lvlJc w:val="left"/>
      <w:pPr>
        <w:ind w:left="1637" w:hanging="360"/>
      </w:pPr>
      <w:rPr>
        <w:rFonts w:hint="default"/>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6">
    <w:nsid w:val="0C042BB8"/>
    <w:multiLevelType w:val="hybridMultilevel"/>
    <w:tmpl w:val="DB0AAF0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
    <w:nsid w:val="0F212747"/>
    <w:multiLevelType w:val="multilevel"/>
    <w:tmpl w:val="FBD0F488"/>
    <w:name w:val="NumPar22"/>
    <w:lvl w:ilvl="0">
      <w:start w:val="1"/>
      <w:numFmt w:val="decimal"/>
      <w:lvlRestart w:val="0"/>
      <w:pStyle w:val="NumPar1"/>
      <w:lvlText w:val="%1."/>
      <w:lvlJc w:val="left"/>
      <w:pPr>
        <w:tabs>
          <w:tab w:val="num" w:pos="850"/>
        </w:tabs>
        <w:ind w:left="850" w:hanging="850"/>
      </w:pPr>
      <w:rPr>
        <w:rFonts w:cs="Times New Roman" w:hint="default"/>
      </w:rPr>
    </w:lvl>
    <w:lvl w:ilvl="1">
      <w:start w:val="1"/>
      <w:numFmt w:val="decimal"/>
      <w:pStyle w:val="NumPar2"/>
      <w:lvlText w:val="%1.%2."/>
      <w:lvlJc w:val="left"/>
      <w:pPr>
        <w:tabs>
          <w:tab w:val="num" w:pos="850"/>
        </w:tabs>
        <w:ind w:left="850" w:hanging="850"/>
      </w:pPr>
      <w:rPr>
        <w:rFonts w:cs="Times New Roman" w:hint="default"/>
      </w:rPr>
    </w:lvl>
    <w:lvl w:ilvl="2">
      <w:start w:val="1"/>
      <w:numFmt w:val="decimal"/>
      <w:pStyle w:val="NumPar3"/>
      <w:lvlText w:val="%1.%2.%3."/>
      <w:lvlJc w:val="left"/>
      <w:pPr>
        <w:tabs>
          <w:tab w:val="num" w:pos="850"/>
        </w:tabs>
        <w:ind w:left="850" w:hanging="850"/>
      </w:pPr>
      <w:rPr>
        <w:rFonts w:cs="Times New Roman" w:hint="default"/>
      </w:rPr>
    </w:lvl>
    <w:lvl w:ilvl="3">
      <w:start w:val="1"/>
      <w:numFmt w:val="decimal"/>
      <w:pStyle w:val="NumPar4"/>
      <w:lvlText w:val="%1.%2.%3.%4."/>
      <w:lvlJc w:val="left"/>
      <w:pPr>
        <w:tabs>
          <w:tab w:val="num" w:pos="850"/>
        </w:tabs>
        <w:ind w:left="850" w:hanging="85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nsid w:val="149674C4"/>
    <w:multiLevelType w:val="singleLevel"/>
    <w:tmpl w:val="8A2AF054"/>
    <w:name w:val="Tiret 1"/>
    <w:lvl w:ilvl="0">
      <w:start w:val="1"/>
      <w:numFmt w:val="bullet"/>
      <w:lvlRestart w:val="0"/>
      <w:pStyle w:val="Tiret1"/>
      <w:lvlText w:val="–"/>
      <w:lvlJc w:val="left"/>
      <w:pPr>
        <w:tabs>
          <w:tab w:val="num" w:pos="1417"/>
        </w:tabs>
        <w:ind w:left="1417" w:hanging="567"/>
      </w:pPr>
    </w:lvl>
  </w:abstractNum>
  <w:abstractNum w:abstractNumId="9">
    <w:nsid w:val="15592001"/>
    <w:multiLevelType w:val="singleLevel"/>
    <w:tmpl w:val="3C6C7C7E"/>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0">
    <w:nsid w:val="158411A6"/>
    <w:multiLevelType w:val="singleLevel"/>
    <w:tmpl w:val="891A2EB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1">
    <w:nsid w:val="17457808"/>
    <w:multiLevelType w:val="hybridMultilevel"/>
    <w:tmpl w:val="A5F63E90"/>
    <w:lvl w:ilvl="0" w:tplc="91D052FA">
      <w:start w:val="1"/>
      <w:numFmt w:val="upperRoman"/>
      <w:lvlText w:val="Objective %1."/>
      <w:lvlJc w:val="left"/>
      <w:pPr>
        <w:ind w:left="2487" w:hanging="360"/>
      </w:pPr>
      <w:rPr>
        <w:rFonts w:hint="default"/>
        <w:b/>
      </w:rPr>
    </w:lvl>
    <w:lvl w:ilvl="1" w:tplc="08090019" w:tentative="1">
      <w:start w:val="1"/>
      <w:numFmt w:val="lowerLetter"/>
      <w:lvlText w:val="%2."/>
      <w:lvlJc w:val="left"/>
      <w:pPr>
        <w:ind w:left="3066" w:hanging="360"/>
      </w:pPr>
    </w:lvl>
    <w:lvl w:ilvl="2" w:tplc="0809001B" w:tentative="1">
      <w:start w:val="1"/>
      <w:numFmt w:val="lowerRoman"/>
      <w:lvlText w:val="%3."/>
      <w:lvlJc w:val="right"/>
      <w:pPr>
        <w:ind w:left="3786" w:hanging="180"/>
      </w:pPr>
    </w:lvl>
    <w:lvl w:ilvl="3" w:tplc="0809000F" w:tentative="1">
      <w:start w:val="1"/>
      <w:numFmt w:val="decimal"/>
      <w:lvlText w:val="%4."/>
      <w:lvlJc w:val="left"/>
      <w:pPr>
        <w:ind w:left="4506" w:hanging="360"/>
      </w:pPr>
    </w:lvl>
    <w:lvl w:ilvl="4" w:tplc="08090019" w:tentative="1">
      <w:start w:val="1"/>
      <w:numFmt w:val="lowerLetter"/>
      <w:lvlText w:val="%5."/>
      <w:lvlJc w:val="left"/>
      <w:pPr>
        <w:ind w:left="5226" w:hanging="360"/>
      </w:pPr>
    </w:lvl>
    <w:lvl w:ilvl="5" w:tplc="0809001B" w:tentative="1">
      <w:start w:val="1"/>
      <w:numFmt w:val="lowerRoman"/>
      <w:lvlText w:val="%6."/>
      <w:lvlJc w:val="right"/>
      <w:pPr>
        <w:ind w:left="5946" w:hanging="180"/>
      </w:pPr>
    </w:lvl>
    <w:lvl w:ilvl="6" w:tplc="0809000F" w:tentative="1">
      <w:start w:val="1"/>
      <w:numFmt w:val="decimal"/>
      <w:lvlText w:val="%7."/>
      <w:lvlJc w:val="left"/>
      <w:pPr>
        <w:ind w:left="6666" w:hanging="360"/>
      </w:pPr>
    </w:lvl>
    <w:lvl w:ilvl="7" w:tplc="08090019" w:tentative="1">
      <w:start w:val="1"/>
      <w:numFmt w:val="lowerLetter"/>
      <w:lvlText w:val="%8."/>
      <w:lvlJc w:val="left"/>
      <w:pPr>
        <w:ind w:left="7386" w:hanging="360"/>
      </w:pPr>
    </w:lvl>
    <w:lvl w:ilvl="8" w:tplc="0809001B" w:tentative="1">
      <w:start w:val="1"/>
      <w:numFmt w:val="lowerRoman"/>
      <w:lvlText w:val="%9."/>
      <w:lvlJc w:val="right"/>
      <w:pPr>
        <w:ind w:left="8106" w:hanging="180"/>
      </w:pPr>
    </w:lvl>
  </w:abstractNum>
  <w:abstractNum w:abstractNumId="12">
    <w:nsid w:val="179264B1"/>
    <w:multiLevelType w:val="hybridMultilevel"/>
    <w:tmpl w:val="3ADA2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82036BB"/>
    <w:multiLevelType w:val="hybridMultilevel"/>
    <w:tmpl w:val="D4D8F3B6"/>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98827F3"/>
    <w:multiLevelType w:val="hybridMultilevel"/>
    <w:tmpl w:val="B316C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9E233B6"/>
    <w:multiLevelType w:val="hybridMultilevel"/>
    <w:tmpl w:val="A5F63E90"/>
    <w:lvl w:ilvl="0" w:tplc="91D052FA">
      <w:start w:val="1"/>
      <w:numFmt w:val="upperRoman"/>
      <w:lvlText w:val="Objective %1."/>
      <w:lvlJc w:val="left"/>
      <w:pPr>
        <w:ind w:left="2487" w:hanging="360"/>
      </w:pPr>
      <w:rPr>
        <w:rFonts w:hint="default"/>
        <w:b/>
      </w:rPr>
    </w:lvl>
    <w:lvl w:ilvl="1" w:tplc="08090019" w:tentative="1">
      <w:start w:val="1"/>
      <w:numFmt w:val="lowerLetter"/>
      <w:lvlText w:val="%2."/>
      <w:lvlJc w:val="left"/>
      <w:pPr>
        <w:ind w:left="3066" w:hanging="360"/>
      </w:pPr>
    </w:lvl>
    <w:lvl w:ilvl="2" w:tplc="0809001B" w:tentative="1">
      <w:start w:val="1"/>
      <w:numFmt w:val="lowerRoman"/>
      <w:lvlText w:val="%3."/>
      <w:lvlJc w:val="right"/>
      <w:pPr>
        <w:ind w:left="3786" w:hanging="180"/>
      </w:pPr>
    </w:lvl>
    <w:lvl w:ilvl="3" w:tplc="0809000F" w:tentative="1">
      <w:start w:val="1"/>
      <w:numFmt w:val="decimal"/>
      <w:lvlText w:val="%4."/>
      <w:lvlJc w:val="left"/>
      <w:pPr>
        <w:ind w:left="4506" w:hanging="360"/>
      </w:pPr>
    </w:lvl>
    <w:lvl w:ilvl="4" w:tplc="08090019" w:tentative="1">
      <w:start w:val="1"/>
      <w:numFmt w:val="lowerLetter"/>
      <w:lvlText w:val="%5."/>
      <w:lvlJc w:val="left"/>
      <w:pPr>
        <w:ind w:left="5226" w:hanging="360"/>
      </w:pPr>
    </w:lvl>
    <w:lvl w:ilvl="5" w:tplc="0809001B" w:tentative="1">
      <w:start w:val="1"/>
      <w:numFmt w:val="lowerRoman"/>
      <w:lvlText w:val="%6."/>
      <w:lvlJc w:val="right"/>
      <w:pPr>
        <w:ind w:left="5946" w:hanging="180"/>
      </w:pPr>
    </w:lvl>
    <w:lvl w:ilvl="6" w:tplc="0809000F" w:tentative="1">
      <w:start w:val="1"/>
      <w:numFmt w:val="decimal"/>
      <w:lvlText w:val="%7."/>
      <w:lvlJc w:val="left"/>
      <w:pPr>
        <w:ind w:left="6666" w:hanging="360"/>
      </w:pPr>
    </w:lvl>
    <w:lvl w:ilvl="7" w:tplc="08090019" w:tentative="1">
      <w:start w:val="1"/>
      <w:numFmt w:val="lowerLetter"/>
      <w:lvlText w:val="%8."/>
      <w:lvlJc w:val="left"/>
      <w:pPr>
        <w:ind w:left="7386" w:hanging="360"/>
      </w:pPr>
    </w:lvl>
    <w:lvl w:ilvl="8" w:tplc="0809001B" w:tentative="1">
      <w:start w:val="1"/>
      <w:numFmt w:val="lowerRoman"/>
      <w:lvlText w:val="%9."/>
      <w:lvlJc w:val="right"/>
      <w:pPr>
        <w:ind w:left="8106" w:hanging="180"/>
      </w:pPr>
    </w:lvl>
  </w:abstractNum>
  <w:abstractNum w:abstractNumId="16">
    <w:nsid w:val="1B9679CF"/>
    <w:multiLevelType w:val="hybridMultilevel"/>
    <w:tmpl w:val="B4D6F35E"/>
    <w:lvl w:ilvl="0" w:tplc="6D6E99E4">
      <w:numFmt w:val="bullet"/>
      <w:lvlText w:val=""/>
      <w:lvlJc w:val="left"/>
      <w:pPr>
        <w:ind w:left="1202" w:hanging="360"/>
      </w:pPr>
      <w:rPr>
        <w:rFonts w:ascii="Wingdings" w:eastAsia="Calibri" w:hAnsi="Wingdings" w:cs="Times New Roman" w:hint="default"/>
      </w:rPr>
    </w:lvl>
    <w:lvl w:ilvl="1" w:tplc="08090003">
      <w:start w:val="1"/>
      <w:numFmt w:val="bullet"/>
      <w:lvlText w:val="o"/>
      <w:lvlJc w:val="left"/>
      <w:pPr>
        <w:ind w:left="1922" w:hanging="360"/>
      </w:pPr>
      <w:rPr>
        <w:rFonts w:ascii="Courier New" w:hAnsi="Courier New" w:cs="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cs="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cs="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17">
    <w:nsid w:val="1D405D0B"/>
    <w:multiLevelType w:val="hybridMultilevel"/>
    <w:tmpl w:val="4F76D1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05A4522"/>
    <w:multiLevelType w:val="hybridMultilevel"/>
    <w:tmpl w:val="F43C3E5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41162DB"/>
    <w:multiLevelType w:val="singleLevel"/>
    <w:tmpl w:val="B27E1B54"/>
    <w:name w:val="Tiret 2"/>
    <w:lvl w:ilvl="0">
      <w:start w:val="1"/>
      <w:numFmt w:val="bullet"/>
      <w:lvlRestart w:val="0"/>
      <w:pStyle w:val="Tiret2"/>
      <w:lvlText w:val="–"/>
      <w:lvlJc w:val="left"/>
      <w:pPr>
        <w:tabs>
          <w:tab w:val="num" w:pos="1984"/>
        </w:tabs>
        <w:ind w:left="1984" w:hanging="567"/>
      </w:pPr>
    </w:lvl>
  </w:abstractNum>
  <w:abstractNum w:abstractNumId="20">
    <w:nsid w:val="25C11FD4"/>
    <w:multiLevelType w:val="hybridMultilevel"/>
    <w:tmpl w:val="9E0A5F28"/>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Garamond"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Garamond"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Garamond" w:hint="default"/>
      </w:rPr>
    </w:lvl>
    <w:lvl w:ilvl="8" w:tplc="08090005" w:tentative="1">
      <w:start w:val="1"/>
      <w:numFmt w:val="bullet"/>
      <w:lvlText w:val=""/>
      <w:lvlJc w:val="left"/>
      <w:pPr>
        <w:ind w:left="6900" w:hanging="360"/>
      </w:pPr>
      <w:rPr>
        <w:rFonts w:ascii="Wingdings" w:hAnsi="Wingdings" w:hint="default"/>
      </w:rPr>
    </w:lvl>
  </w:abstractNum>
  <w:abstractNum w:abstractNumId="21">
    <w:nsid w:val="25DF0603"/>
    <w:multiLevelType w:val="hybridMultilevel"/>
    <w:tmpl w:val="3E6E5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A2F12C5"/>
    <w:multiLevelType w:val="hybridMultilevel"/>
    <w:tmpl w:val="487E764A"/>
    <w:lvl w:ilvl="0" w:tplc="501482D8">
      <w:start w:val="1"/>
      <w:numFmt w:val="upperRoman"/>
      <w:lvlText w:val="Objective %1."/>
      <w:lvlJc w:val="left"/>
      <w:pPr>
        <w:ind w:left="1778" w:hanging="360"/>
      </w:pPr>
      <w:rPr>
        <w:rFonts w:hint="default"/>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23">
    <w:nsid w:val="2F076C74"/>
    <w:multiLevelType w:val="multilevel"/>
    <w:tmpl w:val="CC8EDB14"/>
    <w:name w:val="Point"/>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24">
    <w:nsid w:val="3037651F"/>
    <w:multiLevelType w:val="hybridMultilevel"/>
    <w:tmpl w:val="49E40EC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8892688"/>
    <w:multiLevelType w:val="hybridMultilevel"/>
    <w:tmpl w:val="CCCC2E7A"/>
    <w:name w:val="NumPar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D9F4908"/>
    <w:multiLevelType w:val="hybridMultilevel"/>
    <w:tmpl w:val="1090D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F433143"/>
    <w:multiLevelType w:val="hybridMultilevel"/>
    <w:tmpl w:val="3C40D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F457280"/>
    <w:multiLevelType w:val="hybridMultilevel"/>
    <w:tmpl w:val="62C47CFC"/>
    <w:lvl w:ilvl="0" w:tplc="DAE630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0FF3500"/>
    <w:multiLevelType w:val="singleLevel"/>
    <w:tmpl w:val="84DA1EE8"/>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0">
    <w:nsid w:val="49D47C56"/>
    <w:multiLevelType w:val="multilevel"/>
    <w:tmpl w:val="90381812"/>
    <w:lvl w:ilvl="0">
      <w:start w:val="1"/>
      <w:numFmt w:val="decimal"/>
      <w:lvlRestart w:val="0"/>
      <w:pStyle w:val="Heading1"/>
      <w:lvlText w:val="%1."/>
      <w:lvlJc w:val="left"/>
      <w:pPr>
        <w:tabs>
          <w:tab w:val="num" w:pos="850"/>
        </w:tabs>
        <w:ind w:left="850" w:hanging="850"/>
      </w:pPr>
      <w:rPr>
        <w:rFonts w:cs="Times New Roman" w:hint="default"/>
      </w:rPr>
    </w:lvl>
    <w:lvl w:ilvl="1">
      <w:start w:val="1"/>
      <w:numFmt w:val="decimal"/>
      <w:pStyle w:val="Heading2"/>
      <w:lvlText w:val="%1.%2."/>
      <w:lvlJc w:val="left"/>
      <w:pPr>
        <w:tabs>
          <w:tab w:val="num" w:pos="850"/>
        </w:tabs>
        <w:ind w:left="850" w:hanging="850"/>
      </w:pPr>
      <w:rPr>
        <w:rFonts w:cs="Times New Roman" w:hint="default"/>
      </w:rPr>
    </w:lvl>
    <w:lvl w:ilvl="2">
      <w:start w:val="1"/>
      <w:numFmt w:val="decimal"/>
      <w:pStyle w:val="Heading3"/>
      <w:lvlText w:val="%1.%2.%3."/>
      <w:lvlJc w:val="left"/>
      <w:pPr>
        <w:tabs>
          <w:tab w:val="num" w:pos="850"/>
        </w:tabs>
        <w:ind w:left="850" w:hanging="850"/>
      </w:pPr>
      <w:rPr>
        <w:rFonts w:cs="Times New Roman" w:hint="default"/>
      </w:rPr>
    </w:lvl>
    <w:lvl w:ilvl="3">
      <w:start w:val="1"/>
      <w:numFmt w:val="decimal"/>
      <w:pStyle w:val="Heading4"/>
      <w:lvlText w:val="%1.%2.%3.%4."/>
      <w:lvlJc w:val="left"/>
      <w:pPr>
        <w:tabs>
          <w:tab w:val="num" w:pos="850"/>
        </w:tabs>
        <w:ind w:left="850" w:hanging="85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nsid w:val="4C692410"/>
    <w:multiLevelType w:val="hybridMultilevel"/>
    <w:tmpl w:val="B3D6D008"/>
    <w:lvl w:ilvl="0" w:tplc="0809000F">
      <w:start w:val="1"/>
      <w:numFmt w:val="decimal"/>
      <w:lvlText w:val="%1."/>
      <w:lvlJc w:val="left"/>
      <w:pPr>
        <w:ind w:left="1202" w:hanging="360"/>
      </w:pPr>
    </w:lvl>
    <w:lvl w:ilvl="1" w:tplc="128CDD24">
      <w:numFmt w:val="bullet"/>
      <w:lvlText w:val="•"/>
      <w:lvlJc w:val="left"/>
      <w:pPr>
        <w:ind w:left="1922" w:hanging="360"/>
      </w:pPr>
      <w:rPr>
        <w:rFonts w:ascii="Times New Roman" w:eastAsia="Times New Roman" w:hAnsi="Times New Roman" w:cs="Times New Roman" w:hint="default"/>
      </w:rPr>
    </w:lvl>
    <w:lvl w:ilvl="2" w:tplc="0809001B" w:tentative="1">
      <w:start w:val="1"/>
      <w:numFmt w:val="lowerRoman"/>
      <w:lvlText w:val="%3."/>
      <w:lvlJc w:val="right"/>
      <w:pPr>
        <w:ind w:left="2642" w:hanging="180"/>
      </w:pPr>
    </w:lvl>
    <w:lvl w:ilvl="3" w:tplc="0809000F" w:tentative="1">
      <w:start w:val="1"/>
      <w:numFmt w:val="decimal"/>
      <w:lvlText w:val="%4."/>
      <w:lvlJc w:val="left"/>
      <w:pPr>
        <w:ind w:left="3362" w:hanging="360"/>
      </w:pPr>
    </w:lvl>
    <w:lvl w:ilvl="4" w:tplc="08090019" w:tentative="1">
      <w:start w:val="1"/>
      <w:numFmt w:val="lowerLetter"/>
      <w:lvlText w:val="%5."/>
      <w:lvlJc w:val="left"/>
      <w:pPr>
        <w:ind w:left="4082" w:hanging="360"/>
      </w:pPr>
    </w:lvl>
    <w:lvl w:ilvl="5" w:tplc="0809001B" w:tentative="1">
      <w:start w:val="1"/>
      <w:numFmt w:val="lowerRoman"/>
      <w:lvlText w:val="%6."/>
      <w:lvlJc w:val="right"/>
      <w:pPr>
        <w:ind w:left="4802" w:hanging="180"/>
      </w:pPr>
    </w:lvl>
    <w:lvl w:ilvl="6" w:tplc="0809000F" w:tentative="1">
      <w:start w:val="1"/>
      <w:numFmt w:val="decimal"/>
      <w:lvlText w:val="%7."/>
      <w:lvlJc w:val="left"/>
      <w:pPr>
        <w:ind w:left="5522" w:hanging="360"/>
      </w:pPr>
    </w:lvl>
    <w:lvl w:ilvl="7" w:tplc="08090019" w:tentative="1">
      <w:start w:val="1"/>
      <w:numFmt w:val="lowerLetter"/>
      <w:lvlText w:val="%8."/>
      <w:lvlJc w:val="left"/>
      <w:pPr>
        <w:ind w:left="6242" w:hanging="360"/>
      </w:pPr>
    </w:lvl>
    <w:lvl w:ilvl="8" w:tplc="0809001B" w:tentative="1">
      <w:start w:val="1"/>
      <w:numFmt w:val="lowerRoman"/>
      <w:lvlText w:val="%9."/>
      <w:lvlJc w:val="right"/>
      <w:pPr>
        <w:ind w:left="6962" w:hanging="180"/>
      </w:pPr>
    </w:lvl>
  </w:abstractNum>
  <w:abstractNum w:abstractNumId="32">
    <w:nsid w:val="4E416729"/>
    <w:multiLevelType w:val="hybridMultilevel"/>
    <w:tmpl w:val="A0AEDB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3">
    <w:nsid w:val="4E5F6728"/>
    <w:multiLevelType w:val="hybridMultilevel"/>
    <w:tmpl w:val="4B5EABBE"/>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32E62A3"/>
    <w:multiLevelType w:val="hybridMultilevel"/>
    <w:tmpl w:val="A02E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Garamond"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Garamond"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Garamond"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52D74C5"/>
    <w:multiLevelType w:val="hybridMultilevel"/>
    <w:tmpl w:val="0ACCA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Garamond"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Garamond"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Garamond"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0574383"/>
    <w:multiLevelType w:val="hybridMultilevel"/>
    <w:tmpl w:val="6D829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3B26268"/>
    <w:multiLevelType w:val="singleLevel"/>
    <w:tmpl w:val="491E6360"/>
    <w:name w:val="Considérant"/>
    <w:lvl w:ilvl="0">
      <w:start w:val="1"/>
      <w:numFmt w:val="decimal"/>
      <w:lvlRestart w:val="0"/>
      <w:pStyle w:val="Considrant"/>
      <w:lvlText w:val="(%1)"/>
      <w:lvlJc w:val="left"/>
      <w:pPr>
        <w:tabs>
          <w:tab w:val="num" w:pos="709"/>
        </w:tabs>
        <w:ind w:left="709" w:hanging="709"/>
      </w:pPr>
      <w:rPr>
        <w:rFonts w:cs="Times New Roman"/>
      </w:rPr>
    </w:lvl>
  </w:abstractNum>
  <w:abstractNum w:abstractNumId="38">
    <w:nsid w:val="6CF95061"/>
    <w:multiLevelType w:val="hybridMultilevel"/>
    <w:tmpl w:val="C10EC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E5048BB"/>
    <w:multiLevelType w:val="hybridMultilevel"/>
    <w:tmpl w:val="DC321F6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EC300CA"/>
    <w:multiLevelType w:val="singleLevel"/>
    <w:tmpl w:val="055ABBD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1">
    <w:nsid w:val="712E4B18"/>
    <w:multiLevelType w:val="singleLevel"/>
    <w:tmpl w:val="66ECC298"/>
    <w:name w:val="Tiret 3"/>
    <w:lvl w:ilvl="0">
      <w:start w:val="1"/>
      <w:numFmt w:val="bullet"/>
      <w:lvlRestart w:val="0"/>
      <w:pStyle w:val="Tiret3"/>
      <w:lvlText w:val="–"/>
      <w:lvlJc w:val="left"/>
      <w:pPr>
        <w:tabs>
          <w:tab w:val="num" w:pos="2551"/>
        </w:tabs>
        <w:ind w:left="2551" w:hanging="567"/>
      </w:pPr>
    </w:lvl>
  </w:abstractNum>
  <w:abstractNum w:abstractNumId="42">
    <w:nsid w:val="71E82089"/>
    <w:multiLevelType w:val="hybridMultilevel"/>
    <w:tmpl w:val="DE36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29504D5"/>
    <w:multiLevelType w:val="singleLevel"/>
    <w:tmpl w:val="1BC6DBFC"/>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4">
    <w:nsid w:val="734A1C8A"/>
    <w:multiLevelType w:val="hybridMultilevel"/>
    <w:tmpl w:val="34E820A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78B552A"/>
    <w:multiLevelType w:val="hybridMultilevel"/>
    <w:tmpl w:val="487E764A"/>
    <w:lvl w:ilvl="0" w:tplc="501482D8">
      <w:start w:val="1"/>
      <w:numFmt w:val="upperRoman"/>
      <w:lvlText w:val="Objective %1."/>
      <w:lvlJc w:val="left"/>
      <w:pPr>
        <w:ind w:left="1637" w:hanging="360"/>
      </w:pPr>
      <w:rPr>
        <w:rFonts w:hint="default"/>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46">
    <w:nsid w:val="7B454D54"/>
    <w:multiLevelType w:val="singleLevel"/>
    <w:tmpl w:val="8A02E4B2"/>
    <w:name w:val="Tiret 4"/>
    <w:lvl w:ilvl="0">
      <w:start w:val="1"/>
      <w:numFmt w:val="bullet"/>
      <w:lvlRestart w:val="0"/>
      <w:pStyle w:val="Tiret4"/>
      <w:lvlText w:val="–"/>
      <w:lvlJc w:val="left"/>
      <w:pPr>
        <w:tabs>
          <w:tab w:val="num" w:pos="3118"/>
        </w:tabs>
        <w:ind w:left="3118" w:hanging="567"/>
      </w:pPr>
    </w:lvl>
  </w:abstractNum>
  <w:abstractNum w:abstractNumId="47">
    <w:nsid w:val="7E8224EA"/>
    <w:multiLevelType w:val="singleLevel"/>
    <w:tmpl w:val="34DEB8CE"/>
    <w:name w:val="Tiret 0"/>
    <w:lvl w:ilvl="0">
      <w:start w:val="1"/>
      <w:numFmt w:val="bullet"/>
      <w:lvlRestart w:val="0"/>
      <w:pStyle w:val="Tiret0"/>
      <w:lvlText w:val="–"/>
      <w:lvlJc w:val="left"/>
      <w:pPr>
        <w:tabs>
          <w:tab w:val="num" w:pos="850"/>
        </w:tabs>
        <w:ind w:left="850" w:hanging="850"/>
      </w:pPr>
    </w:lvl>
  </w:abstractNum>
  <w:abstractNum w:abstractNumId="48">
    <w:nsid w:val="7E9B467C"/>
    <w:multiLevelType w:val="hybridMultilevel"/>
    <w:tmpl w:val="B13A9D06"/>
    <w:lvl w:ilvl="0" w:tplc="6D6E99E4">
      <w:numFmt w:val="bullet"/>
      <w:lvlText w:val=""/>
      <w:lvlJc w:val="left"/>
      <w:pPr>
        <w:ind w:left="1202" w:hanging="360"/>
      </w:pPr>
      <w:rPr>
        <w:rFonts w:ascii="Wingdings" w:eastAsia="Calibri" w:hAnsi="Wingdings" w:cs="Times New Roman" w:hint="default"/>
      </w:rPr>
    </w:lvl>
    <w:lvl w:ilvl="1" w:tplc="08090003" w:tentative="1">
      <w:start w:val="1"/>
      <w:numFmt w:val="bullet"/>
      <w:lvlText w:val="o"/>
      <w:lvlJc w:val="left"/>
      <w:pPr>
        <w:ind w:left="1922" w:hanging="360"/>
      </w:pPr>
      <w:rPr>
        <w:rFonts w:ascii="Courier New" w:hAnsi="Courier New" w:cs="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cs="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cs="Courier New" w:hint="default"/>
      </w:rPr>
    </w:lvl>
    <w:lvl w:ilvl="8" w:tplc="08090005" w:tentative="1">
      <w:start w:val="1"/>
      <w:numFmt w:val="bullet"/>
      <w:lvlText w:val=""/>
      <w:lvlJc w:val="left"/>
      <w:pPr>
        <w:ind w:left="6962" w:hanging="360"/>
      </w:pPr>
      <w:rPr>
        <w:rFonts w:ascii="Wingdings" w:hAnsi="Wingdings" w:hint="default"/>
      </w:rPr>
    </w:lvl>
  </w:abstractNum>
  <w:num w:numId="1">
    <w:abstractNumId w:val="2"/>
  </w:num>
  <w:num w:numId="2">
    <w:abstractNumId w:val="1"/>
  </w:num>
  <w:num w:numId="3">
    <w:abstractNumId w:val="47"/>
  </w:num>
  <w:num w:numId="4">
    <w:abstractNumId w:val="8"/>
  </w:num>
  <w:num w:numId="5">
    <w:abstractNumId w:val="19"/>
  </w:num>
  <w:num w:numId="6">
    <w:abstractNumId w:val="41"/>
  </w:num>
  <w:num w:numId="7">
    <w:abstractNumId w:val="46"/>
  </w:num>
  <w:num w:numId="8">
    <w:abstractNumId w:val="7"/>
  </w:num>
  <w:num w:numId="9">
    <w:abstractNumId w:val="30"/>
  </w:num>
  <w:num w:numId="10">
    <w:abstractNumId w:val="23"/>
  </w:num>
  <w:num w:numId="11">
    <w:abstractNumId w:val="9"/>
  </w:num>
  <w:num w:numId="12">
    <w:abstractNumId w:val="29"/>
  </w:num>
  <w:num w:numId="13">
    <w:abstractNumId w:val="10"/>
  </w:num>
  <w:num w:numId="14">
    <w:abstractNumId w:val="43"/>
  </w:num>
  <w:num w:numId="15">
    <w:abstractNumId w:val="40"/>
  </w:num>
  <w:num w:numId="16">
    <w:abstractNumId w:val="37"/>
  </w:num>
  <w:num w:numId="17">
    <w:abstractNumId w:val="15"/>
  </w:num>
  <w:num w:numId="18">
    <w:abstractNumId w:val="6"/>
  </w:num>
  <w:num w:numId="19">
    <w:abstractNumId w:val="5"/>
  </w:num>
  <w:num w:numId="20">
    <w:abstractNumId w:val="4"/>
  </w:num>
  <w:num w:numId="21">
    <w:abstractNumId w:val="45"/>
  </w:num>
  <w:num w:numId="22">
    <w:abstractNumId w:val="15"/>
    <w:lvlOverride w:ilvl="0">
      <w:lvl w:ilvl="0" w:tplc="91D052FA">
        <w:start w:val="1"/>
        <w:numFmt w:val="upperRoman"/>
        <w:lvlText w:val="Objective %1."/>
        <w:lvlJc w:val="left"/>
        <w:pPr>
          <w:ind w:left="1637" w:hanging="360"/>
        </w:pPr>
        <w:rPr>
          <w:rFonts w:hint="default"/>
        </w:rPr>
      </w:lvl>
    </w:lvlOverride>
    <w:lvlOverride w:ilvl="1">
      <w:lvl w:ilvl="1" w:tplc="08090019" w:tentative="1">
        <w:start w:val="1"/>
        <w:numFmt w:val="lowerLetter"/>
        <w:lvlText w:val="%2."/>
        <w:lvlJc w:val="left"/>
        <w:pPr>
          <w:ind w:left="2357" w:hanging="360"/>
        </w:pPr>
      </w:lvl>
    </w:lvlOverride>
    <w:lvlOverride w:ilvl="2">
      <w:lvl w:ilvl="2" w:tplc="0809001B" w:tentative="1">
        <w:start w:val="1"/>
        <w:numFmt w:val="lowerRoman"/>
        <w:lvlText w:val="%3."/>
        <w:lvlJc w:val="right"/>
        <w:pPr>
          <w:ind w:left="3077" w:hanging="180"/>
        </w:pPr>
      </w:lvl>
    </w:lvlOverride>
    <w:lvlOverride w:ilvl="3">
      <w:lvl w:ilvl="3" w:tplc="0809000F" w:tentative="1">
        <w:start w:val="1"/>
        <w:numFmt w:val="decimal"/>
        <w:lvlText w:val="%4."/>
        <w:lvlJc w:val="left"/>
        <w:pPr>
          <w:ind w:left="3797" w:hanging="360"/>
        </w:pPr>
      </w:lvl>
    </w:lvlOverride>
    <w:lvlOverride w:ilvl="4">
      <w:lvl w:ilvl="4" w:tplc="08090019" w:tentative="1">
        <w:start w:val="1"/>
        <w:numFmt w:val="lowerLetter"/>
        <w:lvlText w:val="%5."/>
        <w:lvlJc w:val="left"/>
        <w:pPr>
          <w:ind w:left="4517" w:hanging="360"/>
        </w:pPr>
      </w:lvl>
    </w:lvlOverride>
    <w:lvlOverride w:ilvl="5">
      <w:lvl w:ilvl="5" w:tplc="0809001B" w:tentative="1">
        <w:start w:val="1"/>
        <w:numFmt w:val="lowerRoman"/>
        <w:lvlText w:val="%6."/>
        <w:lvlJc w:val="right"/>
        <w:pPr>
          <w:ind w:left="5237" w:hanging="180"/>
        </w:pPr>
      </w:lvl>
    </w:lvlOverride>
    <w:lvlOverride w:ilvl="6">
      <w:lvl w:ilvl="6" w:tplc="0809000F" w:tentative="1">
        <w:start w:val="1"/>
        <w:numFmt w:val="decimal"/>
        <w:lvlText w:val="%7."/>
        <w:lvlJc w:val="left"/>
        <w:pPr>
          <w:ind w:left="5957" w:hanging="360"/>
        </w:pPr>
      </w:lvl>
    </w:lvlOverride>
    <w:lvlOverride w:ilvl="7">
      <w:lvl w:ilvl="7" w:tplc="08090019" w:tentative="1">
        <w:start w:val="1"/>
        <w:numFmt w:val="lowerLetter"/>
        <w:lvlText w:val="%8."/>
        <w:lvlJc w:val="left"/>
        <w:pPr>
          <w:ind w:left="6677" w:hanging="360"/>
        </w:pPr>
      </w:lvl>
    </w:lvlOverride>
    <w:lvlOverride w:ilvl="8">
      <w:lvl w:ilvl="8" w:tplc="0809001B" w:tentative="1">
        <w:start w:val="1"/>
        <w:numFmt w:val="lowerRoman"/>
        <w:lvlText w:val="%9."/>
        <w:lvlJc w:val="right"/>
        <w:pPr>
          <w:ind w:left="7397" w:hanging="180"/>
        </w:pPr>
      </w:lvl>
    </w:lvlOverride>
  </w:num>
  <w:num w:numId="23">
    <w:abstractNumId w:val="6"/>
    <w:lvlOverride w:ilvl="0">
      <w:lvl w:ilvl="0" w:tplc="0809000F">
        <w:start w:val="1"/>
        <w:numFmt w:val="decimal"/>
        <w:lvlText w:val="%1."/>
        <w:lvlJc w:val="left"/>
        <w:pPr>
          <w:ind w:left="780" w:hanging="360"/>
        </w:pPr>
      </w:lvl>
    </w:lvlOverride>
    <w:lvlOverride w:ilvl="1">
      <w:lvl w:ilvl="1" w:tplc="08090019" w:tentative="1">
        <w:start w:val="1"/>
        <w:numFmt w:val="lowerLetter"/>
        <w:lvlText w:val="%2."/>
        <w:lvlJc w:val="left"/>
        <w:pPr>
          <w:ind w:left="1500" w:hanging="360"/>
        </w:pPr>
      </w:lvl>
    </w:lvlOverride>
    <w:lvlOverride w:ilvl="2">
      <w:lvl w:ilvl="2" w:tplc="0809001B" w:tentative="1">
        <w:start w:val="1"/>
        <w:numFmt w:val="lowerRoman"/>
        <w:lvlText w:val="%3."/>
        <w:lvlJc w:val="right"/>
        <w:pPr>
          <w:ind w:left="2220" w:hanging="180"/>
        </w:pPr>
      </w:lvl>
    </w:lvlOverride>
    <w:lvlOverride w:ilvl="3">
      <w:lvl w:ilvl="3" w:tplc="0809000F" w:tentative="1">
        <w:start w:val="1"/>
        <w:numFmt w:val="decimal"/>
        <w:lvlText w:val="%4."/>
        <w:lvlJc w:val="left"/>
        <w:pPr>
          <w:ind w:left="2940" w:hanging="360"/>
        </w:pPr>
      </w:lvl>
    </w:lvlOverride>
    <w:lvlOverride w:ilvl="4">
      <w:lvl w:ilvl="4" w:tplc="08090019" w:tentative="1">
        <w:start w:val="1"/>
        <w:numFmt w:val="lowerLetter"/>
        <w:lvlText w:val="%5."/>
        <w:lvlJc w:val="left"/>
        <w:pPr>
          <w:ind w:left="3660" w:hanging="360"/>
        </w:pPr>
      </w:lvl>
    </w:lvlOverride>
    <w:lvlOverride w:ilvl="5">
      <w:lvl w:ilvl="5" w:tplc="0809001B" w:tentative="1">
        <w:start w:val="1"/>
        <w:numFmt w:val="lowerRoman"/>
        <w:lvlText w:val="%6."/>
        <w:lvlJc w:val="right"/>
        <w:pPr>
          <w:ind w:left="4380" w:hanging="180"/>
        </w:pPr>
      </w:lvl>
    </w:lvlOverride>
    <w:lvlOverride w:ilvl="6">
      <w:lvl w:ilvl="6" w:tplc="0809000F" w:tentative="1">
        <w:start w:val="1"/>
        <w:numFmt w:val="decimal"/>
        <w:lvlText w:val="%7."/>
        <w:lvlJc w:val="left"/>
        <w:pPr>
          <w:ind w:left="5100" w:hanging="360"/>
        </w:pPr>
      </w:lvl>
    </w:lvlOverride>
    <w:lvlOverride w:ilvl="7">
      <w:lvl w:ilvl="7" w:tplc="08090019" w:tentative="1">
        <w:start w:val="1"/>
        <w:numFmt w:val="lowerLetter"/>
        <w:lvlText w:val="%8."/>
        <w:lvlJc w:val="left"/>
        <w:pPr>
          <w:ind w:left="5820" w:hanging="360"/>
        </w:pPr>
      </w:lvl>
    </w:lvlOverride>
    <w:lvlOverride w:ilvl="8">
      <w:lvl w:ilvl="8" w:tplc="0809001B" w:tentative="1">
        <w:start w:val="1"/>
        <w:numFmt w:val="lowerRoman"/>
        <w:lvlText w:val="%9."/>
        <w:lvlJc w:val="right"/>
        <w:pPr>
          <w:ind w:left="6540" w:hanging="180"/>
        </w:pPr>
      </w:lvl>
    </w:lvlOverride>
  </w:num>
  <w:num w:numId="24">
    <w:abstractNumId w:val="15"/>
    <w:lvlOverride w:ilvl="0">
      <w:lvl w:ilvl="0" w:tplc="91D052FA">
        <w:start w:val="1"/>
        <w:numFmt w:val="upperRoman"/>
        <w:lvlText w:val="Objective %1."/>
        <w:lvlJc w:val="left"/>
        <w:pPr>
          <w:ind w:left="1637" w:hanging="360"/>
        </w:pPr>
        <w:rPr>
          <w:rFonts w:hint="default"/>
        </w:rPr>
      </w:lvl>
    </w:lvlOverride>
    <w:lvlOverride w:ilvl="1">
      <w:lvl w:ilvl="1" w:tplc="08090019" w:tentative="1">
        <w:start w:val="1"/>
        <w:numFmt w:val="lowerLetter"/>
        <w:lvlText w:val="%2."/>
        <w:lvlJc w:val="left"/>
        <w:pPr>
          <w:ind w:left="2357" w:hanging="360"/>
        </w:pPr>
      </w:lvl>
    </w:lvlOverride>
    <w:lvlOverride w:ilvl="2">
      <w:lvl w:ilvl="2" w:tplc="0809001B" w:tentative="1">
        <w:start w:val="1"/>
        <w:numFmt w:val="lowerRoman"/>
        <w:lvlText w:val="%3."/>
        <w:lvlJc w:val="right"/>
        <w:pPr>
          <w:ind w:left="3077" w:hanging="180"/>
        </w:pPr>
      </w:lvl>
    </w:lvlOverride>
    <w:lvlOverride w:ilvl="3">
      <w:lvl w:ilvl="3" w:tplc="0809000F" w:tentative="1">
        <w:start w:val="1"/>
        <w:numFmt w:val="decimal"/>
        <w:lvlText w:val="%4."/>
        <w:lvlJc w:val="left"/>
        <w:pPr>
          <w:ind w:left="3797" w:hanging="360"/>
        </w:pPr>
      </w:lvl>
    </w:lvlOverride>
    <w:lvlOverride w:ilvl="4">
      <w:lvl w:ilvl="4" w:tplc="08090019" w:tentative="1">
        <w:start w:val="1"/>
        <w:numFmt w:val="lowerLetter"/>
        <w:lvlText w:val="%5."/>
        <w:lvlJc w:val="left"/>
        <w:pPr>
          <w:ind w:left="4517" w:hanging="360"/>
        </w:pPr>
      </w:lvl>
    </w:lvlOverride>
    <w:lvlOverride w:ilvl="5">
      <w:lvl w:ilvl="5" w:tplc="0809001B" w:tentative="1">
        <w:start w:val="1"/>
        <w:numFmt w:val="lowerRoman"/>
        <w:lvlText w:val="%6."/>
        <w:lvlJc w:val="right"/>
        <w:pPr>
          <w:ind w:left="5237" w:hanging="180"/>
        </w:pPr>
      </w:lvl>
    </w:lvlOverride>
    <w:lvlOverride w:ilvl="6">
      <w:lvl w:ilvl="6" w:tplc="0809000F" w:tentative="1">
        <w:start w:val="1"/>
        <w:numFmt w:val="decimal"/>
        <w:lvlText w:val="%7."/>
        <w:lvlJc w:val="left"/>
        <w:pPr>
          <w:ind w:left="5957" w:hanging="360"/>
        </w:pPr>
      </w:lvl>
    </w:lvlOverride>
    <w:lvlOverride w:ilvl="7">
      <w:lvl w:ilvl="7" w:tplc="08090019" w:tentative="1">
        <w:start w:val="1"/>
        <w:numFmt w:val="lowerLetter"/>
        <w:lvlText w:val="%8."/>
        <w:lvlJc w:val="left"/>
        <w:pPr>
          <w:ind w:left="6677" w:hanging="360"/>
        </w:pPr>
      </w:lvl>
    </w:lvlOverride>
    <w:lvlOverride w:ilvl="8">
      <w:lvl w:ilvl="8" w:tplc="0809001B" w:tentative="1">
        <w:start w:val="1"/>
        <w:numFmt w:val="lowerRoman"/>
        <w:lvlText w:val="%9."/>
        <w:lvlJc w:val="right"/>
        <w:pPr>
          <w:ind w:left="7397" w:hanging="180"/>
        </w:pPr>
      </w:lvl>
    </w:lvlOverride>
  </w:num>
  <w:num w:numId="25">
    <w:abstractNumId w:val="6"/>
    <w:lvlOverride w:ilvl="0">
      <w:lvl w:ilvl="0" w:tplc="0809000F">
        <w:start w:val="1"/>
        <w:numFmt w:val="decimal"/>
        <w:lvlText w:val="%1."/>
        <w:lvlJc w:val="left"/>
        <w:pPr>
          <w:ind w:left="780" w:hanging="360"/>
        </w:pPr>
      </w:lvl>
    </w:lvlOverride>
    <w:lvlOverride w:ilvl="1">
      <w:lvl w:ilvl="1" w:tplc="08090019" w:tentative="1">
        <w:start w:val="1"/>
        <w:numFmt w:val="lowerLetter"/>
        <w:lvlText w:val="%2."/>
        <w:lvlJc w:val="left"/>
        <w:pPr>
          <w:ind w:left="1500" w:hanging="360"/>
        </w:pPr>
      </w:lvl>
    </w:lvlOverride>
    <w:lvlOverride w:ilvl="2">
      <w:lvl w:ilvl="2" w:tplc="0809001B" w:tentative="1">
        <w:start w:val="1"/>
        <w:numFmt w:val="lowerRoman"/>
        <w:lvlText w:val="%3."/>
        <w:lvlJc w:val="right"/>
        <w:pPr>
          <w:ind w:left="2220" w:hanging="180"/>
        </w:pPr>
      </w:lvl>
    </w:lvlOverride>
    <w:lvlOverride w:ilvl="3">
      <w:lvl w:ilvl="3" w:tplc="0809000F" w:tentative="1">
        <w:start w:val="1"/>
        <w:numFmt w:val="decimal"/>
        <w:lvlText w:val="%4."/>
        <w:lvlJc w:val="left"/>
        <w:pPr>
          <w:ind w:left="2940" w:hanging="360"/>
        </w:pPr>
      </w:lvl>
    </w:lvlOverride>
    <w:lvlOverride w:ilvl="4">
      <w:lvl w:ilvl="4" w:tplc="08090019" w:tentative="1">
        <w:start w:val="1"/>
        <w:numFmt w:val="lowerLetter"/>
        <w:lvlText w:val="%5."/>
        <w:lvlJc w:val="left"/>
        <w:pPr>
          <w:ind w:left="3660" w:hanging="360"/>
        </w:pPr>
      </w:lvl>
    </w:lvlOverride>
    <w:lvlOverride w:ilvl="5">
      <w:lvl w:ilvl="5" w:tplc="0809001B" w:tentative="1">
        <w:start w:val="1"/>
        <w:numFmt w:val="lowerRoman"/>
        <w:lvlText w:val="%6."/>
        <w:lvlJc w:val="right"/>
        <w:pPr>
          <w:ind w:left="4380" w:hanging="180"/>
        </w:pPr>
      </w:lvl>
    </w:lvlOverride>
    <w:lvlOverride w:ilvl="6">
      <w:lvl w:ilvl="6" w:tplc="0809000F" w:tentative="1">
        <w:start w:val="1"/>
        <w:numFmt w:val="decimal"/>
        <w:lvlText w:val="%7."/>
        <w:lvlJc w:val="left"/>
        <w:pPr>
          <w:ind w:left="5100" w:hanging="360"/>
        </w:pPr>
      </w:lvl>
    </w:lvlOverride>
    <w:lvlOverride w:ilvl="7">
      <w:lvl w:ilvl="7" w:tplc="08090019" w:tentative="1">
        <w:start w:val="1"/>
        <w:numFmt w:val="lowerLetter"/>
        <w:lvlText w:val="%8."/>
        <w:lvlJc w:val="left"/>
        <w:pPr>
          <w:ind w:left="5820" w:hanging="360"/>
        </w:pPr>
      </w:lvl>
    </w:lvlOverride>
    <w:lvlOverride w:ilvl="8">
      <w:lvl w:ilvl="8" w:tplc="0809001B" w:tentative="1">
        <w:start w:val="1"/>
        <w:numFmt w:val="lowerRoman"/>
        <w:lvlText w:val="%9."/>
        <w:lvlJc w:val="right"/>
        <w:pPr>
          <w:ind w:left="6540" w:hanging="180"/>
        </w:pPr>
      </w:lvl>
    </w:lvlOverride>
  </w:num>
  <w:num w:numId="26">
    <w:abstractNumId w:val="22"/>
  </w:num>
  <w:num w:numId="27">
    <w:abstractNumId w:val="20"/>
  </w:num>
  <w:num w:numId="28">
    <w:abstractNumId w:val="35"/>
  </w:num>
  <w:num w:numId="29">
    <w:abstractNumId w:val="15"/>
    <w:lvlOverride w:ilvl="0">
      <w:lvl w:ilvl="0" w:tplc="91D052FA">
        <w:start w:val="1"/>
        <w:numFmt w:val="upperRoman"/>
        <w:lvlText w:val="Objective %1."/>
        <w:lvlJc w:val="left"/>
        <w:pPr>
          <w:ind w:left="1778" w:hanging="360"/>
        </w:pPr>
        <w:rPr>
          <w:rFonts w:hint="default"/>
          <w:b/>
        </w:rPr>
      </w:lvl>
    </w:lvlOverride>
    <w:lvlOverride w:ilvl="1">
      <w:lvl w:ilvl="1" w:tplc="08090019" w:tentative="1">
        <w:start w:val="1"/>
        <w:numFmt w:val="lowerLetter"/>
        <w:lvlText w:val="%2."/>
        <w:lvlJc w:val="left"/>
        <w:pPr>
          <w:ind w:left="2357" w:hanging="360"/>
        </w:pPr>
      </w:lvl>
    </w:lvlOverride>
    <w:lvlOverride w:ilvl="2">
      <w:lvl w:ilvl="2" w:tplc="0809001B" w:tentative="1">
        <w:start w:val="1"/>
        <w:numFmt w:val="lowerRoman"/>
        <w:lvlText w:val="%3."/>
        <w:lvlJc w:val="right"/>
        <w:pPr>
          <w:ind w:left="3077" w:hanging="180"/>
        </w:pPr>
      </w:lvl>
    </w:lvlOverride>
    <w:lvlOverride w:ilvl="3">
      <w:lvl w:ilvl="3" w:tplc="0809000F" w:tentative="1">
        <w:start w:val="1"/>
        <w:numFmt w:val="decimal"/>
        <w:lvlText w:val="%4."/>
        <w:lvlJc w:val="left"/>
        <w:pPr>
          <w:ind w:left="3797" w:hanging="360"/>
        </w:pPr>
      </w:lvl>
    </w:lvlOverride>
    <w:lvlOverride w:ilvl="4">
      <w:lvl w:ilvl="4" w:tplc="08090019" w:tentative="1">
        <w:start w:val="1"/>
        <w:numFmt w:val="lowerLetter"/>
        <w:lvlText w:val="%5."/>
        <w:lvlJc w:val="left"/>
        <w:pPr>
          <w:ind w:left="4517" w:hanging="360"/>
        </w:pPr>
      </w:lvl>
    </w:lvlOverride>
    <w:lvlOverride w:ilvl="5">
      <w:lvl w:ilvl="5" w:tplc="0809001B" w:tentative="1">
        <w:start w:val="1"/>
        <w:numFmt w:val="lowerRoman"/>
        <w:lvlText w:val="%6."/>
        <w:lvlJc w:val="right"/>
        <w:pPr>
          <w:ind w:left="5237" w:hanging="180"/>
        </w:pPr>
      </w:lvl>
    </w:lvlOverride>
    <w:lvlOverride w:ilvl="6">
      <w:lvl w:ilvl="6" w:tplc="0809000F" w:tentative="1">
        <w:start w:val="1"/>
        <w:numFmt w:val="decimal"/>
        <w:lvlText w:val="%7."/>
        <w:lvlJc w:val="left"/>
        <w:pPr>
          <w:ind w:left="5957" w:hanging="360"/>
        </w:pPr>
      </w:lvl>
    </w:lvlOverride>
    <w:lvlOverride w:ilvl="7">
      <w:lvl w:ilvl="7" w:tplc="08090019" w:tentative="1">
        <w:start w:val="1"/>
        <w:numFmt w:val="lowerLetter"/>
        <w:lvlText w:val="%8."/>
        <w:lvlJc w:val="left"/>
        <w:pPr>
          <w:ind w:left="6677" w:hanging="360"/>
        </w:pPr>
      </w:lvl>
    </w:lvlOverride>
    <w:lvlOverride w:ilvl="8">
      <w:lvl w:ilvl="8" w:tplc="0809001B" w:tentative="1">
        <w:start w:val="1"/>
        <w:numFmt w:val="lowerRoman"/>
        <w:lvlText w:val="%9."/>
        <w:lvlJc w:val="right"/>
        <w:pPr>
          <w:ind w:left="7397" w:hanging="180"/>
        </w:pPr>
      </w:lvl>
    </w:lvlOverride>
  </w:num>
  <w:num w:numId="30">
    <w:abstractNumId w:val="15"/>
    <w:lvlOverride w:ilvl="0">
      <w:lvl w:ilvl="0" w:tplc="91D052FA">
        <w:start w:val="1"/>
        <w:numFmt w:val="upperRoman"/>
        <w:lvlText w:val="Objective %1."/>
        <w:lvlJc w:val="left"/>
        <w:pPr>
          <w:ind w:left="1778" w:hanging="360"/>
        </w:pPr>
        <w:rPr>
          <w:rFonts w:hint="default"/>
          <w:b/>
        </w:rPr>
      </w:lvl>
    </w:lvlOverride>
    <w:lvlOverride w:ilvl="1">
      <w:lvl w:ilvl="1" w:tplc="08090019" w:tentative="1">
        <w:start w:val="1"/>
        <w:numFmt w:val="lowerLetter"/>
        <w:lvlText w:val="%2."/>
        <w:lvlJc w:val="left"/>
        <w:pPr>
          <w:ind w:left="2357" w:hanging="360"/>
        </w:pPr>
      </w:lvl>
    </w:lvlOverride>
    <w:lvlOverride w:ilvl="2">
      <w:lvl w:ilvl="2" w:tplc="0809001B" w:tentative="1">
        <w:start w:val="1"/>
        <w:numFmt w:val="lowerRoman"/>
        <w:lvlText w:val="%3."/>
        <w:lvlJc w:val="right"/>
        <w:pPr>
          <w:ind w:left="3077" w:hanging="180"/>
        </w:pPr>
      </w:lvl>
    </w:lvlOverride>
    <w:lvlOverride w:ilvl="3">
      <w:lvl w:ilvl="3" w:tplc="0809000F" w:tentative="1">
        <w:start w:val="1"/>
        <w:numFmt w:val="decimal"/>
        <w:lvlText w:val="%4."/>
        <w:lvlJc w:val="left"/>
        <w:pPr>
          <w:ind w:left="3797" w:hanging="360"/>
        </w:pPr>
      </w:lvl>
    </w:lvlOverride>
    <w:lvlOverride w:ilvl="4">
      <w:lvl w:ilvl="4" w:tplc="08090019" w:tentative="1">
        <w:start w:val="1"/>
        <w:numFmt w:val="lowerLetter"/>
        <w:lvlText w:val="%5."/>
        <w:lvlJc w:val="left"/>
        <w:pPr>
          <w:ind w:left="4517" w:hanging="360"/>
        </w:pPr>
      </w:lvl>
    </w:lvlOverride>
    <w:lvlOverride w:ilvl="5">
      <w:lvl w:ilvl="5" w:tplc="0809001B" w:tentative="1">
        <w:start w:val="1"/>
        <w:numFmt w:val="lowerRoman"/>
        <w:lvlText w:val="%6."/>
        <w:lvlJc w:val="right"/>
        <w:pPr>
          <w:ind w:left="5237" w:hanging="180"/>
        </w:pPr>
      </w:lvl>
    </w:lvlOverride>
    <w:lvlOverride w:ilvl="6">
      <w:lvl w:ilvl="6" w:tplc="0809000F" w:tentative="1">
        <w:start w:val="1"/>
        <w:numFmt w:val="decimal"/>
        <w:lvlText w:val="%7."/>
        <w:lvlJc w:val="left"/>
        <w:pPr>
          <w:ind w:left="5957" w:hanging="360"/>
        </w:pPr>
      </w:lvl>
    </w:lvlOverride>
    <w:lvlOverride w:ilvl="7">
      <w:lvl w:ilvl="7" w:tplc="08090019" w:tentative="1">
        <w:start w:val="1"/>
        <w:numFmt w:val="lowerLetter"/>
        <w:lvlText w:val="%8."/>
        <w:lvlJc w:val="left"/>
        <w:pPr>
          <w:ind w:left="6677" w:hanging="360"/>
        </w:pPr>
      </w:lvl>
    </w:lvlOverride>
    <w:lvlOverride w:ilvl="8">
      <w:lvl w:ilvl="8" w:tplc="0809001B" w:tentative="1">
        <w:start w:val="1"/>
        <w:numFmt w:val="lowerRoman"/>
        <w:lvlText w:val="%9."/>
        <w:lvlJc w:val="right"/>
        <w:pPr>
          <w:ind w:left="7397" w:hanging="180"/>
        </w:pPr>
      </w:lvl>
    </w:lvlOverride>
  </w:num>
  <w:num w:numId="31">
    <w:abstractNumId w:val="15"/>
    <w:lvlOverride w:ilvl="0">
      <w:lvl w:ilvl="0" w:tplc="91D052FA">
        <w:start w:val="1"/>
        <w:numFmt w:val="upperRoman"/>
        <w:lvlText w:val="Objective %1."/>
        <w:lvlJc w:val="left"/>
        <w:pPr>
          <w:ind w:left="1778" w:hanging="360"/>
        </w:pPr>
        <w:rPr>
          <w:rFonts w:hint="default"/>
          <w:b/>
        </w:rPr>
      </w:lvl>
    </w:lvlOverride>
    <w:lvlOverride w:ilvl="1">
      <w:lvl w:ilvl="1" w:tplc="08090019" w:tentative="1">
        <w:start w:val="1"/>
        <w:numFmt w:val="lowerLetter"/>
        <w:lvlText w:val="%2."/>
        <w:lvlJc w:val="left"/>
        <w:pPr>
          <w:ind w:left="2357" w:hanging="360"/>
        </w:pPr>
      </w:lvl>
    </w:lvlOverride>
    <w:lvlOverride w:ilvl="2">
      <w:lvl w:ilvl="2" w:tplc="0809001B" w:tentative="1">
        <w:start w:val="1"/>
        <w:numFmt w:val="lowerRoman"/>
        <w:lvlText w:val="%3."/>
        <w:lvlJc w:val="right"/>
        <w:pPr>
          <w:ind w:left="3077" w:hanging="180"/>
        </w:pPr>
      </w:lvl>
    </w:lvlOverride>
    <w:lvlOverride w:ilvl="3">
      <w:lvl w:ilvl="3" w:tplc="0809000F" w:tentative="1">
        <w:start w:val="1"/>
        <w:numFmt w:val="decimal"/>
        <w:lvlText w:val="%4."/>
        <w:lvlJc w:val="left"/>
        <w:pPr>
          <w:ind w:left="3797" w:hanging="360"/>
        </w:pPr>
      </w:lvl>
    </w:lvlOverride>
    <w:lvlOverride w:ilvl="4">
      <w:lvl w:ilvl="4" w:tplc="08090019" w:tentative="1">
        <w:start w:val="1"/>
        <w:numFmt w:val="lowerLetter"/>
        <w:lvlText w:val="%5."/>
        <w:lvlJc w:val="left"/>
        <w:pPr>
          <w:ind w:left="4517" w:hanging="360"/>
        </w:pPr>
      </w:lvl>
    </w:lvlOverride>
    <w:lvlOverride w:ilvl="5">
      <w:lvl w:ilvl="5" w:tplc="0809001B" w:tentative="1">
        <w:start w:val="1"/>
        <w:numFmt w:val="lowerRoman"/>
        <w:lvlText w:val="%6."/>
        <w:lvlJc w:val="right"/>
        <w:pPr>
          <w:ind w:left="5237" w:hanging="180"/>
        </w:pPr>
      </w:lvl>
    </w:lvlOverride>
    <w:lvlOverride w:ilvl="6">
      <w:lvl w:ilvl="6" w:tplc="0809000F" w:tentative="1">
        <w:start w:val="1"/>
        <w:numFmt w:val="decimal"/>
        <w:lvlText w:val="%7."/>
        <w:lvlJc w:val="left"/>
        <w:pPr>
          <w:ind w:left="5957" w:hanging="360"/>
        </w:pPr>
      </w:lvl>
    </w:lvlOverride>
    <w:lvlOverride w:ilvl="7">
      <w:lvl w:ilvl="7" w:tplc="08090019" w:tentative="1">
        <w:start w:val="1"/>
        <w:numFmt w:val="lowerLetter"/>
        <w:lvlText w:val="%8."/>
        <w:lvlJc w:val="left"/>
        <w:pPr>
          <w:ind w:left="6677" w:hanging="360"/>
        </w:pPr>
      </w:lvl>
    </w:lvlOverride>
    <w:lvlOverride w:ilvl="8">
      <w:lvl w:ilvl="8" w:tplc="0809001B" w:tentative="1">
        <w:start w:val="1"/>
        <w:numFmt w:val="lowerRoman"/>
        <w:lvlText w:val="%9."/>
        <w:lvlJc w:val="right"/>
        <w:pPr>
          <w:ind w:left="7397" w:hanging="180"/>
        </w:pPr>
      </w:lvl>
    </w:lvlOverride>
  </w:num>
  <w:num w:numId="32">
    <w:abstractNumId w:val="15"/>
    <w:lvlOverride w:ilvl="0">
      <w:lvl w:ilvl="0" w:tplc="91D052FA">
        <w:start w:val="1"/>
        <w:numFmt w:val="upperRoman"/>
        <w:lvlText w:val="Objective %1."/>
        <w:lvlJc w:val="left"/>
        <w:pPr>
          <w:ind w:left="1778" w:hanging="360"/>
        </w:pPr>
        <w:rPr>
          <w:rFonts w:hint="default"/>
          <w:b/>
        </w:rPr>
      </w:lvl>
    </w:lvlOverride>
    <w:lvlOverride w:ilvl="1">
      <w:lvl w:ilvl="1" w:tplc="08090019" w:tentative="1">
        <w:start w:val="1"/>
        <w:numFmt w:val="lowerLetter"/>
        <w:lvlText w:val="%2."/>
        <w:lvlJc w:val="left"/>
        <w:pPr>
          <w:ind w:left="2357" w:hanging="360"/>
        </w:pPr>
      </w:lvl>
    </w:lvlOverride>
    <w:lvlOverride w:ilvl="2">
      <w:lvl w:ilvl="2" w:tplc="0809001B" w:tentative="1">
        <w:start w:val="1"/>
        <w:numFmt w:val="lowerRoman"/>
        <w:lvlText w:val="%3."/>
        <w:lvlJc w:val="right"/>
        <w:pPr>
          <w:ind w:left="3077" w:hanging="180"/>
        </w:pPr>
      </w:lvl>
    </w:lvlOverride>
    <w:lvlOverride w:ilvl="3">
      <w:lvl w:ilvl="3" w:tplc="0809000F" w:tentative="1">
        <w:start w:val="1"/>
        <w:numFmt w:val="decimal"/>
        <w:lvlText w:val="%4."/>
        <w:lvlJc w:val="left"/>
        <w:pPr>
          <w:ind w:left="3797" w:hanging="360"/>
        </w:pPr>
      </w:lvl>
    </w:lvlOverride>
    <w:lvlOverride w:ilvl="4">
      <w:lvl w:ilvl="4" w:tplc="08090019" w:tentative="1">
        <w:start w:val="1"/>
        <w:numFmt w:val="lowerLetter"/>
        <w:lvlText w:val="%5."/>
        <w:lvlJc w:val="left"/>
        <w:pPr>
          <w:ind w:left="4517" w:hanging="360"/>
        </w:pPr>
      </w:lvl>
    </w:lvlOverride>
    <w:lvlOverride w:ilvl="5">
      <w:lvl w:ilvl="5" w:tplc="0809001B" w:tentative="1">
        <w:start w:val="1"/>
        <w:numFmt w:val="lowerRoman"/>
        <w:lvlText w:val="%6."/>
        <w:lvlJc w:val="right"/>
        <w:pPr>
          <w:ind w:left="5237" w:hanging="180"/>
        </w:pPr>
      </w:lvl>
    </w:lvlOverride>
    <w:lvlOverride w:ilvl="6">
      <w:lvl w:ilvl="6" w:tplc="0809000F" w:tentative="1">
        <w:start w:val="1"/>
        <w:numFmt w:val="decimal"/>
        <w:lvlText w:val="%7."/>
        <w:lvlJc w:val="left"/>
        <w:pPr>
          <w:ind w:left="5957" w:hanging="360"/>
        </w:pPr>
      </w:lvl>
    </w:lvlOverride>
    <w:lvlOverride w:ilvl="7">
      <w:lvl w:ilvl="7" w:tplc="08090019" w:tentative="1">
        <w:start w:val="1"/>
        <w:numFmt w:val="lowerLetter"/>
        <w:lvlText w:val="%8."/>
        <w:lvlJc w:val="left"/>
        <w:pPr>
          <w:ind w:left="6677" w:hanging="360"/>
        </w:pPr>
      </w:lvl>
    </w:lvlOverride>
    <w:lvlOverride w:ilvl="8">
      <w:lvl w:ilvl="8" w:tplc="0809001B" w:tentative="1">
        <w:start w:val="1"/>
        <w:numFmt w:val="lowerRoman"/>
        <w:lvlText w:val="%9."/>
        <w:lvlJc w:val="right"/>
        <w:pPr>
          <w:ind w:left="7397" w:hanging="180"/>
        </w:pPr>
      </w:lvl>
    </w:lvlOverride>
  </w:num>
  <w:num w:numId="33">
    <w:abstractNumId w:val="34"/>
  </w:num>
  <w:num w:numId="34">
    <w:abstractNumId w:val="14"/>
  </w:num>
  <w:num w:numId="35">
    <w:abstractNumId w:val="21"/>
  </w:num>
  <w:num w:numId="36">
    <w:abstractNumId w:val="11"/>
  </w:num>
  <w:num w:numId="37">
    <w:abstractNumId w:val="3"/>
  </w:num>
  <w:num w:numId="38">
    <w:abstractNumId w:val="0"/>
  </w:num>
  <w:num w:numId="39">
    <w:abstractNumId w:val="16"/>
  </w:num>
  <w:num w:numId="40">
    <w:abstractNumId w:val="48"/>
  </w:num>
  <w:num w:numId="41">
    <w:abstractNumId w:val="31"/>
  </w:num>
  <w:num w:numId="42">
    <w:abstractNumId w:val="42"/>
  </w:num>
  <w:num w:numId="43">
    <w:abstractNumId w:val="26"/>
  </w:num>
  <w:num w:numId="44">
    <w:abstractNumId w:val="7"/>
    <w:lvlOverride w:ilvl="0">
      <w:lvl w:ilvl="0">
        <w:start w:val="1"/>
        <w:numFmt w:val="decimal"/>
        <w:lvlRestart w:val="0"/>
        <w:pStyle w:val="NumPar1"/>
        <w:lvlText w:val="%1."/>
        <w:lvlJc w:val="left"/>
        <w:pPr>
          <w:tabs>
            <w:tab w:val="num" w:pos="850"/>
          </w:tabs>
          <w:ind w:left="850" w:hanging="850"/>
        </w:pPr>
        <w:rPr>
          <w:rFonts w:cs="Times New Roman" w:hint="default"/>
        </w:rPr>
      </w:lvl>
    </w:lvlOverride>
    <w:lvlOverride w:ilvl="1">
      <w:lvl w:ilvl="1">
        <w:start w:val="1"/>
        <w:numFmt w:val="decimal"/>
        <w:pStyle w:val="NumPar2"/>
        <w:lvlText w:val="%1.%2."/>
        <w:lvlJc w:val="left"/>
        <w:pPr>
          <w:tabs>
            <w:tab w:val="num" w:pos="850"/>
          </w:tabs>
          <w:ind w:left="850" w:hanging="850"/>
        </w:pPr>
        <w:rPr>
          <w:rFonts w:cs="Times New Roman" w:hint="default"/>
        </w:rPr>
      </w:lvl>
    </w:lvlOverride>
    <w:lvlOverride w:ilvl="2">
      <w:lvl w:ilvl="2">
        <w:start w:val="1"/>
        <w:numFmt w:val="decimal"/>
        <w:pStyle w:val="NumPar3"/>
        <w:lvlText w:val="%1.%2.%3."/>
        <w:lvlJc w:val="left"/>
        <w:pPr>
          <w:tabs>
            <w:tab w:val="num" w:pos="850"/>
          </w:tabs>
          <w:ind w:left="850" w:hanging="850"/>
        </w:pPr>
        <w:rPr>
          <w:rFonts w:cs="Times New Roman" w:hint="default"/>
        </w:rPr>
      </w:lvl>
    </w:lvlOverride>
    <w:lvlOverride w:ilvl="3">
      <w:lvl w:ilvl="3">
        <w:start w:val="1"/>
        <w:numFmt w:val="decimal"/>
        <w:pStyle w:val="NumPar4"/>
        <w:lvlText w:val="%1.%2.%3.%4."/>
        <w:lvlJc w:val="left"/>
        <w:pPr>
          <w:tabs>
            <w:tab w:val="num" w:pos="850"/>
          </w:tabs>
          <w:ind w:left="850" w:hanging="850"/>
        </w:pPr>
        <w:rPr>
          <w:rFonts w:cs="Times New Roman" w:hint="default"/>
        </w:rPr>
      </w:lvl>
    </w:lvlOverride>
    <w:lvlOverride w:ilvl="4">
      <w:lvl w:ilvl="4">
        <w:start w:val="1"/>
        <w:numFmt w:val="lowerLetter"/>
        <w:lvlText w:val="(%5)"/>
        <w:lvlJc w:val="left"/>
        <w:pPr>
          <w:tabs>
            <w:tab w:val="num" w:pos="1800"/>
          </w:tabs>
          <w:ind w:left="1800" w:hanging="360"/>
        </w:pPr>
        <w:rPr>
          <w:rFonts w:cs="Times New Roman" w:hint="default"/>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45">
    <w:abstractNumId w:val="7"/>
    <w:lvlOverride w:ilvl="0">
      <w:startOverride w:val="1"/>
      <w:lvl w:ilvl="0">
        <w:start w:val="1"/>
        <w:numFmt w:val="decimal"/>
        <w:lvlRestart w:val="0"/>
        <w:pStyle w:val="NumPar1"/>
        <w:lvlText w:val="%1."/>
        <w:lvlJc w:val="left"/>
        <w:pPr>
          <w:tabs>
            <w:tab w:val="num" w:pos="850"/>
          </w:tabs>
          <w:ind w:left="850" w:hanging="850"/>
        </w:pPr>
        <w:rPr>
          <w:rFonts w:cs="Times New Roman" w:hint="default"/>
        </w:rPr>
      </w:lvl>
    </w:lvlOverride>
    <w:lvlOverride w:ilvl="1">
      <w:startOverride w:val="1"/>
      <w:lvl w:ilvl="1">
        <w:start w:val="1"/>
        <w:numFmt w:val="decimal"/>
        <w:pStyle w:val="NumPar2"/>
        <w:lvlText w:val="%1.%2."/>
        <w:lvlJc w:val="left"/>
        <w:pPr>
          <w:tabs>
            <w:tab w:val="num" w:pos="850"/>
          </w:tabs>
          <w:ind w:left="850" w:hanging="850"/>
        </w:pPr>
        <w:rPr>
          <w:rFonts w:cs="Times New Roman" w:hint="default"/>
        </w:rPr>
      </w:lvl>
    </w:lvlOverride>
    <w:lvlOverride w:ilvl="2">
      <w:startOverride w:val="1"/>
      <w:lvl w:ilvl="2">
        <w:start w:val="1"/>
        <w:numFmt w:val="decimal"/>
        <w:pStyle w:val="NumPar3"/>
        <w:lvlText w:val="%1.%2.%3."/>
        <w:lvlJc w:val="left"/>
        <w:pPr>
          <w:tabs>
            <w:tab w:val="num" w:pos="850"/>
          </w:tabs>
          <w:ind w:left="850" w:hanging="850"/>
        </w:pPr>
        <w:rPr>
          <w:rFonts w:cs="Times New Roman" w:hint="default"/>
        </w:rPr>
      </w:lvl>
    </w:lvlOverride>
    <w:lvlOverride w:ilvl="3">
      <w:startOverride w:val="1"/>
      <w:lvl w:ilvl="3">
        <w:start w:val="1"/>
        <w:numFmt w:val="decimal"/>
        <w:pStyle w:val="NumPar4"/>
        <w:lvlText w:val="%1.%2.%3.%4."/>
        <w:lvlJc w:val="left"/>
        <w:pPr>
          <w:tabs>
            <w:tab w:val="num" w:pos="850"/>
          </w:tabs>
          <w:ind w:left="850" w:hanging="850"/>
        </w:pPr>
        <w:rPr>
          <w:rFonts w:cs="Times New Roman" w:hint="default"/>
        </w:rPr>
      </w:lvl>
    </w:lvlOverride>
    <w:lvlOverride w:ilvl="4">
      <w:startOverride w:val="1"/>
      <w:lvl w:ilvl="4">
        <w:start w:val="1"/>
        <w:numFmt w:val="lowerLetter"/>
        <w:lvlText w:val="(%5)"/>
        <w:lvlJc w:val="left"/>
        <w:pPr>
          <w:tabs>
            <w:tab w:val="num" w:pos="1800"/>
          </w:tabs>
          <w:ind w:left="1800" w:hanging="360"/>
        </w:pPr>
        <w:rPr>
          <w:rFonts w:cs="Times New Roman" w:hint="default"/>
        </w:rPr>
      </w:lvl>
    </w:lvlOverride>
    <w:lvlOverride w:ilvl="5">
      <w:startOverride w:val="1"/>
      <w:lvl w:ilvl="5">
        <w:start w:val="1"/>
        <w:numFmt w:val="lowerRoman"/>
        <w:lvlText w:val="(%6)"/>
        <w:lvlJc w:val="left"/>
        <w:pPr>
          <w:tabs>
            <w:tab w:val="num" w:pos="2160"/>
          </w:tabs>
          <w:ind w:left="2160" w:hanging="360"/>
        </w:pPr>
        <w:rPr>
          <w:rFonts w:cs="Times New Roman" w:hint="default"/>
        </w:rPr>
      </w:lvl>
    </w:lvlOverride>
    <w:lvlOverride w:ilvl="6">
      <w:startOverride w:val="1"/>
      <w:lvl w:ilvl="6">
        <w:start w:val="1"/>
        <w:numFmt w:val="decimal"/>
        <w:lvlText w:val="%7."/>
        <w:lvlJc w:val="left"/>
        <w:pPr>
          <w:tabs>
            <w:tab w:val="num" w:pos="2520"/>
          </w:tabs>
          <w:ind w:left="2520" w:hanging="360"/>
        </w:pPr>
        <w:rPr>
          <w:rFonts w:cs="Times New Roman" w:hint="default"/>
        </w:rPr>
      </w:lvl>
    </w:lvlOverride>
    <w:lvlOverride w:ilvl="7">
      <w:startOverride w:val="1"/>
      <w:lvl w:ilvl="7">
        <w:start w:val="1"/>
        <w:numFmt w:val="lowerLetter"/>
        <w:lvlText w:val="%8."/>
        <w:lvlJc w:val="left"/>
        <w:pPr>
          <w:tabs>
            <w:tab w:val="num" w:pos="2880"/>
          </w:tabs>
          <w:ind w:left="2880" w:hanging="360"/>
        </w:pPr>
        <w:rPr>
          <w:rFonts w:cs="Times New Roman" w:hint="default"/>
        </w:rPr>
      </w:lvl>
    </w:lvlOverride>
    <w:lvlOverride w:ilvl="8">
      <w:startOverride w:val="1"/>
      <w:lvl w:ilvl="8">
        <w:start w:val="1"/>
        <w:numFmt w:val="lowerRoman"/>
        <w:lvlText w:val="%9."/>
        <w:lvlJc w:val="left"/>
        <w:pPr>
          <w:tabs>
            <w:tab w:val="num" w:pos="3240"/>
          </w:tabs>
          <w:ind w:left="3240" w:hanging="360"/>
        </w:pPr>
        <w:rPr>
          <w:rFonts w:cs="Times New Roman" w:hint="default"/>
        </w:rPr>
      </w:lvl>
    </w:lvlOverride>
  </w:num>
  <w:num w:numId="46">
    <w:abstractNumId w:val="25"/>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8"/>
  </w:num>
  <w:num w:numId="52">
    <w:abstractNumId w:val="24"/>
  </w:num>
  <w:num w:numId="53">
    <w:abstractNumId w:val="36"/>
  </w:num>
  <w:num w:numId="54">
    <w:abstractNumId w:val="28"/>
  </w:num>
  <w:num w:numId="55">
    <w:abstractNumId w:val="32"/>
  </w:num>
  <w:num w:numId="56">
    <w:abstractNumId w:val="13"/>
  </w:num>
  <w:num w:numId="57">
    <w:abstractNumId w:val="18"/>
  </w:num>
  <w:num w:numId="58">
    <w:abstractNumId w:val="17"/>
  </w:num>
  <w:num w:numId="59">
    <w:abstractNumId w:val="33"/>
  </w:num>
  <w:num w:numId="60">
    <w:abstractNumId w:val="12"/>
  </w:num>
  <w:num w:numId="61">
    <w:abstractNumId w:val="27"/>
  </w:num>
  <w:num w:numId="62">
    <w:abstractNumId w:val="39"/>
  </w:num>
  <w:num w:numId="63">
    <w:abstractNumId w:val="44"/>
  </w:num>
  <w:num w:numId="64">
    <w:abstractNumId w:val="30"/>
  </w:num>
  <w:num w:numId="65">
    <w:abstractNumId w:val="30"/>
  </w:num>
  <w:num w:numId="66">
    <w:abstractNumId w:val="30"/>
  </w:num>
  <w:num w:numId="67">
    <w:abstractNumId w:val="30"/>
  </w:num>
  <w:num w:numId="68">
    <w:abstractNumId w:val="30"/>
  </w:num>
  <w:num w:numId="69">
    <w:abstractNumId w:val="30"/>
  </w:num>
  <w:num w:numId="70">
    <w:abstractNumId w:val="30"/>
  </w:num>
  <w:num w:numId="71">
    <w:abstractNumId w:val="30"/>
  </w:num>
  <w:num w:numId="72">
    <w:abstractNumId w:val="30"/>
  </w:num>
  <w:num w:numId="73">
    <w:abstractNumId w:val="30"/>
  </w:num>
  <w:num w:numId="74">
    <w:abstractNumId w:val="30"/>
  </w:num>
  <w:num w:numId="75">
    <w:abstractNumId w:val="30"/>
  </w:num>
  <w:num w:numId="76">
    <w:abstractNumId w:val="30"/>
  </w:num>
  <w:num w:numId="77">
    <w:abstractNumId w:val="30"/>
  </w:num>
  <w:num w:numId="78">
    <w:abstractNumId w:val="30"/>
  </w:num>
  <w:num w:numId="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hideGrammaticalErrors/>
  <w:doNotTrackMoves/>
  <w:defaultTabStop w:val="720"/>
  <w:characterSpacingControl w:val="doNotCompress"/>
  <w:hdrShapeDefaults>
    <o:shapedefaults v:ext="edit" spidmax="1126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ocStatus" w:val="Green"/>
    <w:docVar w:name="LW_CORRIGENDUM" w:val="&lt;UNUSED&gt;"/>
    <w:docVar w:name="LW_COVERPAGE_EXISTS" w:val="True"/>
    <w:docVar w:name="LW_COVERPAGE_GUID" w:val="FF130AF0-71FE-4847-956F-9C64D9D06C50"/>
    <w:docVar w:name="LW_COVERPAGE_TYPE" w:val="1"/>
    <w:docVar w:name="LW_CROSSREFERENCE" w:val="{SWD(2018) 20 final}"/>
    <w:docVar w:name="LW_DocType" w:val="NORMAL"/>
    <w:docVar w:name="LW_EMISSION" w:val="16.1.2018"/>
    <w:docVar w:name="LW_EMISSION_ISODATE" w:val="2018-01-16"/>
    <w:docVar w:name="LW_EMISSION_LOCATION" w:val="STR"/>
    <w:docVar w:name="LW_EMISSION_PREFIX" w:val="Strasbourg "/>
    <w:docVar w:name="LW_EMISSION_SUFFIX" w:val="&lt;EMPTY&gt;"/>
    <w:docVar w:name="LW_ID_DOCTYPE_NONLW" w:val="CP-014"/>
    <w:docVar w:name="LW_LANGUE" w:val="FI"/>
    <w:docVar w:name="LW_LEVEL_OF_SENSITIVITY" w:val="Standard treatment"/>
    <w:docVar w:name="LW_NOM.INST" w:val="EUROOPAN KOMISSIO"/>
    <w:docVar w:name="LW_NOM.INST_JOINTDOC" w:val="&lt;EMPTY&gt;"/>
    <w:docVar w:name="LW_PART_NBR" w:val="1"/>
    <w:docVar w:name="LW_PART_NBR_TOTAL" w:val="1"/>
    <w:docVar w:name="LW_REF.INST.NEW" w:val="COM"/>
    <w:docVar w:name="LW_REF.INST.NEW_ADOPTED" w:val="final"/>
    <w:docVar w:name="LW_REF.INST.NEW_TEXT" w:val="(2018) 3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 w:val="options to address the interface between chemical, product and waste legislation"/>
    <w:docVar w:name="LW_SOUS.TITRE.OBJ.CP" w:val="options to address the interface between chemical, product and waste legislation"/>
    <w:docVar w:name="LW_SUPERTITRE" w:val="&lt;UNUSED&gt;"/>
    <w:docVar w:name="LW_TITRE.OBJ.CP" w:val="&lt;FMT:Bold&gt;kiertotalouspaketin täytäntöönpanosta:&lt;/FMT&gt;_x000b_&lt;FMT:Bold&gt;vaihtoehtoja kemikaali-, tuote- ja jätelainsäädännön rajapinnalla yksilöityjen ongelmien ratkaisemiseksi &lt;/FMT&gt;_x000b_ (ETA:n kannalta merkityksellinen teksti)"/>
    <w:docVar w:name="LW_TYPE.DOC.CP" w:val="KOMISSION TIEDONANTO EUROOPAN PARLAMENTILLE, NEUVOSTOLLE, EUROOPAN TALOUS- JA SOSIAALIKOMITEALLE JA ALUEIDEN KOMITEALLE"/>
    <w:docVar w:name="LW_TYPE.DOC.CP.USERTEXT" w:val="&lt;EMPTY&gt;"/>
  </w:docVars>
  <w:rsids>
    <w:rsidRoot w:val="005B5835"/>
    <w:rsid w:val="005B5835"/>
    <w:rsid w:val="00BF4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i-FI" w:eastAsia="fi-FI" w:bidi="fi-FI"/>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Text1"/>
    <w:link w:val="Heading1Char"/>
    <w:uiPriority w:val="99"/>
    <w:qFormat/>
    <w:pPr>
      <w:keepNext/>
      <w:numPr>
        <w:numId w:val="9"/>
      </w:numPr>
      <w:spacing w:before="360" w:after="120" w:line="240" w:lineRule="auto"/>
      <w:jc w:val="both"/>
      <w:outlineLvl w:val="0"/>
    </w:pPr>
    <w:rPr>
      <w:rFonts w:ascii="Times New Roman" w:eastAsia="Times New Roman" w:hAnsi="Times New Roman"/>
      <w:b/>
      <w:bCs/>
      <w:smallCaps/>
      <w:sz w:val="24"/>
      <w:szCs w:val="32"/>
    </w:rPr>
  </w:style>
  <w:style w:type="paragraph" w:styleId="Heading2">
    <w:name w:val="heading 2"/>
    <w:basedOn w:val="Normal"/>
    <w:next w:val="Text1"/>
    <w:link w:val="Heading2Char"/>
    <w:uiPriority w:val="99"/>
    <w:qFormat/>
    <w:pPr>
      <w:keepNext/>
      <w:numPr>
        <w:ilvl w:val="1"/>
        <w:numId w:val="9"/>
      </w:numPr>
      <w:spacing w:before="120" w:after="120" w:line="240" w:lineRule="auto"/>
      <w:jc w:val="both"/>
      <w:outlineLvl w:val="1"/>
    </w:pPr>
    <w:rPr>
      <w:rFonts w:ascii="Times New Roman" w:eastAsia="Times New Roman" w:hAnsi="Times New Roman"/>
      <w:b/>
      <w:bCs/>
      <w:iCs/>
      <w:sz w:val="24"/>
      <w:szCs w:val="28"/>
    </w:rPr>
  </w:style>
  <w:style w:type="paragraph" w:styleId="Heading3">
    <w:name w:val="heading 3"/>
    <w:basedOn w:val="Normal"/>
    <w:next w:val="Text1"/>
    <w:link w:val="Heading3Char"/>
    <w:uiPriority w:val="99"/>
    <w:qFormat/>
    <w:pPr>
      <w:keepNext/>
      <w:numPr>
        <w:ilvl w:val="2"/>
        <w:numId w:val="9"/>
      </w:numPr>
      <w:spacing w:before="120" w:after="120" w:line="240" w:lineRule="auto"/>
      <w:jc w:val="both"/>
      <w:outlineLvl w:val="2"/>
    </w:pPr>
    <w:rPr>
      <w:rFonts w:ascii="Times New Roman" w:eastAsia="Times New Roman" w:hAnsi="Times New Roman"/>
      <w:bCs/>
      <w:i/>
      <w:sz w:val="24"/>
      <w:szCs w:val="26"/>
    </w:rPr>
  </w:style>
  <w:style w:type="paragraph" w:styleId="Heading4">
    <w:name w:val="heading 4"/>
    <w:basedOn w:val="Normal"/>
    <w:next w:val="Text1"/>
    <w:link w:val="Heading4Char"/>
    <w:uiPriority w:val="99"/>
    <w:qFormat/>
    <w:pPr>
      <w:keepNext/>
      <w:numPr>
        <w:ilvl w:val="3"/>
        <w:numId w:val="9"/>
      </w:numPr>
      <w:spacing w:before="120" w:after="120" w:line="240" w:lineRule="auto"/>
      <w:jc w:val="both"/>
      <w:outlineLvl w:val="3"/>
    </w:pPr>
    <w:rPr>
      <w:rFonts w:ascii="Times New Roman" w:eastAsia="Times New Roman" w:hAnsi="Times New Roman"/>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uiPriority w:val="99"/>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imes New Roman" w:hAnsi="Times New Roman"/>
      <w:sz w:val="24"/>
      <w:szCs w:val="24"/>
    </w:rPr>
  </w:style>
  <w:style w:type="paragraph" w:styleId="Header">
    <w:name w:val="header"/>
    <w:basedOn w:val="Normal"/>
    <w:link w:val="HeaderChar"/>
    <w:unhideWhenUsed/>
    <w:pPr>
      <w:tabs>
        <w:tab w:val="center" w:pos="4513"/>
        <w:tab w:val="right" w:pos="9026"/>
      </w:tabs>
    </w:pPr>
  </w:style>
  <w:style w:type="character" w:customStyle="1" w:styleId="HeaderChar">
    <w:name w:val="Header Char"/>
    <w:link w:val="Header"/>
    <w:rPr>
      <w:sz w:val="22"/>
      <w:szCs w:val="22"/>
      <w:lang w:eastAsia="fi-FI"/>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sz w:val="22"/>
      <w:szCs w:val="22"/>
      <w:lang w:eastAsia="fi-FI"/>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rPr>
      <w:lang w:eastAsia="fi-FI"/>
    </w:rPr>
  </w:style>
  <w:style w:type="character" w:styleId="FootnoteReference">
    <w:name w:val="footnote reference"/>
    <w:rPr>
      <w:rFonts w:cs="Times New Roman"/>
      <w:shd w:val="clear" w:color="auto" w:fill="auto"/>
      <w:vertAlign w:val="superscript"/>
    </w:rPr>
  </w:style>
  <w:style w:type="character" w:styleId="Hyperlink">
    <w:name w:val="Hyperlink"/>
    <w:uiPriority w:val="99"/>
    <w:rPr>
      <w:rFonts w:cs="Times New Roman"/>
      <w:color w:val="0000FF"/>
      <w:u w:val="single"/>
      <w:shd w:val="clear" w:color="auto" w:fill="auto"/>
    </w:rPr>
  </w:style>
  <w:style w:type="character" w:customStyle="1" w:styleId="Heading1Char">
    <w:name w:val="Heading 1 Char"/>
    <w:link w:val="Heading1"/>
    <w:uiPriority w:val="99"/>
    <w:rPr>
      <w:rFonts w:ascii="Times New Roman" w:eastAsia="Times New Roman" w:hAnsi="Times New Roman"/>
      <w:b/>
      <w:bCs/>
      <w:smallCaps/>
      <w:sz w:val="24"/>
      <w:szCs w:val="32"/>
    </w:rPr>
  </w:style>
  <w:style w:type="character" w:customStyle="1" w:styleId="Heading2Char">
    <w:name w:val="Heading 2 Char"/>
    <w:link w:val="Heading2"/>
    <w:uiPriority w:val="99"/>
    <w:rPr>
      <w:rFonts w:ascii="Times New Roman" w:eastAsia="Times New Roman" w:hAnsi="Times New Roman"/>
      <w:b/>
      <w:bCs/>
      <w:iCs/>
      <w:sz w:val="24"/>
      <w:szCs w:val="28"/>
    </w:rPr>
  </w:style>
  <w:style w:type="character" w:customStyle="1" w:styleId="Heading3Char">
    <w:name w:val="Heading 3 Char"/>
    <w:link w:val="Heading3"/>
    <w:uiPriority w:val="99"/>
    <w:rPr>
      <w:rFonts w:ascii="Times New Roman" w:eastAsia="Times New Roman" w:hAnsi="Times New Roman"/>
      <w:bCs/>
      <w:i/>
      <w:sz w:val="24"/>
      <w:szCs w:val="26"/>
    </w:rPr>
  </w:style>
  <w:style w:type="character" w:customStyle="1" w:styleId="Heading4Char">
    <w:name w:val="Heading 4 Char"/>
    <w:link w:val="Heading4"/>
    <w:uiPriority w:val="99"/>
    <w:rPr>
      <w:rFonts w:ascii="Times New Roman" w:eastAsia="Times New Roman" w:hAnsi="Times New Roman"/>
      <w:bCs/>
      <w:sz w:val="24"/>
      <w:szCs w:val="28"/>
    </w:rPr>
  </w:style>
  <w:style w:type="numbering" w:customStyle="1" w:styleId="NoList1">
    <w:name w:val="No List1"/>
    <w:next w:val="NoList"/>
    <w:uiPriority w:val="99"/>
    <w:semiHidden/>
    <w:unhideWhenUsed/>
  </w:style>
  <w:style w:type="paragraph" w:styleId="TOC1">
    <w:name w:val="toc 1"/>
    <w:basedOn w:val="Normal"/>
    <w:next w:val="Normal"/>
    <w:uiPriority w:val="99"/>
    <w:semiHidden/>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2">
    <w:name w:val="toc 2"/>
    <w:basedOn w:val="Normal"/>
    <w:next w:val="Normal"/>
    <w:uiPriority w:val="99"/>
    <w:semiHidden/>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3">
    <w:name w:val="toc 3"/>
    <w:basedOn w:val="Normal"/>
    <w:next w:val="Normal"/>
    <w:uiPriority w:val="99"/>
    <w:semiHidden/>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4">
    <w:name w:val="toc 4"/>
    <w:basedOn w:val="Normal"/>
    <w:next w:val="Normal"/>
    <w:uiPriority w:val="99"/>
    <w:semiHidden/>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5">
    <w:name w:val="toc 5"/>
    <w:basedOn w:val="Normal"/>
    <w:next w:val="Normal"/>
    <w:uiPriority w:val="99"/>
    <w:semiHidden/>
    <w:pPr>
      <w:tabs>
        <w:tab w:val="right" w:leader="dot" w:pos="9071"/>
      </w:tabs>
      <w:spacing w:before="300" w:after="120" w:line="240" w:lineRule="auto"/>
    </w:pPr>
    <w:rPr>
      <w:rFonts w:ascii="Times New Roman" w:eastAsia="Times New Roman" w:hAnsi="Times New Roman"/>
      <w:sz w:val="24"/>
      <w:szCs w:val="24"/>
    </w:rPr>
  </w:style>
  <w:style w:type="paragraph" w:styleId="TOC6">
    <w:name w:val="toc 6"/>
    <w:basedOn w:val="Normal"/>
    <w:next w:val="Normal"/>
    <w:uiPriority w:val="99"/>
    <w:semiHidden/>
    <w:pPr>
      <w:tabs>
        <w:tab w:val="right" w:leader="dot" w:pos="9071"/>
      </w:tabs>
      <w:spacing w:before="240" w:after="120" w:line="240" w:lineRule="auto"/>
    </w:pPr>
    <w:rPr>
      <w:rFonts w:ascii="Times New Roman" w:eastAsia="Times New Roman" w:hAnsi="Times New Roman"/>
      <w:sz w:val="24"/>
      <w:szCs w:val="24"/>
    </w:rPr>
  </w:style>
  <w:style w:type="paragraph" w:styleId="TOC7">
    <w:name w:val="toc 7"/>
    <w:basedOn w:val="Normal"/>
    <w:next w:val="Normal"/>
    <w:uiPriority w:val="99"/>
    <w:semiHidden/>
    <w:pPr>
      <w:tabs>
        <w:tab w:val="right" w:leader="dot" w:pos="9071"/>
      </w:tabs>
      <w:spacing w:before="180" w:after="120" w:line="240" w:lineRule="auto"/>
    </w:pPr>
    <w:rPr>
      <w:rFonts w:ascii="Times New Roman" w:eastAsia="Times New Roman" w:hAnsi="Times New Roman"/>
      <w:sz w:val="24"/>
      <w:szCs w:val="24"/>
    </w:rPr>
  </w:style>
  <w:style w:type="paragraph" w:styleId="TOC8">
    <w:name w:val="toc 8"/>
    <w:basedOn w:val="Normal"/>
    <w:next w:val="Normal"/>
    <w:uiPriority w:val="99"/>
    <w:semiHidden/>
    <w:pPr>
      <w:tabs>
        <w:tab w:val="right" w:leader="dot" w:pos="9071"/>
      </w:tabs>
      <w:spacing w:before="120" w:after="120" w:line="240" w:lineRule="auto"/>
    </w:pPr>
    <w:rPr>
      <w:rFonts w:ascii="Times New Roman" w:eastAsia="Times New Roman" w:hAnsi="Times New Roman"/>
      <w:sz w:val="24"/>
      <w:szCs w:val="24"/>
    </w:rPr>
  </w:style>
  <w:style w:type="paragraph" w:styleId="TOC9">
    <w:name w:val="toc 9"/>
    <w:basedOn w:val="Normal"/>
    <w:next w:val="Normal"/>
    <w:uiPriority w:val="99"/>
    <w:semiHidden/>
    <w:pPr>
      <w:tabs>
        <w:tab w:val="right" w:leader="dot" w:pos="9071"/>
      </w:tabs>
      <w:spacing w:before="120" w:after="120" w:line="240" w:lineRule="auto"/>
      <w:jc w:val="both"/>
    </w:pPr>
    <w:rPr>
      <w:rFonts w:ascii="Times New Roman" w:eastAsia="Times New Roman" w:hAnsi="Times New Roman"/>
      <w:sz w:val="24"/>
      <w:szCs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imes New Roman" w:hAnsi="Times New Roman"/>
      <w:sz w:val="24"/>
      <w:szCs w:val="24"/>
    </w:rPr>
  </w:style>
  <w:style w:type="paragraph" w:customStyle="1" w:styleId="FooterLandscape">
    <w:name w:val="FooterLandscape"/>
    <w:basedOn w:val="Normal"/>
    <w:uiPriority w:val="99"/>
    <w:pPr>
      <w:tabs>
        <w:tab w:val="center" w:pos="7285"/>
        <w:tab w:val="center" w:pos="10913"/>
        <w:tab w:val="right" w:pos="15137"/>
      </w:tabs>
      <w:spacing w:before="360" w:after="0" w:line="240" w:lineRule="auto"/>
      <w:ind w:left="-567" w:right="-567"/>
    </w:pPr>
    <w:rPr>
      <w:rFonts w:ascii="Times New Roman" w:eastAsia="Times New Roman" w:hAnsi="Times New Roman"/>
      <w:sz w:val="24"/>
      <w:szCs w:val="24"/>
    </w:rPr>
  </w:style>
  <w:style w:type="paragraph" w:customStyle="1" w:styleId="Text1">
    <w:name w:val="Text 1"/>
    <w:basedOn w:val="Normal"/>
    <w:pPr>
      <w:spacing w:before="120" w:after="120" w:line="240" w:lineRule="auto"/>
      <w:ind w:left="850"/>
      <w:jc w:val="both"/>
    </w:pPr>
    <w:rPr>
      <w:rFonts w:ascii="Times New Roman" w:eastAsia="Times New Roman" w:hAnsi="Times New Roman"/>
      <w:sz w:val="24"/>
      <w:szCs w:val="24"/>
    </w:rPr>
  </w:style>
  <w:style w:type="paragraph" w:customStyle="1" w:styleId="Text2">
    <w:name w:val="Text 2"/>
    <w:basedOn w:val="Normal"/>
    <w:uiPriority w:val="99"/>
    <w:pPr>
      <w:spacing w:before="120" w:after="120" w:line="240" w:lineRule="auto"/>
      <w:ind w:left="1417"/>
      <w:jc w:val="both"/>
    </w:pPr>
    <w:rPr>
      <w:rFonts w:ascii="Times New Roman" w:eastAsia="Times New Roman" w:hAnsi="Times New Roman"/>
      <w:sz w:val="24"/>
      <w:szCs w:val="24"/>
    </w:rPr>
  </w:style>
  <w:style w:type="paragraph" w:customStyle="1" w:styleId="Text3">
    <w:name w:val="Text 3"/>
    <w:basedOn w:val="Normal"/>
    <w:uiPriority w:val="99"/>
    <w:pPr>
      <w:spacing w:before="120" w:after="120" w:line="240" w:lineRule="auto"/>
      <w:ind w:left="1984"/>
      <w:jc w:val="both"/>
    </w:pPr>
    <w:rPr>
      <w:rFonts w:ascii="Times New Roman" w:eastAsia="Times New Roman" w:hAnsi="Times New Roman"/>
      <w:sz w:val="24"/>
      <w:szCs w:val="24"/>
    </w:rPr>
  </w:style>
  <w:style w:type="paragraph" w:customStyle="1" w:styleId="Text4">
    <w:name w:val="Text 4"/>
    <w:basedOn w:val="Normal"/>
    <w:uiPriority w:val="99"/>
    <w:pPr>
      <w:spacing w:before="120" w:after="120" w:line="240" w:lineRule="auto"/>
      <w:ind w:left="2551"/>
      <w:jc w:val="both"/>
    </w:pPr>
    <w:rPr>
      <w:rFonts w:ascii="Times New Roman" w:eastAsia="Times New Roman" w:hAnsi="Times New Roman"/>
      <w:sz w:val="24"/>
      <w:szCs w:val="24"/>
    </w:rPr>
  </w:style>
  <w:style w:type="paragraph" w:customStyle="1" w:styleId="NormalCentered">
    <w:name w:val="Normal Centered"/>
    <w:basedOn w:val="Normal"/>
    <w:uiPriority w:val="99"/>
    <w:pPr>
      <w:spacing w:before="120" w:after="120" w:line="240" w:lineRule="auto"/>
      <w:jc w:val="center"/>
    </w:pPr>
    <w:rPr>
      <w:rFonts w:ascii="Times New Roman" w:eastAsia="Times New Roman" w:hAnsi="Times New Roman"/>
      <w:sz w:val="24"/>
      <w:szCs w:val="24"/>
    </w:rPr>
  </w:style>
  <w:style w:type="paragraph" w:customStyle="1" w:styleId="NormalLeft">
    <w:name w:val="Normal Left"/>
    <w:basedOn w:val="Normal"/>
    <w:uiPriority w:val="99"/>
    <w:pPr>
      <w:spacing w:before="120" w:after="120" w:line="240" w:lineRule="auto"/>
    </w:pPr>
    <w:rPr>
      <w:rFonts w:ascii="Times New Roman" w:eastAsia="Times New Roman" w:hAnsi="Times New Roman"/>
      <w:sz w:val="24"/>
      <w:szCs w:val="24"/>
    </w:rPr>
  </w:style>
  <w:style w:type="paragraph" w:customStyle="1" w:styleId="NormalRight">
    <w:name w:val="Normal Right"/>
    <w:basedOn w:val="Normal"/>
    <w:uiPriority w:val="99"/>
    <w:pPr>
      <w:spacing w:before="120" w:after="120" w:line="240" w:lineRule="auto"/>
      <w:jc w:val="right"/>
    </w:pPr>
    <w:rPr>
      <w:rFonts w:ascii="Times New Roman" w:eastAsia="Times New Roman" w:hAnsi="Times New Roman"/>
      <w:sz w:val="24"/>
      <w:szCs w:val="24"/>
    </w:rPr>
  </w:style>
  <w:style w:type="paragraph" w:customStyle="1" w:styleId="QuotedText">
    <w:name w:val="Quoted Text"/>
    <w:basedOn w:val="Normal"/>
    <w:uiPriority w:val="99"/>
    <w:pPr>
      <w:spacing w:before="120" w:after="120" w:line="240" w:lineRule="auto"/>
      <w:ind w:left="1417"/>
      <w:jc w:val="both"/>
    </w:pPr>
    <w:rPr>
      <w:rFonts w:ascii="Times New Roman" w:eastAsia="Times New Roman" w:hAnsi="Times New Roman"/>
      <w:sz w:val="24"/>
      <w:szCs w:val="24"/>
    </w:rPr>
  </w:style>
  <w:style w:type="paragraph" w:customStyle="1" w:styleId="Point0">
    <w:name w:val="Point 0"/>
    <w:basedOn w:val="Normal"/>
    <w:uiPriority w:val="99"/>
    <w:pPr>
      <w:spacing w:before="120" w:after="120" w:line="240" w:lineRule="auto"/>
      <w:ind w:left="850" w:hanging="850"/>
      <w:jc w:val="both"/>
    </w:pPr>
    <w:rPr>
      <w:rFonts w:ascii="Times New Roman" w:eastAsia="Times New Roman" w:hAnsi="Times New Roman"/>
      <w:sz w:val="24"/>
      <w:szCs w:val="24"/>
    </w:rPr>
  </w:style>
  <w:style w:type="paragraph" w:customStyle="1" w:styleId="Point1">
    <w:name w:val="Point 1"/>
    <w:basedOn w:val="Normal"/>
    <w:uiPriority w:val="99"/>
    <w:pPr>
      <w:spacing w:before="120" w:after="120" w:line="240" w:lineRule="auto"/>
      <w:ind w:left="1417" w:hanging="567"/>
      <w:jc w:val="both"/>
    </w:pPr>
    <w:rPr>
      <w:rFonts w:ascii="Times New Roman" w:eastAsia="Times New Roman" w:hAnsi="Times New Roman"/>
      <w:sz w:val="24"/>
      <w:szCs w:val="24"/>
    </w:rPr>
  </w:style>
  <w:style w:type="paragraph" w:customStyle="1" w:styleId="Point2">
    <w:name w:val="Point 2"/>
    <w:basedOn w:val="Normal"/>
    <w:uiPriority w:val="99"/>
    <w:pPr>
      <w:spacing w:before="120" w:after="120" w:line="240" w:lineRule="auto"/>
      <w:ind w:left="1984" w:hanging="567"/>
      <w:jc w:val="both"/>
    </w:pPr>
    <w:rPr>
      <w:rFonts w:ascii="Times New Roman" w:eastAsia="Times New Roman" w:hAnsi="Times New Roman"/>
      <w:sz w:val="24"/>
      <w:szCs w:val="24"/>
    </w:rPr>
  </w:style>
  <w:style w:type="paragraph" w:customStyle="1" w:styleId="Point3">
    <w:name w:val="Point 3"/>
    <w:basedOn w:val="Normal"/>
    <w:uiPriority w:val="99"/>
    <w:pPr>
      <w:spacing w:before="120" w:after="120" w:line="240" w:lineRule="auto"/>
      <w:ind w:left="2551" w:hanging="567"/>
      <w:jc w:val="both"/>
    </w:pPr>
    <w:rPr>
      <w:rFonts w:ascii="Times New Roman" w:eastAsia="Times New Roman" w:hAnsi="Times New Roman"/>
      <w:sz w:val="24"/>
      <w:szCs w:val="24"/>
    </w:rPr>
  </w:style>
  <w:style w:type="paragraph" w:customStyle="1" w:styleId="Point4">
    <w:name w:val="Point 4"/>
    <w:basedOn w:val="Normal"/>
    <w:uiPriority w:val="99"/>
    <w:pPr>
      <w:spacing w:before="120" w:after="120" w:line="240" w:lineRule="auto"/>
      <w:ind w:left="3118" w:hanging="567"/>
      <w:jc w:val="both"/>
    </w:pPr>
    <w:rPr>
      <w:rFonts w:ascii="Times New Roman" w:eastAsia="Times New Roman" w:hAnsi="Times New Roman"/>
      <w:sz w:val="24"/>
      <w:szCs w:val="24"/>
    </w:rPr>
  </w:style>
  <w:style w:type="paragraph" w:customStyle="1" w:styleId="Tiret0">
    <w:name w:val="Tiret 0"/>
    <w:basedOn w:val="Point0"/>
    <w:uiPriority w:val="99"/>
    <w:pPr>
      <w:numPr>
        <w:numId w:val="3"/>
      </w:numPr>
    </w:pPr>
  </w:style>
  <w:style w:type="paragraph" w:customStyle="1" w:styleId="Tiret1">
    <w:name w:val="Tiret 1"/>
    <w:basedOn w:val="Point1"/>
    <w:uiPriority w:val="99"/>
    <w:pPr>
      <w:numPr>
        <w:numId w:val="4"/>
      </w:numPr>
    </w:pPr>
  </w:style>
  <w:style w:type="paragraph" w:customStyle="1" w:styleId="Tiret2">
    <w:name w:val="Tiret 2"/>
    <w:basedOn w:val="Point2"/>
    <w:uiPriority w:val="99"/>
    <w:pPr>
      <w:numPr>
        <w:numId w:val="5"/>
      </w:numPr>
    </w:pPr>
  </w:style>
  <w:style w:type="paragraph" w:customStyle="1" w:styleId="Tiret3">
    <w:name w:val="Tiret 3"/>
    <w:basedOn w:val="Point3"/>
    <w:uiPriority w:val="99"/>
    <w:pPr>
      <w:numPr>
        <w:numId w:val="6"/>
      </w:numPr>
    </w:pPr>
  </w:style>
  <w:style w:type="paragraph" w:customStyle="1" w:styleId="Tiret4">
    <w:name w:val="Tiret 4"/>
    <w:basedOn w:val="Point4"/>
    <w:uiPriority w:val="99"/>
    <w:pPr>
      <w:numPr>
        <w:numId w:val="7"/>
      </w:numPr>
    </w:pPr>
  </w:style>
  <w:style w:type="paragraph" w:customStyle="1" w:styleId="PointDouble0">
    <w:name w:val="PointDouble 0"/>
    <w:basedOn w:val="Normal"/>
    <w:uiPriority w:val="99"/>
    <w:pPr>
      <w:tabs>
        <w:tab w:val="left" w:pos="850"/>
      </w:tabs>
      <w:spacing w:before="120" w:after="120" w:line="240" w:lineRule="auto"/>
      <w:ind w:left="1417" w:hanging="1417"/>
      <w:jc w:val="both"/>
    </w:pPr>
    <w:rPr>
      <w:rFonts w:ascii="Times New Roman" w:eastAsia="Times New Roman" w:hAnsi="Times New Roman"/>
      <w:sz w:val="24"/>
      <w:szCs w:val="24"/>
    </w:rPr>
  </w:style>
  <w:style w:type="paragraph" w:customStyle="1" w:styleId="PointDouble1">
    <w:name w:val="PointDouble 1"/>
    <w:basedOn w:val="Normal"/>
    <w:uiPriority w:val="99"/>
    <w:pPr>
      <w:tabs>
        <w:tab w:val="left" w:pos="1417"/>
      </w:tabs>
      <w:spacing w:before="120" w:after="120" w:line="240" w:lineRule="auto"/>
      <w:ind w:left="1984" w:hanging="1134"/>
      <w:jc w:val="both"/>
    </w:pPr>
    <w:rPr>
      <w:rFonts w:ascii="Times New Roman" w:eastAsia="Times New Roman" w:hAnsi="Times New Roman"/>
      <w:sz w:val="24"/>
      <w:szCs w:val="24"/>
    </w:rPr>
  </w:style>
  <w:style w:type="paragraph" w:customStyle="1" w:styleId="PointDouble2">
    <w:name w:val="PointDouble 2"/>
    <w:basedOn w:val="Normal"/>
    <w:uiPriority w:val="99"/>
    <w:pPr>
      <w:tabs>
        <w:tab w:val="left" w:pos="1984"/>
      </w:tabs>
      <w:spacing w:before="120" w:after="120" w:line="240" w:lineRule="auto"/>
      <w:ind w:left="2551" w:hanging="1134"/>
      <w:jc w:val="both"/>
    </w:pPr>
    <w:rPr>
      <w:rFonts w:ascii="Times New Roman" w:eastAsia="Times New Roman" w:hAnsi="Times New Roman"/>
      <w:sz w:val="24"/>
      <w:szCs w:val="24"/>
    </w:rPr>
  </w:style>
  <w:style w:type="paragraph" w:customStyle="1" w:styleId="PointDouble3">
    <w:name w:val="PointDouble 3"/>
    <w:basedOn w:val="Normal"/>
    <w:uiPriority w:val="99"/>
    <w:pPr>
      <w:tabs>
        <w:tab w:val="left" w:pos="2551"/>
      </w:tabs>
      <w:spacing w:before="120" w:after="120" w:line="240" w:lineRule="auto"/>
      <w:ind w:left="3118" w:hanging="1134"/>
      <w:jc w:val="both"/>
    </w:pPr>
    <w:rPr>
      <w:rFonts w:ascii="Times New Roman" w:eastAsia="Times New Roman" w:hAnsi="Times New Roman"/>
      <w:sz w:val="24"/>
      <w:szCs w:val="24"/>
    </w:rPr>
  </w:style>
  <w:style w:type="paragraph" w:customStyle="1" w:styleId="PointDouble4">
    <w:name w:val="PointDouble 4"/>
    <w:basedOn w:val="Normal"/>
    <w:uiPriority w:val="99"/>
    <w:pPr>
      <w:tabs>
        <w:tab w:val="left" w:pos="3118"/>
      </w:tabs>
      <w:spacing w:before="120" w:after="120" w:line="240" w:lineRule="auto"/>
      <w:ind w:left="3685" w:hanging="1134"/>
      <w:jc w:val="both"/>
    </w:pPr>
    <w:rPr>
      <w:rFonts w:ascii="Times New Roman" w:eastAsia="Times New Roman" w:hAnsi="Times New Roman"/>
      <w:sz w:val="24"/>
      <w:szCs w:val="24"/>
    </w:rPr>
  </w:style>
  <w:style w:type="paragraph" w:customStyle="1" w:styleId="PointTriple0">
    <w:name w:val="PointTriple 0"/>
    <w:basedOn w:val="Normal"/>
    <w:uiPriority w:val="99"/>
    <w:pPr>
      <w:tabs>
        <w:tab w:val="left" w:pos="850"/>
        <w:tab w:val="left" w:pos="1417"/>
      </w:tabs>
      <w:spacing w:before="120" w:after="120" w:line="240" w:lineRule="auto"/>
      <w:ind w:left="1984" w:hanging="1984"/>
      <w:jc w:val="both"/>
    </w:pPr>
    <w:rPr>
      <w:rFonts w:ascii="Times New Roman" w:eastAsia="Times New Roman" w:hAnsi="Times New Roman"/>
      <w:sz w:val="24"/>
      <w:szCs w:val="24"/>
    </w:rPr>
  </w:style>
  <w:style w:type="paragraph" w:customStyle="1" w:styleId="PointTriple1">
    <w:name w:val="PointTriple 1"/>
    <w:basedOn w:val="Normal"/>
    <w:uiPriority w:val="99"/>
    <w:pPr>
      <w:tabs>
        <w:tab w:val="left" w:pos="1417"/>
        <w:tab w:val="left" w:pos="1984"/>
      </w:tabs>
      <w:spacing w:before="120" w:after="120" w:line="240" w:lineRule="auto"/>
      <w:ind w:left="2551" w:hanging="1701"/>
      <w:jc w:val="both"/>
    </w:pPr>
    <w:rPr>
      <w:rFonts w:ascii="Times New Roman" w:eastAsia="Times New Roman" w:hAnsi="Times New Roman"/>
      <w:sz w:val="24"/>
      <w:szCs w:val="24"/>
    </w:rPr>
  </w:style>
  <w:style w:type="paragraph" w:customStyle="1" w:styleId="PointTriple2">
    <w:name w:val="PointTriple 2"/>
    <w:basedOn w:val="Normal"/>
    <w:uiPriority w:val="99"/>
    <w:pPr>
      <w:tabs>
        <w:tab w:val="left" w:pos="1984"/>
        <w:tab w:val="left" w:pos="2551"/>
      </w:tabs>
      <w:spacing w:before="120" w:after="120" w:line="240" w:lineRule="auto"/>
      <w:ind w:left="3118" w:hanging="1701"/>
      <w:jc w:val="both"/>
    </w:pPr>
    <w:rPr>
      <w:rFonts w:ascii="Times New Roman" w:eastAsia="Times New Roman" w:hAnsi="Times New Roman"/>
      <w:sz w:val="24"/>
      <w:szCs w:val="24"/>
    </w:rPr>
  </w:style>
  <w:style w:type="paragraph" w:customStyle="1" w:styleId="PointTriple3">
    <w:name w:val="PointTriple 3"/>
    <w:basedOn w:val="Normal"/>
    <w:uiPriority w:val="99"/>
    <w:pPr>
      <w:tabs>
        <w:tab w:val="left" w:pos="2551"/>
        <w:tab w:val="left" w:pos="3118"/>
      </w:tabs>
      <w:spacing w:before="120" w:after="120" w:line="240" w:lineRule="auto"/>
      <w:ind w:left="3685" w:hanging="1701"/>
      <w:jc w:val="both"/>
    </w:pPr>
    <w:rPr>
      <w:rFonts w:ascii="Times New Roman" w:eastAsia="Times New Roman" w:hAnsi="Times New Roman"/>
      <w:sz w:val="24"/>
      <w:szCs w:val="24"/>
    </w:rPr>
  </w:style>
  <w:style w:type="paragraph" w:customStyle="1" w:styleId="PointTriple4">
    <w:name w:val="PointTriple 4"/>
    <w:basedOn w:val="Normal"/>
    <w:uiPriority w:val="99"/>
    <w:pPr>
      <w:tabs>
        <w:tab w:val="left" w:pos="3118"/>
        <w:tab w:val="left" w:pos="3685"/>
      </w:tabs>
      <w:spacing w:before="120" w:after="120" w:line="240" w:lineRule="auto"/>
      <w:ind w:left="4252" w:hanging="1701"/>
      <w:jc w:val="both"/>
    </w:pPr>
    <w:rPr>
      <w:rFonts w:ascii="Times New Roman" w:eastAsia="Times New Roman" w:hAnsi="Times New Roman"/>
      <w:sz w:val="24"/>
      <w:szCs w:val="24"/>
    </w:rPr>
  </w:style>
  <w:style w:type="paragraph" w:customStyle="1" w:styleId="NumPar1">
    <w:name w:val="NumPar 1"/>
    <w:basedOn w:val="Normal"/>
    <w:next w:val="Text1"/>
    <w:uiPriority w:val="99"/>
    <w:pPr>
      <w:numPr>
        <w:numId w:val="8"/>
      </w:numPr>
      <w:spacing w:before="120" w:after="120" w:line="240" w:lineRule="auto"/>
      <w:jc w:val="both"/>
    </w:pPr>
    <w:rPr>
      <w:rFonts w:ascii="Times New Roman" w:eastAsia="Times New Roman" w:hAnsi="Times New Roman"/>
      <w:sz w:val="24"/>
      <w:szCs w:val="24"/>
    </w:rPr>
  </w:style>
  <w:style w:type="paragraph" w:customStyle="1" w:styleId="NumPar2">
    <w:name w:val="NumPar 2"/>
    <w:basedOn w:val="Normal"/>
    <w:next w:val="Text1"/>
    <w:uiPriority w:val="99"/>
    <w:pPr>
      <w:numPr>
        <w:ilvl w:val="1"/>
        <w:numId w:val="8"/>
      </w:numPr>
      <w:spacing w:before="120" w:after="120" w:line="240" w:lineRule="auto"/>
      <w:jc w:val="both"/>
    </w:pPr>
    <w:rPr>
      <w:rFonts w:ascii="Times New Roman" w:eastAsia="Times New Roman" w:hAnsi="Times New Roman"/>
      <w:sz w:val="24"/>
      <w:szCs w:val="24"/>
    </w:rPr>
  </w:style>
  <w:style w:type="paragraph" w:customStyle="1" w:styleId="NumPar3">
    <w:name w:val="NumPar 3"/>
    <w:basedOn w:val="Normal"/>
    <w:next w:val="Text1"/>
    <w:uiPriority w:val="99"/>
    <w:pPr>
      <w:numPr>
        <w:ilvl w:val="2"/>
        <w:numId w:val="8"/>
      </w:numPr>
      <w:spacing w:before="120" w:after="120" w:line="240" w:lineRule="auto"/>
      <w:jc w:val="both"/>
    </w:pPr>
    <w:rPr>
      <w:rFonts w:ascii="Times New Roman" w:eastAsia="Times New Roman" w:hAnsi="Times New Roman"/>
      <w:sz w:val="24"/>
      <w:szCs w:val="24"/>
    </w:rPr>
  </w:style>
  <w:style w:type="paragraph" w:customStyle="1" w:styleId="NumPar4">
    <w:name w:val="NumPar 4"/>
    <w:basedOn w:val="Normal"/>
    <w:next w:val="Text1"/>
    <w:uiPriority w:val="99"/>
    <w:pPr>
      <w:numPr>
        <w:ilvl w:val="3"/>
        <w:numId w:val="8"/>
      </w:numPr>
      <w:spacing w:before="120" w:after="120" w:line="240" w:lineRule="auto"/>
      <w:jc w:val="both"/>
    </w:pPr>
    <w:rPr>
      <w:rFonts w:ascii="Times New Roman" w:eastAsia="Times New Roman" w:hAnsi="Times New Roman"/>
      <w:sz w:val="24"/>
      <w:szCs w:val="24"/>
    </w:rPr>
  </w:style>
  <w:style w:type="paragraph" w:customStyle="1" w:styleId="ManualNumPar1">
    <w:name w:val="Manual NumPar 1"/>
    <w:basedOn w:val="Normal"/>
    <w:next w:val="Text1"/>
    <w:uiPriority w:val="99"/>
    <w:pPr>
      <w:spacing w:before="120" w:after="120" w:line="240" w:lineRule="auto"/>
      <w:ind w:left="850" w:hanging="850"/>
      <w:jc w:val="both"/>
    </w:pPr>
    <w:rPr>
      <w:rFonts w:ascii="Times New Roman" w:eastAsia="Times New Roman" w:hAnsi="Times New Roman"/>
      <w:sz w:val="24"/>
      <w:szCs w:val="24"/>
    </w:rPr>
  </w:style>
  <w:style w:type="paragraph" w:customStyle="1" w:styleId="ManualNumPar2">
    <w:name w:val="Manual NumPar 2"/>
    <w:basedOn w:val="Normal"/>
    <w:next w:val="Text1"/>
    <w:uiPriority w:val="99"/>
    <w:pPr>
      <w:spacing w:before="120" w:after="120" w:line="240" w:lineRule="auto"/>
      <w:ind w:left="850" w:hanging="850"/>
      <w:jc w:val="both"/>
    </w:pPr>
    <w:rPr>
      <w:rFonts w:ascii="Times New Roman" w:eastAsia="Times New Roman" w:hAnsi="Times New Roman"/>
      <w:sz w:val="24"/>
      <w:szCs w:val="24"/>
    </w:rPr>
  </w:style>
  <w:style w:type="paragraph" w:customStyle="1" w:styleId="ManualNumPar3">
    <w:name w:val="Manual NumPar 3"/>
    <w:basedOn w:val="Normal"/>
    <w:next w:val="Text1"/>
    <w:uiPriority w:val="99"/>
    <w:pPr>
      <w:spacing w:before="120" w:after="120" w:line="240" w:lineRule="auto"/>
      <w:ind w:left="850" w:hanging="850"/>
      <w:jc w:val="both"/>
    </w:pPr>
    <w:rPr>
      <w:rFonts w:ascii="Times New Roman" w:eastAsia="Times New Roman" w:hAnsi="Times New Roman"/>
      <w:sz w:val="24"/>
      <w:szCs w:val="24"/>
    </w:rPr>
  </w:style>
  <w:style w:type="paragraph" w:customStyle="1" w:styleId="ManualNumPar4">
    <w:name w:val="Manual NumPar 4"/>
    <w:basedOn w:val="Normal"/>
    <w:next w:val="Text1"/>
    <w:uiPriority w:val="99"/>
    <w:pPr>
      <w:spacing w:before="120" w:after="120" w:line="240" w:lineRule="auto"/>
      <w:ind w:left="850" w:hanging="850"/>
      <w:jc w:val="both"/>
    </w:pPr>
    <w:rPr>
      <w:rFonts w:ascii="Times New Roman" w:eastAsia="Times New Roman" w:hAnsi="Times New Roman"/>
      <w:sz w:val="24"/>
      <w:szCs w:val="24"/>
    </w:rPr>
  </w:style>
  <w:style w:type="paragraph" w:customStyle="1" w:styleId="QuotedNumPar">
    <w:name w:val="Quoted NumPar"/>
    <w:basedOn w:val="Normal"/>
    <w:uiPriority w:val="99"/>
    <w:pPr>
      <w:spacing w:before="120" w:after="120" w:line="240" w:lineRule="auto"/>
      <w:ind w:left="1417" w:hanging="567"/>
      <w:jc w:val="both"/>
    </w:pPr>
    <w:rPr>
      <w:rFonts w:ascii="Times New Roman" w:eastAsia="Times New Roman" w:hAnsi="Times New Roman"/>
      <w:sz w:val="24"/>
      <w:szCs w:val="24"/>
    </w:rPr>
  </w:style>
  <w:style w:type="paragraph" w:customStyle="1" w:styleId="ManualHeading1">
    <w:name w:val="Manual Heading 1"/>
    <w:basedOn w:val="Normal"/>
    <w:next w:val="Text1"/>
    <w:uiPriority w:val="99"/>
    <w:pPr>
      <w:keepNext/>
      <w:tabs>
        <w:tab w:val="left" w:pos="850"/>
      </w:tabs>
      <w:spacing w:before="360" w:after="120" w:line="240" w:lineRule="auto"/>
      <w:ind w:left="850" w:hanging="850"/>
      <w:jc w:val="both"/>
      <w:outlineLvl w:val="0"/>
    </w:pPr>
    <w:rPr>
      <w:rFonts w:ascii="Times New Roman" w:eastAsia="Times New Roman" w:hAnsi="Times New Roman"/>
      <w:b/>
      <w:smallCaps/>
      <w:sz w:val="24"/>
      <w:szCs w:val="24"/>
    </w:rPr>
  </w:style>
  <w:style w:type="paragraph" w:customStyle="1" w:styleId="ManualHeading2">
    <w:name w:val="Manual Heading 2"/>
    <w:basedOn w:val="Normal"/>
    <w:next w:val="Text1"/>
    <w:uiPriority w:val="99"/>
    <w:pPr>
      <w:keepNext/>
      <w:tabs>
        <w:tab w:val="left" w:pos="850"/>
      </w:tabs>
      <w:spacing w:before="120" w:after="120" w:line="240" w:lineRule="auto"/>
      <w:ind w:left="850" w:hanging="850"/>
      <w:jc w:val="both"/>
      <w:outlineLvl w:val="1"/>
    </w:pPr>
    <w:rPr>
      <w:rFonts w:ascii="Times New Roman" w:eastAsia="Times New Roman" w:hAnsi="Times New Roman"/>
      <w:b/>
      <w:sz w:val="24"/>
      <w:szCs w:val="24"/>
    </w:rPr>
  </w:style>
  <w:style w:type="paragraph" w:customStyle="1" w:styleId="ManualHeading3">
    <w:name w:val="Manual Heading 3"/>
    <w:basedOn w:val="Normal"/>
    <w:next w:val="Text1"/>
    <w:uiPriority w:val="99"/>
    <w:pPr>
      <w:keepNext/>
      <w:tabs>
        <w:tab w:val="left" w:pos="850"/>
      </w:tabs>
      <w:spacing w:before="120" w:after="120" w:line="240" w:lineRule="auto"/>
      <w:ind w:left="850" w:hanging="850"/>
      <w:jc w:val="both"/>
      <w:outlineLvl w:val="2"/>
    </w:pPr>
    <w:rPr>
      <w:rFonts w:ascii="Times New Roman" w:eastAsia="Times New Roman" w:hAnsi="Times New Roman"/>
      <w:i/>
      <w:sz w:val="24"/>
      <w:szCs w:val="24"/>
    </w:rPr>
  </w:style>
  <w:style w:type="paragraph" w:customStyle="1" w:styleId="ManualHeading4">
    <w:name w:val="Manual Heading 4"/>
    <w:basedOn w:val="Normal"/>
    <w:next w:val="Text1"/>
    <w:uiPriority w:val="99"/>
    <w:pPr>
      <w:keepNext/>
      <w:tabs>
        <w:tab w:val="left" w:pos="850"/>
      </w:tabs>
      <w:spacing w:before="120" w:after="120" w:line="240" w:lineRule="auto"/>
      <w:ind w:left="850" w:hanging="850"/>
      <w:jc w:val="both"/>
      <w:outlineLvl w:val="3"/>
    </w:pPr>
    <w:rPr>
      <w:rFonts w:ascii="Times New Roman" w:eastAsia="Times New Roman" w:hAnsi="Times New Roman"/>
      <w:sz w:val="24"/>
      <w:szCs w:val="24"/>
    </w:rPr>
  </w:style>
  <w:style w:type="paragraph" w:customStyle="1" w:styleId="ChapterTitle">
    <w:name w:val="ChapterTitle"/>
    <w:basedOn w:val="Normal"/>
    <w:next w:val="Normal"/>
    <w:uiPriority w:val="99"/>
    <w:pPr>
      <w:keepNext/>
      <w:spacing w:before="120" w:after="360" w:line="240" w:lineRule="auto"/>
      <w:jc w:val="center"/>
    </w:pPr>
    <w:rPr>
      <w:rFonts w:ascii="Times New Roman" w:eastAsia="Times New Roman" w:hAnsi="Times New Roman"/>
      <w:b/>
      <w:sz w:val="32"/>
      <w:szCs w:val="24"/>
    </w:rPr>
  </w:style>
  <w:style w:type="paragraph" w:customStyle="1" w:styleId="PartTitle">
    <w:name w:val="PartTitle"/>
    <w:basedOn w:val="Normal"/>
    <w:next w:val="ChapterTitle"/>
    <w:uiPriority w:val="99"/>
    <w:pPr>
      <w:keepNext/>
      <w:pageBreakBefore/>
      <w:spacing w:before="120" w:after="360" w:line="240" w:lineRule="auto"/>
      <w:jc w:val="center"/>
    </w:pPr>
    <w:rPr>
      <w:rFonts w:ascii="Times New Roman" w:eastAsia="Times New Roman" w:hAnsi="Times New Roman"/>
      <w:b/>
      <w:sz w:val="36"/>
      <w:szCs w:val="24"/>
    </w:rPr>
  </w:style>
  <w:style w:type="paragraph" w:customStyle="1" w:styleId="SectionTitle">
    <w:name w:val="SectionTitle"/>
    <w:basedOn w:val="Normal"/>
    <w:next w:val="Heading1"/>
    <w:uiPriority w:val="99"/>
    <w:pPr>
      <w:keepNext/>
      <w:spacing w:before="120" w:after="360" w:line="240" w:lineRule="auto"/>
      <w:jc w:val="center"/>
    </w:pPr>
    <w:rPr>
      <w:rFonts w:ascii="Times New Roman" w:eastAsia="Times New Roman" w:hAnsi="Times New Roman"/>
      <w:b/>
      <w:smallCaps/>
      <w:sz w:val="28"/>
      <w:szCs w:val="24"/>
    </w:rPr>
  </w:style>
  <w:style w:type="paragraph" w:customStyle="1" w:styleId="TableTitle">
    <w:name w:val="Table Title"/>
    <w:basedOn w:val="Normal"/>
    <w:next w:val="Normal"/>
    <w:uiPriority w:val="99"/>
    <w:pPr>
      <w:spacing w:before="120" w:after="120" w:line="240" w:lineRule="auto"/>
      <w:jc w:val="center"/>
    </w:pPr>
    <w:rPr>
      <w:rFonts w:ascii="Times New Roman" w:eastAsia="Times New Roman" w:hAnsi="Times New Roman"/>
      <w:b/>
      <w:sz w:val="24"/>
      <w:szCs w:val="24"/>
    </w:rPr>
  </w:style>
  <w:style w:type="character" w:customStyle="1" w:styleId="Marker1">
    <w:name w:val="Marker1"/>
    <w:uiPriority w:val="99"/>
    <w:rPr>
      <w:rFonts w:cs="Times New Roman"/>
      <w:color w:val="008000"/>
      <w:shd w:val="clear" w:color="auto" w:fill="auto"/>
    </w:rPr>
  </w:style>
  <w:style w:type="character" w:customStyle="1" w:styleId="Marker2">
    <w:name w:val="Marker2"/>
    <w:uiPriority w:val="99"/>
    <w:rPr>
      <w:rFonts w:cs="Times New Roman"/>
      <w:color w:val="FF0000"/>
      <w:shd w:val="clear" w:color="auto" w:fill="auto"/>
    </w:rPr>
  </w:style>
  <w:style w:type="paragraph" w:customStyle="1" w:styleId="TOCHeading1">
    <w:name w:val="TOC Heading1"/>
    <w:basedOn w:val="Normal"/>
    <w:next w:val="Normal"/>
    <w:uiPriority w:val="99"/>
    <w:qFormat/>
    <w:pPr>
      <w:spacing w:before="120" w:after="240" w:line="240" w:lineRule="auto"/>
      <w:jc w:val="center"/>
    </w:pPr>
    <w:rPr>
      <w:rFonts w:ascii="Times New Roman" w:eastAsia="Times New Roman" w:hAnsi="Times New Roman"/>
      <w:b/>
      <w:sz w:val="28"/>
      <w:szCs w:val="24"/>
    </w:rPr>
  </w:style>
  <w:style w:type="paragraph" w:customStyle="1" w:styleId="Point0number">
    <w:name w:val="Point 0 (number)"/>
    <w:basedOn w:val="Normal"/>
    <w:uiPriority w:val="99"/>
    <w:pPr>
      <w:numPr>
        <w:numId w:val="10"/>
      </w:numPr>
      <w:spacing w:before="120" w:after="120" w:line="240" w:lineRule="auto"/>
      <w:jc w:val="both"/>
    </w:pPr>
    <w:rPr>
      <w:rFonts w:ascii="Times New Roman" w:eastAsia="Times New Roman" w:hAnsi="Times New Roman"/>
      <w:sz w:val="24"/>
      <w:szCs w:val="24"/>
    </w:rPr>
  </w:style>
  <w:style w:type="paragraph" w:customStyle="1" w:styleId="Point1number">
    <w:name w:val="Point 1 (number)"/>
    <w:basedOn w:val="Normal"/>
    <w:uiPriority w:val="99"/>
    <w:pPr>
      <w:numPr>
        <w:ilvl w:val="2"/>
        <w:numId w:val="10"/>
      </w:numPr>
      <w:spacing w:before="120" w:after="120" w:line="240" w:lineRule="auto"/>
      <w:jc w:val="both"/>
    </w:pPr>
    <w:rPr>
      <w:rFonts w:ascii="Times New Roman" w:eastAsia="Times New Roman" w:hAnsi="Times New Roman"/>
      <w:sz w:val="24"/>
      <w:szCs w:val="24"/>
    </w:rPr>
  </w:style>
  <w:style w:type="paragraph" w:customStyle="1" w:styleId="Point2number">
    <w:name w:val="Point 2 (number)"/>
    <w:basedOn w:val="Normal"/>
    <w:uiPriority w:val="99"/>
    <w:pPr>
      <w:numPr>
        <w:ilvl w:val="4"/>
        <w:numId w:val="10"/>
      </w:numPr>
      <w:spacing w:before="120" w:after="120" w:line="240" w:lineRule="auto"/>
      <w:jc w:val="both"/>
    </w:pPr>
    <w:rPr>
      <w:rFonts w:ascii="Times New Roman" w:eastAsia="Times New Roman" w:hAnsi="Times New Roman"/>
      <w:sz w:val="24"/>
      <w:szCs w:val="24"/>
    </w:rPr>
  </w:style>
  <w:style w:type="paragraph" w:customStyle="1" w:styleId="Point3number">
    <w:name w:val="Point 3 (number)"/>
    <w:basedOn w:val="Normal"/>
    <w:uiPriority w:val="99"/>
    <w:pPr>
      <w:numPr>
        <w:ilvl w:val="6"/>
        <w:numId w:val="10"/>
      </w:numPr>
      <w:spacing w:before="120" w:after="120" w:line="240" w:lineRule="auto"/>
      <w:jc w:val="both"/>
    </w:pPr>
    <w:rPr>
      <w:rFonts w:ascii="Times New Roman" w:eastAsia="Times New Roman" w:hAnsi="Times New Roman"/>
      <w:sz w:val="24"/>
      <w:szCs w:val="24"/>
    </w:rPr>
  </w:style>
  <w:style w:type="paragraph" w:customStyle="1" w:styleId="Point0letter">
    <w:name w:val="Point 0 (letter)"/>
    <w:basedOn w:val="Normal"/>
    <w:uiPriority w:val="99"/>
    <w:pPr>
      <w:numPr>
        <w:ilvl w:val="1"/>
        <w:numId w:val="10"/>
      </w:numPr>
      <w:spacing w:before="120" w:after="120" w:line="240" w:lineRule="auto"/>
      <w:jc w:val="both"/>
    </w:pPr>
    <w:rPr>
      <w:rFonts w:ascii="Times New Roman" w:eastAsia="Times New Roman" w:hAnsi="Times New Roman"/>
      <w:sz w:val="24"/>
      <w:szCs w:val="24"/>
    </w:rPr>
  </w:style>
  <w:style w:type="paragraph" w:customStyle="1" w:styleId="Point1letter">
    <w:name w:val="Point 1 (letter)"/>
    <w:basedOn w:val="Normal"/>
    <w:uiPriority w:val="99"/>
    <w:pPr>
      <w:numPr>
        <w:ilvl w:val="3"/>
        <w:numId w:val="10"/>
      </w:numPr>
      <w:spacing w:before="120" w:after="120" w:line="240" w:lineRule="auto"/>
      <w:jc w:val="both"/>
    </w:pPr>
    <w:rPr>
      <w:rFonts w:ascii="Times New Roman" w:eastAsia="Times New Roman" w:hAnsi="Times New Roman"/>
      <w:sz w:val="24"/>
      <w:szCs w:val="24"/>
    </w:rPr>
  </w:style>
  <w:style w:type="paragraph" w:customStyle="1" w:styleId="Point2letter">
    <w:name w:val="Point 2 (letter)"/>
    <w:basedOn w:val="Normal"/>
    <w:uiPriority w:val="99"/>
    <w:pPr>
      <w:numPr>
        <w:ilvl w:val="5"/>
        <w:numId w:val="10"/>
      </w:numPr>
      <w:spacing w:before="120" w:after="120" w:line="240" w:lineRule="auto"/>
      <w:jc w:val="both"/>
    </w:pPr>
    <w:rPr>
      <w:rFonts w:ascii="Times New Roman" w:eastAsia="Times New Roman" w:hAnsi="Times New Roman"/>
      <w:sz w:val="24"/>
      <w:szCs w:val="24"/>
    </w:rPr>
  </w:style>
  <w:style w:type="paragraph" w:customStyle="1" w:styleId="Point3letter">
    <w:name w:val="Point 3 (letter)"/>
    <w:basedOn w:val="Normal"/>
    <w:uiPriority w:val="99"/>
    <w:pPr>
      <w:numPr>
        <w:ilvl w:val="7"/>
        <w:numId w:val="10"/>
      </w:numPr>
      <w:spacing w:before="120" w:after="120" w:line="240" w:lineRule="auto"/>
      <w:jc w:val="both"/>
    </w:pPr>
    <w:rPr>
      <w:rFonts w:ascii="Times New Roman" w:eastAsia="Times New Roman" w:hAnsi="Times New Roman"/>
      <w:sz w:val="24"/>
      <w:szCs w:val="24"/>
    </w:rPr>
  </w:style>
  <w:style w:type="paragraph" w:customStyle="1" w:styleId="Point4letter">
    <w:name w:val="Point 4 (letter)"/>
    <w:basedOn w:val="Normal"/>
    <w:uiPriority w:val="99"/>
    <w:pPr>
      <w:numPr>
        <w:ilvl w:val="8"/>
        <w:numId w:val="10"/>
      </w:numPr>
      <w:spacing w:before="120" w:after="120" w:line="240" w:lineRule="auto"/>
      <w:jc w:val="both"/>
    </w:pPr>
    <w:rPr>
      <w:rFonts w:ascii="Times New Roman" w:eastAsia="Times New Roman" w:hAnsi="Times New Roman"/>
      <w:sz w:val="24"/>
      <w:szCs w:val="24"/>
    </w:rPr>
  </w:style>
  <w:style w:type="paragraph" w:customStyle="1" w:styleId="Bullet0">
    <w:name w:val="Bullet 0"/>
    <w:basedOn w:val="Normal"/>
    <w:uiPriority w:val="99"/>
    <w:pPr>
      <w:numPr>
        <w:numId w:val="11"/>
      </w:numPr>
      <w:spacing w:before="120" w:after="120" w:line="240" w:lineRule="auto"/>
      <w:jc w:val="both"/>
    </w:pPr>
    <w:rPr>
      <w:rFonts w:ascii="Times New Roman" w:eastAsia="Times New Roman" w:hAnsi="Times New Roman"/>
      <w:sz w:val="24"/>
      <w:szCs w:val="24"/>
    </w:rPr>
  </w:style>
  <w:style w:type="paragraph" w:customStyle="1" w:styleId="Bullet1">
    <w:name w:val="Bullet 1"/>
    <w:basedOn w:val="Normal"/>
    <w:uiPriority w:val="99"/>
    <w:pPr>
      <w:numPr>
        <w:numId w:val="12"/>
      </w:numPr>
      <w:spacing w:before="120" w:after="120" w:line="240" w:lineRule="auto"/>
      <w:jc w:val="both"/>
    </w:pPr>
    <w:rPr>
      <w:rFonts w:ascii="Times New Roman" w:eastAsia="Times New Roman" w:hAnsi="Times New Roman"/>
      <w:sz w:val="24"/>
      <w:szCs w:val="24"/>
    </w:rPr>
  </w:style>
  <w:style w:type="paragraph" w:customStyle="1" w:styleId="Bullet2">
    <w:name w:val="Bullet 2"/>
    <w:basedOn w:val="Normal"/>
    <w:uiPriority w:val="99"/>
    <w:pPr>
      <w:numPr>
        <w:numId w:val="13"/>
      </w:numPr>
      <w:spacing w:before="120" w:after="120" w:line="240" w:lineRule="auto"/>
      <w:jc w:val="both"/>
    </w:pPr>
    <w:rPr>
      <w:rFonts w:ascii="Times New Roman" w:eastAsia="Times New Roman" w:hAnsi="Times New Roman"/>
      <w:sz w:val="24"/>
      <w:szCs w:val="24"/>
    </w:rPr>
  </w:style>
  <w:style w:type="paragraph" w:customStyle="1" w:styleId="Bullet3">
    <w:name w:val="Bullet 3"/>
    <w:basedOn w:val="Normal"/>
    <w:uiPriority w:val="99"/>
    <w:pPr>
      <w:numPr>
        <w:numId w:val="14"/>
      </w:numPr>
      <w:spacing w:before="120" w:after="120" w:line="240" w:lineRule="auto"/>
      <w:jc w:val="both"/>
    </w:pPr>
    <w:rPr>
      <w:rFonts w:ascii="Times New Roman" w:eastAsia="Times New Roman" w:hAnsi="Times New Roman"/>
      <w:sz w:val="24"/>
      <w:szCs w:val="24"/>
    </w:rPr>
  </w:style>
  <w:style w:type="paragraph" w:customStyle="1" w:styleId="Bullet4">
    <w:name w:val="Bullet 4"/>
    <w:basedOn w:val="Normal"/>
    <w:uiPriority w:val="99"/>
    <w:pPr>
      <w:numPr>
        <w:numId w:val="15"/>
      </w:numPr>
      <w:spacing w:before="120" w:after="120" w:line="240" w:lineRule="auto"/>
      <w:jc w:val="both"/>
    </w:pPr>
    <w:rPr>
      <w:rFonts w:ascii="Times New Roman" w:eastAsia="Times New Roman" w:hAnsi="Times New Roman"/>
      <w:sz w:val="24"/>
      <w:szCs w:val="24"/>
    </w:rPr>
  </w:style>
  <w:style w:type="paragraph" w:customStyle="1" w:styleId="Annexetitreexpos">
    <w:name w:val="Annexe titre (exposé)"/>
    <w:basedOn w:val="Normal"/>
    <w:next w:val="Normal"/>
    <w:uiPriority w:val="99"/>
    <w:pPr>
      <w:spacing w:before="120" w:after="120" w:line="240" w:lineRule="auto"/>
      <w:jc w:val="center"/>
    </w:pPr>
    <w:rPr>
      <w:rFonts w:ascii="Times New Roman" w:eastAsia="Times New Roman" w:hAnsi="Times New Roman"/>
      <w:b/>
      <w:sz w:val="24"/>
      <w:szCs w:val="24"/>
      <w:u w:val="single"/>
    </w:rPr>
  </w:style>
  <w:style w:type="paragraph" w:customStyle="1" w:styleId="Annexetitre">
    <w:name w:val="Annexe titre"/>
    <w:basedOn w:val="Normal"/>
    <w:next w:val="Normal"/>
    <w:uiPriority w:val="99"/>
    <w:pPr>
      <w:spacing w:before="120" w:after="120" w:line="240" w:lineRule="auto"/>
      <w:jc w:val="center"/>
    </w:pPr>
    <w:rPr>
      <w:rFonts w:ascii="Times New Roman" w:eastAsia="Times New Roman" w:hAnsi="Times New Roman"/>
      <w:b/>
      <w:sz w:val="24"/>
      <w:szCs w:val="24"/>
      <w:u w:val="single"/>
    </w:rPr>
  </w:style>
  <w:style w:type="paragraph" w:customStyle="1" w:styleId="Annexetitrefichefinancire">
    <w:name w:val="Annexe titre (fiche financière)"/>
    <w:basedOn w:val="Normal"/>
    <w:next w:val="Normal"/>
    <w:uiPriority w:val="99"/>
    <w:pPr>
      <w:spacing w:before="120" w:after="120" w:line="240" w:lineRule="auto"/>
      <w:jc w:val="center"/>
    </w:pPr>
    <w:rPr>
      <w:rFonts w:ascii="Times New Roman" w:eastAsia="Times New Roman" w:hAnsi="Times New Roman"/>
      <w:b/>
      <w:sz w:val="24"/>
      <w:szCs w:val="24"/>
      <w:u w:val="single"/>
    </w:rPr>
  </w:style>
  <w:style w:type="paragraph" w:customStyle="1" w:styleId="Applicationdirecte">
    <w:name w:val="Application directe"/>
    <w:basedOn w:val="Normal"/>
    <w:next w:val="Fait"/>
    <w:uiPriority w:val="99"/>
    <w:pPr>
      <w:spacing w:before="480" w:after="120" w:line="240" w:lineRule="auto"/>
      <w:jc w:val="both"/>
    </w:pPr>
    <w:rPr>
      <w:rFonts w:ascii="Times New Roman" w:eastAsia="Times New Roman" w:hAnsi="Times New Roman"/>
      <w:sz w:val="24"/>
      <w:szCs w:val="24"/>
    </w:rPr>
  </w:style>
  <w:style w:type="paragraph" w:customStyle="1" w:styleId="Avertissementtitre">
    <w:name w:val="Avertissement titre"/>
    <w:basedOn w:val="Normal"/>
    <w:next w:val="Normal"/>
    <w:uiPriority w:val="99"/>
    <w:pPr>
      <w:keepNext/>
      <w:spacing w:before="480" w:after="120" w:line="240" w:lineRule="auto"/>
      <w:jc w:val="both"/>
    </w:pPr>
    <w:rPr>
      <w:rFonts w:ascii="Times New Roman" w:eastAsia="Times New Roman" w:hAnsi="Times New Roman"/>
      <w:sz w:val="24"/>
      <w:szCs w:val="24"/>
      <w:u w:val="single"/>
    </w:rPr>
  </w:style>
  <w:style w:type="paragraph" w:customStyle="1" w:styleId="Confidence">
    <w:name w:val="Confidence"/>
    <w:basedOn w:val="Normal"/>
    <w:next w:val="Normal"/>
    <w:uiPriority w:val="99"/>
    <w:pPr>
      <w:spacing w:before="360" w:after="120" w:line="240" w:lineRule="auto"/>
      <w:jc w:val="center"/>
    </w:pPr>
    <w:rPr>
      <w:rFonts w:ascii="Times New Roman" w:eastAsia="Times New Roman" w:hAnsi="Times New Roman"/>
      <w:sz w:val="24"/>
      <w:szCs w:val="24"/>
    </w:rPr>
  </w:style>
  <w:style w:type="paragraph" w:customStyle="1" w:styleId="Confidentialit">
    <w:name w:val="Confidentialité"/>
    <w:basedOn w:val="Normal"/>
    <w:next w:val="TypedudocumentPagedecouverture"/>
    <w:uiPriority w:val="99"/>
    <w:pPr>
      <w:spacing w:before="240" w:after="240" w:line="240" w:lineRule="auto"/>
      <w:ind w:left="5103"/>
      <w:jc w:val="both"/>
    </w:pPr>
    <w:rPr>
      <w:rFonts w:ascii="Times New Roman" w:eastAsia="Times New Roman" w:hAnsi="Times New Roman"/>
      <w:i/>
      <w:sz w:val="32"/>
      <w:szCs w:val="24"/>
    </w:rPr>
  </w:style>
  <w:style w:type="paragraph" w:customStyle="1" w:styleId="Considrant">
    <w:name w:val="Considérant"/>
    <w:basedOn w:val="Normal"/>
    <w:uiPriority w:val="99"/>
    <w:pPr>
      <w:numPr>
        <w:numId w:val="16"/>
      </w:numPr>
      <w:spacing w:before="120" w:after="120" w:line="240" w:lineRule="auto"/>
      <w:jc w:val="both"/>
    </w:pPr>
    <w:rPr>
      <w:rFonts w:ascii="Times New Roman" w:eastAsia="Times New Roman" w:hAnsi="Times New Roman"/>
      <w:sz w:val="24"/>
      <w:szCs w:val="24"/>
    </w:rPr>
  </w:style>
  <w:style w:type="paragraph" w:customStyle="1" w:styleId="Corrigendum">
    <w:name w:val="Corrigendum"/>
    <w:basedOn w:val="Normal"/>
    <w:next w:val="Normal"/>
    <w:uiPriority w:val="99"/>
    <w:pPr>
      <w:spacing w:after="240" w:line="240" w:lineRule="auto"/>
    </w:pPr>
    <w:rPr>
      <w:rFonts w:ascii="Times New Roman" w:eastAsia="Times New Roman" w:hAnsi="Times New Roman"/>
      <w:sz w:val="24"/>
      <w:szCs w:val="24"/>
    </w:rPr>
  </w:style>
  <w:style w:type="paragraph" w:customStyle="1" w:styleId="Datedadoption">
    <w:name w:val="Date d'adoption"/>
    <w:basedOn w:val="Normal"/>
    <w:next w:val="Titreobjet"/>
    <w:uiPriority w:val="99"/>
    <w:pPr>
      <w:spacing w:before="360" w:after="0" w:line="240" w:lineRule="auto"/>
      <w:jc w:val="center"/>
    </w:pPr>
    <w:rPr>
      <w:rFonts w:ascii="Times New Roman" w:eastAsia="Times New Roman" w:hAnsi="Times New Roman"/>
      <w:b/>
      <w:sz w:val="24"/>
      <w:szCs w:val="24"/>
    </w:rPr>
  </w:style>
  <w:style w:type="paragraph" w:customStyle="1" w:styleId="Emission">
    <w:name w:val="Emission"/>
    <w:basedOn w:val="Normal"/>
    <w:next w:val="Rfrenceinstitutionnelle"/>
    <w:uiPriority w:val="99"/>
    <w:pPr>
      <w:spacing w:after="0" w:line="240" w:lineRule="auto"/>
      <w:ind w:left="5103"/>
    </w:pPr>
    <w:rPr>
      <w:rFonts w:ascii="Times New Roman" w:eastAsia="Times New Roman" w:hAnsi="Times New Roman"/>
      <w:sz w:val="24"/>
      <w:szCs w:val="24"/>
    </w:rPr>
  </w:style>
  <w:style w:type="paragraph" w:customStyle="1" w:styleId="Exposdesmotifstitre">
    <w:name w:val="Exposé des motifs titre"/>
    <w:basedOn w:val="Normal"/>
    <w:next w:val="Normal"/>
    <w:uiPriority w:val="99"/>
    <w:pPr>
      <w:spacing w:before="120" w:after="120" w:line="240" w:lineRule="auto"/>
      <w:jc w:val="center"/>
    </w:pPr>
    <w:rPr>
      <w:rFonts w:ascii="Times New Roman" w:eastAsia="Times New Roman" w:hAnsi="Times New Roman"/>
      <w:b/>
      <w:sz w:val="24"/>
      <w:szCs w:val="24"/>
      <w:u w:val="single"/>
    </w:rPr>
  </w:style>
  <w:style w:type="paragraph" w:customStyle="1" w:styleId="Fait">
    <w:name w:val="Fait à"/>
    <w:basedOn w:val="Normal"/>
    <w:next w:val="Institutionquisigne"/>
    <w:uiPriority w:val="99"/>
    <w:pPr>
      <w:keepNext/>
      <w:spacing w:before="120" w:after="0" w:line="240" w:lineRule="auto"/>
      <w:jc w:val="both"/>
    </w:pPr>
    <w:rPr>
      <w:rFonts w:ascii="Times New Roman" w:eastAsia="Times New Roman" w:hAnsi="Times New Roman"/>
      <w:sz w:val="24"/>
      <w:szCs w:val="24"/>
    </w:rPr>
  </w:style>
  <w:style w:type="paragraph" w:customStyle="1" w:styleId="Formuledadoption">
    <w:name w:val="Formule d'adoption"/>
    <w:basedOn w:val="Normal"/>
    <w:next w:val="Titrearticle"/>
    <w:uiPriority w:val="99"/>
    <w:pPr>
      <w:keepNext/>
      <w:spacing w:before="120" w:after="120" w:line="240" w:lineRule="auto"/>
      <w:jc w:val="both"/>
    </w:pPr>
    <w:rPr>
      <w:rFonts w:ascii="Times New Roman" w:eastAsia="Times New Roman" w:hAnsi="Times New Roman"/>
      <w:sz w:val="24"/>
      <w:szCs w:val="24"/>
    </w:rPr>
  </w:style>
  <w:style w:type="paragraph" w:customStyle="1" w:styleId="Institutionquiagit">
    <w:name w:val="Institution qui agit"/>
    <w:basedOn w:val="Normal"/>
    <w:next w:val="Normal"/>
    <w:uiPriority w:val="99"/>
    <w:pPr>
      <w:keepNext/>
      <w:spacing w:before="600" w:after="120" w:line="240" w:lineRule="auto"/>
      <w:jc w:val="both"/>
    </w:pPr>
    <w:rPr>
      <w:rFonts w:ascii="Times New Roman" w:eastAsia="Times New Roman" w:hAnsi="Times New Roman"/>
      <w:sz w:val="24"/>
      <w:szCs w:val="24"/>
    </w:rPr>
  </w:style>
  <w:style w:type="paragraph" w:customStyle="1" w:styleId="Institutionquisigne">
    <w:name w:val="Institution qui signe"/>
    <w:basedOn w:val="Normal"/>
    <w:next w:val="Personnequisigne"/>
    <w:uiPriority w:val="99"/>
    <w:pPr>
      <w:keepNext/>
      <w:tabs>
        <w:tab w:val="left" w:pos="4252"/>
      </w:tabs>
      <w:spacing w:before="720" w:after="0" w:line="240" w:lineRule="auto"/>
      <w:jc w:val="both"/>
    </w:pPr>
    <w:rPr>
      <w:rFonts w:ascii="Times New Roman" w:eastAsia="Times New Roman" w:hAnsi="Times New Roman"/>
      <w:i/>
      <w:sz w:val="24"/>
      <w:szCs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b/>
      <w:caps/>
      <w:sz w:val="24"/>
      <w:szCs w:val="24"/>
    </w:rPr>
  </w:style>
  <w:style w:type="paragraph" w:customStyle="1" w:styleId="ManualConsidrant">
    <w:name w:val="Manual Considérant"/>
    <w:basedOn w:val="Normal"/>
    <w:uiPriority w:val="99"/>
    <w:pPr>
      <w:spacing w:before="120" w:after="120" w:line="240" w:lineRule="auto"/>
      <w:ind w:left="709" w:hanging="709"/>
      <w:jc w:val="both"/>
    </w:pPr>
    <w:rPr>
      <w:rFonts w:ascii="Times New Roman" w:eastAsia="Times New Roman" w:hAnsi="Times New Roman"/>
      <w:sz w:val="24"/>
      <w:szCs w:val="24"/>
    </w:rPr>
  </w:style>
  <w:style w:type="paragraph" w:customStyle="1" w:styleId="Nomdelinstitution">
    <w:name w:val="Nom de l'institution"/>
    <w:basedOn w:val="Normal"/>
    <w:next w:val="Emission"/>
    <w:uiPriority w:val="99"/>
    <w:pPr>
      <w:spacing w:after="0" w:line="240" w:lineRule="auto"/>
    </w:pPr>
    <w:rPr>
      <w:rFonts w:ascii="Arial" w:eastAsia="Times New Roman" w:hAnsi="Arial" w:cs="Arial"/>
      <w:sz w:val="24"/>
      <w:szCs w:val="24"/>
    </w:rPr>
  </w:style>
  <w:style w:type="paragraph" w:customStyle="1" w:styleId="Personnequisigne">
    <w:name w:val="Personne qui signe"/>
    <w:basedOn w:val="Normal"/>
    <w:next w:val="Institutionquisigne"/>
    <w:uiPriority w:val="99"/>
    <w:pPr>
      <w:tabs>
        <w:tab w:val="left" w:pos="4252"/>
      </w:tabs>
      <w:spacing w:after="0" w:line="240" w:lineRule="auto"/>
    </w:pPr>
    <w:rPr>
      <w:rFonts w:ascii="Times New Roman" w:eastAsia="Times New Roman" w:hAnsi="Times New Roman"/>
      <w:i/>
      <w:sz w:val="24"/>
      <w:szCs w:val="24"/>
    </w:rPr>
  </w:style>
  <w:style w:type="paragraph" w:customStyle="1" w:styleId="Rfrenceinstitutionnelle">
    <w:name w:val="Référence institutionnelle"/>
    <w:basedOn w:val="Normal"/>
    <w:next w:val="Confidentialit"/>
    <w:uiPriority w:val="99"/>
    <w:pPr>
      <w:spacing w:after="240" w:line="240" w:lineRule="auto"/>
      <w:ind w:left="5103"/>
    </w:pPr>
    <w:rPr>
      <w:rFonts w:ascii="Times New Roman" w:eastAsia="Times New Roman" w:hAnsi="Times New Roman"/>
      <w:sz w:val="24"/>
      <w:szCs w:val="24"/>
    </w:rPr>
  </w:style>
  <w:style w:type="paragraph" w:customStyle="1" w:styleId="Rfrenceinterinstitutionnelle">
    <w:name w:val="Référence interinstitutionnelle"/>
    <w:basedOn w:val="Normal"/>
    <w:next w:val="Statut"/>
    <w:uiPriority w:val="99"/>
    <w:pPr>
      <w:spacing w:after="0" w:line="240" w:lineRule="auto"/>
      <w:ind w:left="5103"/>
    </w:pPr>
    <w:rPr>
      <w:rFonts w:ascii="Times New Roman" w:eastAsia="Times New Roman" w:hAnsi="Times New Roman"/>
      <w:sz w:val="24"/>
      <w:szCs w:val="24"/>
    </w:rPr>
  </w:style>
  <w:style w:type="paragraph" w:customStyle="1" w:styleId="Rfrenceinterne">
    <w:name w:val="Référence interne"/>
    <w:basedOn w:val="Normal"/>
    <w:next w:val="Rfrenceinterinstitutionnelle"/>
    <w:uiPriority w:val="99"/>
    <w:pPr>
      <w:spacing w:after="0" w:line="240" w:lineRule="auto"/>
      <w:ind w:left="5103"/>
    </w:pPr>
    <w:rPr>
      <w:rFonts w:ascii="Times New Roman" w:eastAsia="Times New Roman" w:hAnsi="Times New Roman"/>
      <w:sz w:val="24"/>
      <w:szCs w:val="24"/>
    </w:rPr>
  </w:style>
  <w:style w:type="paragraph" w:customStyle="1" w:styleId="Sous-titreobjet">
    <w:name w:val="Sous-titre objet"/>
    <w:basedOn w:val="Normal"/>
    <w:uiPriority w:val="99"/>
    <w:pPr>
      <w:spacing w:after="0" w:line="240" w:lineRule="auto"/>
      <w:jc w:val="center"/>
    </w:pPr>
    <w:rPr>
      <w:rFonts w:ascii="Times New Roman" w:eastAsia="Times New Roman" w:hAnsi="Times New Roman"/>
      <w:b/>
      <w:sz w:val="24"/>
      <w:szCs w:val="24"/>
    </w:rPr>
  </w:style>
  <w:style w:type="paragraph" w:customStyle="1" w:styleId="Statut">
    <w:name w:val="Statut"/>
    <w:basedOn w:val="Normal"/>
    <w:next w:val="Typedudocument"/>
    <w:uiPriority w:val="99"/>
    <w:pPr>
      <w:spacing w:before="360" w:after="0" w:line="240" w:lineRule="auto"/>
      <w:jc w:val="center"/>
    </w:pPr>
    <w:rPr>
      <w:rFonts w:ascii="Times New Roman" w:eastAsia="Times New Roman" w:hAnsi="Times New Roman"/>
      <w:sz w:val="24"/>
      <w:szCs w:val="24"/>
    </w:rPr>
  </w:style>
  <w:style w:type="paragraph" w:customStyle="1" w:styleId="Titrearticle">
    <w:name w:val="Titre article"/>
    <w:basedOn w:val="Normal"/>
    <w:next w:val="Normal"/>
    <w:uiPriority w:val="99"/>
    <w:pPr>
      <w:keepNext/>
      <w:spacing w:before="360" w:after="120" w:line="240" w:lineRule="auto"/>
      <w:jc w:val="center"/>
    </w:pPr>
    <w:rPr>
      <w:rFonts w:ascii="Times New Roman" w:eastAsia="Times New Roman" w:hAnsi="Times New Roman"/>
      <w:i/>
      <w:sz w:val="24"/>
      <w:szCs w:val="24"/>
    </w:rPr>
  </w:style>
  <w:style w:type="paragraph" w:customStyle="1" w:styleId="Titreobjet">
    <w:name w:val="Titre objet"/>
    <w:basedOn w:val="Normal"/>
    <w:next w:val="Sous-titreobjet"/>
    <w:uiPriority w:val="99"/>
    <w:pPr>
      <w:spacing w:before="360" w:after="360" w:line="240" w:lineRule="auto"/>
      <w:jc w:val="center"/>
    </w:pPr>
    <w:rPr>
      <w:rFonts w:ascii="Times New Roman" w:eastAsia="Times New Roman" w:hAnsi="Times New Roman"/>
      <w:b/>
      <w:sz w:val="24"/>
      <w:szCs w:val="24"/>
    </w:rPr>
  </w:style>
  <w:style w:type="paragraph" w:customStyle="1" w:styleId="Typedudocument">
    <w:name w:val="Type du document"/>
    <w:basedOn w:val="Normal"/>
    <w:next w:val="Titreobjet"/>
    <w:uiPriority w:val="99"/>
    <w:pPr>
      <w:spacing w:before="360" w:after="0" w:line="240" w:lineRule="auto"/>
      <w:jc w:val="center"/>
    </w:pPr>
    <w:rPr>
      <w:rFonts w:ascii="Times New Roman" w:eastAsia="Times New Roman" w:hAnsi="Times New Roman"/>
      <w:b/>
      <w:sz w:val="24"/>
      <w:szCs w:val="24"/>
    </w:rPr>
  </w:style>
  <w:style w:type="character" w:customStyle="1" w:styleId="Added">
    <w:name w:val="Added"/>
    <w:uiPriority w:val="99"/>
    <w:rPr>
      <w:rFonts w:cs="Times New Roman"/>
      <w:b/>
      <w:u w:val="single"/>
      <w:shd w:val="clear" w:color="auto" w:fill="auto"/>
    </w:rPr>
  </w:style>
  <w:style w:type="character" w:customStyle="1" w:styleId="Deleted">
    <w:name w:val="Deleted"/>
    <w:uiPriority w:val="99"/>
    <w:rPr>
      <w:rFonts w:cs="Times New Roman"/>
      <w:strike/>
      <w:shd w:val="clear" w:color="auto" w:fill="auto"/>
    </w:rPr>
  </w:style>
  <w:style w:type="paragraph" w:customStyle="1" w:styleId="Address">
    <w:name w:val="Address"/>
    <w:basedOn w:val="Normal"/>
    <w:next w:val="Normal"/>
    <w:uiPriority w:val="99"/>
    <w:pPr>
      <w:keepLines/>
      <w:spacing w:before="120" w:after="120" w:line="360" w:lineRule="auto"/>
      <w:ind w:left="3402"/>
    </w:pPr>
    <w:rPr>
      <w:rFonts w:ascii="Times New Roman" w:eastAsia="Times New Roman" w:hAnsi="Times New Roman"/>
      <w:sz w:val="24"/>
      <w:szCs w:val="24"/>
    </w:rPr>
  </w:style>
  <w:style w:type="paragraph" w:customStyle="1" w:styleId="Objetexterne">
    <w:name w:val="Objet externe"/>
    <w:basedOn w:val="Normal"/>
    <w:next w:val="Normal"/>
    <w:uiPriority w:val="99"/>
    <w:pPr>
      <w:spacing w:before="120" w:after="120" w:line="240" w:lineRule="auto"/>
      <w:jc w:val="both"/>
    </w:pPr>
    <w:rPr>
      <w:rFonts w:ascii="Times New Roman" w:eastAsia="Times New Roman" w:hAnsi="Times New Roman"/>
      <w:i/>
      <w:caps/>
      <w:sz w:val="24"/>
      <w:szCs w:val="24"/>
    </w:rPr>
  </w:style>
  <w:style w:type="paragraph" w:customStyle="1" w:styleId="Supertitre">
    <w:name w:val="Supertitre"/>
    <w:basedOn w:val="Normal"/>
    <w:next w:val="Normal"/>
    <w:uiPriority w:val="99"/>
    <w:pPr>
      <w:spacing w:after="600" w:line="240" w:lineRule="auto"/>
      <w:jc w:val="center"/>
    </w:pPr>
    <w:rPr>
      <w:rFonts w:ascii="Times New Roman" w:eastAsia="Times New Roman" w:hAnsi="Times New Roman"/>
      <w:b/>
      <w:sz w:val="24"/>
      <w:szCs w:val="24"/>
    </w:rPr>
  </w:style>
  <w:style w:type="paragraph" w:customStyle="1" w:styleId="Languesfaisantfoi">
    <w:name w:val="Langues faisant foi"/>
    <w:basedOn w:val="Normal"/>
    <w:next w:val="Normal"/>
    <w:uiPriority w:val="99"/>
    <w:pPr>
      <w:spacing w:before="360" w:after="0" w:line="240" w:lineRule="auto"/>
      <w:jc w:val="center"/>
    </w:pPr>
    <w:rPr>
      <w:rFonts w:ascii="Times New Roman" w:eastAsia="Times New Roman" w:hAnsi="Times New Roman"/>
      <w:sz w:val="24"/>
      <w:szCs w:val="24"/>
    </w:rPr>
  </w:style>
  <w:style w:type="paragraph" w:customStyle="1" w:styleId="Rfrencecroise">
    <w:name w:val="Référence croisée"/>
    <w:basedOn w:val="Normal"/>
    <w:uiPriority w:val="99"/>
    <w:pPr>
      <w:spacing w:after="0" w:line="240" w:lineRule="auto"/>
      <w:jc w:val="center"/>
    </w:pPr>
    <w:rPr>
      <w:rFonts w:ascii="Times New Roman" w:eastAsia="Times New Roman" w:hAnsi="Times New Roman"/>
      <w:sz w:val="24"/>
      <w:szCs w:val="24"/>
    </w:rPr>
  </w:style>
  <w:style w:type="paragraph" w:customStyle="1" w:styleId="Fichefinanciretitre">
    <w:name w:val="Fiche financière titre"/>
    <w:basedOn w:val="Normal"/>
    <w:next w:val="Normal"/>
    <w:uiPriority w:val="99"/>
    <w:pPr>
      <w:spacing w:before="120" w:after="120" w:line="240" w:lineRule="auto"/>
      <w:jc w:val="center"/>
    </w:pPr>
    <w:rPr>
      <w:rFonts w:ascii="Times New Roman" w:eastAsia="Times New Roman" w:hAnsi="Times New Roman"/>
      <w:b/>
      <w:sz w:val="24"/>
      <w:szCs w:val="24"/>
      <w:u w:val="single"/>
    </w:rPr>
  </w:style>
  <w:style w:type="paragraph" w:customStyle="1" w:styleId="DatedadoptionPagedecouverture">
    <w:name w:val="Date d'adoption (Page de couverture)"/>
    <w:basedOn w:val="Datedadoption"/>
    <w:next w:val="TitreobjetPagedecouverture"/>
    <w:uiPriority w:val="99"/>
  </w:style>
  <w:style w:type="paragraph" w:customStyle="1" w:styleId="RfrenceinterinstitutionnellePagedecouverture">
    <w:name w:val="Référence interinstitutionnelle (Page de couverture)"/>
    <w:basedOn w:val="Rfrenceinterinstitutionnelle"/>
    <w:next w:val="Confidentialit"/>
    <w:uiPriority w:val="99"/>
  </w:style>
  <w:style w:type="paragraph" w:customStyle="1" w:styleId="Sous-titreobjetPagedecouverture">
    <w:name w:val="Sous-titre objet (Page de couverture)"/>
    <w:basedOn w:val="Sous-titreobjet"/>
    <w:uiPriority w:val="99"/>
  </w:style>
  <w:style w:type="paragraph" w:customStyle="1" w:styleId="StatutPagedecouverture">
    <w:name w:val="Statut (Page de couverture)"/>
    <w:basedOn w:val="Statut"/>
    <w:next w:val="TypedudocumentPagedecouverture"/>
    <w:uiPriority w:val="99"/>
  </w:style>
  <w:style w:type="paragraph" w:customStyle="1" w:styleId="TitreobjetPagedecouverture">
    <w:name w:val="Titre objet (Page de couverture)"/>
    <w:basedOn w:val="Titreobjet"/>
    <w:next w:val="Sous-titreobjetPagedecouverture"/>
    <w:uiPriority w:val="99"/>
  </w:style>
  <w:style w:type="paragraph" w:customStyle="1" w:styleId="TypedudocumentPagedecouverture">
    <w:name w:val="Type du document (Page de couverture)"/>
    <w:basedOn w:val="Typedudocument"/>
    <w:next w:val="TitreobjetPagedecouverture"/>
    <w:uiPriority w:val="99"/>
  </w:style>
  <w:style w:type="paragraph" w:customStyle="1" w:styleId="Volume">
    <w:name w:val="Volume"/>
    <w:basedOn w:val="Normal"/>
    <w:next w:val="Confidentialit"/>
    <w:uiPriority w:val="99"/>
    <w:pPr>
      <w:spacing w:after="240" w:line="240" w:lineRule="auto"/>
      <w:ind w:left="5103"/>
    </w:pPr>
    <w:rPr>
      <w:rFonts w:ascii="Times New Roman" w:eastAsia="Times New Roman" w:hAnsi="Times New Roman"/>
      <w:sz w:val="24"/>
      <w:szCs w:val="24"/>
    </w:rPr>
  </w:style>
  <w:style w:type="paragraph" w:customStyle="1" w:styleId="IntrtEEE">
    <w:name w:val="Intérêt EEE"/>
    <w:basedOn w:val="Languesfaisantfoi"/>
    <w:next w:val="Normal"/>
    <w:uiPriority w:val="99"/>
    <w:pPr>
      <w:spacing w:after="240"/>
    </w:pPr>
  </w:style>
  <w:style w:type="paragraph" w:customStyle="1" w:styleId="Accompagnant">
    <w:name w:val="Accompagnant"/>
    <w:basedOn w:val="Normal"/>
    <w:next w:val="Typeacteprincipal"/>
    <w:uiPriority w:val="99"/>
    <w:pPr>
      <w:spacing w:after="240" w:line="240" w:lineRule="auto"/>
      <w:jc w:val="center"/>
    </w:pPr>
    <w:rPr>
      <w:rFonts w:ascii="Times New Roman" w:eastAsia="Times New Roman" w:hAnsi="Times New Roman"/>
      <w:b/>
      <w:i/>
      <w:sz w:val="24"/>
      <w:szCs w:val="24"/>
    </w:rPr>
  </w:style>
  <w:style w:type="paragraph" w:customStyle="1" w:styleId="Typeacteprincipal">
    <w:name w:val="Type acte principal"/>
    <w:basedOn w:val="Normal"/>
    <w:next w:val="Objetacteprincipal"/>
    <w:uiPriority w:val="99"/>
    <w:pPr>
      <w:spacing w:after="240" w:line="240" w:lineRule="auto"/>
      <w:jc w:val="center"/>
    </w:pPr>
    <w:rPr>
      <w:rFonts w:ascii="Times New Roman" w:eastAsia="Times New Roman" w:hAnsi="Times New Roman"/>
      <w:b/>
      <w:sz w:val="24"/>
      <w:szCs w:val="24"/>
    </w:rPr>
  </w:style>
  <w:style w:type="paragraph" w:customStyle="1" w:styleId="Objetacteprincipal">
    <w:name w:val="Objet acte principal"/>
    <w:basedOn w:val="Normal"/>
    <w:next w:val="Titrearticle"/>
    <w:uiPriority w:val="99"/>
    <w:pPr>
      <w:spacing w:after="360" w:line="240" w:lineRule="auto"/>
      <w:jc w:val="center"/>
    </w:pPr>
    <w:rPr>
      <w:rFonts w:ascii="Times New Roman" w:eastAsia="Times New Roman" w:hAnsi="Times New Roman"/>
      <w:b/>
      <w:sz w:val="24"/>
      <w:szCs w:val="24"/>
    </w:rPr>
  </w:style>
  <w:style w:type="paragraph" w:customStyle="1" w:styleId="IntrtEEEPagedecouverture">
    <w:name w:val="Intérêt EEE (Page de couverture)"/>
    <w:basedOn w:val="IntrtEEE"/>
    <w:next w:val="Rfrencecroise"/>
    <w:uiPriority w:val="99"/>
  </w:style>
  <w:style w:type="paragraph" w:customStyle="1" w:styleId="AccompagnantPagedecouverture">
    <w:name w:val="Accompagnant (Page de couverture)"/>
    <w:basedOn w:val="Accompagnant"/>
    <w:next w:val="TypeacteprincipalPagedecouverture"/>
    <w:uiPriority w:val="99"/>
  </w:style>
  <w:style w:type="paragraph" w:customStyle="1" w:styleId="TypeacteprincipalPagedecouverture">
    <w:name w:val="Type acte principal (Page de couverture)"/>
    <w:basedOn w:val="Typeacteprincipal"/>
    <w:next w:val="ObjetacteprincipalPagedecouverture"/>
    <w:uiPriority w:val="99"/>
  </w:style>
  <w:style w:type="paragraph" w:customStyle="1" w:styleId="ObjetacteprincipalPagedecouverture">
    <w:name w:val="Objet acte principal (Page de couverture)"/>
    <w:basedOn w:val="Objetacteprincipal"/>
    <w:next w:val="Rfrencecroise"/>
    <w:uiPriority w:val="99"/>
  </w:style>
  <w:style w:type="paragraph" w:customStyle="1" w:styleId="LanguesfaisantfoiPagedecouverture">
    <w:name w:val="Langues faisant foi (Page de couverture)"/>
    <w:basedOn w:val="Normal"/>
    <w:next w:val="Normal"/>
    <w:uiPriority w:val="99"/>
    <w:pPr>
      <w:spacing w:before="360" w:after="0" w:line="240" w:lineRule="auto"/>
      <w:jc w:val="center"/>
    </w:pPr>
    <w:rPr>
      <w:rFonts w:ascii="Times New Roman" w:eastAsia="Times New Roman" w:hAnsi="Times New Roman"/>
      <w:sz w:val="24"/>
      <w:szCs w:val="24"/>
    </w:rPr>
  </w:style>
  <w:style w:type="character" w:styleId="CommentReference">
    <w:name w:val="annotation reference"/>
    <w:uiPriority w:val="99"/>
    <w:semiHidden/>
    <w:rPr>
      <w:rFonts w:cs="Times New Roman"/>
      <w:sz w:val="16"/>
      <w:szCs w:val="16"/>
      <w:shd w:val="clear" w:color="auto" w:fill="auto"/>
    </w:rPr>
  </w:style>
  <w:style w:type="table" w:styleId="TableGrid">
    <w:name w:val="Table Grid"/>
    <w:basedOn w:val="TableNormal"/>
    <w:uiPriority w:val="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pPr>
      <w:spacing w:before="120" w:after="120" w:line="240" w:lineRule="auto"/>
      <w:jc w:val="both"/>
    </w:pPr>
    <w:rPr>
      <w:rFonts w:ascii="Times New Roman" w:eastAsia="Times New Roman" w:hAnsi="Times New Roman"/>
      <w:b/>
      <w:bCs/>
      <w:sz w:val="20"/>
      <w:szCs w:val="20"/>
    </w:rPr>
  </w:style>
  <w:style w:type="paragraph" w:styleId="TableofFigures">
    <w:name w:val="table of figures"/>
    <w:basedOn w:val="Normal"/>
    <w:next w:val="Normal"/>
    <w:uiPriority w:val="99"/>
    <w:semiHidden/>
    <w:pPr>
      <w:spacing w:before="120" w:after="120" w:line="240" w:lineRule="auto"/>
      <w:jc w:val="both"/>
    </w:pPr>
    <w:rPr>
      <w:rFonts w:ascii="Times New Roman" w:eastAsia="Times New Roman" w:hAnsi="Times New Roman"/>
      <w:sz w:val="24"/>
      <w:szCs w:val="24"/>
    </w:rPr>
  </w:style>
  <w:style w:type="paragraph" w:styleId="ListBullet">
    <w:name w:val="List Bullet"/>
    <w:basedOn w:val="Normal"/>
    <w:uiPriority w:val="99"/>
    <w:pPr>
      <w:numPr>
        <w:numId w:val="1"/>
      </w:numPr>
      <w:spacing w:before="120" w:after="120" w:line="240" w:lineRule="auto"/>
      <w:jc w:val="both"/>
    </w:pPr>
    <w:rPr>
      <w:rFonts w:ascii="Times New Roman" w:eastAsia="Times New Roman" w:hAnsi="Times New Roman"/>
      <w:sz w:val="24"/>
      <w:szCs w:val="24"/>
    </w:rPr>
  </w:style>
  <w:style w:type="paragraph" w:styleId="ListBullet2">
    <w:name w:val="List Bullet 2"/>
    <w:basedOn w:val="Normal"/>
    <w:uiPriority w:val="99"/>
    <w:pPr>
      <w:numPr>
        <w:numId w:val="2"/>
      </w:numPr>
      <w:tabs>
        <w:tab w:val="clear" w:pos="1209"/>
        <w:tab w:val="num" w:pos="643"/>
        <w:tab w:val="num" w:pos="850"/>
      </w:tabs>
      <w:spacing w:before="120" w:after="120" w:line="240" w:lineRule="auto"/>
      <w:ind w:left="643"/>
      <w:jc w:val="both"/>
    </w:pPr>
    <w:rPr>
      <w:rFonts w:ascii="Times New Roman" w:eastAsia="Times New Roman" w:hAnsi="Times New Roman"/>
      <w:sz w:val="24"/>
      <w:szCs w:val="24"/>
    </w:rPr>
  </w:style>
  <w:style w:type="paragraph" w:styleId="ListBullet3">
    <w:name w:val="List Bullet 3"/>
    <w:basedOn w:val="Normal"/>
    <w:uiPriority w:val="99"/>
    <w:pPr>
      <w:tabs>
        <w:tab w:val="num" w:pos="850"/>
        <w:tab w:val="num" w:pos="926"/>
      </w:tabs>
      <w:spacing w:before="120" w:after="120" w:line="240" w:lineRule="auto"/>
      <w:ind w:left="926" w:hanging="360"/>
      <w:jc w:val="both"/>
    </w:pPr>
    <w:rPr>
      <w:rFonts w:ascii="Times New Roman" w:eastAsia="Times New Roman" w:hAnsi="Times New Roman"/>
      <w:sz w:val="24"/>
      <w:szCs w:val="24"/>
    </w:rPr>
  </w:style>
  <w:style w:type="paragraph" w:styleId="ListBullet4">
    <w:name w:val="List Bullet 4"/>
    <w:basedOn w:val="Normal"/>
    <w:uiPriority w:val="99"/>
    <w:pPr>
      <w:tabs>
        <w:tab w:val="num" w:pos="1209"/>
        <w:tab w:val="num" w:pos="1417"/>
      </w:tabs>
      <w:spacing w:before="120" w:after="120" w:line="240" w:lineRule="auto"/>
      <w:ind w:left="1209" w:hanging="360"/>
      <w:jc w:val="both"/>
    </w:pPr>
    <w:rPr>
      <w:rFonts w:ascii="Times New Roman" w:eastAsia="Times New Roman" w:hAnsi="Times New Roman"/>
      <w:sz w:val="24"/>
      <w:szCs w:val="24"/>
    </w:rPr>
  </w:style>
  <w:style w:type="paragraph" w:styleId="ListNumber">
    <w:name w:val="List Number"/>
    <w:basedOn w:val="Normal"/>
    <w:uiPriority w:val="99"/>
    <w:pPr>
      <w:tabs>
        <w:tab w:val="num" w:pos="1984"/>
      </w:tabs>
      <w:spacing w:before="120" w:after="120" w:line="240" w:lineRule="auto"/>
      <w:ind w:left="360" w:hanging="360"/>
      <w:jc w:val="both"/>
    </w:pPr>
    <w:rPr>
      <w:rFonts w:ascii="Times New Roman" w:eastAsia="Times New Roman" w:hAnsi="Times New Roman"/>
      <w:sz w:val="24"/>
      <w:szCs w:val="24"/>
    </w:rPr>
  </w:style>
  <w:style w:type="paragraph" w:styleId="ListNumber2">
    <w:name w:val="List Number 2"/>
    <w:basedOn w:val="Normal"/>
    <w:uiPriority w:val="99"/>
    <w:pPr>
      <w:tabs>
        <w:tab w:val="num" w:pos="643"/>
        <w:tab w:val="num" w:pos="2551"/>
      </w:tabs>
      <w:spacing w:before="120" w:after="120" w:line="240" w:lineRule="auto"/>
      <w:ind w:left="643" w:hanging="360"/>
      <w:jc w:val="both"/>
    </w:pPr>
    <w:rPr>
      <w:rFonts w:ascii="Times New Roman" w:eastAsia="Times New Roman" w:hAnsi="Times New Roman"/>
      <w:sz w:val="24"/>
      <w:szCs w:val="24"/>
    </w:rPr>
  </w:style>
  <w:style w:type="paragraph" w:styleId="ListNumber3">
    <w:name w:val="List Number 3"/>
    <w:basedOn w:val="Normal"/>
    <w:uiPriority w:val="99"/>
    <w:pPr>
      <w:tabs>
        <w:tab w:val="num" w:pos="926"/>
        <w:tab w:val="num" w:pos="3118"/>
      </w:tabs>
      <w:spacing w:before="120" w:after="120" w:line="240" w:lineRule="auto"/>
      <w:ind w:left="926" w:hanging="360"/>
      <w:jc w:val="both"/>
    </w:pPr>
    <w:rPr>
      <w:rFonts w:ascii="Times New Roman" w:eastAsia="Times New Roman" w:hAnsi="Times New Roman"/>
      <w:sz w:val="24"/>
      <w:szCs w:val="24"/>
    </w:rPr>
  </w:style>
  <w:style w:type="paragraph" w:styleId="ListNumber4">
    <w:name w:val="List Number 4"/>
    <w:basedOn w:val="Normal"/>
    <w:uiPriority w:val="99"/>
    <w:pPr>
      <w:tabs>
        <w:tab w:val="num" w:pos="709"/>
        <w:tab w:val="num" w:pos="1209"/>
      </w:tabs>
      <w:spacing w:before="120" w:after="120" w:line="240" w:lineRule="auto"/>
      <w:ind w:left="1209" w:hanging="360"/>
      <w:jc w:val="both"/>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pPr>
      <w:spacing w:after="0" w:line="240" w:lineRule="auto"/>
      <w:jc w:val="both"/>
    </w:pPr>
    <w:rPr>
      <w:rFonts w:ascii="Tahoma" w:eastAsia="Times New Roman" w:hAnsi="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fi-FI"/>
    </w:rPr>
  </w:style>
  <w:style w:type="paragraph" w:styleId="CommentText">
    <w:name w:val="annotation text"/>
    <w:basedOn w:val="Normal"/>
    <w:link w:val="CommentTextChar"/>
    <w:uiPriority w:val="99"/>
    <w:unhideWhenUsed/>
    <w:pPr>
      <w:spacing w:before="120" w:after="120" w:line="240" w:lineRule="auto"/>
      <w:jc w:val="both"/>
    </w:pPr>
    <w:rPr>
      <w:rFonts w:ascii="Times New Roman" w:eastAsia="Times New Roman" w:hAnsi="Times New Roman"/>
      <w:sz w:val="20"/>
      <w:szCs w:val="20"/>
    </w:rPr>
  </w:style>
  <w:style w:type="character" w:customStyle="1" w:styleId="CommentTextChar">
    <w:name w:val="Comment Text Char"/>
    <w:link w:val="CommentText"/>
    <w:uiPriority w:val="99"/>
    <w:rPr>
      <w:rFonts w:ascii="Times New Roman" w:eastAsia="Times New Roman" w:hAnsi="Times New Roman"/>
      <w:lang w:eastAsia="fi-F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b/>
      <w:bCs/>
      <w:lang w:eastAsia="fi-FI"/>
    </w:rPr>
  </w:style>
  <w:style w:type="paragraph" w:customStyle="1" w:styleId="MediumGrid1-Accent21">
    <w:name w:val="Medium Grid 1 - Accent 21"/>
    <w:basedOn w:val="Normal"/>
    <w:uiPriority w:val="34"/>
    <w:qFormat/>
    <w:pPr>
      <w:spacing w:before="120" w:after="120" w:line="240" w:lineRule="auto"/>
      <w:ind w:left="720"/>
      <w:contextualSpacing/>
      <w:jc w:val="both"/>
    </w:pPr>
    <w:rPr>
      <w:rFonts w:ascii="Times New Roman" w:eastAsia="Times New Roman" w:hAnsi="Times New Roman"/>
      <w:sz w:val="24"/>
      <w:szCs w:val="24"/>
    </w:rPr>
  </w:style>
  <w:style w:type="paragraph" w:customStyle="1" w:styleId="MediumList2-Accent21">
    <w:name w:val="Medium List 2 - Accent 21"/>
    <w:hidden/>
    <w:uiPriority w:val="99"/>
    <w:semiHidden/>
    <w:rPr>
      <w:rFonts w:ascii="Times New Roman" w:eastAsia="Times New Roman" w:hAnsi="Times New Roman"/>
      <w:sz w:val="24"/>
      <w:szCs w:val="24"/>
    </w:rPr>
  </w:style>
  <w:style w:type="character" w:customStyle="1" w:styleId="FollowedHyperlink1">
    <w:name w:val="FollowedHyperlink1"/>
    <w:uiPriority w:val="99"/>
    <w:semiHidden/>
    <w:unhideWhenUsed/>
    <w:rPr>
      <w:color w:val="800080"/>
      <w:u w:val="single"/>
    </w:rPr>
  </w:style>
  <w:style w:type="character" w:customStyle="1" w:styleId="FootnoteTextChar1">
    <w:name w:val="Footnote Text Char1"/>
    <w:aliases w:val="Footnote Text Char Char"/>
    <w:uiPriority w:val="99"/>
    <w:rPr>
      <w:lang w:val="fi-FI" w:eastAsia="fi-FI"/>
    </w:rPr>
  </w:style>
  <w:style w:type="character" w:styleId="FollowedHyperlink">
    <w:name w:val="FollowedHyperlink"/>
    <w:uiPriority w:val="99"/>
    <w:semiHidden/>
    <w:unhideWhenUsed/>
    <w:rPr>
      <w:color w:val="800080"/>
      <w:u w:val="single"/>
    </w:rPr>
  </w:style>
  <w:style w:type="paragraph" w:styleId="Revision">
    <w:name w:val="Revision"/>
    <w:hidden/>
    <w:rPr>
      <w:sz w:val="22"/>
      <w:szCs w:val="22"/>
    </w:rPr>
  </w:style>
  <w:style w:type="paragraph" w:styleId="NormalWeb">
    <w:name w:val="Normal (Web)"/>
    <w:basedOn w:val="Normal"/>
    <w:rPr>
      <w:rFonts w:ascii="Times New Roman" w:hAnsi="Times New Roman"/>
      <w:sz w:val="24"/>
      <w:szCs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customStyle="1" w:styleId="FooterSensitivityChar">
    <w:name w:val="Footer Sensitivity Char"/>
    <w:link w:val="FooterSensitivity"/>
    <w:rPr>
      <w:rFonts w:ascii="Times New Roman" w:hAnsi="Times New Roman"/>
      <w:b/>
      <w:sz w:val="32"/>
      <w:szCs w:val="22"/>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character" w:customStyle="1" w:styleId="HeaderSensitivityChar">
    <w:name w:val="Header Sensitivity Char"/>
    <w:link w:val="HeaderSensitivity"/>
    <w:rPr>
      <w:rFonts w:ascii="Times New Roman" w:hAnsi="Times New Roman"/>
      <w:b/>
      <w:sz w:val="32"/>
      <w:szCs w:val="22"/>
    </w:rPr>
  </w:style>
  <w:style w:type="table" w:customStyle="1" w:styleId="TableGrid1">
    <w:name w:val="Table Grid1"/>
    <w:basedOn w:val="TableNormal"/>
    <w:next w:val="TableGrid"/>
    <w:uiPriority w:val="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paragraph" w:styleId="ListParagraph">
    <w:name w:val="List Paragraph"/>
    <w:basedOn w:val="Normal"/>
    <w:qFormat/>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151935">
      <w:bodyDiv w:val="1"/>
      <w:marLeft w:val="0"/>
      <w:marRight w:val="0"/>
      <w:marTop w:val="0"/>
      <w:marBottom w:val="0"/>
      <w:divBdr>
        <w:top w:val="none" w:sz="0" w:space="0" w:color="auto"/>
        <w:left w:val="none" w:sz="0" w:space="0" w:color="auto"/>
        <w:bottom w:val="none" w:sz="0" w:space="0" w:color="auto"/>
        <w:right w:val="none" w:sz="0" w:space="0" w:color="auto"/>
      </w:divBdr>
    </w:div>
    <w:div w:id="1297301793">
      <w:bodyDiv w:val="1"/>
      <w:marLeft w:val="0"/>
      <w:marRight w:val="0"/>
      <w:marTop w:val="0"/>
      <w:marBottom w:val="0"/>
      <w:divBdr>
        <w:top w:val="none" w:sz="0" w:space="0" w:color="auto"/>
        <w:left w:val="none" w:sz="0" w:space="0" w:color="auto"/>
        <w:bottom w:val="none" w:sz="0" w:space="0" w:color="auto"/>
        <w:right w:val="none" w:sz="0" w:space="0" w:color="auto"/>
      </w:divBdr>
    </w:div>
    <w:div w:id="169341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eb.org/publications/81/circular-economy/33789/pops-in-the-circular-economy.pdf" TargetMode="External"/><Relationship Id="rId2" Type="http://schemas.openxmlformats.org/officeDocument/2006/relationships/hyperlink" Target="https://www.anec.eu/images/Publications/position-papers/Sustainability/ANEC-PT-2017-CEG-017.pdf" TargetMode="External"/><Relationship Id="rId1" Type="http://schemas.openxmlformats.org/officeDocument/2006/relationships/hyperlink" Target="https://chemicalwatch.com/7210/mineral-oils-health-scare-sparks-food-packaging-debate" TargetMode="External"/><Relationship Id="rId5" Type="http://schemas.openxmlformats.org/officeDocument/2006/relationships/hyperlink" Target="http://www.eurelectric.org/media/340047/eurelectric-interface_consultation-final_07072017-2017-2430-0001-01-e.pdf" TargetMode="External"/><Relationship Id="rId4" Type="http://schemas.openxmlformats.org/officeDocument/2006/relationships/hyperlink" Target="https://www.eurometaux.eu/media/1634/eurometaux-response-chemicals-products-waste-interface-stakeholder-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F6234-67BB-4901-BC0B-FF2C561A0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9</Pages>
  <Words>2979</Words>
  <Characters>16983</Characters>
  <Application>Microsoft Office Word</Application>
  <DocSecurity>0</DocSecurity>
  <Lines>141</Lines>
  <Paragraphs>39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19923</CharactersWithSpaces>
  <SharedDoc>false</SharedDoc>
  <HLinks>
    <vt:vector size="30" baseType="variant">
      <vt:variant>
        <vt:i4>7274608</vt:i4>
      </vt:variant>
      <vt:variant>
        <vt:i4>12</vt:i4>
      </vt:variant>
      <vt:variant>
        <vt:i4>0</vt:i4>
      </vt:variant>
      <vt:variant>
        <vt:i4>5</vt:i4>
      </vt:variant>
      <vt:variant>
        <vt:lpwstr>http://www.eurelectric.org/media/340047/eurelectric-interface_consultation-final_07072017-2017-2430-0001-01-e.pdf</vt:lpwstr>
      </vt:variant>
      <vt:variant>
        <vt:lpwstr/>
      </vt:variant>
      <vt:variant>
        <vt:i4>4259909</vt:i4>
      </vt:variant>
      <vt:variant>
        <vt:i4>9</vt:i4>
      </vt:variant>
      <vt:variant>
        <vt:i4>0</vt:i4>
      </vt:variant>
      <vt:variant>
        <vt:i4>5</vt:i4>
      </vt:variant>
      <vt:variant>
        <vt:lpwstr>https://www.eurometaux.eu/media/1634/eurometaux-response-chemicals-products-waste-interface-stakeholder-c.pdf</vt:lpwstr>
      </vt:variant>
      <vt:variant>
        <vt:lpwstr/>
      </vt:variant>
      <vt:variant>
        <vt:i4>6750335</vt:i4>
      </vt:variant>
      <vt:variant>
        <vt:i4>6</vt:i4>
      </vt:variant>
      <vt:variant>
        <vt:i4>0</vt:i4>
      </vt:variant>
      <vt:variant>
        <vt:i4>5</vt:i4>
      </vt:variant>
      <vt:variant>
        <vt:lpwstr>http://eeb.org/publications/81/circular-economy/33789/pops-in-the-circular-economy.pdf</vt:lpwstr>
      </vt:variant>
      <vt:variant>
        <vt:lpwstr/>
      </vt:variant>
      <vt:variant>
        <vt:i4>2621555</vt:i4>
      </vt:variant>
      <vt:variant>
        <vt:i4>3</vt:i4>
      </vt:variant>
      <vt:variant>
        <vt:i4>0</vt:i4>
      </vt:variant>
      <vt:variant>
        <vt:i4>5</vt:i4>
      </vt:variant>
      <vt:variant>
        <vt:lpwstr>https://www.anec.eu/images/Publications/position-papers/Sustainability/ANEC-PT-2017-CEG-017.pdf</vt:lpwstr>
      </vt:variant>
      <vt:variant>
        <vt:lpwstr/>
      </vt:variant>
      <vt:variant>
        <vt:i4>65611</vt:i4>
      </vt:variant>
      <vt:variant>
        <vt:i4>0</vt:i4>
      </vt:variant>
      <vt:variant>
        <vt:i4>0</vt:i4>
      </vt:variant>
      <vt:variant>
        <vt:i4>5</vt:i4>
      </vt:variant>
      <vt:variant>
        <vt:lpwstr>https://chemicalwatch.com/7210/mineral-oils-health-scare-sparks-food-packaging-debate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Stefanie Heilemann</cp:lastModifiedBy>
  <cp:revision>36</cp:revision>
  <cp:lastPrinted>2018-01-09T15:49:00Z</cp:lastPrinted>
  <dcterms:created xsi:type="dcterms:W3CDTF">2018-01-15T15:12:00Z</dcterms:created>
  <dcterms:modified xsi:type="dcterms:W3CDTF">2018-01-19T09:31:00Z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Level of sensitivity">
    <vt:lpwstr>Standard treatment</vt:lpwstr>
  </property>
</Properties>
</file>