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A5BA4688-9CBE-49A0-9949-77E88E5120E6" style="width:450.4pt;height:361.6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RAPPORT MILL-KUMMISSJONI LILL-KUNSILL U LILL-PARLAMENT EWROPEW</w:t>
      </w:r>
    </w:p>
    <w:p>
      <w:pPr>
        <w:jc w:val="center"/>
        <w:rPr>
          <w:b/>
          <w:noProof/>
        </w:rPr>
      </w:pPr>
      <w:r>
        <w:rPr>
          <w:b/>
          <w:noProof/>
        </w:rPr>
        <w:t>dwar l-użu li sar mill-istituzzjonijiet fl-2016 tar-Regolamenti tal-Kunsill Nru 495/77, kif emendat l-aħħar mir-Regolament Nru 1945/2006 (dwar ix-xogħol standby), Nru 858/2004 (dwar il-kundizzjonijiet tax-xogħol partikolarment diffiċli), u Nru 300/76, kif emendat l-aħħar mir-Regolament Nru 1873/2006 (dwar is-servizz kontinwu jew bix-xift)</w:t>
      </w:r>
    </w:p>
    <w:p>
      <w:pPr>
        <w:jc w:val="center"/>
        <w:rPr>
          <w:b/>
          <w:noProof/>
        </w:rPr>
      </w:pP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Introduzzjoni</w:t>
      </w:r>
    </w:p>
    <w:p>
      <w:pPr>
        <w:rPr>
          <w:noProof/>
        </w:rPr>
      </w:pPr>
      <w:r>
        <w:rPr>
          <w:noProof/>
        </w:rPr>
        <w:t>Ir-Regolamenti tal-Kunsill dwar ix-xogħol standby (Nru 495/77) u dwar il-kundizzjonijiet tax-xogħol partikolarment diffiċli (Nru 858/2004) jobbligaw lill-Kummissjoni tippreżenta, kull sena, rapport lill-Kunsill dwar l-għadd ta’ uffiċjali u aġenti oħrajn f’kull kategorija li jirċievu l-benefiċċji msemmija fir-regolamenti kkonċernati kif ukoll dwar in-nefqa totali relatata magħhom.</w:t>
      </w:r>
    </w:p>
    <w:p>
      <w:pPr>
        <w:rPr>
          <w:noProof/>
        </w:rPr>
      </w:pPr>
      <w:r>
        <w:rPr>
          <w:noProof/>
        </w:rPr>
        <w:t>Dan ir-rapport huwa bbażat fuq l-aħħar ċifri annwali kompluti li kienu disponibbli fi żmien it-tħejjija tiegħu u għalhekk jirreferi għas-sena 2016. Huwa jkopri l-istituzzjonijiet kollha u jinkludi wkoll, għall-finijiet ta’ kompletezza, informazzjoni simili dwar l-użu tas-servizz kontinwu jew bix-xift (ir-Regolament tal-Kunsill Nru 300/76).</w:t>
      </w:r>
    </w:p>
    <w:p>
      <w:pPr>
        <w:pStyle w:val="ManualHeading1"/>
        <w:rPr>
          <w:bCs/>
          <w:noProof/>
        </w:rPr>
      </w:pPr>
      <w:r>
        <w:t>2.</w:t>
      </w:r>
      <w:r>
        <w:tab/>
      </w:r>
      <w:r>
        <w:rPr>
          <w:noProof/>
        </w:rPr>
        <w:t>Benefiċċju għax-xogħol standby</w:t>
      </w:r>
    </w:p>
    <w:p>
      <w:pPr>
        <w:rPr>
          <w:noProof/>
        </w:rPr>
      </w:pPr>
      <w:r>
        <w:rPr>
          <w:noProof/>
        </w:rPr>
        <w:t>Il-bażijiet legali għal dan il-benefiċċju huma l-Artikoli 55 u 56B tar-Regolamenti tal-Persunal kif ukoll ir-Regolament tal-Kunsill Nru 495/77 tat-8 ta’ Marzu 1977, kif emendat l-aħħar mir-Regolament tal-Kunsill Nru 1945/2006 tal-11 ta’ Diċembru 2006.</w:t>
      </w:r>
    </w:p>
    <w:p>
      <w:pPr>
        <w:spacing w:after="0"/>
        <w:rPr>
          <w:noProof/>
        </w:rPr>
      </w:pPr>
      <w:r>
        <w:rPr>
          <w:noProof/>
        </w:rPr>
        <w:t>Il-ħlas tal-benefiċċju huwa limitat għal uffiċjali u għal aġenti oħra mħallsa mill-</w:t>
      </w:r>
      <w:r>
        <w:rPr>
          <w:i/>
          <w:noProof/>
        </w:rPr>
        <w:t>approprjazzjonijiet għar-riċerka</w:t>
      </w:r>
      <w:r>
        <w:rPr>
          <w:noProof/>
        </w:rPr>
        <w:t xml:space="preserve"> u impjegati:</w:t>
      </w:r>
    </w:p>
    <w:p>
      <w:pPr>
        <w:pStyle w:val="Tiret1"/>
        <w:numPr>
          <w:ilvl w:val="0"/>
          <w:numId w:val="24"/>
        </w:numPr>
        <w:spacing w:before="0" w:after="0"/>
        <w:ind w:left="1418"/>
        <w:rPr>
          <w:noProof/>
        </w:rPr>
      </w:pPr>
      <w:r>
        <w:rPr>
          <w:noProof/>
        </w:rPr>
        <w:t xml:space="preserve">fi stabbiliment taċ-Ċentru Konġunt għar-Riċerka (JRC), jew 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f’azzjonijiet indiretti, jew</w:t>
      </w:r>
    </w:p>
    <w:p>
      <w:pPr>
        <w:spacing w:after="0"/>
        <w:rPr>
          <w:noProof/>
        </w:rPr>
      </w:pPr>
      <w:r>
        <w:rPr>
          <w:noProof/>
        </w:rPr>
        <w:t>imħallsa mill-</w:t>
      </w:r>
      <w:r>
        <w:rPr>
          <w:i/>
          <w:noProof/>
        </w:rPr>
        <w:t>approprjazzjonijiet amministrattivi</w:t>
      </w:r>
      <w:r>
        <w:rPr>
          <w:noProof/>
        </w:rPr>
        <w:t xml:space="preserve"> u impjegati: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fit-tmexxija jew fis-superviżjoni ta’ installazzjonijiet tekniċi,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f’dipartiment tas-sigurtà,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f’dipartiment tat-Teknoloġija tal-Informazzjoni u tal-Komunikazzjoni (ICT),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f’dipartiment li jipprovdi sostenn għall-Politika Estera u ta’ Sigurtà Komuni (PESK) / Politika Ewropea ta’ Sigurtà u ta’ Difiża Komuni (PSDK) jew għall-arranġamenti ta’ koordinazzjoni f’sitwazzjonijiet ta’ emerġenza jew fi kriżijiet, jew</w:t>
      </w:r>
    </w:p>
    <w:p>
      <w:pPr>
        <w:pStyle w:val="Tiret1"/>
        <w:numPr>
          <w:ilvl w:val="0"/>
          <w:numId w:val="25"/>
        </w:numPr>
        <w:spacing w:before="0"/>
        <w:rPr>
          <w:noProof/>
        </w:rPr>
      </w:pPr>
      <w:r>
        <w:rPr>
          <w:noProof/>
        </w:rPr>
        <w:t>fil-qafas ta’ arranġament maħluq biex jipprovdi l-għajnuna lill-Istati Membri 24 siegħa kuljum u sebat ijiem fil-ġimgħa (“SM 24/7”) fil-kuntest tal-koordinazzjoni f’każ urġenti jew ta’ kriżi jew servizzi li fihom teżisti n-neċessità li jwettqu kompiti sabiex jiġi żgurat mekkaniżmu li jipprovdi assistenza lill-Istati Membri.</w:t>
      </w:r>
    </w:p>
    <w:p>
      <w:pPr>
        <w:rPr>
          <w:noProof/>
        </w:rPr>
      </w:pPr>
      <w:r>
        <w:rPr>
          <w:noProof/>
        </w:rPr>
        <w:lastRenderedPageBreak/>
        <w:t>Il-benefiċċju għax-xogħol standby huwa espress permezz ta’ punti. L-għadd ta’ punti mogħtija għal kull siegħa ta’ xogħol standby effettivament maħduma huwa stabbilit kif ġej: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xogħol standby mid-dar, f’jum tax-xogħol: 2,15 punti;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xogħol standby fi tmiem il-ġimgħa u l-jiem ta' btala: 4,3 punti;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xogħol standby fuq il-post tax-xogħol, f’jum tax-xogħol: 11-il punt;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xogħol standby fuq il-post tax-xogħol, fi tmiem il-ġimgħa u l-jiem ta' btala: 22 punt.</w:t>
      </w:r>
    </w:p>
    <w:p>
      <w:pPr>
        <w:rPr>
          <w:noProof/>
        </w:rPr>
      </w:pPr>
      <w:r>
        <w:rPr>
          <w:noProof/>
        </w:rPr>
        <w:t>Kull punt jiswa daqs 0,032 % tal-paga bażika ta’ uffiċjal fil-grad 1, fl-ewwel skala (jiġifieri EUR 0,9056 fl-2016).</w:t>
      </w:r>
    </w:p>
    <w:p>
      <w:pPr>
        <w:spacing w:before="0" w:after="0"/>
        <w:rPr>
          <w:noProof/>
        </w:rPr>
      </w:pPr>
    </w:p>
    <w:p>
      <w:pPr>
        <w:pStyle w:val="ManualHeading2"/>
        <w:rPr>
          <w:bCs/>
          <w:noProof/>
        </w:rPr>
      </w:pPr>
      <w:r>
        <w:t>2.1.</w:t>
      </w:r>
      <w:r>
        <w:tab/>
      </w:r>
      <w:r>
        <w:rPr>
          <w:noProof/>
        </w:rPr>
        <w:t>L-għadd ta’ benefiċjarji (uffiċjali / aġenti temporanji u aġenti kuntrattwali)</w:t>
      </w:r>
      <w:r>
        <w:rPr>
          <w:rStyle w:val="FootnoteReference"/>
          <w:noProof/>
        </w:rPr>
        <w:footnoteReference w:id="1"/>
      </w:r>
      <w:r>
        <w:rPr>
          <w:noProof/>
        </w:rPr>
        <w:t>:</w:t>
      </w:r>
    </w:p>
    <w:tbl>
      <w:tblPr>
        <w:tblW w:w="9420" w:type="dxa"/>
        <w:tblInd w:w="93" w:type="dxa"/>
        <w:tblLook w:val="0000" w:firstRow="0" w:lastRow="0" w:firstColumn="0" w:lastColumn="0" w:noHBand="0" w:noVBand="0"/>
      </w:tblPr>
      <w:tblGrid>
        <w:gridCol w:w="2663"/>
        <w:gridCol w:w="828"/>
        <w:gridCol w:w="973"/>
        <w:gridCol w:w="957"/>
        <w:gridCol w:w="960"/>
        <w:gridCol w:w="960"/>
        <w:gridCol w:w="960"/>
        <w:gridCol w:w="1119"/>
      </w:tblGrid>
      <w:tr>
        <w:trPr>
          <w:trHeight w:val="51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AD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SC - AST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AC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346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FG III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IV</w:t>
            </w: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88,33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350</w:t>
            </w:r>
          </w:p>
        </w:tc>
      </w:tr>
      <w:tr>
        <w:trPr>
          <w:trHeight w:val="16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142</w:t>
            </w:r>
          </w:p>
        </w:tc>
      </w:tr>
      <w:tr>
        <w:trPr>
          <w:trHeight w:val="15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62</w:t>
            </w:r>
          </w:p>
        </w:tc>
      </w:tr>
      <w:tr>
        <w:trPr>
          <w:trHeight w:val="15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2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</w:t>
            </w:r>
          </w:p>
        </w:tc>
      </w:tr>
      <w:tr>
        <w:trPr>
          <w:trHeight w:val="21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</w:p>
        </w:tc>
      </w:tr>
      <w:tr>
        <w:trPr>
          <w:trHeight w:val="21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2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7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7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6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115,33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270,33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49,33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457</w:t>
            </w:r>
          </w:p>
        </w:tc>
      </w:tr>
    </w:tbl>
    <w:p>
      <w:pPr>
        <w:pStyle w:val="Heading2"/>
        <w:numPr>
          <w:ilvl w:val="0"/>
          <w:numId w:val="0"/>
        </w:numPr>
        <w:spacing w:before="0" w:after="0"/>
        <w:rPr>
          <w:noProof/>
        </w:rPr>
      </w:pP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Għadd ta’ benefiċjarji għal kull tip ta’ xogħol standby:</w:t>
      </w:r>
    </w:p>
    <w:tbl>
      <w:tblPr>
        <w:tblW w:w="8900" w:type="dxa"/>
        <w:tblInd w:w="93" w:type="dxa"/>
        <w:tblLook w:val="0000" w:firstRow="0" w:lastRow="0" w:firstColumn="0" w:lastColumn="0" w:noHBand="0" w:noVBand="0"/>
      </w:tblPr>
      <w:tblGrid>
        <w:gridCol w:w="2860"/>
        <w:gridCol w:w="1120"/>
        <w:gridCol w:w="1720"/>
        <w:gridCol w:w="2080"/>
        <w:gridCol w:w="1120"/>
      </w:tblGrid>
      <w:tr>
        <w:trPr>
          <w:trHeight w:val="51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Xogħol mid-dar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Xogħol mid-dar u fuq il-post tax-xogħol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Fuq il-post tax-xogħol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23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350</w:t>
            </w:r>
          </w:p>
        </w:tc>
      </w:tr>
      <w:tr>
        <w:trPr>
          <w:trHeight w:val="21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19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142</w:t>
            </w:r>
          </w:p>
        </w:tc>
      </w:tr>
      <w:tr>
        <w:trPr>
          <w:trHeight w:val="21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62</w:t>
            </w:r>
          </w:p>
        </w:tc>
      </w:tr>
      <w:tr>
        <w:trPr>
          <w:trHeight w:val="20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7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</w:t>
            </w:r>
          </w:p>
        </w:tc>
      </w:tr>
      <w:tr>
        <w:trPr>
          <w:trHeight w:val="17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</w:p>
        </w:tc>
      </w:tr>
      <w:tr>
        <w:trPr>
          <w:trHeight w:val="16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5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5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26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21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437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457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L-għadd ta’ benefiċjarji skont l-impjieg</w:t>
      </w:r>
    </w:p>
    <w:tbl>
      <w:tblPr>
        <w:tblW w:w="99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36"/>
        <w:gridCol w:w="824"/>
        <w:gridCol w:w="1216"/>
        <w:gridCol w:w="1484"/>
        <w:gridCol w:w="1056"/>
        <w:gridCol w:w="718"/>
        <w:gridCol w:w="961"/>
        <w:gridCol w:w="840"/>
        <w:gridCol w:w="840"/>
      </w:tblGrid>
      <w:tr>
        <w:trPr>
          <w:trHeight w:val="64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JRC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Azzjonijiet indiretti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Installazzjonijiet tekniċi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Sigurtà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ICT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PESK / PSDK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SM 24/7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27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350</w:t>
            </w:r>
          </w:p>
        </w:tc>
      </w:tr>
      <w:tr>
        <w:trPr>
          <w:trHeight w:val="21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142</w:t>
            </w:r>
          </w:p>
        </w:tc>
      </w:tr>
      <w:tr>
        <w:trPr>
          <w:trHeight w:val="20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62</w:t>
            </w:r>
          </w:p>
        </w:tc>
      </w:tr>
      <w:tr>
        <w:trPr>
          <w:trHeight w:val="20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17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</w:t>
            </w:r>
          </w:p>
        </w:tc>
      </w:tr>
      <w:tr>
        <w:trPr>
          <w:trHeight w:val="166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</w:p>
        </w:tc>
      </w:tr>
      <w:tr>
        <w:trPr>
          <w:trHeight w:val="166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15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14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142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11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79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457</w:t>
            </w:r>
          </w:p>
        </w:tc>
      </w:tr>
    </w:tbl>
    <w:p>
      <w:pPr>
        <w:pStyle w:val="Heading1"/>
        <w:numPr>
          <w:ilvl w:val="0"/>
          <w:numId w:val="0"/>
        </w:numPr>
        <w:spacing w:before="0" w:after="0"/>
        <w:ind w:left="850"/>
        <w:rPr>
          <w:bCs w:val="0"/>
          <w:smallCaps w:val="0"/>
          <w:noProof/>
          <w:szCs w:val="24"/>
        </w:rPr>
      </w:pPr>
    </w:p>
    <w:p>
      <w:pPr>
        <w:pStyle w:val="ManualHeading1"/>
        <w:rPr>
          <w:bCs/>
          <w:noProof/>
        </w:rPr>
      </w:pPr>
      <w:r>
        <w:t>3.</w:t>
      </w:r>
      <w:r>
        <w:tab/>
      </w:r>
      <w:r>
        <w:rPr>
          <w:noProof/>
        </w:rPr>
        <w:t>Benefiċċju li jingħata minħabba kundizzjonijiet tax-xogħol partikolarment diffiċli</w:t>
      </w:r>
    </w:p>
    <w:p>
      <w:pPr>
        <w:rPr>
          <w:noProof/>
        </w:rPr>
      </w:pPr>
      <w:r>
        <w:rPr>
          <w:noProof/>
        </w:rPr>
        <w:t>Il-bażijiet legali għal dan il-benefiċċju huma l-Artikolu 56C tar-Regolamenti tal-Persunal kif ukoll ir-Regolament tal-Kunsill Nru 858/2004 tad-29 ta’ April 2004, li ħa post ir-Regolament tal-Kunsill Nru 1799/72.</w:t>
      </w:r>
      <w:r>
        <w:rPr>
          <w:noProof/>
        </w:rPr>
        <w:tab/>
      </w:r>
    </w:p>
    <w:p>
      <w:pPr>
        <w:rPr>
          <w:noProof/>
        </w:rPr>
      </w:pPr>
      <w:r>
        <w:rPr>
          <w:noProof/>
        </w:rPr>
        <w:t>Il-benefiċċju li jingħata minħabba kundizzjonijiet tax-xogħol partikolarment diffiċli hu espress permezz ta’ punti mogħtija għal kull siegħa ta’ xogħol effettivament maħduma u jiddependi minn diversi kundizzjonijiet partikolari tax-xogħol li għandhom x’jaqsmu mal-“protezzjoni tal-individwu”, il-“post tax-xogħol” u n-“natura tax-xogħol”. L-għadd ta’ punti jvarja bejn 2 punti, pereżempju għal-livell medju ta’ ħoss li jeċċedi l-85 deċibel, u l-limitu massimu ta’ 50 punt fil-każ ta’ uffiċjal li jrid jilbes ilbies protettiv għal kontra n-nar b'apparat awtorespiratorju. Kull punt jiswa daqs 0,032 % tal-paga bażika ta’ uffiċjal fil-grad 1, fl-ewwel skala (jiġifieri EUR 0,9056 fl-2016).</w:t>
      </w:r>
    </w:p>
    <w:p>
      <w:pPr>
        <w:spacing w:before="0" w:after="0"/>
        <w:rPr>
          <w:noProof/>
        </w:rPr>
      </w:pPr>
    </w:p>
    <w:p>
      <w:pPr>
        <w:pStyle w:val="ManualHeading2"/>
        <w:rPr>
          <w:bCs/>
          <w:noProof/>
        </w:rPr>
      </w:pPr>
      <w:r>
        <w:t>3.1.</w:t>
      </w:r>
      <w:r>
        <w:tab/>
      </w:r>
      <w:r>
        <w:rPr>
          <w:noProof/>
        </w:rPr>
        <w:t>L-għadd ta’ benefiċjarji (uffiċjali / aġenti temporanji u aġenti kuntrattwali):</w:t>
      </w:r>
    </w:p>
    <w:tbl>
      <w:tblPr>
        <w:tblW w:w="9100" w:type="dxa"/>
        <w:tblInd w:w="93" w:type="dxa"/>
        <w:tblLook w:val="0000" w:firstRow="0" w:lastRow="0" w:firstColumn="0" w:lastColumn="0" w:noHBand="0" w:noVBand="0"/>
      </w:tblPr>
      <w:tblGrid>
        <w:gridCol w:w="2295"/>
        <w:gridCol w:w="960"/>
        <w:gridCol w:w="960"/>
        <w:gridCol w:w="840"/>
        <w:gridCol w:w="960"/>
        <w:gridCol w:w="1080"/>
        <w:gridCol w:w="1045"/>
        <w:gridCol w:w="960"/>
      </w:tblGrid>
      <w:tr>
        <w:trPr>
          <w:trHeight w:val="330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SC -AST</w:t>
            </w:r>
          </w:p>
        </w:tc>
        <w:tc>
          <w:tcPr>
            <w:tcW w:w="39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Aġenti Kuntrattwali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330"/>
        </w:trPr>
        <w:tc>
          <w:tcPr>
            <w:tcW w:w="2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III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IV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154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233</w:t>
            </w:r>
          </w:p>
        </w:tc>
      </w:tr>
      <w:tr>
        <w:trPr>
          <w:trHeight w:val="315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218</w:t>
            </w:r>
          </w:p>
        </w:tc>
      </w:tr>
      <w:tr>
        <w:trPr>
          <w:trHeight w:val="166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66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54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42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42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214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06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106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9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rPr>
          <w:trHeight w:val="324"/>
        </w:trPr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37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29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233</w:t>
            </w:r>
          </w:p>
        </w:tc>
      </w:tr>
    </w:tbl>
    <w:p>
      <w:pPr>
        <w:pStyle w:val="ManualHeading1"/>
        <w:rPr>
          <w:bCs/>
          <w:noProof/>
        </w:rPr>
      </w:pPr>
      <w:r>
        <w:t>4.</w:t>
      </w:r>
      <w:r>
        <w:tab/>
      </w:r>
      <w:r>
        <w:rPr>
          <w:noProof/>
        </w:rPr>
        <w:t>Benefiċċju għas-servizz kontinwu jew bix-xift</w:t>
      </w:r>
    </w:p>
    <w:p>
      <w:pPr>
        <w:spacing w:after="0"/>
        <w:rPr>
          <w:noProof/>
        </w:rPr>
      </w:pPr>
      <w:r>
        <w:rPr>
          <w:noProof/>
        </w:rPr>
        <w:t>Il-bażijiet legali għal dan il-benefiċċju huma l-Artikolu 56A tar-Regolamenti tal-Persunal kif ukoll ir-Regolament tal-Kunsill Nru 300/76 tad-9 ta’ Frar 1976, kif emendat l-aħħar mir-Regolament tal-Kunsill Nru 1873/2006 tal-11 ta’ Diċembru 2006.</w:t>
      </w:r>
    </w:p>
    <w:p>
      <w:pPr>
        <w:spacing w:after="0"/>
        <w:rPr>
          <w:noProof/>
        </w:rPr>
      </w:pPr>
      <w:r>
        <w:rPr>
          <w:noProof/>
        </w:rPr>
        <w:t>Il-ħlas tal-benefiċċju huwa limitat għal uffiċjali u għal aġenti oħra mħallsa mill-</w:t>
      </w:r>
      <w:r>
        <w:rPr>
          <w:i/>
          <w:noProof/>
        </w:rPr>
        <w:t>approprjazzjonijiet għar-riċerka</w:t>
      </w:r>
      <w:r>
        <w:rPr>
          <w:noProof/>
        </w:rPr>
        <w:t xml:space="preserve"> u impjegati: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fi stabbiliment taċ-Ċentru Konġunt għar-Riċerka (JRC), jew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 xml:space="preserve">f’azzjonijiet indiretti, jew </w:t>
      </w:r>
    </w:p>
    <w:p>
      <w:pPr>
        <w:spacing w:before="0" w:after="0"/>
        <w:rPr>
          <w:noProof/>
        </w:rPr>
      </w:pPr>
      <w:r>
        <w:rPr>
          <w:noProof/>
        </w:rPr>
        <w:t>imħallsa mill-</w:t>
      </w:r>
      <w:r>
        <w:rPr>
          <w:i/>
          <w:noProof/>
        </w:rPr>
        <w:t>approprjazzjonijiet amministrattivi</w:t>
      </w:r>
      <w:r>
        <w:rPr>
          <w:noProof/>
        </w:rPr>
        <w:t xml:space="preserve"> u impjegati: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f’dipartiment tat-Teknoloġija tal-Informazzjoni u tal-Komunikazzjoni (ICT),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f’dipartiment tas-sigurtà,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f’servizz ta’ swiċċbord tat-telefon / ta’ informazzjoni jew f’uffiċċju ta' akkoljenza,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f’dipartiment li jipprovdi sostenn għall-Politika Estera u ta’ Sigurtà Komuni (PESK) / Politika Ewropea ta’ Sigurtà u ta’ Difiża Komuni (PSDK) jew għall-arranġamenti ta’ koordinazzjoni f’sitwazzjonijiet ta’ emerġenza jew fi kriżijiet,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servizz li jipprovdi appoġġ fil-kuntest ta’ koordinazzjoni f’każ ta’ emerġenza jew kriżi jew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fit-tmexxija jew fis-superviżjoni tal-installazzjonijiet tekniċi.</w:t>
      </w:r>
    </w:p>
    <w:p>
      <w:pPr>
        <w:spacing w:after="0"/>
        <w:rPr>
          <w:noProof/>
        </w:rPr>
      </w:pPr>
      <w:r>
        <w:rPr>
          <w:noProof/>
        </w:rPr>
        <w:t>Iċ-ċifri li ġejjin jindikaw l-għadd ta’ benefiċċji mogħtija minn kull istituzzjoni għas-sena 2016.</w:t>
      </w:r>
    </w:p>
    <w:p>
      <w:pPr>
        <w:spacing w:before="0" w:after="0"/>
        <w:rPr>
          <w:noProof/>
        </w:rPr>
      </w:pPr>
    </w:p>
    <w:p>
      <w:pPr>
        <w:pStyle w:val="ManualHeading2"/>
        <w:rPr>
          <w:bCs/>
          <w:noProof/>
        </w:rPr>
      </w:pPr>
      <w:r>
        <w:t>4.1.</w:t>
      </w:r>
      <w:r>
        <w:tab/>
      </w:r>
      <w:r>
        <w:rPr>
          <w:noProof/>
        </w:rPr>
        <w:t>L-għadd ta’ benefiċjarji (uffiċjali / aġenti temporanji u aġenti kuntrattwali):</w:t>
      </w:r>
    </w:p>
    <w:tbl>
      <w:tblPr>
        <w:tblW w:w="9314" w:type="dxa"/>
        <w:tblInd w:w="93" w:type="dxa"/>
        <w:tblLook w:val="0000" w:firstRow="0" w:lastRow="0" w:firstColumn="0" w:lastColumn="0" w:noHBand="0" w:noVBand="0"/>
      </w:tblPr>
      <w:tblGrid>
        <w:gridCol w:w="2658"/>
        <w:gridCol w:w="954"/>
        <w:gridCol w:w="954"/>
        <w:gridCol w:w="954"/>
        <w:gridCol w:w="954"/>
        <w:gridCol w:w="954"/>
        <w:gridCol w:w="835"/>
        <w:gridCol w:w="1051"/>
      </w:tblGrid>
      <w:tr>
        <w:trPr>
          <w:trHeight w:val="25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AD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SC - AST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AC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Total </w:t>
            </w:r>
          </w:p>
        </w:tc>
      </w:tr>
      <w:tr>
        <w:trPr>
          <w:trHeight w:val="466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III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FG IV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132</w:t>
            </w: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44</w:t>
            </w: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86</w:t>
            </w: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570</w:t>
            </w: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</w:t>
            </w: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6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38</w:t>
            </w:r>
          </w:p>
        </w:tc>
      </w:tr>
      <w:tr>
        <w:trPr>
          <w:trHeight w:val="324"/>
        </w:trPr>
        <w:tc>
          <w:tcPr>
            <w:tcW w:w="2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840</w:t>
            </w:r>
          </w:p>
        </w:tc>
      </w:tr>
    </w:tbl>
    <w:p>
      <w:pPr>
        <w:pStyle w:val="Heading2"/>
        <w:numPr>
          <w:ilvl w:val="0"/>
          <w:numId w:val="0"/>
        </w:numPr>
        <w:spacing w:before="0" w:after="0"/>
        <w:ind w:left="850"/>
        <w:rPr>
          <w:noProof/>
        </w:rPr>
      </w:pPr>
    </w:p>
    <w:p>
      <w:pPr>
        <w:spacing w:after="0"/>
        <w:rPr>
          <w:noProof/>
        </w:rPr>
      </w:pPr>
      <w:r>
        <w:rPr>
          <w:noProof/>
        </w:rPr>
        <w:br w:type="page"/>
        <w:t>Hemm erba' rati differenti previsti għall-benefiċċju ta' kull xahar (ċifri abbażi tas-sena 2016):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l-ewwel rata: servizz b’żewġ xiftijiet, minbarra fi tmiem il-ġimgħa u fil-jiem ta' btala: EUR 407,50;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right="-287" w:hanging="360"/>
        <w:rPr>
          <w:noProof/>
        </w:rPr>
      </w:pPr>
      <w:r>
        <w:rPr>
          <w:noProof/>
        </w:rPr>
        <w:t>it-tieni rata: servizz b’żewġ xiftijiet, inkluż matul il-lejl, fi tmiem il-ġimgħa u fil-jiem ta' btala: EUR 615,05;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it-tielet rata: 24 siegħa kuljum, minbarra fi tmiem il-ġimgħa u l-jiem ta' btala: EUR 672,48;</w:t>
      </w:r>
    </w:p>
    <w:p>
      <w:pPr>
        <w:pStyle w:val="Tiret1"/>
        <w:numPr>
          <w:ilvl w:val="0"/>
          <w:numId w:val="25"/>
        </w:numPr>
        <w:tabs>
          <w:tab w:val="clear" w:pos="1417"/>
          <w:tab w:val="num" w:pos="720"/>
        </w:tabs>
        <w:spacing w:before="0" w:after="0"/>
        <w:ind w:left="720" w:hanging="360"/>
        <w:rPr>
          <w:noProof/>
        </w:rPr>
      </w:pPr>
      <w:r>
        <w:rPr>
          <w:noProof/>
        </w:rPr>
        <w:t>ir-raba' rata: 24 siegħa kuljum, sebat ijiem fil-ġimgħa: EUR 916.81.</w:t>
      </w:r>
    </w:p>
    <w:p>
      <w:pPr>
        <w:pStyle w:val="Tiret1"/>
        <w:numPr>
          <w:ilvl w:val="0"/>
          <w:numId w:val="0"/>
        </w:numPr>
        <w:spacing w:before="0" w:after="0"/>
        <w:ind w:left="720"/>
        <w:rPr>
          <w:noProof/>
        </w:rPr>
      </w:pP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L-għadd ta’ benefiċjarji għal kull rata: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3620"/>
        <w:gridCol w:w="1215"/>
        <w:gridCol w:w="1276"/>
        <w:gridCol w:w="1275"/>
        <w:gridCol w:w="1134"/>
        <w:gridCol w:w="1215"/>
      </w:tblGrid>
      <w:tr>
        <w:trPr>
          <w:trHeight w:val="322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L-ewwel rata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It-tieni rata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It-tielet rata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Ir-raba' rata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52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EUR 407,50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EUR 615,05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EUR 672,48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EUR 916,81 </w:t>
            </w: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132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20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44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43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86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89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570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38</w:t>
            </w:r>
          </w:p>
        </w:tc>
      </w:tr>
      <w:tr>
        <w:trPr>
          <w:trHeight w:val="372"/>
        </w:trPr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245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840</w:t>
            </w:r>
          </w:p>
        </w:tc>
      </w:tr>
    </w:tbl>
    <w:p>
      <w:pPr>
        <w:pStyle w:val="Heading2"/>
        <w:numPr>
          <w:ilvl w:val="0"/>
          <w:numId w:val="0"/>
        </w:numPr>
        <w:ind w:left="850"/>
        <w:rPr>
          <w:noProof/>
        </w:rPr>
      </w:pP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L-għadd ta’ benefiċjarji skont it-tip ta’ impjieg:</w:t>
      </w:r>
    </w:p>
    <w:tbl>
      <w:tblPr>
        <w:tblW w:w="1092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1920"/>
        <w:gridCol w:w="720"/>
        <w:gridCol w:w="1200"/>
        <w:gridCol w:w="720"/>
        <w:gridCol w:w="1080"/>
        <w:gridCol w:w="1303"/>
        <w:gridCol w:w="960"/>
        <w:gridCol w:w="977"/>
        <w:gridCol w:w="1080"/>
        <w:gridCol w:w="960"/>
      </w:tblGrid>
      <w:tr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JRC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Koord.</w:t>
            </w:r>
          </w:p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Kriżi/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noProof/>
                <w:sz w:val="20"/>
              </w:rPr>
              <w:t>emerġenza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ICT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Sigurtà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Telef./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noProof/>
                <w:sz w:val="20"/>
              </w:rPr>
              <w:t>akkoljenza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PESK/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noProof/>
                <w:sz w:val="20"/>
              </w:rPr>
              <w:t>PSDK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Installazzjoni teknika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Azzjonijiet Ind.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132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44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86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570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8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38</w:t>
            </w:r>
          </w:p>
        </w:tc>
      </w:tr>
      <w:tr>
        <w:trPr>
          <w:trHeight w:val="396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717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840</w:t>
            </w:r>
          </w:p>
        </w:tc>
      </w:tr>
    </w:tbl>
    <w:p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bCs w:val="0"/>
          <w:smallCaps w:val="0"/>
          <w:noProof/>
          <w:sz w:val="20"/>
          <w:szCs w:val="20"/>
        </w:rPr>
      </w:pPr>
    </w:p>
    <w:p>
      <w:pPr>
        <w:rPr>
          <w:noProof/>
        </w:rPr>
      </w:pPr>
    </w:p>
    <w:p>
      <w:pPr>
        <w:pStyle w:val="ManualHeading1"/>
        <w:rPr>
          <w:bCs/>
          <w:noProof/>
        </w:rPr>
      </w:pPr>
      <w:r>
        <w:t>5.</w:t>
      </w:r>
      <w:r>
        <w:tab/>
      </w:r>
      <w:r>
        <w:rPr>
          <w:noProof/>
        </w:rPr>
        <w:t>Is-servizzi kkonċernati u r-raġunijiet</w:t>
      </w:r>
    </w:p>
    <w:p>
      <w:pPr>
        <w:rPr>
          <w:noProof/>
        </w:rPr>
      </w:pPr>
      <w:r>
        <w:rPr>
          <w:noProof/>
        </w:rPr>
        <w:t xml:space="preserve">Il-Kunsill, il-Kummissjoni, is-SEAE (dan tal-aħħar ħa parti kbira minn dak li qabel kien id-DĠ RELEX) u l-Qorti tal-Awdituri jirrikorru għall-użu tax-xogħol standby u għas-servizz kontinwu jew għax-xift u jipproċedu għall-ħlas ta' benefiċċji previsti mil-liġi. </w:t>
      </w:r>
    </w:p>
    <w:p>
      <w:pPr>
        <w:rPr>
          <w:noProof/>
        </w:rPr>
      </w:pPr>
      <w:r>
        <w:rPr>
          <w:noProof/>
        </w:rPr>
        <w:t>Ninnutaw li l-Parlament Ewropew m’għandux servizz ta’ standby u jħallas biss il-benefiċċji għas-servizzi bix-xift.</w:t>
      </w:r>
    </w:p>
    <w:p>
      <w:pPr>
        <w:rPr>
          <w:noProof/>
        </w:rPr>
      </w:pPr>
      <w:r>
        <w:rPr>
          <w:noProof/>
        </w:rPr>
        <w:t>Il-Kummissjoni tibqa' l-unika istituzzjoni li tħallas l-benefiċċji minħabba kundizzjonijiet tax-xogħol partikolarment diffiċli, fil-JRC u fl-Uffiċċju għall-infrastruttura u l-loġistika fi Brussell (OIB).</w:t>
      </w:r>
    </w:p>
    <w:p>
      <w:pPr>
        <w:spacing w:before="0" w:after="0"/>
        <w:ind w:left="851"/>
        <w:jc w:val="left"/>
        <w:rPr>
          <w:noProof/>
        </w:rPr>
      </w:pPr>
    </w:p>
    <w:p>
      <w:pPr>
        <w:pStyle w:val="ManualHeading2"/>
        <w:rPr>
          <w:bCs/>
          <w:noProof/>
        </w:rPr>
      </w:pPr>
      <w:r>
        <w:t>5.1.</w:t>
      </w:r>
      <w:r>
        <w:tab/>
      </w:r>
      <w:r>
        <w:rPr>
          <w:noProof/>
        </w:rPr>
        <w:t>Ir-raġunijiet għall-użu tax-xogħol standby</w:t>
      </w:r>
    </w:p>
    <w:p>
      <w:pPr>
        <w:rPr>
          <w:noProof/>
        </w:rPr>
      </w:pPr>
      <w:r>
        <w:rPr>
          <w:b/>
          <w:i/>
          <w:noProof/>
        </w:rPr>
        <w:t>Il-Kummissjoni:</w:t>
      </w:r>
      <w:r>
        <w:rPr>
          <w:noProof/>
        </w:rPr>
        <w:tab/>
      </w:r>
      <w:r>
        <w:rPr>
          <w:b/>
          <w:i/>
          <w:noProof/>
        </w:rPr>
        <w:br/>
      </w:r>
      <w:r>
        <w:rPr>
          <w:i/>
          <w:noProof/>
        </w:rPr>
        <w:t>Ċentru konġunt tar-riċerka (JRC)</w:t>
      </w:r>
      <w:r>
        <w:rPr>
          <w:noProof/>
        </w:rPr>
        <w:tab/>
      </w:r>
      <w:r>
        <w:rPr>
          <w:b/>
          <w:i/>
          <w:noProof/>
        </w:rPr>
        <w:br/>
      </w:r>
      <w:r>
        <w:rPr>
          <w:noProof/>
        </w:rPr>
        <w:t>Fl-2016, il-Kummissjoni ħallset il-benefiċċji għax-xogħol standby lil 350 membru tal-persunal tagħha. Madwar 41% (142) minnhom huma impjegati f’wieħed miċ-Ċentri għar-riċerka, li jirrappreżenta tnaqqis żgħir meta mqabbel mal-2015. Dan it-tnaqqis huwa konsegwenza ta' (1) it-tneħħija tal-benefiċċju konċess lill-iskwadra "Fire &amp; Rescue" f'Karlsruhe u (2) is-sostituzzjoni tas-servizz standby temporanju "IPR WINTER 2015/2016" b'kuntratt qafas. Ir-raġunijiet għax-xogħol standby jibqgħu - bħal fis-snin preċedenti – ġeneralment relatati mas-sigurtà u l-protezzjoni (servizz tat-tifi tan-nar, superviżjoni tar-radjazzjoni, protezzjoni mir-radjazzjoni, eċċ.). Fil-biċċa l-kbira tal-każijiet fil-JRC ix-xogħol standby isir mid-dar, bl-eċċezzjoni ta’ Ispra u ta’ Karlsruhe fejn is-servizzi jistgħu jitwettqu jew minn fuq il-post tax-xogħol, jew mid-dar u kif ukoll minn fuq il-post tax-xogħol minħabba l-ispeċifiċità tal-kompiti.</w:t>
      </w:r>
    </w:p>
    <w:p>
      <w:pPr>
        <w:spacing w:after="0"/>
        <w:rPr>
          <w:noProof/>
        </w:rPr>
      </w:pPr>
      <w:r>
        <w:rPr>
          <w:i/>
          <w:noProof/>
        </w:rPr>
        <w:t>Oħrajn</w:t>
      </w:r>
      <w:r>
        <w:rPr>
          <w:noProof/>
        </w:rPr>
        <w:tab/>
      </w:r>
      <w:r>
        <w:rPr>
          <w:i/>
          <w:noProof/>
        </w:rPr>
        <w:br/>
      </w:r>
      <w:r>
        <w:rPr>
          <w:noProof/>
        </w:rPr>
        <w:t xml:space="preserve">Fid-Direttorati Ġenerali l-oħra tal-Kummissjoni, is-sitwazzjoni hija kważi stabbli meta mqabbla mal-2015. Is-servizzi tax-xogħol standby huma b'mod partikolari relatati mas-sigurtà, mal-installazzjonijiet tekniċi u mas-servizzi tal-informatika kif ukoll mal-għajnuna lill-Istati Membri. </w:t>
      </w:r>
      <w:r>
        <w:rPr>
          <w:noProof/>
        </w:rPr>
        <w:tab/>
      </w:r>
    </w:p>
    <w:p>
      <w:pPr>
        <w:rPr>
          <w:noProof/>
        </w:rPr>
      </w:pPr>
      <w:r>
        <w:rPr>
          <w:b/>
          <w:i/>
          <w:noProof/>
        </w:rPr>
        <w:t>Il-Kunsill:</w:t>
      </w:r>
      <w:r>
        <w:rPr>
          <w:noProof/>
        </w:rPr>
        <w:t xml:space="preserve"> Fl-2016, il-Kunsill ħallas il-benefiċċji għax-xogħol standby lil 62 membru tal-persunal tiegħu (żieda ta' 15-il persuna meta mqabbel mal-2015). L-oqsma kkonċernati huma s-servizzi ta’ teknoloġija tal-informazzjoni u tal-komunikazzjoni (ICT), kif ukoll is-servizzi tas-sigurtà u l-appoġġ għall-PESK / PESD. Fl-2016 dan ix-xogħol ta’ standby kien jitwettaq biss mid-dar. </w:t>
      </w:r>
    </w:p>
    <w:p>
      <w:pPr>
        <w:rPr>
          <w:noProof/>
        </w:rPr>
      </w:pPr>
      <w:r>
        <w:rPr>
          <w:b/>
          <w:i/>
          <w:noProof/>
        </w:rPr>
        <w:t>Il-Qorti tal-Awdituri:</w:t>
      </w:r>
      <w:r>
        <w:rPr>
          <w:noProof/>
        </w:rPr>
        <w:t xml:space="preserve"> Fl-2016, il-Qorti tal-Awdituri ħallset benefiċċji għas-servizzi standby lil 10 membri tal-persunal tagħha.</w:t>
      </w:r>
    </w:p>
    <w:p>
      <w:pPr>
        <w:rPr>
          <w:noProof/>
        </w:rPr>
      </w:pPr>
      <w:r>
        <w:rPr>
          <w:b/>
          <w:i/>
          <w:noProof/>
        </w:rPr>
        <w:t>SEAE</w:t>
      </w:r>
      <w:r>
        <w:rPr>
          <w:noProof/>
        </w:rPr>
        <w:t xml:space="preserve">: Fl-2016, is-SEAE ħallas benefiċċji għas-servizzi standby lil 16-il membru tal-persunal tiegħu għal 3 oqsma ta' xogħol: is-servizzi ta' sigurtà, is-sostenn għall-PESK / PSDK u kif ukoll is-servizz tat-teknoloġija tal-informazzjoni u tal-komunikazzjoni (ICT). </w:t>
      </w:r>
    </w:p>
    <w:p>
      <w:pPr>
        <w:rPr>
          <w:noProof/>
        </w:rPr>
      </w:pPr>
      <w:r>
        <w:rPr>
          <w:b/>
          <w:i/>
          <w:noProof/>
        </w:rPr>
        <w:t xml:space="preserve">Il-Qorti tal-Ġustizzja: </w:t>
      </w:r>
      <w:r>
        <w:rPr>
          <w:noProof/>
        </w:rPr>
        <w:t>Fl-2016, il-Qorti tal-Ġustizzja ħallset benefiċċji għas-servizzi standby lil 19-il membru tal-persunal tagħha. Dan is-servizz ġie introdott f’Novembru 2014 fid-Direttorat Ġenerali għall-Infrastruttura biex ikopri s-superviżjoni tal-installazzjonijiet tekniċi u l-eżekuzzjoni ta’ kompiti relatati mas-sigurtà.</w:t>
      </w:r>
    </w:p>
    <w:p>
      <w:pPr>
        <w:rPr>
          <w:noProof/>
        </w:rPr>
      </w:pPr>
    </w:p>
    <w:p>
      <w:pPr>
        <w:spacing w:before="0" w:after="0"/>
        <w:ind w:left="851"/>
        <w:jc w:val="left"/>
        <w:rPr>
          <w:noProof/>
        </w:rPr>
      </w:pPr>
    </w:p>
    <w:p>
      <w:pPr>
        <w:pStyle w:val="ManualHeading2"/>
        <w:rPr>
          <w:bCs/>
          <w:noProof/>
        </w:rPr>
      </w:pPr>
      <w:r>
        <w:t>5.2.</w:t>
      </w:r>
      <w:r>
        <w:tab/>
      </w:r>
      <w:r>
        <w:rPr>
          <w:noProof/>
        </w:rPr>
        <w:t>Ir-raġunijiet għall-użu tal-benefiċċju li jingħata minħabba kundizzjonijiet tax-xogħol partikolarment diffiċli</w:t>
      </w:r>
    </w:p>
    <w:p>
      <w:pPr>
        <w:rPr>
          <w:noProof/>
        </w:rPr>
      </w:pPr>
      <w:r>
        <w:rPr>
          <w:b/>
          <w:i/>
          <w:noProof/>
        </w:rPr>
        <w:t>Il-Kummissjoni</w:t>
      </w:r>
      <w:r>
        <w:rPr>
          <w:i/>
          <w:noProof/>
        </w:rPr>
        <w:t xml:space="preserve">: </w:t>
      </w:r>
      <w:r>
        <w:rPr>
          <w:noProof/>
        </w:rPr>
        <w:t>Il-Kummissjoni hija l-unika istituzzjoni li għamlet użu minn din il-possibbiltà fl-2016. Fl-2008, l-Uffiċċju għall-Infrastruttura u l-Loġistika fi Brussell (OIB) kien introduċa din il-possibbiltà f’wieħed mis-servizzi tiegħu (is-servizz tar-riproduzzjoni), minbarra ċ-Ċentru Komuni għar-Riċerka li kien qed jużah diġà.</w:t>
      </w:r>
    </w:p>
    <w:p>
      <w:pPr>
        <w:spacing w:after="0"/>
        <w:rPr>
          <w:noProof/>
        </w:rPr>
      </w:pPr>
      <w:r>
        <w:rPr>
          <w:noProof/>
        </w:rPr>
        <w:t>Fl-2016, in-numru totali ta’ sigħat li nħadmu f’dawn il-kundizzjonijiet diffiċli tqassmu kif ġej:</w:t>
      </w:r>
    </w:p>
    <w:p>
      <w:pPr>
        <w:pStyle w:val="Text1"/>
        <w:numPr>
          <w:ilvl w:val="0"/>
          <w:numId w:val="29"/>
        </w:numPr>
        <w:spacing w:before="0" w:after="0"/>
        <w:ind w:left="360"/>
        <w:rPr>
          <w:noProof/>
        </w:rPr>
      </w:pPr>
      <w:r>
        <w:rPr>
          <w:noProof/>
        </w:rPr>
        <w:t>67 066,91 siegħa b'rabta mal-protezzjoni tal-individwu (pereżempju, l-użu ta’ ħwejjeġ speċjali u skomdi meħtieġa għall-protezzjoni ta’ dak li jkun),</w:t>
      </w:r>
    </w:p>
    <w:p>
      <w:pPr>
        <w:pStyle w:val="Text1"/>
        <w:numPr>
          <w:ilvl w:val="0"/>
          <w:numId w:val="29"/>
        </w:numPr>
        <w:spacing w:before="0" w:after="0"/>
        <w:ind w:left="360"/>
        <w:rPr>
          <w:noProof/>
        </w:rPr>
      </w:pPr>
      <w:r>
        <w:rPr>
          <w:noProof/>
        </w:rPr>
        <w:t>117 496,59 siegħa b'rabta mal-post tax-xogħol (pereżempju, il-ħsejjes ta’ livelli għolja, il-postijiet perikolużi), u</w:t>
      </w:r>
    </w:p>
    <w:p>
      <w:pPr>
        <w:pStyle w:val="Text1"/>
        <w:numPr>
          <w:ilvl w:val="0"/>
          <w:numId w:val="29"/>
        </w:numPr>
        <w:spacing w:before="0"/>
        <w:ind w:left="360"/>
        <w:jc w:val="left"/>
        <w:rPr>
          <w:noProof/>
        </w:rPr>
      </w:pPr>
      <w:r>
        <w:rPr>
          <w:noProof/>
        </w:rPr>
        <w:t>13 779,53 siegħa b'rabta man-natura tax-xogħol (pereżempju, il-ġarr ta’ sustanzi korrużivi).</w:t>
      </w:r>
    </w:p>
    <w:p>
      <w:pPr>
        <w:pStyle w:val="Text1"/>
        <w:spacing w:before="0" w:after="0"/>
        <w:ind w:left="851"/>
        <w:jc w:val="left"/>
        <w:rPr>
          <w:noProof/>
        </w:rPr>
      </w:pPr>
    </w:p>
    <w:p>
      <w:pPr>
        <w:pStyle w:val="ManualHeading2"/>
        <w:rPr>
          <w:noProof/>
        </w:rPr>
      </w:pPr>
      <w:r>
        <w:t>5.3.</w:t>
      </w:r>
      <w:r>
        <w:tab/>
      </w:r>
      <w:r>
        <w:rPr>
          <w:noProof/>
        </w:rPr>
        <w:t>Raġunijiet għal servizz kontinwu jew bix-xift</w:t>
      </w:r>
    </w:p>
    <w:p>
      <w:pPr>
        <w:rPr>
          <w:noProof/>
        </w:rPr>
      </w:pPr>
      <w:r>
        <w:rPr>
          <w:b/>
          <w:i/>
          <w:noProof/>
        </w:rPr>
        <w:t>Il-Kummissjoni:</w:t>
      </w:r>
      <w:r>
        <w:rPr>
          <w:noProof/>
        </w:rPr>
        <w:t xml:space="preserve"> Fi ħdan il-Kummissjoni, (għal raġunijiet li għandhom x’jaqsmu man-natura tal-kompiti li jridu jitwettqu), il-JRC u DĠ HR (id-dipartiment għas-sigurtà u l-prevenzjoni) huma dawk li l-aktar jeħtieġu dan it-tip ta’ organizzazzjoni tax-xogħol (44 u 46 persuna rispettivament elenkati fl-2016). </w:t>
      </w:r>
    </w:p>
    <w:p>
      <w:pPr>
        <w:spacing w:after="0"/>
        <w:rPr>
          <w:noProof/>
        </w:rPr>
      </w:pPr>
      <w:r>
        <w:rPr>
          <w:noProof/>
        </w:rPr>
        <w:t>Fid-DĠs l-oħrajn (baġit operattiv), fl-2016 kien hemm 42 persuna li kienu jaħdmu bix-xift, fit-tipi ta’ servizzi li ġejjin: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Sigurtà u prevenzjoni: 8 (OIL)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Installazzjonijiet tekniċi: 1 (OP)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Teknoloġija tal-Informazzjoni u tal-Komunikazzjoni (ICT): 17 (DĠ COMM)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Assistenza lill-Istati Membri: 16 (DĠ ECHO)</w:t>
      </w:r>
    </w:p>
    <w:p>
      <w:pPr>
        <w:rPr>
          <w:noProof/>
        </w:rPr>
      </w:pPr>
      <w:r>
        <w:rPr>
          <w:noProof/>
        </w:rPr>
        <w:t>Ix-xogħol bix-xift fid-DĠ COMM inħoloq fl-2015 biex jiżgura l-analiżi tal-istampa għall-President, il-Kulleġġ u s-servizz tal-Kelliem.</w:t>
      </w:r>
    </w:p>
    <w:p>
      <w:pPr>
        <w:rPr>
          <w:noProof/>
        </w:rPr>
      </w:pPr>
      <w:r>
        <w:rPr>
          <w:noProof/>
        </w:rPr>
        <w:t>Is-servizz kontinwu fid-DĠ ECHO ilu operattiv mill-2013 wara l-ħolqien ta' Ċentru ta’ Monitoraġġ u ta' Informazzjoni bil-ħsieb li l-Istati Membri u l-Kummissjoni jkunu assistiti f'każ ta' diżastri.</w:t>
      </w:r>
    </w:p>
    <w:p>
      <w:pPr>
        <w:spacing w:before="0"/>
        <w:rPr>
          <w:noProof/>
        </w:rPr>
      </w:pPr>
      <w:r>
        <w:rPr>
          <w:noProof/>
        </w:rPr>
        <w:t>L-erba' rati (tipi ta' benefiċċji) huma applikati mill-Kummissjoni, ir-raba' rata (servizz kontinwu) tintuża prinċipalment fis-servizzi ta' sigurtà.</w:t>
      </w:r>
    </w:p>
    <w:p>
      <w:pPr>
        <w:shd w:val="clear" w:color="auto" w:fill="FFFFFF"/>
        <w:rPr>
          <w:noProof/>
        </w:rPr>
      </w:pPr>
      <w:r>
        <w:rPr>
          <w:b/>
          <w:i/>
          <w:noProof/>
        </w:rPr>
        <w:t>Il-Kunsill:</w:t>
      </w:r>
      <w:r>
        <w:rPr>
          <w:noProof/>
        </w:rPr>
        <w:t xml:space="preserve"> L-inawgurazzjoni tal-bini ġdid Europa ħalla impatt importanti u dirett fis-servizzi responsabbli mill-iżgurar tas-sigurtà u s-sikurezza tal-beni u tal-persuni tal-istituzzjoni.</w:t>
      </w:r>
    </w:p>
    <w:p>
      <w:pPr>
        <w:shd w:val="clear" w:color="auto" w:fill="FFFFFF"/>
        <w:rPr>
          <w:noProof/>
        </w:rPr>
      </w:pPr>
      <w:r>
        <w:rPr>
          <w:noProof/>
        </w:rPr>
        <w:t>Biex tkun tista' ssir l-inawgurazzjoni u jibda jiffunzjona l-bini l-ġdid, kien hemm bżonn li jiġi riorganizzat u jiżdied l-għadd ta' ħaddiema eżistenti tal-Uffiċċju tas-Sigurtà, li l-kompiti tiegħu jeħtieġu organizzazzjoni ta' xogħol bix-xift (klassi 1) u xogħol kontinwu (klassi 4).</w:t>
      </w:r>
    </w:p>
    <w:p>
      <w:pPr>
        <w:shd w:val="clear" w:color="auto" w:fill="FFFFFF"/>
        <w:rPr>
          <w:rFonts w:cs="Arial"/>
          <w:noProof/>
        </w:rPr>
      </w:pPr>
      <w:r>
        <w:rPr>
          <w:noProof/>
        </w:rPr>
        <w:t xml:space="preserve">Id-dipartiment tal-Prevenzjoni żied l-iskwadra li taħdem bix-xift (klassi 1) tul l-ewwel nofs tas-sena, biex, mill-1 ta’ Lulju 2016, jgħaddi għal servizz fuq bażi kontinwa. Dan kien meħtieġ minn banda, għall-inawgurazzjoni tal-bini Europa, u mill-banda l-oħra, minħabba li l-membri tal-iskwadra inkorporaw mal-kompiti abitwali tagħhom, kompiti li qabel kienu jsiru minn aġenti esterni. </w:t>
      </w:r>
    </w:p>
    <w:p>
      <w:pPr>
        <w:rPr>
          <w:noProof/>
        </w:rPr>
      </w:pPr>
      <w:r>
        <w:rPr>
          <w:noProof/>
        </w:rPr>
        <w:t>Ir-riorganizzazzjoni ta' dawn is-servizzi li jinkludu uffiċjali AST u aġent kuntrattwali, wasslet għaż-żieda fl-għadd ta' benefiċċji fl-2016 (86) meta mqabbel mal-2015 (61)</w:t>
      </w:r>
    </w:p>
    <w:p>
      <w:pPr>
        <w:shd w:val="clear" w:color="auto" w:fill="FFFFFF"/>
        <w:rPr>
          <w:rFonts w:cs="Arial"/>
          <w:noProof/>
        </w:rPr>
      </w:pPr>
      <w:r>
        <w:rPr>
          <w:b/>
          <w:i/>
          <w:noProof/>
        </w:rPr>
        <w:t>Il-Parlament Ewropew:</w:t>
      </w:r>
      <w:r>
        <w:rPr>
          <w:noProof/>
        </w:rPr>
        <w:t xml:space="preserve"> Sabiex jitħarsu u jiġu protetti l-persuni, l-infrastrutturi, l-informazzjoni u l-avvenimenti li jitwettqu matul il-btajjel, it-tmiem tal-ġimgħa u l-iljieli, u sabiex tiġi garantita l-preżenza kontinwa ta' aġenti ta' sigurtà fil-bini filwaqt li jiġi evitat l-użu ta' sahra, li jkollu bħala effett iż-żieda fil-baġit tal-Parlament Ewropew, ġie deċiż li jsir użu mill-applikazzjoni tar-Regolament 300/76 tal-Kunsill tad-9 ta' Frar 1976, emendat l-aħħar mir-Regolament 1873/2006 tal-Kunsill tal-11 ta' Diċembru 2006 u li s-sigħat ta' sahra jiġu sostitwiti b'ħinijiet speċifiċi. Għalhekk, l-aġenti ta' sigurtà u ta' prevenzjoni rreklutati għandhom jirċievu l</w:t>
      </w:r>
      <w:r>
        <w:rPr>
          <w:noProof/>
        </w:rPr>
        <w:noBreakHyphen/>
        <w:t xml:space="preserve">benefiċċju għal servizz kontinwu jew bix-xift. </w:t>
      </w:r>
    </w:p>
    <w:p>
      <w:pPr>
        <w:shd w:val="clear" w:color="auto" w:fill="FFFFFF"/>
        <w:rPr>
          <w:noProof/>
        </w:rPr>
      </w:pPr>
      <w:r>
        <w:rPr>
          <w:noProof/>
        </w:rPr>
        <w:t>Wara ż-żieda qawwija fl-2015 (503), fl-2016 l-għadd ta' benefiċċji għal servizz kontinwu jew bix-xift fil-Parlament Ewropew żdied għal 570. Dan il-benefiċċju jintuża l-iktar fl-oqsma tas-sigurtà u ftit fis-servizzi telefoniċi / ta' akkoljenza. Iż-żieda nnutata għall-2016 kienet għal darba oħra ġejja mill-qasam tas-sigurtà.</w:t>
      </w:r>
    </w:p>
    <w:p>
      <w:pPr>
        <w:shd w:val="clear" w:color="auto" w:fill="FFFFFF"/>
        <w:rPr>
          <w:noProof/>
        </w:rPr>
      </w:pPr>
      <w:r>
        <w:rPr>
          <w:noProof/>
        </w:rPr>
        <w:t>It-tip ta’ servizz kontinwu jew bix-xift huwa sistema ta’ żewġ xiftijiet (l-ewwel rata), servizz b'żewġ xiftijiet, inkluż billejl, tmiem il-ġimgħa u l-btajjel pubbliċi (it-tieni rata), jew anke servizz ininterott ta’ 24 siegħa kuljum (ir-raba' rata)</w:t>
      </w:r>
    </w:p>
    <w:p>
      <w:pPr>
        <w:rPr>
          <w:noProof/>
        </w:rPr>
      </w:pPr>
      <w:r>
        <w:rPr>
          <w:b/>
          <w:i/>
          <w:noProof/>
        </w:rPr>
        <w:t>Il-Qorti tal-Awdituri:</w:t>
      </w:r>
      <w:r>
        <w:rPr>
          <w:noProof/>
        </w:rPr>
        <w:t xml:space="preserve"> Il-Qorti tal-Awdituri ilha għandha servizz kontinwu jew bix-xift fl-oqsma tas-sigurtà u s-servizzi telefoniċi / tal-akkoljenza mill-2011. It-tipi ta' servizz kontinwu jew bix-xift jikkonsistu jew f'sistema b'żewġ xiftijiet (l-ewwel rata) jew servizz ininterrott ta' 24 siegħa kuljum (ir-raba' rata). In-numru ta' benefiċċji mħallsin fl-2016 jammonta għal 14.</w:t>
      </w:r>
    </w:p>
    <w:p>
      <w:pPr>
        <w:rPr>
          <w:noProof/>
        </w:rPr>
      </w:pPr>
      <w:r>
        <w:rPr>
          <w:b/>
          <w:i/>
          <w:noProof/>
        </w:rPr>
        <w:t>SEAE</w:t>
      </w:r>
      <w:r>
        <w:rPr>
          <w:noProof/>
        </w:rPr>
        <w:t>: Fl-2016, is-SEAE ħallas 38 benefiċċju użati fil-qasam tat-teknoloġija tal-informazzjoni u tal-komunikazzjoni (ICT), tas-sigurtà u tal-PESK / PSDK.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ManualHeading1"/>
        <w:rPr>
          <w:bCs/>
          <w:noProof/>
        </w:rPr>
      </w:pPr>
      <w:r>
        <w:t>6.</w:t>
      </w:r>
      <w:r>
        <w:tab/>
      </w:r>
      <w:r>
        <w:rPr>
          <w:noProof/>
        </w:rPr>
        <w:t>In-nefqa baġitarja, għal kull istituzzjoni u għal kull benefiċċju (f’EUR)</w:t>
      </w:r>
    </w:p>
    <w:tbl>
      <w:tblPr>
        <w:tblW w:w="9615" w:type="dxa"/>
        <w:tblInd w:w="93" w:type="dxa"/>
        <w:tblLook w:val="0000" w:firstRow="0" w:lastRow="0" w:firstColumn="0" w:lastColumn="0" w:noHBand="0" w:noVBand="0"/>
      </w:tblPr>
      <w:tblGrid>
        <w:gridCol w:w="2055"/>
        <w:gridCol w:w="1920"/>
        <w:gridCol w:w="1800"/>
        <w:gridCol w:w="2040"/>
        <w:gridCol w:w="1800"/>
      </w:tblGrid>
      <w:tr>
        <w:trPr>
          <w:trHeight w:val="64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Istituzzjoni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Servizz kontinwu jew bix-xift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Xogħol standby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Kundizzjonijiet tax-xogħol partikolarment diffiċli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Il-Kummissjoni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953 248,28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1 301 223,86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613 435,60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2 867 907,74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li minnhom tal-JRC: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256 513,34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552 639,63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575 072,36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1 384 225,33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Il-Kunsill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500 310,65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179 622,87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679 933,52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Il-Parlament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3 382 177.87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3 382 177.87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tal-Ġustizzja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14 631,00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14 631,00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Il-Qorti tal-Awdituri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118 897,50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13 544,95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132 442,45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KtR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KEPD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L-Ombudsman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226 741,80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60 942,48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287 684,28</w:t>
            </w:r>
          </w:p>
        </w:tc>
      </w:tr>
      <w:tr>
        <w:trPr>
          <w:trHeight w:val="492"/>
        </w:trPr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5 181 376,10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1 569 965,16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613 435,60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7 364 776,86</w:t>
            </w:r>
          </w:p>
        </w:tc>
      </w:tr>
    </w:tbl>
    <w:p>
      <w:pPr>
        <w:rPr>
          <w:noProof/>
        </w:rPr>
      </w:pPr>
      <w:r>
        <w:rPr>
          <w:noProof/>
        </w:rPr>
        <w:t>L-ammont imħallas għat-tliet benefiċċji, mill-istituzzjonijiet Ewropej kollha f'daqqa jammonta għal EUR 7 364 776,86 għas-sena 2016 (EUR 6 394 289,11 għas-sena 2015</w:t>
      </w:r>
      <w:bookmarkStart w:id="2" w:name="_CopyToNewDocument_"/>
      <w:bookmarkEnd w:id="2"/>
      <w:r>
        <w:rPr>
          <w:noProof/>
        </w:rPr>
        <w:t xml:space="preserve">).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134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ListParagraph"/>
        <w:ind w:left="0"/>
        <w:rPr>
          <w:lang w:val="fr-BE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Fl-OLAF, is-servizz standby huwa assigurat 24 siegħa kuljum u sebat ijiem fil-ġimgħa minn 0,33 AD / 0,33 SC-AST / 0,33 FGI (total = benefiċjarju wieħed) tat-tim ta’ permanenza għas-sigurtà. </w:t>
      </w:r>
      <w:r>
        <w:rPr>
          <w:sz w:val="20"/>
          <w:szCs w:val="20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11664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30D8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D807A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FCEA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CA37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982E7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F04D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0EA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8D241E"/>
    <w:multiLevelType w:val="hybridMultilevel"/>
    <w:tmpl w:val="074EA930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0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>
    <w:nsid w:val="6CFA7791"/>
    <w:multiLevelType w:val="hybridMultilevel"/>
    <w:tmpl w:val="159690E8"/>
    <w:lvl w:ilvl="0" w:tplc="2544F1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9"/>
  </w:num>
  <w:num w:numId="5">
    <w:abstractNumId w:val="16"/>
  </w:num>
  <w:num w:numId="6">
    <w:abstractNumId w:val="23"/>
  </w:num>
  <w:num w:numId="7">
    <w:abstractNumId w:val="26"/>
  </w:num>
  <w:num w:numId="8">
    <w:abstractNumId w:val="25"/>
  </w:num>
  <w:num w:numId="9">
    <w:abstractNumId w:val="27"/>
  </w:num>
  <w:num w:numId="10">
    <w:abstractNumId w:val="13"/>
  </w:num>
  <w:num w:numId="11">
    <w:abstractNumId w:val="12"/>
  </w:num>
  <w:num w:numId="12">
    <w:abstractNumId w:val="21"/>
  </w:num>
  <w:num w:numId="13">
    <w:abstractNumId w:val="14"/>
  </w:num>
  <w:num w:numId="14">
    <w:abstractNumId w:val="18"/>
  </w:num>
  <w:num w:numId="15">
    <w:abstractNumId w:val="6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5"/>
  </w:num>
  <w:num w:numId="21">
    <w:abstractNumId w:val="4"/>
  </w:num>
  <w:num w:numId="22">
    <w:abstractNumId w:val="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</w:num>
  <w:num w:numId="26">
    <w:abstractNumId w:val="22"/>
  </w:num>
  <w:num w:numId="27">
    <w:abstractNumId w:val="24"/>
  </w:num>
  <w:num w:numId="28">
    <w:abstractNumId w:val="24"/>
  </w:num>
  <w:num w:numId="29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Status" w:val="Green"/>
    <w:docVar w:name="LW_CORRIGENDUM" w:val="&lt;UNUSED&gt;"/>
    <w:docVar w:name="LW_COVERPAGE_EXISTS" w:val="True"/>
    <w:docVar w:name="LW_COVERPAGE_GUID" w:val="A5BA4688-9CBE-49A0-9949-77E88E5120E6"/>
    <w:docVar w:name="LW_COVERPAGE_TYPE" w:val="1"/>
    <w:docVar w:name="LW_CROSSREFERENCE" w:val="&lt;UNUSED&gt;"/>
    <w:docVar w:name="LW_DocType" w:val="NORMAL"/>
    <w:docVar w:name="LW_EMISSION" w:val="19.1.2018"/>
    <w:docVar w:name="LW_EMISSION_ISODATE" w:val="2018-01-19"/>
    <w:docVar w:name="LW_EMISSION_LOCATION" w:val="BRX"/>
    <w:docVar w:name="LW_EMISSION_PREFIX" w:val="Brussell, "/>
    <w:docVar w:name="LW_EMISSION_SUFFIX" w:val="&lt;EMPTY&gt;"/>
    <w:docVar w:name="LW_ID_DOCTYPE_NONLW" w:val="CP-005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FMT:Bold&gt;dwar l-u\u380?u li sar mill-istituzzjonijiet fl-2016 tar-Regolamenti tal-Kunsill Nru 495/77, kif emendat l-a\u295?\u295?ar mir-Regolament Nru 1945/2006 (dwar ix-xog\u295?ol standby), Nru 858/2004 (dwar il-kundizzjonijiet tax-xog\u295?ol partikolarment diffi\u267?li), u Nru 300/76, kif emendat l-a\u295?\u295?ar mir-Regolament Nru 1873/2006 (dwar is-servizz kontinwu jew bix-xift)&lt;/FMT&gt;"/>
    <w:docVar w:name="LW_TYPE.DOC.CP" w:val="RAPPORT TAL-KUMMISSJONI LILL-KUNSILL U LILL-PARLAMENT EWROPEW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t-MT" w:eastAsia="mt-MT" w:bidi="mt-M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szCs w:val="2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="Calibri"/>
      <w:szCs w:val="22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="Calibr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="Calibri"/>
      <w:szCs w:val="22"/>
    </w:r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numPr>
        <w:ilvl w:val="4"/>
        <w:numId w:val="9"/>
      </w:numPr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numPr>
        <w:ilvl w:val="6"/>
        <w:numId w:val="9"/>
      </w:numPr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rPr>
      <w:szCs w:val="22"/>
    </w:rPr>
  </w:style>
  <w:style w:type="character" w:styleId="CommentReference">
    <w:name w:val="annotation reference"/>
    <w:rPr>
      <w:sz w:val="16"/>
      <w:szCs w:val="16"/>
      <w:shd w:val="clear" w:color="auto" w:fill="auto"/>
    </w:rPr>
  </w:style>
  <w:style w:type="paragraph" w:styleId="ListNumber">
    <w:name w:val="List Number"/>
    <w:basedOn w:val="Normal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pPr>
      <w:numPr>
        <w:numId w:val="16"/>
      </w:numPr>
    </w:pPr>
    <w:rPr>
      <w:szCs w:val="22"/>
    </w:rPr>
  </w:style>
  <w:style w:type="paragraph" w:styleId="ListNumber3">
    <w:name w:val="List Number 3"/>
    <w:basedOn w:val="Normal"/>
    <w:pPr>
      <w:numPr>
        <w:numId w:val="17"/>
      </w:numPr>
    </w:pPr>
    <w:rPr>
      <w:szCs w:val="22"/>
    </w:rPr>
  </w:style>
  <w:style w:type="paragraph" w:styleId="ListNumber4">
    <w:name w:val="List Number 4"/>
    <w:basedOn w:val="Normal"/>
    <w:pPr>
      <w:numPr>
        <w:numId w:val="18"/>
      </w:numPr>
    </w:pPr>
    <w:rPr>
      <w:szCs w:val="22"/>
    </w:rPr>
  </w:style>
  <w:style w:type="paragraph" w:styleId="ListBullet">
    <w:name w:val="List Bullet"/>
    <w:basedOn w:val="Normal"/>
    <w:pPr>
      <w:numPr>
        <w:numId w:val="19"/>
      </w:numPr>
    </w:pPr>
    <w:rPr>
      <w:szCs w:val="22"/>
    </w:rPr>
  </w:style>
  <w:style w:type="paragraph" w:styleId="ListBullet2">
    <w:name w:val="List Bullet 2"/>
    <w:basedOn w:val="Normal"/>
    <w:pPr>
      <w:numPr>
        <w:numId w:val="20"/>
      </w:numPr>
    </w:pPr>
    <w:rPr>
      <w:szCs w:val="22"/>
    </w:rPr>
  </w:style>
  <w:style w:type="paragraph" w:styleId="ListBullet3">
    <w:name w:val="List Bullet 3"/>
    <w:basedOn w:val="Normal"/>
    <w:pPr>
      <w:numPr>
        <w:numId w:val="21"/>
      </w:numPr>
    </w:pPr>
    <w:rPr>
      <w:szCs w:val="22"/>
    </w:rPr>
  </w:style>
  <w:style w:type="paragraph" w:styleId="ListBullet4">
    <w:name w:val="List Bullet 4"/>
    <w:basedOn w:val="Normal"/>
    <w:pPr>
      <w:numPr>
        <w:numId w:val="22"/>
      </w:numPr>
    </w:pPr>
    <w:rPr>
      <w:szCs w:val="22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shd w:val="clear" w:color="auto" w:fill="auto"/>
      <w:lang w:val="mt-MT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shd w:val="clear" w:color="auto" w:fill="auto"/>
      <w:lang w:val="mt-MT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shd w:val="clear" w:color="auto" w:fill="auto"/>
      <w:lang w:val="mt-MT"/>
    </w:rPr>
  </w:style>
  <w:style w:type="character" w:styleId="FollowedHyperlink">
    <w:name w:val="FollowedHyperlink"/>
    <w:rPr>
      <w:color w:val="800080"/>
      <w:u w:val="single"/>
      <w:shd w:val="clear" w:color="auto" w:fill="auto"/>
    </w:rPr>
  </w:style>
  <w:style w:type="character" w:styleId="PageNumber">
    <w:name w:val="page number"/>
    <w:rPr>
      <w:shd w:val="clear" w:color="auto" w:fill="auto"/>
    </w:rPr>
  </w:style>
  <w:style w:type="paragraph" w:styleId="Revision">
    <w:name w:val="Revision"/>
    <w:hidden/>
    <w:uiPriority w:val="99"/>
    <w:semiHidden/>
    <w:pPr>
      <w:spacing w:after="200" w:line="276" w:lineRule="auto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Pr>
      <w:rFonts w:eastAsia="Calibri"/>
      <w:sz w:val="24"/>
      <w:szCs w:val="22"/>
      <w:lang w:eastAsia="mt-MT"/>
    </w:rPr>
  </w:style>
  <w:style w:type="character" w:customStyle="1" w:styleId="FooterChar">
    <w:name w:val="Footer Char"/>
    <w:link w:val="Footer"/>
    <w:uiPriority w:val="99"/>
    <w:rPr>
      <w:rFonts w:eastAsia="Calibri"/>
      <w:sz w:val="24"/>
      <w:szCs w:val="22"/>
      <w:lang w:eastAsia="mt-MT"/>
    </w:rPr>
  </w:style>
  <w:style w:type="character" w:customStyle="1" w:styleId="FootnoteTextChar">
    <w:name w:val="Footnote Text Char"/>
    <w:link w:val="FootnoteText"/>
    <w:uiPriority w:val="99"/>
    <w:semiHidden/>
    <w:rPr>
      <w:lang w:eastAsia="mt-MT"/>
    </w:rPr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mt-MT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mt-MT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mt-MT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mt-M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link w:val="Typedudocument"/>
    <w:rPr>
      <w:b/>
      <w:sz w:val="24"/>
      <w:szCs w:val="24"/>
      <w:shd w:val="clear" w:color="auto" w:fill="auto"/>
      <w:lang w:eastAsia="mt-MT"/>
    </w:rPr>
  </w:style>
  <w:style w:type="character" w:customStyle="1" w:styleId="FooterCoverPageChar">
    <w:name w:val="Footer Cover Page Char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link w:val="HeaderCoverPage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="Calibr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FB7D-E876-4838-8C3C-1E67344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2713</Words>
  <Characters>15438</Characters>
  <Application>Microsoft Office Word</Application>
  <DocSecurity>0</DocSecurity>
  <Lines>1102</Lines>
  <Paragraphs>1008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16</cp:revision>
  <cp:lastPrinted>2017-11-28T10:02:00Z</cp:lastPrinted>
  <dcterms:created xsi:type="dcterms:W3CDTF">2017-11-30T14:34:00Z</dcterms:created>
  <dcterms:modified xsi:type="dcterms:W3CDTF">2018-01-17T13:39:00Z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