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F88BC0AE-7ED2-4D57-8654-BE462BD3F0C9" style="width:450.6pt;height:475.2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ANEXO</w:t>
      </w:r>
    </w:p>
    <w:p>
      <w:pPr>
        <w:pStyle w:val="Annexetitreexpos"/>
        <w:rPr>
          <w:noProof/>
        </w:rPr>
      </w:pPr>
      <w:r>
        <w:rPr>
          <w:noProof/>
        </w:rPr>
        <w:t>Lista da legislação de harmonização da União</w:t>
      </w:r>
    </w:p>
    <w:p>
      <w:pPr>
        <w:pStyle w:val="NumPar1"/>
        <w:numPr>
          <w:ilvl w:val="0"/>
          <w:numId w:val="6"/>
        </w:numPr>
        <w:rPr>
          <w:noProof/>
        </w:rPr>
      </w:pPr>
      <w:r>
        <w:rPr>
          <w:noProof/>
        </w:rPr>
        <w:t>Diretiva 69/493/CEE do Conselho, de 15 de dezembro de 1969, relativa à aproximação das legislações dos Estados-Membros respeitantes ao vidro cristal, JO L 326 de 29.12.1969, p. 36;</w:t>
      </w:r>
    </w:p>
    <w:p>
      <w:pPr>
        <w:pStyle w:val="NumPar1"/>
        <w:rPr>
          <w:noProof/>
        </w:rPr>
      </w:pPr>
      <w:r>
        <w:rPr>
          <w:noProof/>
        </w:rPr>
        <w:t xml:space="preserve">Diretiva 70/157/CEE do Conselho, de 6 de fevereiro de 1970, relativa à aproximação das legislações dos Estados-Membros respeitantes ao nível sonoro admissível e ao dispositivo de escape dos veículos a motor, JO L 42 de 23.2.1970, p. 16;  </w:t>
      </w:r>
    </w:p>
    <w:p>
      <w:pPr>
        <w:pStyle w:val="NumPar1"/>
        <w:rPr>
          <w:noProof/>
        </w:rPr>
      </w:pPr>
      <w:r>
        <w:rPr>
          <w:noProof/>
        </w:rPr>
        <w:t>Diretiva 75/107/CEE do Conselho, de 19 de dezembro de 1974, relativa à aproximação das legislações dos Estados-Membros respeitantes às garrafas utilizadas como recipientes de medida, JO L 42 de 15.2.1975, p. 14.</w:t>
      </w:r>
    </w:p>
    <w:p>
      <w:pPr>
        <w:pStyle w:val="NumPar1"/>
        <w:rPr>
          <w:noProof/>
        </w:rPr>
      </w:pPr>
      <w:r>
        <w:rPr>
          <w:noProof/>
        </w:rPr>
        <w:t xml:space="preserve">Diretiva 75/324/CEE do Conselho, de 20 de maio de 1975, relativa à aproximação das legislações dos Estados-Membros respeitantes às embalagens aerossóis, JO L 147 de 9.6.1975, p. 40;  </w:t>
      </w:r>
    </w:p>
    <w:p>
      <w:pPr>
        <w:pStyle w:val="NumPar1"/>
        <w:rPr>
          <w:noProof/>
        </w:rPr>
      </w:pPr>
      <w:r>
        <w:rPr>
          <w:noProof/>
        </w:rPr>
        <w:t>Diretiva 76/211/CEE do Conselho, de 20 de janeiro de 1976, relativa à aproximação das legislações dos Estados-Membros respeitantes ao pré-acondicionamento em massa ou em volume de certos produtos em pré-embalagens, JO L 46 de 21.2.1976, p. 1;</w:t>
      </w:r>
    </w:p>
    <w:p>
      <w:pPr>
        <w:pStyle w:val="NumPar1"/>
        <w:rPr>
          <w:noProof/>
        </w:rPr>
      </w:pPr>
      <w:r>
        <w:rPr>
          <w:noProof/>
        </w:rPr>
        <w:t>Diretiva 80/181/CEE do Conselho, de 20 de dezembro de 1979, relativa à aproximação das legislações dos Estados-Membros respeitantes às unidades de medida e que revoga a Diretiva 71/354/CEE, JO L 39 de 15.2.1980, p. 40;</w:t>
      </w:r>
    </w:p>
    <w:p>
      <w:pPr>
        <w:pStyle w:val="NumPar1"/>
        <w:rPr>
          <w:noProof/>
        </w:rPr>
      </w:pPr>
      <w:r>
        <w:rPr>
          <w:noProof/>
        </w:rPr>
        <w:t>Diretiva 92/42/CEE do Conselho, de 21 de maio de 1992, relativa às exigências de rendimento para novas caldeiras de água quente alimentadas com combustíveis líquidos ou gasosos, JO L 167 de 22.6.1992, p. 17</w:t>
      </w:r>
      <w:r>
        <w:rPr>
          <w:i/>
          <w:iCs/>
          <w:noProof/>
        </w:rPr>
        <w:t>;</w:t>
      </w:r>
    </w:p>
    <w:p>
      <w:pPr>
        <w:pStyle w:val="NumPar1"/>
        <w:rPr>
          <w:noProof/>
        </w:rPr>
      </w:pPr>
      <w:r>
        <w:rPr>
          <w:noProof/>
        </w:rPr>
        <w:t>Diretiva 94/11/CE do Parlamento Europeu e do Conselho, de 23 de março de 1994, relativa à aproximação das disposições legislativas, regulamentares e administrativas dos Estados-Membros respeitantes à rotulagem dos materiais utilizados nos componentes principais dos artigos de calçado para venda ao consumidor, JO L 100 de 19.4.1994, p. 37;</w:t>
      </w:r>
    </w:p>
    <w:p>
      <w:pPr>
        <w:pStyle w:val="NumPar1"/>
        <w:rPr>
          <w:noProof/>
        </w:rPr>
      </w:pPr>
      <w:r>
        <w:rPr>
          <w:noProof/>
        </w:rPr>
        <w:t>Diretiva 94/62/CE do Parlamento Europeu e do Conselho, de 20 de dezembro de 1994, relativa a embalagens e resíduos de embalagens, JO L 365 de 31.12.1994, p. 10;</w:t>
      </w:r>
    </w:p>
    <w:p>
      <w:pPr>
        <w:pStyle w:val="NumPar1"/>
        <w:rPr>
          <w:noProof/>
        </w:rPr>
      </w:pPr>
      <w:r>
        <w:rPr>
          <w:noProof/>
        </w:rPr>
        <w:t>Diretiva 98/70/CE do Parlamento Europeu e do Conselho, de 13 de outubro de 1998, relativa à qualidade da gasolina e do combustível para motores diesel e que altera a Diretiva 93/12/CEE do Conselho, JO L 350 de 28.12.1998, p. 58;</w:t>
      </w:r>
    </w:p>
    <w:p>
      <w:pPr>
        <w:pStyle w:val="NumPar1"/>
        <w:rPr>
          <w:noProof/>
        </w:rPr>
      </w:pPr>
      <w:r>
        <w:rPr>
          <w:noProof/>
        </w:rPr>
        <w:t>Diretiva 2000/14/CE do Parlamento Europeu e do Conselho, de 8 de maio de 2000, relativa à aproximação das legislações dos Estados-Membros em matéria de emissões sonoras para o ambiente dos equipamentos para utilização no exterior, JO L 162 de 3.7.2000, p. 1;</w:t>
      </w:r>
    </w:p>
    <w:p>
      <w:pPr>
        <w:pStyle w:val="NumPar1"/>
        <w:rPr>
          <w:noProof/>
        </w:rPr>
      </w:pPr>
      <w:r>
        <w:rPr>
          <w:noProof/>
        </w:rPr>
        <w:t>Diretiva 2000/53/CE do Parlamento Europeu e do Conselho, de 18 de setembro de 2000, relativa aos veículos em fim de vida, JO L 269 de 21.10.2000, p. 34;</w:t>
      </w:r>
    </w:p>
    <w:p>
      <w:pPr>
        <w:pStyle w:val="NumPar1"/>
        <w:rPr>
          <w:noProof/>
        </w:rPr>
      </w:pPr>
      <w:r>
        <w:rPr>
          <w:noProof/>
        </w:rPr>
        <w:t xml:space="preserve">Regulamento (CE) n.º 2003/2003 do Parlamento Europeu e do Conselho, de 13 de outubro de 2003, relativo aos adubos, JO L 304 de 21.11.2003, p. 1;  </w:t>
      </w:r>
    </w:p>
    <w:p>
      <w:pPr>
        <w:pStyle w:val="NumPar1"/>
        <w:rPr>
          <w:noProof/>
        </w:rPr>
      </w:pPr>
      <w:r>
        <w:rPr>
          <w:noProof/>
        </w:rPr>
        <w:lastRenderedPageBreak/>
        <w:t>Regulamento (CE) n.º 273/2004 do Parlamento Europeu e do Conselho, de 11 de fevereiro de 2004, relativo aos precursores de drogas, JO L 47 de 18.2.2004, p. 1;</w:t>
      </w:r>
    </w:p>
    <w:p>
      <w:pPr>
        <w:pStyle w:val="NumPar1"/>
        <w:rPr>
          <w:noProof/>
        </w:rPr>
      </w:pPr>
      <w:r>
        <w:rPr>
          <w:noProof/>
        </w:rPr>
        <w:t>Regulamento (CE) n.º 552/2004 do Parlamento Europeu e do Conselho, de 10 de março de 2004, relativo à interoperabilidade da rede europeia de gestão do tráfego aéreo («regulamento relativo à interoperabilidade»), JO L 96 de 31.3.2004, p. 26;</w:t>
      </w:r>
    </w:p>
    <w:p>
      <w:pPr>
        <w:pStyle w:val="NumPar1"/>
        <w:rPr>
          <w:noProof/>
        </w:rPr>
      </w:pPr>
      <w:r>
        <w:rPr>
          <w:noProof/>
        </w:rPr>
        <w:t>Regulamento (CE) n.º 648/2004 do Parlamento Europeu e do Conselho, de 31 de março de 2004, relativo aos detergentes, JO L 104 de 8.4.2004, p. 1;</w:t>
      </w:r>
    </w:p>
    <w:p>
      <w:pPr>
        <w:pStyle w:val="NumPar1"/>
        <w:rPr>
          <w:noProof/>
        </w:rPr>
      </w:pPr>
      <w:r>
        <w:rPr>
          <w:noProof/>
        </w:rPr>
        <w:t xml:space="preserve">Regulamento (CE) n.º 850/2004 do Parlamento Europeu e do Conselho, de 29 de abril de 2004, relativo a poluentes orgânicos persistentes e que altera a Diretiva 79/117/CEE, JO L 158 de 30.4.2004, p. 7;  </w:t>
      </w:r>
    </w:p>
    <w:p>
      <w:pPr>
        <w:pStyle w:val="NumPar1"/>
        <w:rPr>
          <w:noProof/>
        </w:rPr>
      </w:pPr>
      <w:r>
        <w:rPr>
          <w:noProof/>
        </w:rPr>
        <w:t>Diretiva 2004/42/CE do Parlamento Europeu e do Conselho, de 21 de abril de 2004, relativa à limitação das emissões de compostos orgânicos voláteis resultantes da utilização de solventes orgânicos em determinadas tintas e vernizes e em produtos de retoque de veículos e que altera a Diretiva 1999/13/CE, JO L 143 de 30.4.2004, p. 87;</w:t>
      </w:r>
    </w:p>
    <w:p>
      <w:pPr>
        <w:pStyle w:val="NumPar1"/>
        <w:rPr>
          <w:noProof/>
        </w:rPr>
      </w:pPr>
      <w:r>
        <w:rPr>
          <w:noProof/>
        </w:rPr>
        <w:t xml:space="preserve">Diretiva 2004/52/CE do Parlamento Europeu e do Conselho, de 29 de abril de 2004, relativa à interoperabilidade dos sistemas eletrónicos de portagem rodoviária na Comunidade, JO L 200 de 7.6.2004, p. 50; </w:t>
      </w:r>
    </w:p>
    <w:p>
      <w:pPr>
        <w:pStyle w:val="NumPar1"/>
        <w:rPr>
          <w:noProof/>
        </w:rPr>
      </w:pPr>
      <w:r>
        <w:rPr>
          <w:noProof/>
        </w:rPr>
        <w:t>Diretiva 2005/64/CE do Parlamento Europeu e do Conselho, de 26 de outubro de 2005, relativa à homologação de veículos a motor, no que diz respeito à sua potencial reutilização, reciclagem e valorização e que altera a Diretiva 70/156/CEE do Conselho, JO L 310 de 25.11.2005, p. 10;</w:t>
      </w:r>
    </w:p>
    <w:p>
      <w:pPr>
        <w:pStyle w:val="NumPar1"/>
        <w:rPr>
          <w:noProof/>
        </w:rPr>
      </w:pPr>
      <w:r>
        <w:rPr>
          <w:noProof/>
        </w:rPr>
        <w:t>Diretiva 2006/42/CE do Parlamento Europeu e do Conselho, de 17 de maio de 2006, relativa às máquinas, JO L 157 de 9.6.2006, p. 24;</w:t>
      </w:r>
    </w:p>
    <w:p>
      <w:pPr>
        <w:pStyle w:val="NumPar1"/>
        <w:rPr>
          <w:noProof/>
        </w:rPr>
      </w:pPr>
      <w:r>
        <w:rPr>
          <w:noProof/>
        </w:rPr>
        <w:t xml:space="preserve">Diretiva 2006/40/CE do Parlamento Europeu e do Conselho, de 17 de maio de 2006, relativa às emissões provenientes de sistemas de ar condicionado instalados em veículos a motor e que altera a Diretiva 70/156/CEE do Conselho, JO L 161 de 14.6.2006, p. 12; </w:t>
      </w:r>
    </w:p>
    <w:p>
      <w:pPr>
        <w:pStyle w:val="NumPar1"/>
        <w:rPr>
          <w:noProof/>
        </w:rPr>
      </w:pPr>
      <w:r>
        <w:rPr>
          <w:noProof/>
        </w:rPr>
        <w:t>Diretiva 2006/66/CE do Parlamento Europeu e do Conselho, de 6 de setembro de 2006, relativa a pilhas e acumuladores e respetivos resíduos e que revoga a Diretiva 91/157/CEE, JO L 266 de 26.9.2006, p. 14;</w:t>
      </w:r>
    </w:p>
    <w:p>
      <w:pPr>
        <w:pStyle w:val="NumPar1"/>
        <w:rPr>
          <w:noProof/>
        </w:rPr>
      </w:pPr>
      <w:r>
        <w:rPr>
          <w:noProof/>
        </w:rPr>
        <w:t xml:space="preserve">Regulamento (CE) n.º 1907/2006 do Parlamento Europeu e do Conselho, de 18 de dezembro de 2006, relativo ao registo, avaliação, autorização e restrição dos produtos químicos (REACH), que cria a Agência Europeia dos Produtos Químicos, que altera a Diretiva 1999/45/CE e revoga o Regulamento (CEE) n.º 793/93 do Conselho e o Regulamento (CE) n.º 1488/94 da Comissão, bem como a Diretiva 76/769/CEE do Conselho e as Diretivas 91/155/CEE, 93/67/CEE, 93/105/CE e 2000/21/CE da Comissão, JO L 396 de 30.12.2006, p. 1; </w:t>
      </w:r>
    </w:p>
    <w:p>
      <w:pPr>
        <w:pStyle w:val="NumPar1"/>
        <w:rPr>
          <w:noProof/>
        </w:rPr>
      </w:pPr>
      <w:r>
        <w:rPr>
          <w:noProof/>
        </w:rPr>
        <w:t xml:space="preserve">Regulamento (CE) n.º 715/2007 do Parlamento Europeu e do Conselho, de 20 de junho de 2007, relativo à homologação dos veículos a motor no que respeita às emissões dos veículos ligeiros de passageiros e comerciais (Euro 5 e Euro 6) e ao acesso à informação relativa à reparação e manutenção de veículos, JO L 171 de 29.6.2007, p. 1; </w:t>
      </w:r>
    </w:p>
    <w:p>
      <w:pPr>
        <w:pStyle w:val="NumPar1"/>
        <w:rPr>
          <w:noProof/>
        </w:rPr>
      </w:pPr>
      <w:r>
        <w:rPr>
          <w:noProof/>
        </w:rPr>
        <w:t>Diretiva 2007/45/CE do Parlamento Europeu e do Conselho, de 5 de setembro de 2007, que estabelece as regras relativas às quantidades nominais dos produtos pré-embalados, revoga as Diretivas 75/106/CEE e 80/232/CEE do Conselho e altera a Diretiva 76/211/CEE do Conselho, JO L 247 de 21.9.2007, p. 17;</w:t>
      </w:r>
    </w:p>
    <w:p>
      <w:pPr>
        <w:pStyle w:val="NumPar1"/>
        <w:rPr>
          <w:noProof/>
        </w:rPr>
      </w:pPr>
      <w:r>
        <w:rPr>
          <w:noProof/>
        </w:rPr>
        <w:t xml:space="preserve">Diretiva 2007/46/CE do Parlamento Europeu e do Conselho, de 5 de setembro de 2007, que estabelece um quadro para a homologação dos veículos a motor e seus reboques, e dos sistemas, componentes e unidades técnicas destinados a serem utilizados nesses veículos, JO L 263 de 9.10.2007, p. 1;  </w:t>
      </w:r>
    </w:p>
    <w:p>
      <w:pPr>
        <w:pStyle w:val="NumPar1"/>
        <w:rPr>
          <w:noProof/>
        </w:rPr>
      </w:pPr>
      <w:r>
        <w:rPr>
          <w:noProof/>
        </w:rPr>
        <w:t>Diretiva 2008/2/CE do Parlamento Europeu e do Conselho, de 15 de janeiro de 2008, relativa ao campo de visão e aos limpa-para-brisas dos tratores agrícolas ou florestais de rodas (versão codificada), JO L 24 de 29.1.2008, p. 30;</w:t>
      </w:r>
    </w:p>
    <w:p>
      <w:pPr>
        <w:pStyle w:val="NumPar1"/>
        <w:rPr>
          <w:noProof/>
        </w:rPr>
      </w:pPr>
      <w:r>
        <w:rPr>
          <w:noProof/>
        </w:rPr>
        <w:t xml:space="preserve">Regulamento (CE) n.º 1272/2008 do Parlamento Europeu e do Conselho, de 16 de dezembro de 2008, relativo à classificação, rotulagem e embalagem de substâncias e misturas, que altera e revoga as Diretivas 67/548/CEE e 1999/45/CE, e altera o Regulamento (CE) n.º 1907/2006, JO L 353 de 31.12.2008, p. 1; </w:t>
      </w:r>
    </w:p>
    <w:p>
      <w:pPr>
        <w:pStyle w:val="NumPar1"/>
        <w:rPr>
          <w:noProof/>
        </w:rPr>
      </w:pPr>
      <w:r>
        <w:rPr>
          <w:noProof/>
        </w:rPr>
        <w:t xml:space="preserve">Regulamento (CE) n.º 78/2009 do Parlamento Europeu e do Conselho, de 14 de janeiro de 2009, relativo à homologação de veículos a motor no que diz respeito à proteção dos peões e outros utilizadores vulneráveis da estrada, que altera a Diretiva 2007/46/CE e revoga as Diretivas 2003/102/CE e 2005/66/CE, JO L 35 de 4.2.2009, p. 1; </w:t>
      </w:r>
    </w:p>
    <w:p>
      <w:pPr>
        <w:pStyle w:val="NumPar1"/>
        <w:rPr>
          <w:noProof/>
        </w:rPr>
      </w:pPr>
      <w:r>
        <w:rPr>
          <w:noProof/>
        </w:rPr>
        <w:t>Regulamento (CE) n.º 79/2009 do Parlamento Europeu e do Conselho, de 14 de janeiro de 2009, relativo à homologação de veículos a motor movidos a hidrogénio e que altera a Diretiva 2007/46/CE, JO L 35 de 4.2.2009, p. 32;</w:t>
      </w:r>
    </w:p>
    <w:p>
      <w:pPr>
        <w:pStyle w:val="NumPar1"/>
        <w:rPr>
          <w:noProof/>
        </w:rPr>
      </w:pPr>
      <w:r>
        <w:rPr>
          <w:noProof/>
        </w:rPr>
        <w:t xml:space="preserve">Diretiva 2009/34/CE do Parlamento Europeu e do Conselho, de 23 de abril de 2009, respeitante às disposições comuns sobre os instrumentos de medição e os métodos de controlo metrológico, JO L 106 de 28.4.2009, p. 7; </w:t>
      </w:r>
    </w:p>
    <w:p>
      <w:pPr>
        <w:pStyle w:val="NumPar1"/>
        <w:rPr>
          <w:noProof/>
        </w:rPr>
      </w:pPr>
      <w:r>
        <w:rPr>
          <w:noProof/>
        </w:rPr>
        <w:t>Diretiva 2009/48/CE do Parlamento Europeu e do Conselho, de 18 de junho de 2009, relativa à segurança dos brinquedos, JO L 170 de 30.6.2009, p. 1;</w:t>
      </w:r>
    </w:p>
    <w:p>
      <w:pPr>
        <w:pStyle w:val="NumPar1"/>
        <w:rPr>
          <w:noProof/>
        </w:rPr>
      </w:pPr>
      <w:r>
        <w:rPr>
          <w:noProof/>
        </w:rPr>
        <w:t>Regulamento (CE) n.º 595/2009 do Parlamento Europeu e do Conselho, de 18 de junho de 2009, relativo à homologação de veículos a motor e de motores no que se refere às emissões dos veículos pesados (Euro VI) e ao acesso às informações relativas à reparação e manutenção dos veículos, que altera o Regulamento (CE) n.º 715/2007 e a Diretiva 2007/46/CE e revoga as Diretivas 80/1269/CEE, 2005/55/CE e 2005/78/CE, JO L 188 de 18.7.2009, p. 1;</w:t>
      </w:r>
    </w:p>
    <w:p>
      <w:pPr>
        <w:pStyle w:val="NumPar1"/>
        <w:rPr>
          <w:noProof/>
        </w:rPr>
      </w:pPr>
      <w:r>
        <w:rPr>
          <w:noProof/>
        </w:rPr>
        <w:t xml:space="preserve">Regulamento (CE) n.º 661/2009 do Parlamento Europeu e do Conselho, de 13 de julho de 2009, relativo às prescrições para homologação no que se refere à segurança geral dos veículos a motor, seus reboques e sistemas, componentes e unidades técnicas a eles destinados, JO L 200 de 31.7.2009, p. 1;  </w:t>
      </w:r>
    </w:p>
    <w:p>
      <w:pPr>
        <w:pStyle w:val="NumPar1"/>
        <w:rPr>
          <w:noProof/>
        </w:rPr>
      </w:pPr>
      <w:r>
        <w:rPr>
          <w:noProof/>
        </w:rPr>
        <w:t>Diretiva 2009/125/CE do Parlamento Europeu e do Conselho, de 21 de outubro de 2009, relativa à criação de um quadro para definir os requisitos de conceção ecológica dos produtos relacionados com o consumo de energia, JO L 285 de 31.10.2009, p. 10;</w:t>
      </w:r>
    </w:p>
    <w:p>
      <w:pPr>
        <w:pStyle w:val="NumPar1"/>
        <w:rPr>
          <w:noProof/>
        </w:rPr>
      </w:pPr>
      <w:r>
        <w:rPr>
          <w:noProof/>
        </w:rPr>
        <w:t>Regulamento (CE) n.º 1005/2009 do Parlamento Europeu e do Conselho, de 16 de setembro de 2009, relativo às substâncias que empobrecem a camada de ozono, JO L 286 de 31.10.2009, p. 1;</w:t>
      </w:r>
    </w:p>
    <w:p>
      <w:pPr>
        <w:pStyle w:val="NumPar1"/>
        <w:rPr>
          <w:noProof/>
        </w:rPr>
      </w:pPr>
      <w:r>
        <w:rPr>
          <w:noProof/>
        </w:rPr>
        <w:t xml:space="preserve">Regulamento (CE) n.º 1222/2009 do Parlamento Europeu e do Conselho, de 25 de novembro de 2009, relativo à rotulagem dos pneus no que respeita à eficiência energética e a outros parâmetros essenciais, JO L 342, de 22.12.2009, p. 46; </w:t>
      </w:r>
    </w:p>
    <w:p>
      <w:pPr>
        <w:pStyle w:val="NumPar1"/>
        <w:rPr>
          <w:noProof/>
        </w:rPr>
      </w:pPr>
      <w:r>
        <w:rPr>
          <w:noProof/>
        </w:rPr>
        <w:t>Regulamento (CE) n.º 1223/2009 do Parlamento Europeu e do Conselho, de 30 de novembro de 2009, relativo aos produtos cosméticos, JO L 342 de 22.12.2009, p. 59;</w:t>
      </w:r>
    </w:p>
    <w:p>
      <w:pPr>
        <w:pStyle w:val="NumPar1"/>
        <w:rPr>
          <w:noProof/>
        </w:rPr>
      </w:pPr>
      <w:r>
        <w:rPr>
          <w:noProof/>
        </w:rPr>
        <w:t xml:space="preserve">Regulamento (CE) n.º 66/2010 do Parlamento Europeu e do Conselho, de 25 de novembro de 2009, relativo a um sistema de rótulo ecológico da UE, JO L 27 de 30.1.2010, p. 1; </w:t>
      </w:r>
    </w:p>
    <w:p>
      <w:pPr>
        <w:pStyle w:val="NumPar1"/>
        <w:rPr>
          <w:noProof/>
        </w:rPr>
      </w:pPr>
      <w:r>
        <w:rPr>
          <w:noProof/>
        </w:rPr>
        <w:t>Diretiva 2010/35/UE do Parlamento Europeu e do Conselho, de 16 de junho de 2010, relativa aos equipamentos sob pressão transportáveis, JO L 165 de 30.6.2010, p. 1;</w:t>
      </w:r>
    </w:p>
    <w:p>
      <w:pPr>
        <w:pStyle w:val="NumPar1"/>
        <w:rPr>
          <w:noProof/>
        </w:rPr>
      </w:pPr>
      <w:r>
        <w:rPr>
          <w:noProof/>
        </w:rPr>
        <w:t>Regulamento (UE) n.º 305/2011 do Parlamento Europeu e do Conselho, de 9 de março de 2011, que estabelece condições harmonizadas para a comercialização dos produtos de construção</w:t>
      </w:r>
      <w:r>
        <w:rPr>
          <w:rStyle w:val="Strong"/>
          <w:b w:val="0"/>
          <w:noProof/>
        </w:rPr>
        <w:t xml:space="preserve"> e que revoga a Diretiva 89/106/CEE do Conselho, </w:t>
      </w:r>
      <w:r>
        <w:rPr>
          <w:noProof/>
        </w:rPr>
        <w:t>JO L 88 de 4.4.2011, p. 5</w:t>
      </w:r>
      <w:r>
        <w:rPr>
          <w:rStyle w:val="Strong"/>
          <w:b w:val="0"/>
          <w:noProof/>
        </w:rPr>
        <w:t>;</w:t>
      </w:r>
    </w:p>
    <w:p>
      <w:pPr>
        <w:pStyle w:val="NumPar1"/>
        <w:rPr>
          <w:noProof/>
        </w:rPr>
      </w:pPr>
      <w:r>
        <w:rPr>
          <w:noProof/>
        </w:rPr>
        <w:t>Diretiva 2011/65/UE do Parlamento Europeu e do Conselho, de 8 de junho de 2011, relativa à restrição do uso de determinadas substâncias perigosas em equipamentos elétricos e eletrónicos, JO L 174 de 1.7.2011, p. 88;</w:t>
      </w:r>
    </w:p>
    <w:p>
      <w:pPr>
        <w:pStyle w:val="NumPar1"/>
        <w:rPr>
          <w:noProof/>
        </w:rPr>
      </w:pPr>
      <w:r>
        <w:rPr>
          <w:noProof/>
        </w:rPr>
        <w:t>Regulamento (UE) n.º 1007/2011 do Parlamento Europeu e do Conselho, de 27 de setembro de 2011, relativo às denominações das fibras têxteis e à correspondente etiquetagem e marcação da composição em fibras dos produtos têxteis, e que revoga a Diretiva 73/44/CEE do Conselho e as Diretivas 96/73/CE e 2008/121/CE do Parlamento Europeu e do Conselho, JO L 272 de 18.10.2011, p. 1;</w:t>
      </w:r>
    </w:p>
    <w:p>
      <w:pPr>
        <w:pStyle w:val="NumPar1"/>
        <w:rPr>
          <w:noProof/>
        </w:rPr>
      </w:pPr>
      <w:r>
        <w:rPr>
          <w:noProof/>
        </w:rPr>
        <w:t>Regulamento (UE) n.º 528/2012 do Parlamento Europeu e do Conselho, de 22 de maio de 2012, relativo à disponibilização no mercado e à utilização de produtos biocidas, JO L 167 de 27.6.2012, p. 1;</w:t>
      </w:r>
    </w:p>
    <w:p>
      <w:pPr>
        <w:pStyle w:val="NumPar1"/>
        <w:rPr>
          <w:noProof/>
        </w:rPr>
      </w:pPr>
      <w:r>
        <w:rPr>
          <w:noProof/>
        </w:rPr>
        <w:t>Diretiva 2012/19/UE do Parlamento Europeu e do Conselho, de 4 de julho de 2012, relativa aos resíduos de equipamentos elétricos e eletrónicos (REEE), JO L 197 de 24.7.2012, p. 38;</w:t>
      </w:r>
    </w:p>
    <w:p>
      <w:pPr>
        <w:pStyle w:val="NumPar1"/>
        <w:rPr>
          <w:noProof/>
        </w:rPr>
      </w:pPr>
      <w:r>
        <w:rPr>
          <w:noProof/>
        </w:rPr>
        <w:t xml:space="preserve">Regulamento (UE) n.º 167/2013 do Parlamento Europeu e do Conselho, de 5 de fevereiro de 2013, relativo à homologação e fiscalização do mercado de tratores agrícolas e florestais, JO L 60 de 2.3.2013, p. 1; </w:t>
      </w:r>
    </w:p>
    <w:p>
      <w:pPr>
        <w:pStyle w:val="NumPar1"/>
        <w:rPr>
          <w:noProof/>
        </w:rPr>
      </w:pPr>
      <w:r>
        <w:rPr>
          <w:noProof/>
        </w:rPr>
        <w:t>Regulamento (UE) n.º 168/2013 do Parlamento Europeu e do Conselho, de 15 de janeiro de 2013, relativo à homologação e fiscalização do mercado dos veículos de duas ou três rodas e dos quadriciclos, JO L 60 de 2.3.2013, p. 52;</w:t>
      </w:r>
    </w:p>
    <w:p>
      <w:pPr>
        <w:pStyle w:val="NumPar1"/>
        <w:rPr>
          <w:noProof/>
        </w:rPr>
      </w:pPr>
      <w:r>
        <w:rPr>
          <w:noProof/>
        </w:rPr>
        <w:t>Diretiva 2013/29/UE do Parlamento Europeu e do Conselho, de 12 de junho de 2013, relativa à harmonização das legislações dos Estados-Membros respeitantes à disponibilização no mercado de artigos de pirotecnia, JO L 178 de 28.6.2013, p. 27;</w:t>
      </w:r>
    </w:p>
    <w:p>
      <w:pPr>
        <w:pStyle w:val="NumPar1"/>
        <w:rPr>
          <w:noProof/>
        </w:rPr>
      </w:pPr>
      <w:r>
        <w:rPr>
          <w:noProof/>
        </w:rPr>
        <w:t xml:space="preserve">Diretiva 2013/53/UE do Parlamento Europeu e do Conselho, de 20 de novembro de 2013, relativa às embarcações de recreio e às motas de água e que revoga a Diretiva 94/25/CE, JO L 354 de 28.12.2013, p. 90; </w:t>
      </w:r>
    </w:p>
    <w:p>
      <w:pPr>
        <w:pStyle w:val="NumPar1"/>
        <w:rPr>
          <w:noProof/>
        </w:rPr>
      </w:pPr>
      <w:r>
        <w:rPr>
          <w:noProof/>
        </w:rPr>
        <w:t xml:space="preserve">Diretiva 2014/28/UE do Parlamento Europeu e do Conselho, de 26 de fevereiro de 2014, relativa à harmonização da legislação dos Estados-Membros respeitante à disponibilização no mercado e ao controlo dos explosivos para utilização civil, JO L 96 de 29.3.2014, p. 1; </w:t>
      </w:r>
    </w:p>
    <w:p>
      <w:pPr>
        <w:pStyle w:val="NumPar1"/>
        <w:rPr>
          <w:noProof/>
        </w:rPr>
      </w:pPr>
      <w:r>
        <w:rPr>
          <w:noProof/>
        </w:rPr>
        <w:t>Diretiva 2014/29/UE do Parlamento Europeu e do Conselho, de 26 de fevereiro de 2014, relativa à harmonização das legislações dos Estados-Membros respeitantes à disponibilização no mercado de recipientes sob pressão simples, JO L 96 de 29.3.2014, p. 45;</w:t>
      </w:r>
    </w:p>
    <w:p>
      <w:pPr>
        <w:pStyle w:val="NumPar1"/>
        <w:rPr>
          <w:noProof/>
        </w:rPr>
      </w:pPr>
      <w:r>
        <w:rPr>
          <w:noProof/>
        </w:rPr>
        <w:t xml:space="preserve">Diretiva 2014/30/UE do Parlamento Europeu e do Conselho, de 26 de fevereiro de 2014, relativa à harmonização da legislação dos Estados-Membros respeitante à compatibilidade eletromagnética, JO L 96 de 29.3.2014, p. 79; </w:t>
      </w:r>
    </w:p>
    <w:p>
      <w:pPr>
        <w:pStyle w:val="NumPar1"/>
        <w:rPr>
          <w:noProof/>
        </w:rPr>
      </w:pPr>
      <w:r>
        <w:rPr>
          <w:noProof/>
        </w:rPr>
        <w:t xml:space="preserve">Diretiva 2014/31/UE do Parlamento Europeu e do Conselho, de 26 de fevereiro de 2014, relativa à harmonização da legislação dos Estados-Membros respeitante à disponibilização de instrumentos de pesagem não automáticos no mercado, JO L 96 de 29.3.2014, p. 107; </w:t>
      </w:r>
    </w:p>
    <w:p>
      <w:pPr>
        <w:pStyle w:val="NumPar1"/>
        <w:rPr>
          <w:noProof/>
        </w:rPr>
      </w:pPr>
      <w:r>
        <w:rPr>
          <w:noProof/>
        </w:rPr>
        <w:t xml:space="preserve">Diretiva 2014/32/UE do Parlamento Europeu e do Conselho, de 26 de fevereiro de 2014, relativa à harmonização da legislação dos Estados-Membros respeitante à disponibilização no mercado de instrumentos de medição, JO L 96 de 29.3.2014, p. 149; </w:t>
      </w:r>
    </w:p>
    <w:p>
      <w:pPr>
        <w:pStyle w:val="NumPar1"/>
        <w:rPr>
          <w:noProof/>
        </w:rPr>
      </w:pPr>
      <w:r>
        <w:rPr>
          <w:noProof/>
        </w:rPr>
        <w:t xml:space="preserve">Diretiva 2014/33/UE do Parlamento Europeu e do Conselho, de 26 de fevereiro de 2014, relativa à harmonização da legislação dos Estados-Membros respeitante a ascensores e componentes de segurança para ascensores, JO L 96 de 29.3.2014, p. 251; </w:t>
      </w:r>
    </w:p>
    <w:p>
      <w:pPr>
        <w:pStyle w:val="NumPar1"/>
        <w:rPr>
          <w:noProof/>
        </w:rPr>
      </w:pPr>
      <w:r>
        <w:rPr>
          <w:noProof/>
        </w:rPr>
        <w:t xml:space="preserve">Diretiva 2014/34/UE do Parlamento Europeu e do Conselho, de 26 de fevereiro de 2014, relativa à harmonização da legislação dos Estados-Membros relativa a aparelhos e sistemas de proteção destinados a ser utilizados em atmosferas potencialmente explosivas, JO L 96 de 29.3.2014, p. 309; </w:t>
      </w:r>
    </w:p>
    <w:p>
      <w:pPr>
        <w:pStyle w:val="NumPar1"/>
        <w:rPr>
          <w:noProof/>
        </w:rPr>
      </w:pPr>
      <w:r>
        <w:rPr>
          <w:noProof/>
        </w:rPr>
        <w:t xml:space="preserve">Diretiva 2014/35/UE do Parlamento Europeu e do Conselho, de 26 de fevereiro de 2014, relativa à harmonização da legislação dos Estados-Membros respeitante à disponibilização no mercado de material elétrico destinado a ser utilizado dentro de certos limites de tensão, JO L 96 de 29.3.2014, p. 357; </w:t>
      </w:r>
    </w:p>
    <w:p>
      <w:pPr>
        <w:pStyle w:val="NumPar1"/>
        <w:rPr>
          <w:noProof/>
        </w:rPr>
      </w:pPr>
      <w:r>
        <w:rPr>
          <w:noProof/>
        </w:rPr>
        <w:t>Diretiva 2014/53/UE do Parlamento Europeu e do Conselho, de 16 de abril de 2014, relativa à harmonização da legislação dos Estados-Membros respeitante à disponibilização de equipamentos de rádio no mercado e que revoga a Diretiva 1999/5/CE, JO L 153 de 22.5.2014, p. 62;</w:t>
      </w:r>
    </w:p>
    <w:p>
      <w:pPr>
        <w:pStyle w:val="NumPar1"/>
        <w:rPr>
          <w:noProof/>
        </w:rPr>
      </w:pPr>
      <w:r>
        <w:rPr>
          <w:noProof/>
        </w:rPr>
        <w:t>Diretiva 2014/68/UE do Parlamento Europeu e do Conselho, de 15 de maio de 2014, relativa à harmonização da legislação dos Estados-Membros respeitante à disponibilização de equipamentos sob pressão no mercado, JO L 189 de 27.6.2014, p. 164;</w:t>
      </w:r>
    </w:p>
    <w:p>
      <w:pPr>
        <w:pStyle w:val="NumPar1"/>
        <w:rPr>
          <w:noProof/>
        </w:rPr>
      </w:pPr>
      <w:r>
        <w:rPr>
          <w:noProof/>
        </w:rPr>
        <w:t>Diretiva 2014/90/UE do Parlamento Europeu e do Conselho, de 23 de julho de 2014, relativa aos equipamentos marítimos e que revoga a Diretiva 96/98/CE do Conselho, JO L 257 de 28.8.2014, p. 146;</w:t>
      </w:r>
    </w:p>
    <w:p>
      <w:pPr>
        <w:pStyle w:val="NumPar1"/>
        <w:rPr>
          <w:noProof/>
        </w:rPr>
      </w:pPr>
      <w:r>
        <w:rPr>
          <w:noProof/>
        </w:rPr>
        <w:t xml:space="preserve">Regulamento (UE) n.º 517/2014 do Parlamento Europeu e do Conselho, de 16 de abril de 2014, relativo aos gases fluorados com efeito de estufa e que revoga o Regulamento (CE) n.º 842/2006, JO L 150 de 20.5.2014, p. 195; </w:t>
      </w:r>
    </w:p>
    <w:p>
      <w:pPr>
        <w:pStyle w:val="NumPar1"/>
        <w:rPr>
          <w:noProof/>
        </w:rPr>
      </w:pPr>
      <w:r>
        <w:rPr>
          <w:noProof/>
        </w:rPr>
        <w:t>Regulamento (UE) n.º 540/2014 do Parlamento Europeu e do Conselho, de 16 de abril de 2014, relativo ao nível sonoro dos veículos a motor e dos sistemas silenciosos de substituição, e que altera a Diretiva 2007/46/CE e revoga a Diretiva 70/157/CEE, JO L 158 de 27.5.2014, p. 131;</w:t>
      </w:r>
    </w:p>
    <w:p>
      <w:pPr>
        <w:pStyle w:val="NumPar1"/>
        <w:rPr>
          <w:noProof/>
        </w:rPr>
      </w:pPr>
      <w:r>
        <w:rPr>
          <w:noProof/>
        </w:rPr>
        <w:t>Regulamento (UE) 2016/424 do Parlamento Europeu e do Conselho, de 9 de março de 2016, relativo às instalações por cabo e que revoga a Diretiva 2000/9/CE, JO L81 de 31.3.2016, p.1;</w:t>
      </w:r>
    </w:p>
    <w:p>
      <w:pPr>
        <w:pStyle w:val="NumPar1"/>
        <w:rPr>
          <w:noProof/>
        </w:rPr>
      </w:pPr>
      <w:r>
        <w:rPr>
          <w:noProof/>
        </w:rPr>
        <w:t xml:space="preserve">Regulamento (UE) 2016/425 do Parlamento Europeu e do Conselho, de 9 de março de 2016, relativo aos equipamentos de proteção individual e que revoga a Diretiva 89/686/CEE do Conselho, JO L 81 de 31.3.2016, p. 51; </w:t>
      </w:r>
    </w:p>
    <w:p>
      <w:pPr>
        <w:pStyle w:val="NumPar1"/>
        <w:rPr>
          <w:noProof/>
        </w:rPr>
      </w:pPr>
      <w:r>
        <w:rPr>
          <w:noProof/>
        </w:rPr>
        <w:t>Regulamento (UE) 2016/426 do Parlamento Europeu e do Conselho, de 9 de março de 2016, relativo aos aparelhos a gás e que revoga a Diretiva 2009/142/CE, JO L 81 de 31.3.2016, p. 99;</w:t>
      </w:r>
    </w:p>
    <w:p>
      <w:pPr>
        <w:pStyle w:val="NumPar1"/>
        <w:rPr>
          <w:noProof/>
        </w:rPr>
      </w:pPr>
      <w:r>
        <w:rPr>
          <w:noProof/>
        </w:rPr>
        <w:t>Regulamento (UE) 2017/745 do Parlamento Europeu e do Conselho, de 5 de abril de 2017, relativo aos dispositivos médicos, que altera a Diretiva 2001/83/CE, o Regulamento (CE) n.º 178/2002 e o Regulamento (CE) n.º 1223/2009 e que revoga as Diretivas 90/385/CEE e 93/42/CEE do Conselho, JO L 117 de 5.5.2017, p. 1;</w:t>
      </w:r>
    </w:p>
    <w:p>
      <w:pPr>
        <w:pStyle w:val="NumPar1"/>
        <w:rPr>
          <w:noProof/>
        </w:rPr>
      </w:pPr>
      <w:r>
        <w:rPr>
          <w:noProof/>
        </w:rPr>
        <w:t>Regulamento (UE) 2017/746 do Parlamento Europeu e do Conselho, de 5 de abril de 2017, relativo aos dispositivos médicos para diagnóstico in vitro e que revoga a Diretiva 98/79/CE e a Decisão 2010/227/UE da Comissão, JO L 117 de 5.5.2017, p.176;</w:t>
      </w:r>
    </w:p>
    <w:p>
      <w:pPr>
        <w:pStyle w:val="NumPar1"/>
        <w:rPr>
          <w:noProof/>
        </w:rPr>
      </w:pPr>
      <w:r>
        <w:rPr>
          <w:noProof/>
        </w:rPr>
        <w:t>Regulamento (UE) 2017/852 do Parlamento Europeu e do Conselho relativo ao mercúrio e que revoga o Regulamento (CE) n.º 1102/2008, JO L 137 de 24.5.2017, p. 1;</w:t>
      </w:r>
    </w:p>
    <w:p>
      <w:pPr>
        <w:pStyle w:val="NumPar1"/>
        <w:rPr>
          <w:noProof/>
        </w:rPr>
      </w:pPr>
      <w:r>
        <w:rPr>
          <w:noProof/>
        </w:rPr>
        <w:t>Regulamento (UE) 2017/1369 do Parlamento Europeu e do Conselho, de 4 de julho de 2017, que estabelece um regime de etiquetagem energética e que revoga a Diretiva 2010/30/UE, JO L 198 de 28.7.2017, p. 1.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type="continuationNotice" w:id="1">
    <w:p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PT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PT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PT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PT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type="continuationNotice" w:id="1">
    <w:p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E300F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2B87D8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BB8CD9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30C8AF8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514E92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2E8E7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8E4D1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10EBA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358B6119"/>
    <w:multiLevelType w:val="multilevel"/>
    <w:tmpl w:val="5FE2D7D4"/>
    <w:lvl w:ilvl="0">
      <w:start w:val="1"/>
      <w:numFmt w:val="decimal"/>
      <w:pStyle w:val="Manual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3"/>
  </w:num>
  <w:num w:numId="13">
    <w:abstractNumId w:val="21"/>
  </w:num>
  <w:num w:numId="14">
    <w:abstractNumId w:val="11"/>
  </w:num>
  <w:num w:numId="15">
    <w:abstractNumId w:val="14"/>
  </w:num>
  <w:num w:numId="16">
    <w:abstractNumId w:val="9"/>
  </w:num>
  <w:num w:numId="17">
    <w:abstractNumId w:val="20"/>
  </w:num>
  <w:num w:numId="18">
    <w:abstractNumId w:val="8"/>
  </w:num>
  <w:num w:numId="19">
    <w:abstractNumId w:val="15"/>
  </w:num>
  <w:num w:numId="20">
    <w:abstractNumId w:val="17"/>
  </w:num>
  <w:num w:numId="21">
    <w:abstractNumId w:val="18"/>
  </w:num>
  <w:num w:numId="22">
    <w:abstractNumId w:val="10"/>
  </w:num>
  <w:num w:numId="23">
    <w:abstractNumId w:val="16"/>
  </w:num>
  <w:num w:numId="24">
    <w:abstractNumId w:val="22"/>
  </w:num>
  <w:num w:numId="25">
    <w:abstractNumId w:val="19"/>
  </w:num>
  <w:num w:numId="26">
    <w:abstractNumId w:val="13"/>
  </w:num>
  <w:num w:numId="27">
    <w:abstractNumId w:val="21"/>
  </w:num>
  <w:num w:numId="28">
    <w:abstractNumId w:val="11"/>
  </w:num>
  <w:num w:numId="29">
    <w:abstractNumId w:val="14"/>
  </w:num>
  <w:num w:numId="30">
    <w:abstractNumId w:val="9"/>
  </w:num>
  <w:num w:numId="31">
    <w:abstractNumId w:val="20"/>
  </w:num>
  <w:num w:numId="32">
    <w:abstractNumId w:val="8"/>
  </w:num>
  <w:num w:numId="33">
    <w:abstractNumId w:val="15"/>
  </w:num>
  <w:num w:numId="34">
    <w:abstractNumId w:val="17"/>
  </w:num>
  <w:num w:numId="35">
    <w:abstractNumId w:val="18"/>
  </w:num>
  <w:num w:numId="36">
    <w:abstractNumId w:val="10"/>
  </w:num>
  <w:num w:numId="37">
    <w:abstractNumId w:val="16"/>
  </w:num>
  <w:num w:numId="38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1-22 14:09:4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6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PROPOSTA DE REGULAMENTO DO PARLAMENTO EUROPEU E DO CONSELHO"/>
    <w:docVar w:name="LW_ACCOMPAGNANT.CP" w:val="PROPOSTA DE REGULAMENTO DO PARLAMENTO EUROPEU E DO CONSELHO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F88BC0AE-7ED2-4D57-8654-BE462BD3F0C9"/>
    <w:docVar w:name="LW_COVERPAGE_TYPE" w:val="1"/>
    <w:docVar w:name="LW_CROSSREFERENCE" w:val="{SWD(2017) 466 final}_x000b_{SWD(2017) 467 final}_x000b_{SWD(2017) 468 final}_x000b_{SWD(2017) 469 final}_x000b_{SWD(2017) 470 final}"/>
    <w:docVar w:name="LW_DocType" w:val="ANNEX"/>
    <w:docVar w:name="LW_EMISSION" w:val="19.12.2017"/>
    <w:docVar w:name="LW_EMISSION_ISODATE" w:val="2017-12-19"/>
    <w:docVar w:name="LW_EMISSION_LOCATION" w:val="BRX"/>
    <w:docVar w:name="LW_EMISSION_PREFIX" w:val="Bruxelas,"/>
    <w:docVar w:name="LW_EMISSION_SUFFIX" w:val=" "/>
    <w:docVar w:name="LW_ID_DOCSTRUCTURE" w:val="COM/ANNEX"/>
    <w:docVar w:name="LW_ID_DOCTYPE" w:val="SG-017"/>
    <w:docVar w:name="LW_LANGUE" w:val="PT"/>
    <w:docVar w:name="LW_LEVEL_OF_SENSITIVITY" w:val="Standard treatment"/>
    <w:docVar w:name="LW_NOM.INST" w:val="COMISSÃO EUROPEIA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COM"/>
    <w:docVar w:name="LW_REF.INST.NEW_ADOPTED" w:val="final"/>
    <w:docVar w:name="LW_REF.INST.NEW_TEXT" w:val="(2017) 79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EXO"/>
    <w:docVar w:name="LW_TYPE.DOC.CP" w:val="ANEXO"/>
    <w:docVar w:name="LW_TYPEACTEPRINCIPAL" w:val="que estabelece regras e procedimentos para o cumprimento e a aplicação da legislação de harmonização da União respeitante aos produtos e que altera os Regulamentos (UE) n.º&lt;LWCR:NBS&gt;305/2011, (UE) n.º 528/2012, (UE) 2016/424, (UE) 2016/425, (UE) 2016/426 e (UE) 2017/1369 do Parlamento Europeu e do Conselho, e as Diretivas 2004/42/CE, 2009/48/CE, 2010/35/UE, 2013/29/UE, 2013/53/UE, 2014/28/UE, 2014/29/UE, 2014/30/UE, 2014/31/UE, 2014/32/UE, 2014/33/UE, 2014/34/UE, 2014/35/UE, 2014/53/UE, 2014/68/UE e 2014/90/UE do Parlamento Europeu e do Conselho_x000b_"/>
    <w:docVar w:name="LW_TYPEACTEPRINCIPAL.CP" w:val="que estabelece regras e procedimentos para o cumprimento e a aplicação da legislação de harmonização da União respeitante aos produtos e que altera os Regulamentos (UE) n.º 305/2011, (UE) n.º 528/2012, (UE) 2016/424, (UE) 2016/425, (UE) 2016/426 e (UE) 2017/1369 do Parlamento Europeu e do Conselho, e as Diretivas 2004/42/CE, 2009/48/CE, 2010/35/UE, 2013/29/UE, 2013/53/UE, 2014/28/UE, 2014/29/UE, 2014/30/UE, 2014/31/UE, 2014/32/UE, 2014/33/UE, 2014/34/UE, 2014/35/UE, 2014/53/UE, 2014/68/UE e 2014/90/UE do Parlamento Europeu e do Conselho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pt-PT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ListNumber1">
    <w:name w:val="List Number 1"/>
    <w:basedOn w:val="Text1"/>
    <w:pPr>
      <w:tabs>
        <w:tab w:val="num" w:pos="1191"/>
      </w:tabs>
      <w:spacing w:before="0" w:after="240"/>
      <w:ind w:left="1191" w:hanging="709"/>
    </w:pPr>
    <w:rPr>
      <w:rFonts w:eastAsia="Times New Roman"/>
      <w:szCs w:val="20"/>
    </w:rPr>
  </w:style>
  <w:style w:type="paragraph" w:customStyle="1" w:styleId="ListNumber1Level2">
    <w:name w:val="List Number 1 (Level 2)"/>
    <w:basedOn w:val="Text1"/>
    <w:pPr>
      <w:numPr>
        <w:ilvl w:val="1"/>
        <w:numId w:val="5"/>
      </w:numPr>
      <w:spacing w:before="0" w:after="240"/>
    </w:pPr>
    <w:rPr>
      <w:rFonts w:eastAsia="Times New Roman"/>
      <w:szCs w:val="20"/>
    </w:rPr>
  </w:style>
  <w:style w:type="paragraph" w:customStyle="1" w:styleId="ListNumber1Level3">
    <w:name w:val="List Number 1 (Level 3)"/>
    <w:basedOn w:val="Text1"/>
    <w:pPr>
      <w:numPr>
        <w:ilvl w:val="2"/>
        <w:numId w:val="5"/>
      </w:numPr>
      <w:spacing w:before="0" w:after="240"/>
    </w:pPr>
    <w:rPr>
      <w:rFonts w:eastAsia="Times New Roman"/>
      <w:szCs w:val="20"/>
    </w:rPr>
  </w:style>
  <w:style w:type="paragraph" w:customStyle="1" w:styleId="ListNumber1Level4">
    <w:name w:val="List Number 1 (Level 4)"/>
    <w:basedOn w:val="Text1"/>
    <w:pPr>
      <w:numPr>
        <w:ilvl w:val="3"/>
        <w:numId w:val="5"/>
      </w:numPr>
      <w:spacing w:before="0" w:after="240"/>
    </w:pPr>
    <w:rPr>
      <w:rFonts w:eastAsia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strike w:val="0"/>
      <w:dstrike w:val="0"/>
      <w:color w:val="347C98"/>
      <w:u w:val="none"/>
      <w:effect w:val="none"/>
      <w:shd w:val="clear" w:color="auto" w:fill="auto"/>
    </w:rPr>
  </w:style>
  <w:style w:type="paragraph" w:customStyle="1" w:styleId="Manual">
    <w:name w:val="Manual"/>
    <w:basedOn w:val="Normal"/>
    <w:pPr>
      <w:numPr>
        <w:numId w:val="5"/>
      </w:numPr>
      <w:spacing w:before="0" w:after="240"/>
    </w:pPr>
    <w:rPr>
      <w:rFonts w:eastAsia="Times New Roman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pt-PT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pt-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pt-PT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ListNumber1">
    <w:name w:val="List Number 1"/>
    <w:basedOn w:val="Text1"/>
    <w:pPr>
      <w:tabs>
        <w:tab w:val="num" w:pos="1191"/>
      </w:tabs>
      <w:spacing w:before="0" w:after="240"/>
      <w:ind w:left="1191" w:hanging="709"/>
    </w:pPr>
    <w:rPr>
      <w:rFonts w:eastAsia="Times New Roman"/>
      <w:szCs w:val="20"/>
    </w:rPr>
  </w:style>
  <w:style w:type="paragraph" w:customStyle="1" w:styleId="ListNumber1Level2">
    <w:name w:val="List Number 1 (Level 2)"/>
    <w:basedOn w:val="Text1"/>
    <w:pPr>
      <w:numPr>
        <w:ilvl w:val="1"/>
        <w:numId w:val="5"/>
      </w:numPr>
      <w:spacing w:before="0" w:after="240"/>
    </w:pPr>
    <w:rPr>
      <w:rFonts w:eastAsia="Times New Roman"/>
      <w:szCs w:val="20"/>
    </w:rPr>
  </w:style>
  <w:style w:type="paragraph" w:customStyle="1" w:styleId="ListNumber1Level3">
    <w:name w:val="List Number 1 (Level 3)"/>
    <w:basedOn w:val="Text1"/>
    <w:pPr>
      <w:numPr>
        <w:ilvl w:val="2"/>
        <w:numId w:val="5"/>
      </w:numPr>
      <w:spacing w:before="0" w:after="240"/>
    </w:pPr>
    <w:rPr>
      <w:rFonts w:eastAsia="Times New Roman"/>
      <w:szCs w:val="20"/>
    </w:rPr>
  </w:style>
  <w:style w:type="paragraph" w:customStyle="1" w:styleId="ListNumber1Level4">
    <w:name w:val="List Number 1 (Level 4)"/>
    <w:basedOn w:val="Text1"/>
    <w:pPr>
      <w:numPr>
        <w:ilvl w:val="3"/>
        <w:numId w:val="5"/>
      </w:numPr>
      <w:spacing w:before="0" w:after="240"/>
    </w:pPr>
    <w:rPr>
      <w:rFonts w:eastAsia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strike w:val="0"/>
      <w:dstrike w:val="0"/>
      <w:color w:val="347C98"/>
      <w:u w:val="none"/>
      <w:effect w:val="none"/>
      <w:shd w:val="clear" w:color="auto" w:fill="auto"/>
    </w:rPr>
  </w:style>
  <w:style w:type="paragraph" w:customStyle="1" w:styleId="Manual">
    <w:name w:val="Manual"/>
    <w:basedOn w:val="Normal"/>
    <w:pPr>
      <w:numPr>
        <w:numId w:val="5"/>
      </w:numPr>
      <w:spacing w:before="0" w:after="240"/>
    </w:pPr>
    <w:rPr>
      <w:rFonts w:eastAsia="Times New Roman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pt-PT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pt-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597E3-ABFF-420A-88DA-1FD72CB7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7</Pages>
  <Words>2771</Words>
  <Characters>13856</Characters>
  <Application>Microsoft Office Word</Application>
  <DocSecurity>0</DocSecurity>
  <Lines>243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VOUNASI Stamatia (GROW)</dc:creator>
  <cp:lastModifiedBy>DIGIT/A3</cp:lastModifiedBy>
  <cp:revision>8</cp:revision>
  <cp:lastPrinted>2018-01-17T13:04:00Z</cp:lastPrinted>
  <dcterms:created xsi:type="dcterms:W3CDTF">2018-01-19T06:42:00Z</dcterms:created>
  <dcterms:modified xsi:type="dcterms:W3CDTF">2018-01-22T13:09:00Z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5.8.86.0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0</vt:lpwstr>
  </property>
  <property fmtid="{D5CDD505-2E9C-101B-9397-08002B2CF9AE}" pid="13" name="Classification">
    <vt:lpwstr> </vt:lpwstr>
  </property>
  <property fmtid="{D5CDD505-2E9C-101B-9397-08002B2CF9AE}" pid="14" name="DQCStatus">
    <vt:lpwstr>Green (DQC version 03)</vt:lpwstr>
  </property>
</Properties>
</file>