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9C" w:rsidRDefault="00940A9C">
      <w:pPr>
        <w:rPr>
          <w:rFonts w:ascii="Verdana" w:hAnsi="Verdana"/>
          <w:noProof/>
        </w:rPr>
      </w:pPr>
    </w:p>
    <w:p w:rsidR="00940A9C" w:rsidRDefault="007B1A4E" w:rsidP="007B1A4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708F215-3C95-47F3-A79D-B5AC66ED903B" style="width:451.25pt;height:320.65pt">
            <v:imagedata r:id="rId12" o:title=""/>
          </v:shape>
        </w:pict>
      </w:r>
    </w:p>
    <w:bookmarkEnd w:id="0"/>
    <w:p w:rsidR="00940A9C" w:rsidRDefault="00940A9C">
      <w:pPr>
        <w:rPr>
          <w:noProof/>
          <w:highlight w:val="yellow"/>
          <w:lang w:eastAsia="en-US"/>
        </w:rPr>
        <w:sectPr w:rsidR="00940A9C" w:rsidSect="007B1A4E">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p w:rsidR="00940A9C" w:rsidRDefault="007B1A4E">
      <w:pPr>
        <w:spacing w:after="200" w:line="276" w:lineRule="auto"/>
        <w:jc w:val="left"/>
        <w:rPr>
          <w:b/>
          <w:noProof/>
        </w:rPr>
      </w:pPr>
      <w:bookmarkStart w:id="1" w:name="_Toc489445761"/>
      <w:bookmarkStart w:id="2" w:name="_Toc493242044"/>
      <w:bookmarkStart w:id="3" w:name="_Toc429343495"/>
      <w:r>
        <w:rPr>
          <w:b/>
          <w:noProof/>
        </w:rPr>
        <w:lastRenderedPageBreak/>
        <w:t>Acronyms:</w:t>
      </w:r>
    </w:p>
    <w:p w:rsidR="00940A9C" w:rsidRDefault="007B1A4E">
      <w:pPr>
        <w:spacing w:line="276" w:lineRule="auto"/>
        <w:jc w:val="left"/>
        <w:rPr>
          <w:noProof/>
        </w:rPr>
      </w:pPr>
      <w:r>
        <w:rPr>
          <w:noProof/>
        </w:rPr>
        <w:t>AIR: Annual Implementation Report</w:t>
      </w:r>
    </w:p>
    <w:p w:rsidR="00940A9C" w:rsidRDefault="007B1A4E">
      <w:pPr>
        <w:spacing w:line="276" w:lineRule="auto"/>
        <w:jc w:val="left"/>
        <w:rPr>
          <w:noProof/>
        </w:rPr>
      </w:pPr>
      <w:r>
        <w:rPr>
          <w:noProof/>
        </w:rPr>
        <w:t>CFP: Common Fisheries Policy</w:t>
      </w:r>
    </w:p>
    <w:p w:rsidR="00940A9C" w:rsidRDefault="007B1A4E">
      <w:pPr>
        <w:spacing w:line="276" w:lineRule="auto"/>
        <w:jc w:val="left"/>
        <w:rPr>
          <w:noProof/>
        </w:rPr>
      </w:pPr>
      <w:r>
        <w:rPr>
          <w:noProof/>
        </w:rPr>
        <w:t>CI: Context Indicator</w:t>
      </w:r>
    </w:p>
    <w:p w:rsidR="00940A9C" w:rsidRDefault="007B1A4E">
      <w:pPr>
        <w:spacing w:line="276" w:lineRule="auto"/>
        <w:jc w:val="left"/>
        <w:rPr>
          <w:noProof/>
        </w:rPr>
      </w:pPr>
      <w:r>
        <w:rPr>
          <w:noProof/>
        </w:rPr>
        <w:t>CMES: Common Monitoring and Evaluation System</w:t>
      </w:r>
    </w:p>
    <w:p w:rsidR="00940A9C" w:rsidRDefault="007B1A4E">
      <w:pPr>
        <w:spacing w:line="276" w:lineRule="auto"/>
        <w:jc w:val="left"/>
        <w:rPr>
          <w:noProof/>
        </w:rPr>
      </w:pPr>
      <w:r>
        <w:rPr>
          <w:noProof/>
        </w:rPr>
        <w:t>CPR: Common Provision Regulation</w:t>
      </w:r>
    </w:p>
    <w:p w:rsidR="00940A9C" w:rsidRDefault="007B1A4E">
      <w:pPr>
        <w:spacing w:line="276" w:lineRule="auto"/>
        <w:jc w:val="left"/>
        <w:rPr>
          <w:noProof/>
        </w:rPr>
      </w:pPr>
      <w:r>
        <w:rPr>
          <w:noProof/>
        </w:rPr>
        <w:t>EFF: European Fisheries Fund</w:t>
      </w:r>
    </w:p>
    <w:p w:rsidR="00940A9C" w:rsidRDefault="007B1A4E">
      <w:pPr>
        <w:spacing w:line="276" w:lineRule="auto"/>
        <w:jc w:val="left"/>
        <w:rPr>
          <w:noProof/>
        </w:rPr>
      </w:pPr>
      <w:r>
        <w:rPr>
          <w:noProof/>
        </w:rPr>
        <w:t>EMFF: European Maritime and Fisheries Fund</w:t>
      </w:r>
    </w:p>
    <w:p w:rsidR="00940A9C" w:rsidRDefault="007B1A4E">
      <w:pPr>
        <w:spacing w:line="276" w:lineRule="auto"/>
        <w:jc w:val="left"/>
        <w:rPr>
          <w:noProof/>
        </w:rPr>
      </w:pPr>
      <w:r>
        <w:rPr>
          <w:noProof/>
        </w:rPr>
        <w:t>EP: Evaluation Plan</w:t>
      </w:r>
    </w:p>
    <w:p w:rsidR="00940A9C" w:rsidRDefault="007B1A4E">
      <w:pPr>
        <w:spacing w:line="276" w:lineRule="auto"/>
        <w:jc w:val="left"/>
        <w:rPr>
          <w:noProof/>
        </w:rPr>
      </w:pPr>
      <w:r>
        <w:rPr>
          <w:noProof/>
        </w:rPr>
        <w:t>FAME: Fisheries and Aquaculture Monitoring and Evaluation</w:t>
      </w:r>
    </w:p>
    <w:p w:rsidR="00940A9C" w:rsidRDefault="007B1A4E">
      <w:pPr>
        <w:spacing w:line="276" w:lineRule="auto"/>
        <w:jc w:val="left"/>
        <w:rPr>
          <w:noProof/>
        </w:rPr>
      </w:pPr>
      <w:r>
        <w:rPr>
          <w:noProof/>
        </w:rPr>
        <w:t>FI: Financial Indicator</w:t>
      </w:r>
    </w:p>
    <w:p w:rsidR="00940A9C" w:rsidRDefault="007B1A4E">
      <w:pPr>
        <w:spacing w:line="276" w:lineRule="auto"/>
        <w:jc w:val="left"/>
        <w:rPr>
          <w:noProof/>
        </w:rPr>
      </w:pPr>
      <w:r>
        <w:rPr>
          <w:noProof/>
        </w:rPr>
        <w:t>FIFG: Financial Instrument for Fisheries Guidance</w:t>
      </w:r>
    </w:p>
    <w:p w:rsidR="00940A9C" w:rsidRDefault="007B1A4E">
      <w:pPr>
        <w:spacing w:line="276" w:lineRule="auto"/>
        <w:jc w:val="left"/>
        <w:rPr>
          <w:noProof/>
        </w:rPr>
      </w:pPr>
      <w:r>
        <w:rPr>
          <w:noProof/>
        </w:rPr>
        <w:t>IMP: Integrated Maritime Policy</w:t>
      </w:r>
    </w:p>
    <w:p w:rsidR="00940A9C" w:rsidRDefault="007B1A4E">
      <w:pPr>
        <w:spacing w:line="276" w:lineRule="auto"/>
        <w:jc w:val="left"/>
        <w:rPr>
          <w:noProof/>
        </w:rPr>
      </w:pPr>
      <w:r>
        <w:rPr>
          <w:noProof/>
        </w:rPr>
        <w:t>MA: Managing Authority</w:t>
      </w:r>
    </w:p>
    <w:p w:rsidR="00940A9C" w:rsidRDefault="007B1A4E">
      <w:pPr>
        <w:spacing w:line="276" w:lineRule="auto"/>
        <w:jc w:val="left"/>
        <w:rPr>
          <w:noProof/>
        </w:rPr>
      </w:pPr>
      <w:r>
        <w:rPr>
          <w:noProof/>
        </w:rPr>
        <w:t>MS: Member State</w:t>
      </w:r>
    </w:p>
    <w:p w:rsidR="00940A9C" w:rsidRDefault="007B1A4E">
      <w:pPr>
        <w:spacing w:line="276" w:lineRule="auto"/>
        <w:jc w:val="left"/>
        <w:rPr>
          <w:noProof/>
        </w:rPr>
      </w:pPr>
      <w:r>
        <w:rPr>
          <w:noProof/>
        </w:rPr>
        <w:t>OI: Output Indicator</w:t>
      </w:r>
    </w:p>
    <w:p w:rsidR="00940A9C" w:rsidRDefault="007B1A4E">
      <w:pPr>
        <w:spacing w:line="276" w:lineRule="auto"/>
        <w:jc w:val="left"/>
        <w:rPr>
          <w:noProof/>
        </w:rPr>
      </w:pPr>
      <w:r>
        <w:rPr>
          <w:noProof/>
        </w:rPr>
        <w:t>OP: Operational Programme</w:t>
      </w:r>
    </w:p>
    <w:p w:rsidR="00940A9C" w:rsidRDefault="007B1A4E">
      <w:pPr>
        <w:spacing w:line="276" w:lineRule="auto"/>
        <w:jc w:val="left"/>
        <w:rPr>
          <w:noProof/>
        </w:rPr>
      </w:pPr>
      <w:r>
        <w:rPr>
          <w:noProof/>
        </w:rPr>
        <w:t>RI: Result Indicator</w:t>
      </w:r>
    </w:p>
    <w:p w:rsidR="00940A9C" w:rsidRDefault="007B1A4E">
      <w:pPr>
        <w:spacing w:line="276" w:lineRule="auto"/>
        <w:jc w:val="left"/>
        <w:rPr>
          <w:noProof/>
        </w:rPr>
      </w:pPr>
      <w:r>
        <w:rPr>
          <w:noProof/>
        </w:rPr>
        <w:t xml:space="preserve">SFC: </w:t>
      </w:r>
      <w:r>
        <w:rPr>
          <w:rStyle w:val="st"/>
          <w:noProof/>
        </w:rPr>
        <w:t>System for Fund Management in the European Union</w:t>
      </w:r>
    </w:p>
    <w:p w:rsidR="00940A9C" w:rsidRDefault="007B1A4E">
      <w:pPr>
        <w:spacing w:after="200" w:line="276" w:lineRule="auto"/>
        <w:jc w:val="left"/>
        <w:rPr>
          <w:noProof/>
        </w:rPr>
      </w:pPr>
      <w:r>
        <w:rPr>
          <w:noProof/>
        </w:rPr>
        <w:br w:type="page"/>
      </w:r>
      <w:bookmarkStart w:id="4" w:name="_GoBack"/>
      <w:bookmarkEnd w:id="4"/>
    </w:p>
    <w:sdt>
      <w:sdtPr>
        <w:rPr>
          <w:rFonts w:ascii="Times New Roman" w:eastAsia="Times New Roman" w:hAnsi="Times New Roman" w:cs="Times New Roman"/>
          <w:b w:val="0"/>
          <w:bCs w:val="0"/>
          <w:noProof/>
          <w:color w:val="auto"/>
          <w:sz w:val="24"/>
          <w:szCs w:val="20"/>
          <w:lang w:val="en-GB" w:eastAsia="de-DE"/>
        </w:rPr>
        <w:id w:val="288639040"/>
        <w:docPartObj>
          <w:docPartGallery w:val="Table of Contents"/>
          <w:docPartUnique/>
        </w:docPartObj>
      </w:sdtPr>
      <w:sdtEndPr/>
      <w:sdtContent>
        <w:p w:rsidR="00940A9C" w:rsidRDefault="007B1A4E">
          <w:pPr>
            <w:pStyle w:val="TOCHeading"/>
            <w:rPr>
              <w:noProof/>
            </w:rPr>
          </w:pPr>
          <w:r>
            <w:rPr>
              <w:noProof/>
            </w:rPr>
            <w:t>Table of Contents</w:t>
          </w:r>
        </w:p>
        <w:p w:rsidR="00940A9C" w:rsidRDefault="007B1A4E">
          <w:pPr>
            <w:pStyle w:val="TOC1"/>
            <w:rPr>
              <w:rFonts w:asciiTheme="minorHAnsi" w:eastAsiaTheme="minorEastAsia" w:hAnsiTheme="minorHAnsi" w:cstheme="minorBidi"/>
              <w:b w:val="0"/>
              <w:noProof/>
              <w:sz w:val="22"/>
              <w:szCs w:val="22"/>
              <w:lang w:val="en-GB" w:eastAsia="en-GB"/>
            </w:rPr>
          </w:pPr>
          <w:r>
            <w:rPr>
              <w:noProof/>
            </w:rPr>
            <w:fldChar w:fldCharType="begin"/>
          </w:r>
          <w:r>
            <w:rPr>
              <w:noProof/>
            </w:rPr>
            <w:instrText xml:space="preserve"> TOC \o "1-3" \h \z \u </w:instrText>
          </w:r>
          <w:r>
            <w:rPr>
              <w:noProof/>
            </w:rPr>
            <w:fldChar w:fldCharType="separate"/>
          </w:r>
          <w:hyperlink w:anchor="_Toc496537472" w:history="1">
            <w:r>
              <w:rPr>
                <w:rStyle w:val="Hyperlink"/>
                <w:noProof/>
                <w:lang w:val="en-GB"/>
              </w:rPr>
              <w:t>1</w:t>
            </w:r>
            <w:r>
              <w:rPr>
                <w:rFonts w:asciiTheme="minorHAnsi" w:eastAsiaTheme="minorEastAsia" w:hAnsiTheme="minorHAnsi" w:cstheme="minorBidi"/>
                <w:b w:val="0"/>
                <w:noProof/>
                <w:sz w:val="22"/>
                <w:szCs w:val="22"/>
                <w:lang w:val="en-GB" w:eastAsia="en-GB"/>
              </w:rPr>
              <w:tab/>
            </w:r>
            <w:r>
              <w:rPr>
                <w:rStyle w:val="Hyperlink"/>
                <w:noProof/>
                <w:lang w:val="en-GB"/>
              </w:rPr>
              <w:t>Introduction</w:t>
            </w:r>
            <w:r>
              <w:rPr>
                <w:noProof/>
                <w:webHidden/>
              </w:rPr>
              <w:tab/>
            </w:r>
            <w:r>
              <w:rPr>
                <w:noProof/>
                <w:webHidden/>
              </w:rPr>
              <w:fldChar w:fldCharType="begin"/>
            </w:r>
            <w:r>
              <w:rPr>
                <w:noProof/>
                <w:webHidden/>
              </w:rPr>
              <w:instrText xml:space="preserve"> PAGEREF _Toc496537472 \h </w:instrText>
            </w:r>
            <w:r>
              <w:rPr>
                <w:noProof/>
                <w:webHidden/>
              </w:rPr>
            </w:r>
            <w:r>
              <w:rPr>
                <w:noProof/>
                <w:webHidden/>
              </w:rPr>
              <w:fldChar w:fldCharType="separate"/>
            </w:r>
            <w:r>
              <w:rPr>
                <w:noProof/>
                <w:webHidden/>
              </w:rPr>
              <w:t>4</w:t>
            </w:r>
            <w:r>
              <w:rPr>
                <w:noProof/>
                <w:webHidden/>
              </w:rPr>
              <w:fldChar w:fldCharType="end"/>
            </w:r>
          </w:hyperlink>
        </w:p>
        <w:p w:rsidR="00940A9C" w:rsidRDefault="007B1A4E">
          <w:pPr>
            <w:pStyle w:val="TOC1"/>
            <w:rPr>
              <w:rFonts w:asciiTheme="minorHAnsi" w:eastAsiaTheme="minorEastAsia" w:hAnsiTheme="minorHAnsi" w:cstheme="minorBidi"/>
              <w:b w:val="0"/>
              <w:noProof/>
              <w:sz w:val="22"/>
              <w:szCs w:val="22"/>
              <w:lang w:val="en-GB" w:eastAsia="en-GB"/>
            </w:rPr>
          </w:pPr>
          <w:hyperlink w:anchor="_Toc496537473" w:history="1">
            <w:r>
              <w:rPr>
                <w:rStyle w:val="Hyperlink"/>
                <w:noProof/>
                <w:lang w:val="en-GB"/>
              </w:rPr>
              <w:t>2</w:t>
            </w:r>
            <w:r>
              <w:rPr>
                <w:rFonts w:asciiTheme="minorHAnsi" w:eastAsiaTheme="minorEastAsia" w:hAnsiTheme="minorHAnsi" w:cstheme="minorBidi"/>
                <w:b w:val="0"/>
                <w:noProof/>
                <w:sz w:val="22"/>
                <w:szCs w:val="22"/>
                <w:lang w:val="en-GB" w:eastAsia="en-GB"/>
              </w:rPr>
              <w:tab/>
            </w:r>
            <w:r>
              <w:rPr>
                <w:rStyle w:val="Hyperlink"/>
                <w:noProof/>
                <w:lang w:val="en-GB"/>
              </w:rPr>
              <w:t>The seven components of the Common Monitoring and Evaluation System</w:t>
            </w:r>
            <w:r>
              <w:rPr>
                <w:noProof/>
                <w:webHidden/>
              </w:rPr>
              <w:tab/>
            </w:r>
            <w:r>
              <w:rPr>
                <w:noProof/>
                <w:webHidden/>
              </w:rPr>
              <w:fldChar w:fldCharType="begin"/>
            </w:r>
            <w:r>
              <w:rPr>
                <w:noProof/>
                <w:webHidden/>
              </w:rPr>
              <w:instrText xml:space="preserve"> PAGEREF _To</w:instrText>
            </w:r>
            <w:r>
              <w:rPr>
                <w:noProof/>
                <w:webHidden/>
              </w:rPr>
              <w:instrText xml:space="preserve">c496537473 \h </w:instrText>
            </w:r>
            <w:r>
              <w:rPr>
                <w:noProof/>
                <w:webHidden/>
              </w:rPr>
            </w:r>
            <w:r>
              <w:rPr>
                <w:noProof/>
                <w:webHidden/>
              </w:rPr>
              <w:fldChar w:fldCharType="separate"/>
            </w:r>
            <w:r>
              <w:rPr>
                <w:noProof/>
                <w:webHidden/>
              </w:rPr>
              <w:t>5</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74" w:history="1">
            <w:r>
              <w:rPr>
                <w:rStyle w:val="Hyperlink"/>
                <w:noProof/>
                <w:lang w:val="en-GB" w:eastAsia="en-US"/>
              </w:rPr>
              <w:t>2.1</w:t>
            </w:r>
            <w:r>
              <w:rPr>
                <w:rFonts w:asciiTheme="minorHAnsi" w:eastAsiaTheme="minorEastAsia" w:hAnsiTheme="minorHAnsi" w:cstheme="minorBidi"/>
                <w:noProof/>
                <w:sz w:val="22"/>
                <w:szCs w:val="22"/>
                <w:lang w:val="en-GB" w:eastAsia="en-GB"/>
              </w:rPr>
              <w:tab/>
            </w:r>
            <w:r>
              <w:rPr>
                <w:rStyle w:val="Hyperlink"/>
                <w:noProof/>
                <w:lang w:val="en-GB"/>
              </w:rPr>
              <w:t>EMFF Intervention Logic</w:t>
            </w:r>
            <w:r>
              <w:rPr>
                <w:noProof/>
                <w:webHidden/>
              </w:rPr>
              <w:tab/>
            </w:r>
            <w:r>
              <w:rPr>
                <w:noProof/>
                <w:webHidden/>
              </w:rPr>
              <w:fldChar w:fldCharType="begin"/>
            </w:r>
            <w:r>
              <w:rPr>
                <w:noProof/>
                <w:webHidden/>
              </w:rPr>
              <w:instrText xml:space="preserve"> PAGEREF _Toc496537474 \h </w:instrText>
            </w:r>
            <w:r>
              <w:rPr>
                <w:noProof/>
                <w:webHidden/>
              </w:rPr>
            </w:r>
            <w:r>
              <w:rPr>
                <w:noProof/>
                <w:webHidden/>
              </w:rPr>
              <w:fldChar w:fldCharType="separate"/>
            </w:r>
            <w:r>
              <w:rPr>
                <w:noProof/>
                <w:webHidden/>
              </w:rPr>
              <w:t>5</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75" w:history="1">
            <w:r>
              <w:rPr>
                <w:rStyle w:val="Hyperlink"/>
                <w:noProof/>
                <w:lang w:val="en-GB"/>
              </w:rPr>
              <w:t>2.2</w:t>
            </w:r>
            <w:r>
              <w:rPr>
                <w:rFonts w:asciiTheme="minorHAnsi" w:eastAsiaTheme="minorEastAsia" w:hAnsiTheme="minorHAnsi" w:cstheme="minorBidi"/>
                <w:noProof/>
                <w:sz w:val="22"/>
                <w:szCs w:val="22"/>
                <w:lang w:val="en-GB" w:eastAsia="en-GB"/>
              </w:rPr>
              <w:tab/>
            </w:r>
            <w:r>
              <w:rPr>
                <w:rStyle w:val="Hyperlink"/>
                <w:noProof/>
                <w:lang w:val="en-GB"/>
              </w:rPr>
              <w:t>Common Indicators</w:t>
            </w:r>
            <w:r>
              <w:rPr>
                <w:noProof/>
                <w:webHidden/>
              </w:rPr>
              <w:tab/>
            </w:r>
            <w:r>
              <w:rPr>
                <w:noProof/>
                <w:webHidden/>
              </w:rPr>
              <w:fldChar w:fldCharType="begin"/>
            </w:r>
            <w:r>
              <w:rPr>
                <w:noProof/>
                <w:webHidden/>
              </w:rPr>
              <w:instrText xml:space="preserve"> PAGEREF _Toc496537475 \h </w:instrText>
            </w:r>
            <w:r>
              <w:rPr>
                <w:noProof/>
                <w:webHidden/>
              </w:rPr>
            </w:r>
            <w:r>
              <w:rPr>
                <w:noProof/>
                <w:webHidden/>
              </w:rPr>
              <w:fldChar w:fldCharType="separate"/>
            </w:r>
            <w:r>
              <w:rPr>
                <w:noProof/>
                <w:webHidden/>
              </w:rPr>
              <w:t>5</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76" w:history="1">
            <w:r>
              <w:rPr>
                <w:rStyle w:val="Hyperlink"/>
                <w:noProof/>
                <w:lang w:val="en-GB"/>
              </w:rPr>
              <w:t>2.3</w:t>
            </w:r>
            <w:r>
              <w:rPr>
                <w:rFonts w:asciiTheme="minorHAnsi" w:eastAsiaTheme="minorEastAsia" w:hAnsiTheme="minorHAnsi" w:cstheme="minorBidi"/>
                <w:noProof/>
                <w:sz w:val="22"/>
                <w:szCs w:val="22"/>
                <w:lang w:val="en-GB" w:eastAsia="en-GB"/>
              </w:rPr>
              <w:tab/>
            </w:r>
            <w:r>
              <w:rPr>
                <w:rStyle w:val="Hyperlink"/>
                <w:noProof/>
                <w:lang w:val="en-GB"/>
              </w:rPr>
              <w:t>Cumulative Data on Operations (Infosys)</w:t>
            </w:r>
            <w:r>
              <w:rPr>
                <w:noProof/>
                <w:webHidden/>
              </w:rPr>
              <w:tab/>
            </w:r>
            <w:r>
              <w:rPr>
                <w:noProof/>
                <w:webHidden/>
              </w:rPr>
              <w:fldChar w:fldCharType="begin"/>
            </w:r>
            <w:r>
              <w:rPr>
                <w:noProof/>
                <w:webHidden/>
              </w:rPr>
              <w:instrText xml:space="preserve"> PAGEREF _Toc496537476 \h </w:instrText>
            </w:r>
            <w:r>
              <w:rPr>
                <w:noProof/>
                <w:webHidden/>
              </w:rPr>
            </w:r>
            <w:r>
              <w:rPr>
                <w:noProof/>
                <w:webHidden/>
              </w:rPr>
              <w:fldChar w:fldCharType="separate"/>
            </w:r>
            <w:r>
              <w:rPr>
                <w:noProof/>
                <w:webHidden/>
              </w:rPr>
              <w:t>6</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77" w:history="1">
            <w:r>
              <w:rPr>
                <w:rStyle w:val="Hyperlink"/>
                <w:noProof/>
                <w:lang w:val="en-GB"/>
              </w:rPr>
              <w:t>2.4</w:t>
            </w:r>
            <w:r>
              <w:rPr>
                <w:rFonts w:asciiTheme="minorHAnsi" w:eastAsiaTheme="minorEastAsia" w:hAnsiTheme="minorHAnsi" w:cstheme="minorBidi"/>
                <w:noProof/>
                <w:sz w:val="22"/>
                <w:szCs w:val="22"/>
                <w:lang w:val="en-GB" w:eastAsia="en-GB"/>
              </w:rPr>
              <w:tab/>
            </w:r>
            <w:r>
              <w:rPr>
                <w:rStyle w:val="Hyperlink"/>
                <w:noProof/>
                <w:lang w:val="en-GB"/>
              </w:rPr>
              <w:t>Annual Implementation Report (AIR)</w:t>
            </w:r>
            <w:r>
              <w:rPr>
                <w:noProof/>
                <w:webHidden/>
              </w:rPr>
              <w:tab/>
            </w:r>
            <w:r>
              <w:rPr>
                <w:noProof/>
                <w:webHidden/>
              </w:rPr>
              <w:fldChar w:fldCharType="begin"/>
            </w:r>
            <w:r>
              <w:rPr>
                <w:noProof/>
                <w:webHidden/>
              </w:rPr>
              <w:instrText xml:space="preserve"> PAGEREF _Toc496537477 \h </w:instrText>
            </w:r>
            <w:r>
              <w:rPr>
                <w:noProof/>
                <w:webHidden/>
              </w:rPr>
            </w:r>
            <w:r>
              <w:rPr>
                <w:noProof/>
                <w:webHidden/>
              </w:rPr>
              <w:fldChar w:fldCharType="separate"/>
            </w:r>
            <w:r>
              <w:rPr>
                <w:noProof/>
                <w:webHidden/>
              </w:rPr>
              <w:t>7</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78" w:history="1">
            <w:r>
              <w:rPr>
                <w:rStyle w:val="Hyperlink"/>
                <w:noProof/>
                <w:lang w:val="en-GB"/>
              </w:rPr>
              <w:t>2.5</w:t>
            </w:r>
            <w:r>
              <w:rPr>
                <w:rFonts w:asciiTheme="minorHAnsi" w:eastAsiaTheme="minorEastAsia" w:hAnsiTheme="minorHAnsi" w:cstheme="minorBidi"/>
                <w:noProof/>
                <w:sz w:val="22"/>
                <w:szCs w:val="22"/>
                <w:lang w:val="en-GB" w:eastAsia="en-GB"/>
              </w:rPr>
              <w:tab/>
            </w:r>
            <w:r>
              <w:rPr>
                <w:rStyle w:val="Hyperlink"/>
                <w:noProof/>
                <w:lang w:val="en-GB"/>
              </w:rPr>
              <w:t>Evaluation Plan</w:t>
            </w:r>
            <w:r>
              <w:rPr>
                <w:noProof/>
                <w:webHidden/>
              </w:rPr>
              <w:tab/>
            </w:r>
            <w:r>
              <w:rPr>
                <w:noProof/>
                <w:webHidden/>
              </w:rPr>
              <w:fldChar w:fldCharType="begin"/>
            </w:r>
            <w:r>
              <w:rPr>
                <w:noProof/>
                <w:webHidden/>
              </w:rPr>
              <w:instrText xml:space="preserve"> PAGEREF _Toc496537478 \h </w:instrText>
            </w:r>
            <w:r>
              <w:rPr>
                <w:noProof/>
                <w:webHidden/>
              </w:rPr>
            </w:r>
            <w:r>
              <w:rPr>
                <w:noProof/>
                <w:webHidden/>
              </w:rPr>
              <w:fldChar w:fldCharType="separate"/>
            </w:r>
            <w:r>
              <w:rPr>
                <w:noProof/>
                <w:webHidden/>
              </w:rPr>
              <w:t>8</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79" w:history="1">
            <w:r>
              <w:rPr>
                <w:rStyle w:val="Hyperlink"/>
                <w:noProof/>
                <w:lang w:val="en-GB"/>
              </w:rPr>
              <w:t>2.6</w:t>
            </w:r>
            <w:r>
              <w:rPr>
                <w:rFonts w:asciiTheme="minorHAnsi" w:eastAsiaTheme="minorEastAsia" w:hAnsiTheme="minorHAnsi" w:cstheme="minorBidi"/>
                <w:noProof/>
                <w:sz w:val="22"/>
                <w:szCs w:val="22"/>
                <w:lang w:val="en-GB" w:eastAsia="en-GB"/>
              </w:rPr>
              <w:tab/>
            </w:r>
            <w:r>
              <w:rPr>
                <w:rStyle w:val="Hyperlink"/>
                <w:noProof/>
                <w:lang w:val="en-GB"/>
              </w:rPr>
              <w:t>EMFF OPs Evaluations</w:t>
            </w:r>
            <w:r>
              <w:rPr>
                <w:noProof/>
                <w:webHidden/>
              </w:rPr>
              <w:tab/>
            </w:r>
            <w:r>
              <w:rPr>
                <w:noProof/>
                <w:webHidden/>
              </w:rPr>
              <w:fldChar w:fldCharType="begin"/>
            </w:r>
            <w:r>
              <w:rPr>
                <w:noProof/>
                <w:webHidden/>
              </w:rPr>
              <w:instrText xml:space="preserve"> PAGEREF _Toc496537479 \h </w:instrText>
            </w:r>
            <w:r>
              <w:rPr>
                <w:noProof/>
                <w:webHidden/>
              </w:rPr>
            </w:r>
            <w:r>
              <w:rPr>
                <w:noProof/>
                <w:webHidden/>
              </w:rPr>
              <w:fldChar w:fldCharType="separate"/>
            </w:r>
            <w:r>
              <w:rPr>
                <w:noProof/>
                <w:webHidden/>
              </w:rPr>
              <w:t>8</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0" w:history="1">
            <w:r>
              <w:rPr>
                <w:rStyle w:val="Hyperlink"/>
                <w:noProof/>
                <w:lang w:val="en-GB"/>
              </w:rPr>
              <w:t>2.7</w:t>
            </w:r>
            <w:r>
              <w:rPr>
                <w:rFonts w:asciiTheme="minorHAnsi" w:eastAsiaTheme="minorEastAsia" w:hAnsiTheme="minorHAnsi" w:cstheme="minorBidi"/>
                <w:noProof/>
                <w:sz w:val="22"/>
                <w:szCs w:val="22"/>
                <w:lang w:val="en-GB" w:eastAsia="en-GB"/>
              </w:rPr>
              <w:tab/>
            </w:r>
            <w:r>
              <w:rPr>
                <w:rStyle w:val="Hyperlink"/>
                <w:noProof/>
                <w:lang w:val="en-GB"/>
              </w:rPr>
              <w:t>Performance Framework and Review</w:t>
            </w:r>
            <w:r>
              <w:rPr>
                <w:noProof/>
                <w:webHidden/>
              </w:rPr>
              <w:tab/>
            </w:r>
            <w:r>
              <w:rPr>
                <w:noProof/>
                <w:webHidden/>
              </w:rPr>
              <w:fldChar w:fldCharType="begin"/>
            </w:r>
            <w:r>
              <w:rPr>
                <w:noProof/>
                <w:webHidden/>
              </w:rPr>
              <w:instrText xml:space="preserve"> PAGEREF _Toc496537480 \h </w:instrText>
            </w:r>
            <w:r>
              <w:rPr>
                <w:noProof/>
                <w:webHidden/>
              </w:rPr>
            </w:r>
            <w:r>
              <w:rPr>
                <w:noProof/>
                <w:webHidden/>
              </w:rPr>
              <w:fldChar w:fldCharType="separate"/>
            </w:r>
            <w:r>
              <w:rPr>
                <w:noProof/>
                <w:webHidden/>
              </w:rPr>
              <w:t>9</w:t>
            </w:r>
            <w:r>
              <w:rPr>
                <w:noProof/>
                <w:webHidden/>
              </w:rPr>
              <w:fldChar w:fldCharType="end"/>
            </w:r>
          </w:hyperlink>
        </w:p>
        <w:p w:rsidR="00940A9C" w:rsidRDefault="007B1A4E">
          <w:pPr>
            <w:pStyle w:val="TOC1"/>
            <w:rPr>
              <w:rFonts w:asciiTheme="minorHAnsi" w:eastAsiaTheme="minorEastAsia" w:hAnsiTheme="minorHAnsi" w:cstheme="minorBidi"/>
              <w:b w:val="0"/>
              <w:noProof/>
              <w:sz w:val="22"/>
              <w:szCs w:val="22"/>
              <w:lang w:val="en-GB" w:eastAsia="en-GB"/>
            </w:rPr>
          </w:pPr>
          <w:hyperlink w:anchor="_Toc496537481" w:history="1">
            <w:r>
              <w:rPr>
                <w:rStyle w:val="Hyperlink"/>
                <w:noProof/>
                <w:lang w:val="en-GB"/>
              </w:rPr>
              <w:t>3</w:t>
            </w:r>
            <w:r>
              <w:rPr>
                <w:rFonts w:asciiTheme="minorHAnsi" w:eastAsiaTheme="minorEastAsia" w:hAnsiTheme="minorHAnsi" w:cstheme="minorBidi"/>
                <w:b w:val="0"/>
                <w:noProof/>
                <w:sz w:val="22"/>
                <w:szCs w:val="22"/>
                <w:lang w:val="en-GB" w:eastAsia="en-GB"/>
              </w:rPr>
              <w:tab/>
            </w:r>
            <w:r>
              <w:rPr>
                <w:rStyle w:val="Hyperlink"/>
                <w:noProof/>
                <w:lang w:val="en-GB"/>
              </w:rPr>
              <w:t>Findings and recommendations</w:t>
            </w:r>
            <w:r>
              <w:rPr>
                <w:noProof/>
                <w:webHidden/>
              </w:rPr>
              <w:tab/>
            </w:r>
            <w:r>
              <w:rPr>
                <w:noProof/>
                <w:webHidden/>
              </w:rPr>
              <w:fldChar w:fldCharType="begin"/>
            </w:r>
            <w:r>
              <w:rPr>
                <w:noProof/>
                <w:webHidden/>
              </w:rPr>
              <w:instrText xml:space="preserve"> PAGEREF _Toc496537481 \h </w:instrText>
            </w:r>
            <w:r>
              <w:rPr>
                <w:noProof/>
                <w:webHidden/>
              </w:rPr>
            </w:r>
            <w:r>
              <w:rPr>
                <w:noProof/>
                <w:webHidden/>
              </w:rPr>
              <w:fldChar w:fldCharType="separate"/>
            </w:r>
            <w:r>
              <w:rPr>
                <w:noProof/>
                <w:webHidden/>
              </w:rPr>
              <w:t>9</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2" w:history="1">
            <w:r>
              <w:rPr>
                <w:rStyle w:val="Hyperlink"/>
                <w:noProof/>
              </w:rPr>
              <w:t>3.1</w:t>
            </w:r>
            <w:r>
              <w:rPr>
                <w:rFonts w:asciiTheme="minorHAnsi" w:eastAsiaTheme="minorEastAsia" w:hAnsiTheme="minorHAnsi" w:cstheme="minorBidi"/>
                <w:noProof/>
                <w:sz w:val="22"/>
                <w:szCs w:val="22"/>
                <w:lang w:val="en-GB" w:eastAsia="en-GB"/>
              </w:rPr>
              <w:tab/>
            </w:r>
            <w:r>
              <w:rPr>
                <w:rStyle w:val="Hyperlink"/>
                <w:noProof/>
              </w:rPr>
              <w:t>EMFF Intervention Logic</w:t>
            </w:r>
            <w:r>
              <w:rPr>
                <w:noProof/>
                <w:webHidden/>
              </w:rPr>
              <w:tab/>
            </w:r>
            <w:r>
              <w:rPr>
                <w:noProof/>
                <w:webHidden/>
              </w:rPr>
              <w:fldChar w:fldCharType="begin"/>
            </w:r>
            <w:r>
              <w:rPr>
                <w:noProof/>
                <w:webHidden/>
              </w:rPr>
              <w:instrText xml:space="preserve"> PAGEREF _Toc496537482 \h </w:instrText>
            </w:r>
            <w:r>
              <w:rPr>
                <w:noProof/>
                <w:webHidden/>
              </w:rPr>
            </w:r>
            <w:r>
              <w:rPr>
                <w:noProof/>
                <w:webHidden/>
              </w:rPr>
              <w:fldChar w:fldCharType="separate"/>
            </w:r>
            <w:r>
              <w:rPr>
                <w:noProof/>
                <w:webHidden/>
              </w:rPr>
              <w:t>9</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3" w:history="1">
            <w:r>
              <w:rPr>
                <w:rStyle w:val="Hyperlink"/>
                <w:noProof/>
              </w:rPr>
              <w:t>3.2</w:t>
            </w:r>
            <w:r>
              <w:rPr>
                <w:rFonts w:asciiTheme="minorHAnsi" w:eastAsiaTheme="minorEastAsia" w:hAnsiTheme="minorHAnsi" w:cstheme="minorBidi"/>
                <w:noProof/>
                <w:sz w:val="22"/>
                <w:szCs w:val="22"/>
                <w:lang w:val="en-GB" w:eastAsia="en-GB"/>
              </w:rPr>
              <w:tab/>
            </w:r>
            <w:r>
              <w:rPr>
                <w:rStyle w:val="Hyperlink"/>
                <w:noProof/>
              </w:rPr>
              <w:t>Common Indicators</w:t>
            </w:r>
            <w:r>
              <w:rPr>
                <w:noProof/>
                <w:webHidden/>
              </w:rPr>
              <w:tab/>
            </w:r>
            <w:r>
              <w:rPr>
                <w:noProof/>
                <w:webHidden/>
              </w:rPr>
              <w:fldChar w:fldCharType="begin"/>
            </w:r>
            <w:r>
              <w:rPr>
                <w:noProof/>
                <w:webHidden/>
              </w:rPr>
              <w:instrText xml:space="preserve"> PAGEREF _Toc496537483 \h </w:instrText>
            </w:r>
            <w:r>
              <w:rPr>
                <w:noProof/>
                <w:webHidden/>
              </w:rPr>
            </w:r>
            <w:r>
              <w:rPr>
                <w:noProof/>
                <w:webHidden/>
              </w:rPr>
              <w:fldChar w:fldCharType="separate"/>
            </w:r>
            <w:r>
              <w:rPr>
                <w:noProof/>
                <w:webHidden/>
              </w:rPr>
              <w:t>10</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4" w:history="1">
            <w:r>
              <w:rPr>
                <w:rStyle w:val="Hyperlink"/>
                <w:noProof/>
                <w:lang w:val="en-GB"/>
              </w:rPr>
              <w:t>3.3</w:t>
            </w:r>
            <w:r>
              <w:rPr>
                <w:rFonts w:asciiTheme="minorHAnsi" w:eastAsiaTheme="minorEastAsia" w:hAnsiTheme="minorHAnsi" w:cstheme="minorBidi"/>
                <w:noProof/>
                <w:sz w:val="22"/>
                <w:szCs w:val="22"/>
                <w:lang w:val="en-GB" w:eastAsia="en-GB"/>
              </w:rPr>
              <w:tab/>
            </w:r>
            <w:r>
              <w:rPr>
                <w:rStyle w:val="Hyperlink"/>
                <w:noProof/>
                <w:lang w:val="en-GB"/>
              </w:rPr>
              <w:t>Cumulative Data on Operations selected for Funding (Infosys)</w:t>
            </w:r>
            <w:r>
              <w:rPr>
                <w:noProof/>
                <w:webHidden/>
              </w:rPr>
              <w:tab/>
            </w:r>
            <w:r>
              <w:rPr>
                <w:noProof/>
                <w:webHidden/>
              </w:rPr>
              <w:fldChar w:fldCharType="begin"/>
            </w:r>
            <w:r>
              <w:rPr>
                <w:noProof/>
                <w:webHidden/>
              </w:rPr>
              <w:instrText xml:space="preserve"> PAGEREF _Toc496537484 \h </w:instrText>
            </w:r>
            <w:r>
              <w:rPr>
                <w:noProof/>
                <w:webHidden/>
              </w:rPr>
            </w:r>
            <w:r>
              <w:rPr>
                <w:noProof/>
                <w:webHidden/>
              </w:rPr>
              <w:fldChar w:fldCharType="separate"/>
            </w:r>
            <w:r>
              <w:rPr>
                <w:noProof/>
                <w:webHidden/>
              </w:rPr>
              <w:t>11</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5" w:history="1">
            <w:r>
              <w:rPr>
                <w:rStyle w:val="Hyperlink"/>
                <w:noProof/>
              </w:rPr>
              <w:t>3.4</w:t>
            </w:r>
            <w:r>
              <w:rPr>
                <w:rFonts w:asciiTheme="minorHAnsi" w:eastAsiaTheme="minorEastAsia" w:hAnsiTheme="minorHAnsi" w:cstheme="minorBidi"/>
                <w:noProof/>
                <w:sz w:val="22"/>
                <w:szCs w:val="22"/>
                <w:lang w:val="en-GB" w:eastAsia="en-GB"/>
              </w:rPr>
              <w:tab/>
            </w:r>
            <w:r>
              <w:rPr>
                <w:rStyle w:val="Hyperlink"/>
                <w:noProof/>
              </w:rPr>
              <w:t>Annual Implementation Report (AIR)</w:t>
            </w:r>
            <w:r>
              <w:rPr>
                <w:noProof/>
                <w:webHidden/>
              </w:rPr>
              <w:tab/>
            </w:r>
            <w:r>
              <w:rPr>
                <w:noProof/>
                <w:webHidden/>
              </w:rPr>
              <w:fldChar w:fldCharType="begin"/>
            </w:r>
            <w:r>
              <w:rPr>
                <w:noProof/>
                <w:webHidden/>
              </w:rPr>
              <w:instrText xml:space="preserve"> PAGEREF _Toc496537485 \h </w:instrText>
            </w:r>
            <w:r>
              <w:rPr>
                <w:noProof/>
                <w:webHidden/>
              </w:rPr>
            </w:r>
            <w:r>
              <w:rPr>
                <w:noProof/>
                <w:webHidden/>
              </w:rPr>
              <w:fldChar w:fldCharType="separate"/>
            </w:r>
            <w:r>
              <w:rPr>
                <w:noProof/>
                <w:webHidden/>
              </w:rPr>
              <w:t>11</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6" w:history="1">
            <w:r>
              <w:rPr>
                <w:rStyle w:val="Hyperlink"/>
                <w:noProof/>
              </w:rPr>
              <w:t>3.5</w:t>
            </w:r>
            <w:r>
              <w:rPr>
                <w:rFonts w:asciiTheme="minorHAnsi" w:eastAsiaTheme="minorEastAsia" w:hAnsiTheme="minorHAnsi" w:cstheme="minorBidi"/>
                <w:noProof/>
                <w:sz w:val="22"/>
                <w:szCs w:val="22"/>
                <w:lang w:val="en-GB" w:eastAsia="en-GB"/>
              </w:rPr>
              <w:tab/>
            </w:r>
            <w:r>
              <w:rPr>
                <w:rStyle w:val="Hyperlink"/>
                <w:noProof/>
              </w:rPr>
              <w:t>Evaluation Plan</w:t>
            </w:r>
            <w:r>
              <w:rPr>
                <w:noProof/>
                <w:webHidden/>
              </w:rPr>
              <w:tab/>
            </w:r>
            <w:r>
              <w:rPr>
                <w:noProof/>
                <w:webHidden/>
              </w:rPr>
              <w:fldChar w:fldCharType="begin"/>
            </w:r>
            <w:r>
              <w:rPr>
                <w:noProof/>
                <w:webHidden/>
              </w:rPr>
              <w:instrText xml:space="preserve"> PAGEREF _Toc496537486 \h </w:instrText>
            </w:r>
            <w:r>
              <w:rPr>
                <w:noProof/>
                <w:webHidden/>
              </w:rPr>
            </w:r>
            <w:r>
              <w:rPr>
                <w:noProof/>
                <w:webHidden/>
              </w:rPr>
              <w:fldChar w:fldCharType="separate"/>
            </w:r>
            <w:r>
              <w:rPr>
                <w:noProof/>
                <w:webHidden/>
              </w:rPr>
              <w:t>12</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7" w:history="1">
            <w:r>
              <w:rPr>
                <w:rStyle w:val="Hyperlink"/>
                <w:noProof/>
              </w:rPr>
              <w:t>3.6</w:t>
            </w:r>
            <w:r>
              <w:rPr>
                <w:rFonts w:asciiTheme="minorHAnsi" w:eastAsiaTheme="minorEastAsia" w:hAnsiTheme="minorHAnsi" w:cstheme="minorBidi"/>
                <w:noProof/>
                <w:sz w:val="22"/>
                <w:szCs w:val="22"/>
                <w:lang w:val="en-GB" w:eastAsia="en-GB"/>
              </w:rPr>
              <w:tab/>
            </w:r>
            <w:r>
              <w:rPr>
                <w:rStyle w:val="Hyperlink"/>
                <w:noProof/>
              </w:rPr>
              <w:t>Evaluations</w:t>
            </w:r>
            <w:r>
              <w:rPr>
                <w:noProof/>
                <w:webHidden/>
              </w:rPr>
              <w:tab/>
            </w:r>
            <w:r>
              <w:rPr>
                <w:noProof/>
                <w:webHidden/>
              </w:rPr>
              <w:fldChar w:fldCharType="begin"/>
            </w:r>
            <w:r>
              <w:rPr>
                <w:noProof/>
                <w:webHidden/>
              </w:rPr>
              <w:instrText xml:space="preserve"> PAGEREF _Toc496537487 \h </w:instrText>
            </w:r>
            <w:r>
              <w:rPr>
                <w:noProof/>
                <w:webHidden/>
              </w:rPr>
            </w:r>
            <w:r>
              <w:rPr>
                <w:noProof/>
                <w:webHidden/>
              </w:rPr>
              <w:fldChar w:fldCharType="separate"/>
            </w:r>
            <w:r>
              <w:rPr>
                <w:noProof/>
                <w:webHidden/>
              </w:rPr>
              <w:t>12</w:t>
            </w:r>
            <w:r>
              <w:rPr>
                <w:noProof/>
                <w:webHidden/>
              </w:rPr>
              <w:fldChar w:fldCharType="end"/>
            </w:r>
          </w:hyperlink>
        </w:p>
        <w:p w:rsidR="00940A9C" w:rsidRDefault="007B1A4E">
          <w:pPr>
            <w:pStyle w:val="TOC2"/>
            <w:rPr>
              <w:rFonts w:asciiTheme="minorHAnsi" w:eastAsiaTheme="minorEastAsia" w:hAnsiTheme="minorHAnsi" w:cstheme="minorBidi"/>
              <w:noProof/>
              <w:sz w:val="22"/>
              <w:szCs w:val="22"/>
              <w:lang w:val="en-GB" w:eastAsia="en-GB"/>
            </w:rPr>
          </w:pPr>
          <w:hyperlink w:anchor="_Toc496537488" w:history="1">
            <w:r>
              <w:rPr>
                <w:rStyle w:val="Hyperlink"/>
                <w:noProof/>
              </w:rPr>
              <w:t>3.7</w:t>
            </w:r>
            <w:r>
              <w:rPr>
                <w:rFonts w:asciiTheme="minorHAnsi" w:eastAsiaTheme="minorEastAsia" w:hAnsiTheme="minorHAnsi" w:cstheme="minorBidi"/>
                <w:noProof/>
                <w:sz w:val="22"/>
                <w:szCs w:val="22"/>
                <w:lang w:val="en-GB" w:eastAsia="en-GB"/>
              </w:rPr>
              <w:tab/>
            </w:r>
            <w:r>
              <w:rPr>
                <w:rStyle w:val="Hyperlink"/>
                <w:noProof/>
              </w:rPr>
              <w:t>Performance Framework</w:t>
            </w:r>
            <w:r>
              <w:rPr>
                <w:noProof/>
                <w:webHidden/>
              </w:rPr>
              <w:tab/>
            </w:r>
            <w:r>
              <w:rPr>
                <w:noProof/>
                <w:webHidden/>
              </w:rPr>
              <w:fldChar w:fldCharType="begin"/>
            </w:r>
            <w:r>
              <w:rPr>
                <w:noProof/>
                <w:webHidden/>
              </w:rPr>
              <w:instrText xml:space="preserve"> PAGEREF _Toc496537488 \h </w:instrText>
            </w:r>
            <w:r>
              <w:rPr>
                <w:noProof/>
                <w:webHidden/>
              </w:rPr>
            </w:r>
            <w:r>
              <w:rPr>
                <w:noProof/>
                <w:webHidden/>
              </w:rPr>
              <w:fldChar w:fldCharType="separate"/>
            </w:r>
            <w:r>
              <w:rPr>
                <w:noProof/>
                <w:webHidden/>
              </w:rPr>
              <w:t>13</w:t>
            </w:r>
            <w:r>
              <w:rPr>
                <w:noProof/>
                <w:webHidden/>
              </w:rPr>
              <w:fldChar w:fldCharType="end"/>
            </w:r>
          </w:hyperlink>
        </w:p>
        <w:p w:rsidR="00940A9C" w:rsidRDefault="007B1A4E">
          <w:pPr>
            <w:pStyle w:val="TOC1"/>
            <w:rPr>
              <w:rFonts w:asciiTheme="minorHAnsi" w:eastAsiaTheme="minorEastAsia" w:hAnsiTheme="minorHAnsi" w:cstheme="minorBidi"/>
              <w:b w:val="0"/>
              <w:noProof/>
              <w:sz w:val="22"/>
              <w:szCs w:val="22"/>
              <w:lang w:val="en-GB" w:eastAsia="en-GB"/>
            </w:rPr>
          </w:pPr>
          <w:hyperlink w:anchor="_Toc496537489" w:history="1">
            <w:r>
              <w:rPr>
                <w:rStyle w:val="Hyperlink"/>
                <w:noProof/>
                <w:lang w:val="en-GB"/>
              </w:rPr>
              <w:t>4</w:t>
            </w:r>
            <w:r>
              <w:rPr>
                <w:rFonts w:asciiTheme="minorHAnsi" w:eastAsiaTheme="minorEastAsia" w:hAnsiTheme="minorHAnsi" w:cstheme="minorBidi"/>
                <w:b w:val="0"/>
                <w:noProof/>
                <w:sz w:val="22"/>
                <w:szCs w:val="22"/>
                <w:lang w:val="en-GB" w:eastAsia="en-GB"/>
              </w:rPr>
              <w:tab/>
            </w:r>
            <w:r>
              <w:rPr>
                <w:rStyle w:val="Hyperlink"/>
                <w:noProof/>
                <w:lang w:val="en-GB"/>
              </w:rPr>
              <w:t>Conclusion: are the objectives of the CMES going to be achieved?</w:t>
            </w:r>
            <w:r>
              <w:rPr>
                <w:noProof/>
                <w:webHidden/>
              </w:rPr>
              <w:tab/>
            </w:r>
            <w:r>
              <w:rPr>
                <w:noProof/>
                <w:webHidden/>
              </w:rPr>
              <w:fldChar w:fldCharType="begin"/>
            </w:r>
            <w:r>
              <w:rPr>
                <w:noProof/>
                <w:webHidden/>
              </w:rPr>
              <w:instrText xml:space="preserve"> PAGEREF _Toc496537489 \h </w:instrText>
            </w:r>
            <w:r>
              <w:rPr>
                <w:noProof/>
                <w:webHidden/>
              </w:rPr>
            </w:r>
            <w:r>
              <w:rPr>
                <w:noProof/>
                <w:webHidden/>
              </w:rPr>
              <w:fldChar w:fldCharType="separate"/>
            </w:r>
            <w:r>
              <w:rPr>
                <w:noProof/>
                <w:webHidden/>
              </w:rPr>
              <w:t>13</w:t>
            </w:r>
            <w:r>
              <w:rPr>
                <w:noProof/>
                <w:webHidden/>
              </w:rPr>
              <w:fldChar w:fldCharType="end"/>
            </w:r>
          </w:hyperlink>
        </w:p>
        <w:p w:rsidR="00940A9C" w:rsidRDefault="007B1A4E">
          <w:pPr>
            <w:rPr>
              <w:noProof/>
            </w:rPr>
          </w:pPr>
          <w:r>
            <w:rPr>
              <w:b/>
              <w:bCs/>
              <w:noProof/>
            </w:rPr>
            <w:fldChar w:fldCharType="end"/>
          </w:r>
        </w:p>
      </w:sdtContent>
    </w:sdt>
    <w:p w:rsidR="00940A9C" w:rsidRDefault="007B1A4E">
      <w:pPr>
        <w:spacing w:after="200" w:line="276" w:lineRule="auto"/>
        <w:jc w:val="left"/>
        <w:rPr>
          <w:rFonts w:ascii="Arial" w:hAnsi="Arial"/>
          <w:b/>
          <w:noProof/>
          <w:sz w:val="28"/>
        </w:rPr>
      </w:pPr>
      <w:r>
        <w:rPr>
          <w:noProof/>
        </w:rPr>
        <w:br w:type="page"/>
      </w:r>
    </w:p>
    <w:p w:rsidR="00940A9C" w:rsidRDefault="007B1A4E">
      <w:pPr>
        <w:pStyle w:val="Heading1"/>
        <w:rPr>
          <w:noProof/>
          <w:lang w:val="en-GB"/>
        </w:rPr>
      </w:pPr>
      <w:bookmarkStart w:id="5" w:name="_Toc496537472"/>
      <w:r>
        <w:rPr>
          <w:noProof/>
          <w:lang w:val="en-GB"/>
        </w:rPr>
        <w:lastRenderedPageBreak/>
        <w:t>Introduction</w:t>
      </w:r>
      <w:bookmarkEnd w:id="1"/>
      <w:bookmarkEnd w:id="2"/>
      <w:bookmarkEnd w:id="5"/>
      <w:r>
        <w:rPr>
          <w:noProof/>
          <w:lang w:val="en-GB"/>
        </w:rPr>
        <w:t xml:space="preserve"> </w:t>
      </w:r>
    </w:p>
    <w:p w:rsidR="00940A9C" w:rsidRDefault="007B1A4E">
      <w:pPr>
        <w:spacing w:before="120" w:after="120"/>
        <w:rPr>
          <w:noProof/>
        </w:rPr>
      </w:pPr>
      <w:r>
        <w:rPr>
          <w:noProof/>
        </w:rPr>
        <w:t>The EMFF Regulation</w:t>
      </w:r>
      <w:r>
        <w:rPr>
          <w:rStyle w:val="FootnoteReference"/>
          <w:noProof/>
        </w:rPr>
        <w:footnoteReference w:id="2"/>
      </w:r>
      <w:r>
        <w:rPr>
          <w:noProof/>
        </w:rPr>
        <w:t xml:space="preserve"> requires the establishment of a Common Monitoring and Evaluation System (CMES) for the operations co-financed by the EMFF under shared management</w:t>
      </w:r>
      <w:r>
        <w:rPr>
          <w:rStyle w:val="FootnoteReference"/>
          <w:noProof/>
        </w:rPr>
        <w:footnoteReference w:id="3"/>
      </w:r>
      <w:r>
        <w:rPr>
          <w:noProof/>
        </w:rPr>
        <w:t>.  The purpose of this document is to report to the European Parliament and the Council on the implementation</w:t>
      </w:r>
      <w:r>
        <w:rPr>
          <w:noProof/>
        </w:rPr>
        <w:t xml:space="preserve"> of the CMES. This report is required every four years, the first time at the end of 2017</w:t>
      </w:r>
      <w:r>
        <w:rPr>
          <w:rStyle w:val="FootnoteReference"/>
          <w:noProof/>
        </w:rPr>
        <w:footnoteReference w:id="4"/>
      </w:r>
      <w:r>
        <w:rPr>
          <w:noProof/>
        </w:rPr>
        <w:t xml:space="preserve"> . It provides an opportunity to take stock on the strengths and weaknesses of the system, and draw lessons for the future.</w:t>
      </w:r>
    </w:p>
    <w:p w:rsidR="00940A9C" w:rsidRDefault="007B1A4E">
      <w:pPr>
        <w:rPr>
          <w:noProof/>
        </w:rPr>
      </w:pPr>
      <w:r>
        <w:rPr>
          <w:noProof/>
        </w:rPr>
        <w:t>The objectives of the CMES are spelled out</w:t>
      </w:r>
      <w:r>
        <w:rPr>
          <w:noProof/>
        </w:rPr>
        <w:t xml:space="preserve"> in Article 108 of the EMFF Regulation as follows:</w:t>
      </w:r>
    </w:p>
    <w:p w:rsidR="00940A9C" w:rsidRDefault="007B1A4E">
      <w:pPr>
        <w:pStyle w:val="ListParagraph"/>
        <w:numPr>
          <w:ilvl w:val="0"/>
          <w:numId w:val="7"/>
        </w:numPr>
        <w:rPr>
          <w:noProof/>
        </w:rPr>
      </w:pPr>
      <w:r>
        <w:rPr>
          <w:noProof/>
        </w:rPr>
        <w:t>to demonstrate the progress and achievements of the CFP and the IMP, to consider the general impact and to assess the effectiveness, efficiency and relevance of EMFF operations;</w:t>
      </w:r>
    </w:p>
    <w:p w:rsidR="00940A9C" w:rsidRDefault="007B1A4E">
      <w:pPr>
        <w:pStyle w:val="ListParagraph"/>
        <w:numPr>
          <w:ilvl w:val="0"/>
          <w:numId w:val="7"/>
        </w:numPr>
        <w:jc w:val="left"/>
        <w:rPr>
          <w:noProof/>
        </w:rPr>
      </w:pPr>
      <w:r>
        <w:rPr>
          <w:noProof/>
        </w:rPr>
        <w:t>to contribute to better tar</w:t>
      </w:r>
      <w:r>
        <w:rPr>
          <w:noProof/>
        </w:rPr>
        <w:t>geted support for the CFP and the IMP;</w:t>
      </w:r>
    </w:p>
    <w:p w:rsidR="00940A9C" w:rsidRDefault="007B1A4E">
      <w:pPr>
        <w:pStyle w:val="ListParagraph"/>
        <w:numPr>
          <w:ilvl w:val="0"/>
          <w:numId w:val="7"/>
        </w:numPr>
        <w:jc w:val="left"/>
        <w:rPr>
          <w:noProof/>
        </w:rPr>
      </w:pPr>
      <w:r>
        <w:rPr>
          <w:noProof/>
        </w:rPr>
        <w:t xml:space="preserve">to support a common learning process related to monitoring and evaluation; </w:t>
      </w:r>
    </w:p>
    <w:p w:rsidR="00940A9C" w:rsidRDefault="007B1A4E">
      <w:pPr>
        <w:pStyle w:val="ListParagraph"/>
        <w:numPr>
          <w:ilvl w:val="0"/>
          <w:numId w:val="7"/>
        </w:numPr>
        <w:spacing w:after="120" w:line="240" w:lineRule="auto"/>
        <w:rPr>
          <w:noProof/>
        </w:rPr>
      </w:pPr>
      <w:r>
        <w:rPr>
          <w:noProof/>
        </w:rPr>
        <w:t xml:space="preserve">to provide robust, evidence-based evaluations of EMFF operations that feed into the decision-making process. </w:t>
      </w:r>
    </w:p>
    <w:p w:rsidR="00940A9C" w:rsidRDefault="007B1A4E">
      <w:pPr>
        <w:spacing w:before="120" w:after="120"/>
        <w:rPr>
          <w:noProof/>
        </w:rPr>
      </w:pPr>
      <w:r>
        <w:rPr>
          <w:noProof/>
        </w:rPr>
        <w:t>To achieve these objectives, th</w:t>
      </w:r>
      <w:r>
        <w:rPr>
          <w:noProof/>
        </w:rPr>
        <w:t>e Common Monitoring and Evaluation System has been defined in the Regulation, and consists of seven elements</w:t>
      </w:r>
      <w:r>
        <w:rPr>
          <w:rStyle w:val="FootnoteReference"/>
          <w:noProof/>
        </w:rPr>
        <w:footnoteReference w:id="5"/>
      </w:r>
      <w:r>
        <w:rPr>
          <w:noProof/>
        </w:rPr>
        <w:t>:</w:t>
      </w:r>
    </w:p>
    <w:p w:rsidR="00940A9C" w:rsidRDefault="007B1A4E">
      <w:pPr>
        <w:pStyle w:val="ListParagraph"/>
        <w:numPr>
          <w:ilvl w:val="0"/>
          <w:numId w:val="6"/>
        </w:numPr>
        <w:autoSpaceDE w:val="0"/>
        <w:autoSpaceDN w:val="0"/>
        <w:adjustRightInd w:val="0"/>
        <w:spacing w:line="240" w:lineRule="auto"/>
        <w:contextualSpacing w:val="0"/>
        <w:rPr>
          <w:noProof/>
        </w:rPr>
      </w:pPr>
      <w:r>
        <w:rPr>
          <w:noProof/>
        </w:rPr>
        <w:t>An intervention logic showing the interactions between priorities, specific objectives and measures</w:t>
      </w:r>
      <w:r>
        <w:rPr>
          <w:rStyle w:val="FootnoteReference"/>
          <w:noProof/>
        </w:rPr>
        <w:footnoteReference w:id="6"/>
      </w:r>
      <w:r>
        <w:rPr>
          <w:noProof/>
        </w:rPr>
        <w:t xml:space="preserve">. </w:t>
      </w:r>
    </w:p>
    <w:p w:rsidR="00940A9C" w:rsidRDefault="007B1A4E">
      <w:pPr>
        <w:pStyle w:val="ListParagraph"/>
        <w:numPr>
          <w:ilvl w:val="0"/>
          <w:numId w:val="6"/>
        </w:numPr>
        <w:autoSpaceDE w:val="0"/>
        <w:autoSpaceDN w:val="0"/>
        <w:adjustRightInd w:val="0"/>
        <w:spacing w:line="240" w:lineRule="auto"/>
        <w:contextualSpacing w:val="0"/>
        <w:rPr>
          <w:noProof/>
        </w:rPr>
      </w:pPr>
      <w:r>
        <w:rPr>
          <w:noProof/>
        </w:rPr>
        <w:t>A set of common indicators</w:t>
      </w:r>
      <w:r>
        <w:rPr>
          <w:rStyle w:val="FootnoteReference"/>
          <w:noProof/>
        </w:rPr>
        <w:footnoteReference w:id="7"/>
      </w:r>
      <w:r>
        <w:rPr>
          <w:noProof/>
        </w:rPr>
        <w:t xml:space="preserve">. </w:t>
      </w:r>
    </w:p>
    <w:p w:rsidR="00940A9C" w:rsidRDefault="007B1A4E">
      <w:pPr>
        <w:pStyle w:val="ListParagraph"/>
        <w:numPr>
          <w:ilvl w:val="0"/>
          <w:numId w:val="6"/>
        </w:numPr>
        <w:autoSpaceDE w:val="0"/>
        <w:autoSpaceDN w:val="0"/>
        <w:adjustRightInd w:val="0"/>
        <w:spacing w:line="240" w:lineRule="auto"/>
        <w:contextualSpacing w:val="0"/>
        <w:rPr>
          <w:noProof/>
        </w:rPr>
      </w:pPr>
      <w:r>
        <w:rPr>
          <w:noProof/>
        </w:rPr>
        <w:t>Cumulative d</w:t>
      </w:r>
      <w:r>
        <w:rPr>
          <w:noProof/>
        </w:rPr>
        <w:t>ata on operations selected for funding</w:t>
      </w:r>
      <w:r>
        <w:rPr>
          <w:rStyle w:val="FootnoteReference"/>
          <w:noProof/>
        </w:rPr>
        <w:footnoteReference w:id="8"/>
      </w:r>
      <w:r>
        <w:rPr>
          <w:noProof/>
        </w:rPr>
        <w:t xml:space="preserve">. </w:t>
      </w:r>
    </w:p>
    <w:p w:rsidR="00940A9C" w:rsidRDefault="007B1A4E">
      <w:pPr>
        <w:pStyle w:val="ListParagraph"/>
        <w:numPr>
          <w:ilvl w:val="0"/>
          <w:numId w:val="6"/>
        </w:numPr>
        <w:autoSpaceDE w:val="0"/>
        <w:autoSpaceDN w:val="0"/>
        <w:adjustRightInd w:val="0"/>
        <w:spacing w:line="240" w:lineRule="auto"/>
        <w:contextualSpacing w:val="0"/>
        <w:rPr>
          <w:noProof/>
        </w:rPr>
      </w:pPr>
      <w:r>
        <w:rPr>
          <w:noProof/>
        </w:rPr>
        <w:t>The Annual Implementation Report of the Operational Programme</w:t>
      </w:r>
      <w:r>
        <w:rPr>
          <w:rStyle w:val="FootnoteReference"/>
          <w:noProof/>
        </w:rPr>
        <w:footnoteReference w:id="9"/>
      </w:r>
      <w:r>
        <w:rPr>
          <w:noProof/>
        </w:rPr>
        <w:t xml:space="preserve">. </w:t>
      </w:r>
    </w:p>
    <w:p w:rsidR="00940A9C" w:rsidRDefault="007B1A4E">
      <w:pPr>
        <w:pStyle w:val="ListParagraph"/>
        <w:numPr>
          <w:ilvl w:val="0"/>
          <w:numId w:val="6"/>
        </w:numPr>
        <w:autoSpaceDE w:val="0"/>
        <w:autoSpaceDN w:val="0"/>
        <w:adjustRightInd w:val="0"/>
        <w:spacing w:line="240" w:lineRule="auto"/>
        <w:contextualSpacing w:val="0"/>
        <w:rPr>
          <w:noProof/>
        </w:rPr>
      </w:pPr>
      <w:r>
        <w:rPr>
          <w:noProof/>
        </w:rPr>
        <w:t>The Evaluation Plan</w:t>
      </w:r>
      <w:r>
        <w:rPr>
          <w:rStyle w:val="FootnoteReference"/>
          <w:noProof/>
        </w:rPr>
        <w:footnoteReference w:id="10"/>
      </w:r>
      <w:r>
        <w:rPr>
          <w:noProof/>
        </w:rPr>
        <w:t>.</w:t>
      </w:r>
    </w:p>
    <w:p w:rsidR="00940A9C" w:rsidRDefault="007B1A4E">
      <w:pPr>
        <w:pStyle w:val="ListParagraph"/>
        <w:numPr>
          <w:ilvl w:val="0"/>
          <w:numId w:val="6"/>
        </w:numPr>
        <w:autoSpaceDE w:val="0"/>
        <w:autoSpaceDN w:val="0"/>
        <w:adjustRightInd w:val="0"/>
        <w:spacing w:line="240" w:lineRule="auto"/>
        <w:contextualSpacing w:val="0"/>
        <w:rPr>
          <w:noProof/>
        </w:rPr>
      </w:pPr>
      <w:r>
        <w:rPr>
          <w:noProof/>
        </w:rPr>
        <w:t xml:space="preserve">The </w:t>
      </w:r>
      <w:r>
        <w:rPr>
          <w:i/>
          <w:noProof/>
        </w:rPr>
        <w:t>ex-ante</w:t>
      </w:r>
      <w:r>
        <w:rPr>
          <w:noProof/>
        </w:rPr>
        <w:t xml:space="preserve"> and </w:t>
      </w:r>
      <w:r>
        <w:rPr>
          <w:i/>
          <w:noProof/>
        </w:rPr>
        <w:t>ex-post</w:t>
      </w:r>
      <w:r>
        <w:rPr>
          <w:noProof/>
        </w:rPr>
        <w:t xml:space="preserve"> evaluations and all other evaluation activities linked to the EMFF programme</w:t>
      </w:r>
      <w:r>
        <w:rPr>
          <w:rStyle w:val="FootnoteReference"/>
          <w:noProof/>
        </w:rPr>
        <w:footnoteReference w:id="11"/>
      </w:r>
      <w:r>
        <w:rPr>
          <w:noProof/>
        </w:rPr>
        <w:t>.</w:t>
      </w:r>
    </w:p>
    <w:p w:rsidR="00940A9C" w:rsidRDefault="007B1A4E">
      <w:pPr>
        <w:pStyle w:val="ListParagraph"/>
        <w:numPr>
          <w:ilvl w:val="0"/>
          <w:numId w:val="6"/>
        </w:numPr>
        <w:autoSpaceDE w:val="0"/>
        <w:autoSpaceDN w:val="0"/>
        <w:adjustRightInd w:val="0"/>
        <w:spacing w:line="276" w:lineRule="auto"/>
        <w:contextualSpacing w:val="0"/>
        <w:jc w:val="left"/>
        <w:rPr>
          <w:noProof/>
        </w:rPr>
      </w:pPr>
      <w:r>
        <w:rPr>
          <w:noProof/>
        </w:rPr>
        <w:t>The performance review</w:t>
      </w:r>
      <w:r>
        <w:rPr>
          <w:rStyle w:val="FootnoteReference"/>
          <w:noProof/>
        </w:rPr>
        <w:footnoteReference w:id="12"/>
      </w:r>
      <w:r>
        <w:rPr>
          <w:noProof/>
        </w:rPr>
        <w:t>.</w:t>
      </w:r>
    </w:p>
    <w:p w:rsidR="00940A9C" w:rsidRDefault="00940A9C">
      <w:pPr>
        <w:autoSpaceDE w:val="0"/>
        <w:autoSpaceDN w:val="0"/>
        <w:adjustRightInd w:val="0"/>
        <w:spacing w:after="360" w:line="240" w:lineRule="auto"/>
        <w:rPr>
          <w:noProof/>
          <w:szCs w:val="24"/>
          <w:lang w:eastAsia="en-US"/>
        </w:rPr>
      </w:pPr>
    </w:p>
    <w:p w:rsidR="00940A9C" w:rsidRDefault="007B1A4E">
      <w:pPr>
        <w:autoSpaceDE w:val="0"/>
        <w:autoSpaceDN w:val="0"/>
        <w:adjustRightInd w:val="0"/>
        <w:spacing w:after="360" w:line="240" w:lineRule="auto"/>
        <w:rPr>
          <w:noProof/>
          <w:szCs w:val="24"/>
          <w:lang w:eastAsia="en-US"/>
        </w:rPr>
      </w:pPr>
      <w:r>
        <w:rPr>
          <w:noProof/>
          <w:szCs w:val="24"/>
          <w:lang w:eastAsia="en-US"/>
        </w:rPr>
        <w:t>Each of these elements has been discussed with the Member States (MS) in expert group meetings</w:t>
      </w:r>
      <w:r>
        <w:rPr>
          <w:rStyle w:val="FootnoteReference"/>
          <w:noProof/>
          <w:szCs w:val="24"/>
          <w:lang w:eastAsia="en-US"/>
        </w:rPr>
        <w:footnoteReference w:id="13"/>
      </w:r>
      <w:r>
        <w:rPr>
          <w:noProof/>
          <w:szCs w:val="24"/>
          <w:lang w:eastAsia="en-US"/>
        </w:rPr>
        <w:t xml:space="preserve"> and adopted in the framework of delegated and implementing regulations. This participative approach was continued after the adoption of the legislative framew</w:t>
      </w:r>
      <w:r>
        <w:rPr>
          <w:noProof/>
          <w:szCs w:val="24"/>
          <w:lang w:eastAsia="en-US"/>
        </w:rPr>
        <w:t xml:space="preserve">ork and the involvement of the Managing Authorities (MAs) in the further development of the CMES helped to fine-tune the CMES components whilst limiting the associated administrative burden. This ensured the acceptance of the system but also supported the </w:t>
      </w:r>
      <w:r>
        <w:rPr>
          <w:noProof/>
          <w:szCs w:val="24"/>
          <w:lang w:eastAsia="en-US"/>
        </w:rPr>
        <w:t xml:space="preserve">development of monitoring and evaluation capacity in the MAs and the Commission. </w:t>
      </w:r>
    </w:p>
    <w:p w:rsidR="00940A9C" w:rsidRDefault="007B1A4E">
      <w:pPr>
        <w:autoSpaceDE w:val="0"/>
        <w:autoSpaceDN w:val="0"/>
        <w:adjustRightInd w:val="0"/>
        <w:spacing w:after="144" w:line="240" w:lineRule="auto"/>
        <w:rPr>
          <w:noProof/>
          <w:szCs w:val="24"/>
          <w:lang w:eastAsia="en-US"/>
        </w:rPr>
      </w:pPr>
      <w:r>
        <w:rPr>
          <w:noProof/>
          <w:szCs w:val="24"/>
          <w:lang w:eastAsia="en-US"/>
        </w:rPr>
        <w:t xml:space="preserve">To reach its objectives, the CMES must be applied consistently across the MS, in order to produce comparable data that can be aggregated and evaluated at European Union (EU) </w:t>
      </w:r>
      <w:r>
        <w:rPr>
          <w:noProof/>
          <w:szCs w:val="24"/>
          <w:lang w:eastAsia="en-US"/>
        </w:rPr>
        <w:t>level. To ensure consistency and further develop the CMES, the Commission established a technical assistance facility FAME</w:t>
      </w:r>
      <w:r>
        <w:rPr>
          <w:rStyle w:val="FootnoteReference"/>
          <w:noProof/>
          <w:szCs w:val="24"/>
          <w:lang w:eastAsia="en-US"/>
        </w:rPr>
        <w:footnoteReference w:id="14"/>
      </w:r>
      <w:r>
        <w:rPr>
          <w:noProof/>
          <w:szCs w:val="24"/>
          <w:lang w:eastAsia="en-US"/>
        </w:rPr>
        <w:t xml:space="preserve"> (Fisheries and Aquaculture Monitoring and Evaluation) supported by an external contractor over the seven years of the programming pe</w:t>
      </w:r>
      <w:r>
        <w:rPr>
          <w:noProof/>
          <w:szCs w:val="24"/>
          <w:lang w:eastAsia="en-US"/>
        </w:rPr>
        <w:t>riod.</w:t>
      </w:r>
    </w:p>
    <w:p w:rsidR="00940A9C" w:rsidRDefault="007B1A4E">
      <w:pPr>
        <w:pStyle w:val="Heading1"/>
        <w:rPr>
          <w:noProof/>
          <w:lang w:val="en-GB"/>
        </w:rPr>
      </w:pPr>
      <w:bookmarkStart w:id="6" w:name="_Toc489445763"/>
      <w:bookmarkStart w:id="7" w:name="_Toc493242045"/>
      <w:bookmarkStart w:id="8" w:name="_Toc496537473"/>
      <w:bookmarkEnd w:id="3"/>
      <w:r>
        <w:rPr>
          <w:noProof/>
          <w:lang w:val="en-GB"/>
        </w:rPr>
        <w:t>The seven components of the Common Monitoring and Evaluation System</w:t>
      </w:r>
      <w:bookmarkEnd w:id="6"/>
      <w:bookmarkEnd w:id="7"/>
      <w:bookmarkEnd w:id="8"/>
    </w:p>
    <w:p w:rsidR="00940A9C" w:rsidRDefault="007B1A4E">
      <w:pPr>
        <w:pStyle w:val="Heading2"/>
        <w:rPr>
          <w:noProof/>
          <w:lang w:val="en-GB" w:eastAsia="en-US"/>
        </w:rPr>
      </w:pPr>
      <w:bookmarkStart w:id="9" w:name="_Toc485659684"/>
      <w:bookmarkStart w:id="10" w:name="_Toc489445764"/>
      <w:bookmarkStart w:id="11" w:name="_Toc493242046"/>
      <w:bookmarkStart w:id="12" w:name="_Toc496537474"/>
      <w:bookmarkStart w:id="13" w:name="_Ref484090748"/>
      <w:r>
        <w:rPr>
          <w:noProof/>
          <w:lang w:val="en-GB"/>
        </w:rPr>
        <w:t>EMFF Intervention Logic</w:t>
      </w:r>
      <w:bookmarkEnd w:id="9"/>
      <w:bookmarkEnd w:id="10"/>
      <w:bookmarkEnd w:id="11"/>
      <w:bookmarkEnd w:id="12"/>
      <w:r>
        <w:rPr>
          <w:noProof/>
          <w:lang w:val="en-GB"/>
        </w:rPr>
        <w:t xml:space="preserve"> </w:t>
      </w:r>
      <w:r>
        <w:rPr>
          <w:noProof/>
          <w:szCs w:val="24"/>
          <w:lang w:val="en-GB" w:eastAsia="en-US"/>
        </w:rPr>
        <w:t xml:space="preserve"> </w:t>
      </w:r>
    </w:p>
    <w:p w:rsidR="00940A9C" w:rsidRDefault="007B1A4E">
      <w:pPr>
        <w:spacing w:after="240"/>
        <w:rPr>
          <w:noProof/>
        </w:rPr>
      </w:pPr>
      <w:r>
        <w:rPr>
          <w:noProof/>
        </w:rPr>
        <w:t xml:space="preserve">The intervention logic is supporting the introduction of a reinforced result-orientation in the ESIF for the 2014-2020 period. </w:t>
      </w:r>
    </w:p>
    <w:p w:rsidR="00940A9C" w:rsidRDefault="007B1A4E">
      <w:pPr>
        <w:autoSpaceDE w:val="0"/>
        <w:autoSpaceDN w:val="0"/>
        <w:adjustRightInd w:val="0"/>
        <w:spacing w:line="240" w:lineRule="auto"/>
        <w:contextualSpacing/>
        <w:rPr>
          <w:noProof/>
          <w:szCs w:val="24"/>
          <w:lang w:eastAsia="en-US"/>
        </w:rPr>
      </w:pPr>
      <w:r>
        <w:rPr>
          <w:noProof/>
          <w:szCs w:val="24"/>
          <w:lang w:eastAsia="en-US"/>
        </w:rPr>
        <w:t xml:space="preserve">The EMFF intervention logic </w:t>
      </w:r>
      <w:r>
        <w:rPr>
          <w:noProof/>
          <w:szCs w:val="24"/>
          <w:lang w:eastAsia="en-US"/>
        </w:rPr>
        <w:t>describes the links between different levels of the programme: Union priorities (UPs), Specific Objectives and measures</w:t>
      </w:r>
      <w:r>
        <w:rPr>
          <w:rStyle w:val="FootnoteReference"/>
          <w:noProof/>
          <w:szCs w:val="24"/>
          <w:lang w:eastAsia="en-US"/>
        </w:rPr>
        <w:footnoteReference w:id="15"/>
      </w:r>
      <w:r>
        <w:rPr>
          <w:noProof/>
          <w:szCs w:val="24"/>
          <w:lang w:eastAsia="en-US"/>
        </w:rPr>
        <w:t>. A</w:t>
      </w:r>
      <w:bookmarkEnd w:id="13"/>
      <w:r>
        <w:rPr>
          <w:noProof/>
          <w:szCs w:val="24"/>
          <w:lang w:eastAsia="en-US"/>
        </w:rPr>
        <w:t xml:space="preserve"> table showing these links was distributed to the MS in an EMFF expert group meeting and this logic was integrated in the 'Operationa</w:t>
      </w:r>
      <w:r>
        <w:rPr>
          <w:noProof/>
          <w:szCs w:val="24"/>
          <w:lang w:eastAsia="en-US"/>
        </w:rPr>
        <w:t>l Programme' module of SFC 2014</w:t>
      </w:r>
      <w:r>
        <w:rPr>
          <w:rStyle w:val="FootnoteReference"/>
          <w:noProof/>
          <w:szCs w:val="24"/>
          <w:lang w:eastAsia="en-US"/>
        </w:rPr>
        <w:footnoteReference w:id="16"/>
      </w:r>
      <w:r>
        <w:rPr>
          <w:noProof/>
          <w:szCs w:val="24"/>
          <w:lang w:eastAsia="en-US"/>
        </w:rPr>
        <w:t xml:space="preserve">. </w:t>
      </w:r>
    </w:p>
    <w:p w:rsidR="00940A9C" w:rsidRDefault="00940A9C">
      <w:pPr>
        <w:spacing w:after="200" w:line="276" w:lineRule="auto"/>
        <w:jc w:val="left"/>
        <w:rPr>
          <w:rFonts w:ascii="Arial" w:hAnsi="Arial"/>
          <w:b/>
          <w:noProof/>
        </w:rPr>
      </w:pPr>
      <w:bookmarkStart w:id="14" w:name="_Toc489445765"/>
      <w:bookmarkStart w:id="15" w:name="_Toc493242047"/>
    </w:p>
    <w:p w:rsidR="00940A9C" w:rsidRDefault="007B1A4E">
      <w:pPr>
        <w:pStyle w:val="Heading2"/>
        <w:rPr>
          <w:noProof/>
          <w:lang w:val="en-GB"/>
        </w:rPr>
      </w:pPr>
      <w:bookmarkStart w:id="16" w:name="_Toc496537475"/>
      <w:r>
        <w:rPr>
          <w:noProof/>
          <w:lang w:val="en-GB"/>
        </w:rPr>
        <w:t>Common Indicators</w:t>
      </w:r>
      <w:bookmarkEnd w:id="14"/>
      <w:bookmarkEnd w:id="15"/>
      <w:bookmarkEnd w:id="16"/>
    </w:p>
    <w:p w:rsidR="00940A9C" w:rsidRDefault="007B1A4E">
      <w:pPr>
        <w:autoSpaceDE w:val="0"/>
        <w:autoSpaceDN w:val="0"/>
        <w:adjustRightInd w:val="0"/>
        <w:spacing w:after="120" w:line="240" w:lineRule="auto"/>
        <w:rPr>
          <w:noProof/>
          <w:szCs w:val="24"/>
          <w:lang w:eastAsia="en-US"/>
        </w:rPr>
      </w:pPr>
      <w:r>
        <w:rPr>
          <w:noProof/>
        </w:rPr>
        <w:t>A set of common indicators has been established, aiming at representing the main characteristics of the fisheries and aquaculture sector, reflecting the goals of relevant EU policies (CFP, IMP) and prov</w:t>
      </w:r>
      <w:r>
        <w:rPr>
          <w:noProof/>
        </w:rPr>
        <w:t>iding a connection with the EU 2020 strategy. These also ensure consistent and comparable monitoring and reporting at the EU level.</w:t>
      </w:r>
    </w:p>
    <w:p w:rsidR="00940A9C" w:rsidRDefault="007B1A4E">
      <w:pPr>
        <w:autoSpaceDE w:val="0"/>
        <w:autoSpaceDN w:val="0"/>
        <w:adjustRightInd w:val="0"/>
        <w:spacing w:after="120" w:line="240" w:lineRule="auto"/>
        <w:rPr>
          <w:noProof/>
          <w:szCs w:val="24"/>
          <w:lang w:eastAsia="en-US"/>
        </w:rPr>
      </w:pPr>
      <w:r>
        <w:rPr>
          <w:noProof/>
          <w:szCs w:val="24"/>
          <w:lang w:eastAsia="en-US"/>
        </w:rPr>
        <w:t xml:space="preserve">The set of common indicators used by the EMFF was extensively discussed with the MS in expert group meetings prior to their </w:t>
      </w:r>
      <w:r>
        <w:rPr>
          <w:noProof/>
          <w:szCs w:val="24"/>
          <w:lang w:eastAsia="en-US"/>
        </w:rPr>
        <w:t>adoption</w:t>
      </w:r>
      <w:r>
        <w:rPr>
          <w:rStyle w:val="FootnoteReference"/>
          <w:noProof/>
          <w:szCs w:val="24"/>
          <w:lang w:eastAsia="en-US"/>
        </w:rPr>
        <w:footnoteReference w:id="17"/>
      </w:r>
      <w:r>
        <w:rPr>
          <w:noProof/>
          <w:szCs w:val="24"/>
          <w:lang w:eastAsia="en-US"/>
        </w:rPr>
        <w:t xml:space="preserve">. Four types of common indicators are used in the CMES, addressing different levels of objectives and serving different purposes: </w:t>
      </w:r>
    </w:p>
    <w:p w:rsidR="00940A9C" w:rsidRDefault="007B1A4E">
      <w:pPr>
        <w:pStyle w:val="ListParagraph"/>
        <w:numPr>
          <w:ilvl w:val="0"/>
          <w:numId w:val="10"/>
        </w:numPr>
        <w:autoSpaceDE w:val="0"/>
        <w:autoSpaceDN w:val="0"/>
        <w:adjustRightInd w:val="0"/>
        <w:spacing w:line="240" w:lineRule="auto"/>
        <w:rPr>
          <w:noProof/>
          <w:szCs w:val="24"/>
          <w:lang w:eastAsia="en-US"/>
        </w:rPr>
      </w:pPr>
      <w:r>
        <w:rPr>
          <w:noProof/>
          <w:szCs w:val="24"/>
          <w:u w:val="single"/>
          <w:lang w:eastAsia="en-US"/>
        </w:rPr>
        <w:t>Context Indicators</w:t>
      </w:r>
      <w:r>
        <w:rPr>
          <w:noProof/>
          <w:szCs w:val="24"/>
          <w:lang w:eastAsia="en-US"/>
        </w:rPr>
        <w:t xml:space="preserve"> (CIs) are linked to the overall objectives of the EMFF and establish the baseline at the beginnin</w:t>
      </w:r>
      <w:r>
        <w:rPr>
          <w:noProof/>
          <w:szCs w:val="24"/>
          <w:lang w:eastAsia="en-US"/>
        </w:rPr>
        <w:t>g of the OP implementation. The EMFF uses 25 common CIs.</w:t>
      </w:r>
    </w:p>
    <w:p w:rsidR="00940A9C" w:rsidRDefault="007B1A4E">
      <w:pPr>
        <w:pStyle w:val="ListParagraph"/>
        <w:numPr>
          <w:ilvl w:val="0"/>
          <w:numId w:val="10"/>
        </w:numPr>
        <w:autoSpaceDE w:val="0"/>
        <w:autoSpaceDN w:val="0"/>
        <w:adjustRightInd w:val="0"/>
        <w:spacing w:line="240" w:lineRule="auto"/>
        <w:rPr>
          <w:noProof/>
          <w:lang w:eastAsia="en-US"/>
        </w:rPr>
      </w:pPr>
      <w:r>
        <w:rPr>
          <w:noProof/>
          <w:szCs w:val="24"/>
          <w:u w:val="single"/>
          <w:lang w:eastAsia="en-US"/>
        </w:rPr>
        <w:t>Output indicators</w:t>
      </w:r>
      <w:r>
        <w:rPr>
          <w:noProof/>
          <w:szCs w:val="24"/>
          <w:lang w:eastAsia="en-US"/>
        </w:rPr>
        <w:t xml:space="preserve"> (OIs) are the direct product of the implemented activities. In the case of the EMFF, they are mostly expressed as a number of operations. The EMFF CMES defines 28 OIs covering the 5</w:t>
      </w:r>
      <w:r>
        <w:rPr>
          <w:noProof/>
          <w:szCs w:val="24"/>
          <w:lang w:eastAsia="en-US"/>
        </w:rPr>
        <w:t xml:space="preserve">0 measures. </w:t>
      </w:r>
    </w:p>
    <w:p w:rsidR="00940A9C" w:rsidRDefault="007B1A4E">
      <w:pPr>
        <w:pStyle w:val="ListParagraph"/>
        <w:numPr>
          <w:ilvl w:val="0"/>
          <w:numId w:val="10"/>
        </w:numPr>
        <w:autoSpaceDE w:val="0"/>
        <w:autoSpaceDN w:val="0"/>
        <w:adjustRightInd w:val="0"/>
        <w:spacing w:line="240" w:lineRule="auto"/>
        <w:rPr>
          <w:noProof/>
          <w:szCs w:val="24"/>
          <w:lang w:eastAsia="en-US"/>
        </w:rPr>
      </w:pPr>
      <w:r>
        <w:rPr>
          <w:noProof/>
          <w:szCs w:val="24"/>
          <w:u w:val="single"/>
          <w:lang w:eastAsia="en-US"/>
        </w:rPr>
        <w:t>Result Indicators</w:t>
      </w:r>
      <w:r>
        <w:rPr>
          <w:noProof/>
          <w:szCs w:val="24"/>
          <w:lang w:eastAsia="en-US"/>
        </w:rPr>
        <w:t xml:space="preserve"> (RIs) measure the gross effect of the EMFF. The CMES comprises a set of 28 RIs, some of which are linked to only one EMFF Specific Objective, others to more than one. MS were free to add specific indicators if they wished.</w:t>
      </w:r>
    </w:p>
    <w:p w:rsidR="00940A9C" w:rsidRDefault="007B1A4E">
      <w:pPr>
        <w:pStyle w:val="ListParagraph"/>
        <w:numPr>
          <w:ilvl w:val="0"/>
          <w:numId w:val="10"/>
        </w:numPr>
        <w:autoSpaceDE w:val="0"/>
        <w:autoSpaceDN w:val="0"/>
        <w:adjustRightInd w:val="0"/>
        <w:spacing w:line="240" w:lineRule="auto"/>
        <w:rPr>
          <w:noProof/>
          <w:szCs w:val="24"/>
          <w:lang w:eastAsia="en-US"/>
        </w:rPr>
      </w:pPr>
      <w:r>
        <w:rPr>
          <w:noProof/>
          <w:szCs w:val="24"/>
          <w:u w:val="single"/>
          <w:lang w:eastAsia="en-US"/>
        </w:rPr>
        <w:t>Fi</w:t>
      </w:r>
      <w:r>
        <w:rPr>
          <w:noProof/>
          <w:szCs w:val="24"/>
          <w:u w:val="single"/>
          <w:lang w:eastAsia="en-US"/>
        </w:rPr>
        <w:t>nancial indicators</w:t>
      </w:r>
      <w:r>
        <w:rPr>
          <w:noProof/>
          <w:szCs w:val="24"/>
          <w:lang w:eastAsia="en-US"/>
        </w:rPr>
        <w:t xml:space="preserve"> (FI) are common to all ESIF and are set at UP level. </w:t>
      </w:r>
    </w:p>
    <w:p w:rsidR="00940A9C" w:rsidRDefault="00940A9C">
      <w:pPr>
        <w:autoSpaceDE w:val="0"/>
        <w:autoSpaceDN w:val="0"/>
        <w:adjustRightInd w:val="0"/>
        <w:spacing w:after="120" w:line="240" w:lineRule="auto"/>
        <w:rPr>
          <w:i/>
          <w:noProof/>
          <w:szCs w:val="24"/>
          <w:lang w:eastAsia="en-US"/>
        </w:rPr>
      </w:pPr>
    </w:p>
    <w:p w:rsidR="00940A9C" w:rsidRDefault="007B1A4E">
      <w:pPr>
        <w:autoSpaceDE w:val="0"/>
        <w:autoSpaceDN w:val="0"/>
        <w:adjustRightInd w:val="0"/>
        <w:spacing w:after="120" w:line="240" w:lineRule="auto"/>
        <w:rPr>
          <w:noProof/>
          <w:szCs w:val="24"/>
          <w:lang w:eastAsia="en-US"/>
        </w:rPr>
      </w:pPr>
      <w:r>
        <w:rPr>
          <w:noProof/>
          <w:szCs w:val="24"/>
          <w:lang w:eastAsia="en-US"/>
        </w:rPr>
        <w:t>A working paper has been published in which common indicators were defined and made more operational by the provision of judgment criteria and the identification of possible sources of information. These definitions were extensively discussed with the MS i</w:t>
      </w:r>
      <w:r>
        <w:rPr>
          <w:noProof/>
          <w:szCs w:val="24"/>
          <w:lang w:eastAsia="en-US"/>
        </w:rPr>
        <w:t xml:space="preserve">n two workshops held in March and September 2016. </w:t>
      </w:r>
    </w:p>
    <w:p w:rsidR="00940A9C" w:rsidRDefault="00940A9C">
      <w:pPr>
        <w:autoSpaceDE w:val="0"/>
        <w:autoSpaceDN w:val="0"/>
        <w:adjustRightInd w:val="0"/>
        <w:spacing w:after="120" w:line="240" w:lineRule="auto"/>
        <w:rPr>
          <w:noProof/>
          <w:szCs w:val="24"/>
          <w:lang w:eastAsia="en-US"/>
        </w:rPr>
      </w:pPr>
    </w:p>
    <w:p w:rsidR="00940A9C" w:rsidRDefault="007B1A4E">
      <w:pPr>
        <w:pStyle w:val="Heading2"/>
        <w:rPr>
          <w:noProof/>
          <w:lang w:val="en-GB"/>
        </w:rPr>
      </w:pPr>
      <w:bookmarkStart w:id="17" w:name="_Toc489445766"/>
      <w:bookmarkStart w:id="18" w:name="_Toc493242048"/>
      <w:bookmarkStart w:id="19" w:name="_Toc496537476"/>
      <w:r>
        <w:rPr>
          <w:noProof/>
          <w:lang w:val="en-GB"/>
        </w:rPr>
        <w:t>Cumulative Data on Operations (Infosys)</w:t>
      </w:r>
      <w:bookmarkEnd w:id="17"/>
      <w:bookmarkEnd w:id="18"/>
      <w:bookmarkEnd w:id="19"/>
      <w:r>
        <w:rPr>
          <w:noProof/>
          <w:lang w:val="en-GB"/>
        </w:rPr>
        <w:t xml:space="preserve"> </w:t>
      </w:r>
    </w:p>
    <w:p w:rsidR="00940A9C" w:rsidRDefault="007B1A4E">
      <w:pPr>
        <w:spacing w:before="120" w:after="120"/>
        <w:rPr>
          <w:noProof/>
        </w:rPr>
      </w:pPr>
      <w:r>
        <w:rPr>
          <w:noProof/>
        </w:rPr>
        <w:t xml:space="preserve">The mid-term and ex-post evaluations of the European Fisheries Fund (EFF, 2007-2013) were hampered by the lack of robust monitoring data, making the collection of </w:t>
      </w:r>
      <w:r>
        <w:rPr>
          <w:noProof/>
        </w:rPr>
        <w:t>data challenging</w:t>
      </w:r>
      <w:r>
        <w:rPr>
          <w:rStyle w:val="FootnoteReference"/>
          <w:noProof/>
        </w:rPr>
        <w:footnoteReference w:id="18"/>
      </w:r>
      <w:r>
        <w:rPr>
          <w:noProof/>
        </w:rPr>
        <w:t>. A reporting system was established to address this shortcoming and provide the Commission with detailed information at the level of every single operation</w:t>
      </w:r>
      <w:r>
        <w:rPr>
          <w:rStyle w:val="FootnoteReference"/>
          <w:noProof/>
        </w:rPr>
        <w:footnoteReference w:id="19"/>
      </w:r>
      <w:r>
        <w:rPr>
          <w:noProof/>
        </w:rPr>
        <w:t>. The aim of this reporting is to create a database of information that can be use</w:t>
      </w:r>
      <w:r>
        <w:rPr>
          <w:noProof/>
        </w:rPr>
        <w:t xml:space="preserve">d to follow the implementation of the OPs, carry out specific analysis required by policy-making and ensure that robust data is available for evaluation. </w:t>
      </w:r>
    </w:p>
    <w:p w:rsidR="00940A9C" w:rsidRDefault="007B1A4E">
      <w:pPr>
        <w:spacing w:before="120" w:after="120"/>
        <w:rPr>
          <w:noProof/>
        </w:rPr>
      </w:pPr>
      <w:r>
        <w:rPr>
          <w:noProof/>
        </w:rPr>
        <w:t>Art. 97 of the EMFF Regulation requires that, at the end of March each year, MAs provide the Commissi</w:t>
      </w:r>
      <w:r>
        <w:rPr>
          <w:noProof/>
        </w:rPr>
        <w:t>on with cumulative data on operations selected for funding up to the end of the previous calendar year. Two Implementing Regulations</w:t>
      </w:r>
      <w:r>
        <w:rPr>
          <w:rStyle w:val="FootnoteReference"/>
          <w:noProof/>
        </w:rPr>
        <w:footnoteReference w:id="20"/>
      </w:r>
      <w:r>
        <w:rPr>
          <w:noProof/>
        </w:rPr>
        <w:t xml:space="preserve"> provide the list and structure of the operation implementation data required on each operation, including key characterist</w:t>
      </w:r>
      <w:r>
        <w:rPr>
          <w:noProof/>
        </w:rPr>
        <w:t xml:space="preserve">ics of the beneficiary and the operation. </w:t>
      </w:r>
    </w:p>
    <w:p w:rsidR="00940A9C" w:rsidRDefault="007B1A4E">
      <w:pPr>
        <w:spacing w:before="120" w:after="120"/>
        <w:rPr>
          <w:noProof/>
        </w:rPr>
      </w:pPr>
      <w:r>
        <w:rPr>
          <w:noProof/>
        </w:rPr>
        <w:t xml:space="preserve">A working paper has been developed with support from FAME to help the MS prepare the Infosys reports. The first set of reports were analysed and a feed-back to the MS helped them identify the errors made.  </w:t>
      </w:r>
    </w:p>
    <w:p w:rsidR="00940A9C" w:rsidRDefault="007B1A4E">
      <w:pPr>
        <w:pStyle w:val="A1StandEndabst"/>
        <w:spacing w:after="0"/>
        <w:rPr>
          <w:noProof/>
        </w:rPr>
      </w:pPr>
      <w:r>
        <w:rPr>
          <w:noProof/>
        </w:rPr>
        <w:t>The In</w:t>
      </w:r>
      <w:r>
        <w:rPr>
          <w:noProof/>
        </w:rPr>
        <w:t>fosys reporting describes the progress and achievements at operation level by capturing what is happening “on the ground”. It provides key information about the beneficiary (e.g. size of enterprise, gender) and the operation (type of activities, budget, nu</w:t>
      </w:r>
      <w:r>
        <w:rPr>
          <w:noProof/>
        </w:rPr>
        <w:t xml:space="preserve">mber of fishermen concerned, total area concerned, etc.).  In order to limit the administrative burden on MAs and on beneficiaries, most of the data requested by the Infosys is already stored in national databases set up to comply with the minimum data to </w:t>
      </w:r>
      <w:r>
        <w:rPr>
          <w:noProof/>
        </w:rPr>
        <w:t>be recorded and stored for each operation</w:t>
      </w:r>
      <w:r>
        <w:rPr>
          <w:rStyle w:val="FootnoteReference"/>
          <w:noProof/>
        </w:rPr>
        <w:footnoteReference w:id="21"/>
      </w:r>
      <w:r>
        <w:rPr>
          <w:noProof/>
        </w:rPr>
        <w:t xml:space="preserve">. </w:t>
      </w:r>
    </w:p>
    <w:p w:rsidR="00940A9C" w:rsidRDefault="00940A9C">
      <w:pPr>
        <w:rPr>
          <w:noProof/>
        </w:rPr>
      </w:pPr>
    </w:p>
    <w:p w:rsidR="00940A9C" w:rsidRDefault="007B1A4E">
      <w:pPr>
        <w:pStyle w:val="Heading2"/>
        <w:rPr>
          <w:noProof/>
          <w:lang w:val="en-GB"/>
        </w:rPr>
      </w:pPr>
      <w:bookmarkStart w:id="20" w:name="_Toc489445767"/>
      <w:bookmarkStart w:id="21" w:name="_Toc493242049"/>
      <w:bookmarkStart w:id="22" w:name="_Toc496537477"/>
      <w:r>
        <w:rPr>
          <w:noProof/>
          <w:lang w:val="en-GB"/>
        </w:rPr>
        <w:t>Annual Implementation Report</w:t>
      </w:r>
      <w:bookmarkEnd w:id="20"/>
      <w:r>
        <w:rPr>
          <w:noProof/>
          <w:lang w:val="en-GB"/>
        </w:rPr>
        <w:t xml:space="preserve"> (AIR)</w:t>
      </w:r>
      <w:bookmarkEnd w:id="21"/>
      <w:bookmarkEnd w:id="22"/>
    </w:p>
    <w:p w:rsidR="00940A9C" w:rsidRDefault="007B1A4E">
      <w:pPr>
        <w:autoSpaceDE w:val="0"/>
        <w:autoSpaceDN w:val="0"/>
        <w:adjustRightInd w:val="0"/>
        <w:spacing w:after="144" w:line="240" w:lineRule="auto"/>
        <w:rPr>
          <w:noProof/>
          <w:szCs w:val="24"/>
          <w:lang w:eastAsia="en-US"/>
        </w:rPr>
      </w:pPr>
      <w:r>
        <w:rPr>
          <w:noProof/>
          <w:szCs w:val="24"/>
          <w:lang w:eastAsia="en-US"/>
        </w:rPr>
        <w:t>The monitoring of OPs implementation involves the drawing up of an AIR by the MS, to be submitted by 31 May each year, covering the period up to the end of the previous calend</w:t>
      </w:r>
      <w:r>
        <w:rPr>
          <w:noProof/>
          <w:szCs w:val="24"/>
          <w:lang w:eastAsia="en-US"/>
        </w:rPr>
        <w:t xml:space="preserve">ar year (hence the same period as the Infosys report). </w:t>
      </w:r>
      <w:r>
        <w:rPr>
          <w:noProof/>
        </w:rPr>
        <w:t>The AIR</w:t>
      </w:r>
      <w:r>
        <w:rPr>
          <w:rStyle w:val="FootnoteReference"/>
          <w:noProof/>
        </w:rPr>
        <w:footnoteReference w:id="22"/>
      </w:r>
      <w:r>
        <w:rPr>
          <w:noProof/>
        </w:rPr>
        <w:t xml:space="preserve"> provides an overview of the implementation of programmes, including in relation to important issues, such as support for small-scale coastal fisheries or climate change. It is used by the Comm</w:t>
      </w:r>
      <w:r>
        <w:rPr>
          <w:noProof/>
        </w:rPr>
        <w:t>ission and the MS to review achievements and make adjustments where necessary. It also contains indicative information on finances planned at measure level, which is not included in the OPs.</w:t>
      </w:r>
    </w:p>
    <w:p w:rsidR="00940A9C" w:rsidRDefault="007B1A4E">
      <w:pPr>
        <w:autoSpaceDE w:val="0"/>
        <w:autoSpaceDN w:val="0"/>
        <w:adjustRightInd w:val="0"/>
        <w:spacing w:after="144" w:line="240" w:lineRule="auto"/>
        <w:rPr>
          <w:noProof/>
          <w:szCs w:val="24"/>
          <w:lang w:eastAsia="en-US"/>
        </w:rPr>
      </w:pPr>
      <w:r>
        <w:rPr>
          <w:noProof/>
          <w:szCs w:val="24"/>
          <w:lang w:eastAsia="en-US"/>
        </w:rPr>
        <w:t>The AIR is divided into three parts:</w:t>
      </w:r>
    </w:p>
    <w:p w:rsidR="00940A9C" w:rsidRDefault="007B1A4E">
      <w:pPr>
        <w:rPr>
          <w:noProof/>
          <w:lang w:eastAsia="en-US"/>
        </w:rPr>
      </w:pPr>
      <w:r>
        <w:rPr>
          <w:noProof/>
          <w:u w:val="single"/>
          <w:lang w:eastAsia="en-US"/>
        </w:rPr>
        <w:t>Part A</w:t>
      </w:r>
      <w:r>
        <w:rPr>
          <w:noProof/>
          <w:lang w:eastAsia="en-US"/>
        </w:rPr>
        <w:t xml:space="preserve"> (to be reported every</w:t>
      </w:r>
      <w:r>
        <w:rPr>
          <w:noProof/>
          <w:lang w:eastAsia="en-US"/>
        </w:rPr>
        <w:t xml:space="preserve"> year between 2016 and 2023) provides for, </w:t>
      </w:r>
      <w:r>
        <w:rPr>
          <w:i/>
          <w:noProof/>
          <w:lang w:eastAsia="en-US"/>
        </w:rPr>
        <w:t>inter alia</w:t>
      </w:r>
      <w:r>
        <w:rPr>
          <w:noProof/>
          <w:lang w:eastAsia="en-US"/>
        </w:rPr>
        <w:t>:</w:t>
      </w:r>
    </w:p>
    <w:p w:rsidR="00940A9C" w:rsidRDefault="007B1A4E">
      <w:pPr>
        <w:pStyle w:val="ListParagraph"/>
        <w:numPr>
          <w:ilvl w:val="0"/>
          <w:numId w:val="14"/>
        </w:numPr>
        <w:autoSpaceDE w:val="0"/>
        <w:autoSpaceDN w:val="0"/>
        <w:adjustRightInd w:val="0"/>
        <w:spacing w:line="240" w:lineRule="auto"/>
        <w:rPr>
          <w:noProof/>
          <w:szCs w:val="24"/>
          <w:lang w:eastAsia="en-US"/>
        </w:rPr>
      </w:pPr>
      <w:r>
        <w:rPr>
          <w:noProof/>
          <w:szCs w:val="24"/>
          <w:lang w:eastAsia="en-US"/>
        </w:rPr>
        <w:t xml:space="preserve">an overview of implementation at programme and UP levels; </w:t>
      </w:r>
    </w:p>
    <w:p w:rsidR="00940A9C" w:rsidRDefault="007B1A4E">
      <w:pPr>
        <w:pStyle w:val="ListParagraph"/>
        <w:numPr>
          <w:ilvl w:val="0"/>
          <w:numId w:val="14"/>
        </w:numPr>
        <w:autoSpaceDE w:val="0"/>
        <w:autoSpaceDN w:val="0"/>
        <w:adjustRightInd w:val="0"/>
        <w:spacing w:line="240" w:lineRule="auto"/>
        <w:rPr>
          <w:noProof/>
          <w:szCs w:val="24"/>
          <w:lang w:eastAsia="en-US"/>
        </w:rPr>
      </w:pPr>
      <w:r>
        <w:rPr>
          <w:noProof/>
          <w:szCs w:val="24"/>
          <w:lang w:eastAsia="en-US"/>
        </w:rPr>
        <w:t xml:space="preserve">cumulative data on the 28 Result Indicators (RIs) at Specific Objective level; </w:t>
      </w:r>
    </w:p>
    <w:p w:rsidR="00940A9C" w:rsidRDefault="007B1A4E">
      <w:pPr>
        <w:pStyle w:val="ListParagraph"/>
        <w:numPr>
          <w:ilvl w:val="0"/>
          <w:numId w:val="14"/>
        </w:numPr>
        <w:autoSpaceDE w:val="0"/>
        <w:autoSpaceDN w:val="0"/>
        <w:adjustRightInd w:val="0"/>
        <w:spacing w:line="240" w:lineRule="auto"/>
        <w:rPr>
          <w:noProof/>
          <w:szCs w:val="24"/>
          <w:lang w:eastAsia="en-US"/>
        </w:rPr>
      </w:pPr>
      <w:r>
        <w:rPr>
          <w:noProof/>
          <w:szCs w:val="24"/>
          <w:lang w:eastAsia="en-US"/>
        </w:rPr>
        <w:t xml:space="preserve">cumulative data relating to the 28 Output Indicators (OI) for </w:t>
      </w:r>
      <w:r>
        <w:rPr>
          <w:noProof/>
          <w:szCs w:val="24"/>
          <w:lang w:eastAsia="en-US"/>
        </w:rPr>
        <w:t xml:space="preserve">each of the 50 EMFF measures; </w:t>
      </w:r>
    </w:p>
    <w:p w:rsidR="00940A9C" w:rsidRDefault="007B1A4E">
      <w:pPr>
        <w:pStyle w:val="ListParagraph"/>
        <w:numPr>
          <w:ilvl w:val="0"/>
          <w:numId w:val="14"/>
        </w:numPr>
        <w:autoSpaceDE w:val="0"/>
        <w:autoSpaceDN w:val="0"/>
        <w:adjustRightInd w:val="0"/>
        <w:spacing w:line="240" w:lineRule="auto"/>
        <w:rPr>
          <w:noProof/>
          <w:szCs w:val="24"/>
          <w:lang w:eastAsia="en-US"/>
        </w:rPr>
      </w:pPr>
      <w:r>
        <w:rPr>
          <w:noProof/>
          <w:szCs w:val="24"/>
          <w:lang w:eastAsia="en-US"/>
        </w:rPr>
        <w:t xml:space="preserve">financial data on the OP implementation at measure level; </w:t>
      </w:r>
    </w:p>
    <w:p w:rsidR="00940A9C" w:rsidRDefault="007B1A4E">
      <w:pPr>
        <w:pStyle w:val="ListParagraph"/>
        <w:numPr>
          <w:ilvl w:val="0"/>
          <w:numId w:val="14"/>
        </w:numPr>
        <w:autoSpaceDE w:val="0"/>
        <w:autoSpaceDN w:val="0"/>
        <w:adjustRightInd w:val="0"/>
        <w:spacing w:line="240" w:lineRule="auto"/>
        <w:rPr>
          <w:noProof/>
          <w:szCs w:val="24"/>
          <w:lang w:eastAsia="en-US"/>
        </w:rPr>
      </w:pPr>
      <w:r>
        <w:rPr>
          <w:noProof/>
          <w:szCs w:val="24"/>
          <w:lang w:eastAsia="en-US"/>
        </w:rPr>
        <w:t>description of issues affecting the performance of the programme; and</w:t>
      </w:r>
    </w:p>
    <w:p w:rsidR="00940A9C" w:rsidRDefault="007B1A4E">
      <w:pPr>
        <w:pStyle w:val="ListParagraph"/>
        <w:numPr>
          <w:ilvl w:val="0"/>
          <w:numId w:val="14"/>
        </w:numPr>
        <w:autoSpaceDE w:val="0"/>
        <w:autoSpaceDN w:val="0"/>
        <w:adjustRightInd w:val="0"/>
        <w:spacing w:line="240" w:lineRule="auto"/>
        <w:rPr>
          <w:noProof/>
          <w:szCs w:val="24"/>
          <w:lang w:eastAsia="en-US"/>
        </w:rPr>
      </w:pPr>
      <w:r>
        <w:rPr>
          <w:noProof/>
          <w:szCs w:val="24"/>
          <w:lang w:eastAsia="en-US"/>
        </w:rPr>
        <w:t>activities in relation to the Evaluation Plan, including a synthesis of the evaluations finalise</w:t>
      </w:r>
      <w:r>
        <w:rPr>
          <w:noProof/>
          <w:szCs w:val="24"/>
          <w:lang w:eastAsia="en-US"/>
        </w:rPr>
        <w:t>d in the year.</w:t>
      </w:r>
    </w:p>
    <w:p w:rsidR="00940A9C" w:rsidRDefault="007B1A4E">
      <w:pPr>
        <w:autoSpaceDE w:val="0"/>
        <w:autoSpaceDN w:val="0"/>
        <w:adjustRightInd w:val="0"/>
        <w:spacing w:before="120" w:after="120" w:line="240" w:lineRule="auto"/>
        <w:rPr>
          <w:noProof/>
          <w:szCs w:val="24"/>
          <w:lang w:eastAsia="en-US"/>
        </w:rPr>
      </w:pPr>
      <w:r>
        <w:rPr>
          <w:noProof/>
          <w:szCs w:val="24"/>
          <w:lang w:eastAsia="en-US"/>
        </w:rPr>
        <w:t xml:space="preserve">Under </w:t>
      </w:r>
      <w:r>
        <w:rPr>
          <w:noProof/>
          <w:szCs w:val="24"/>
          <w:u w:val="single"/>
          <w:lang w:eastAsia="en-US"/>
        </w:rPr>
        <w:t>Part B</w:t>
      </w:r>
      <w:r>
        <w:rPr>
          <w:noProof/>
          <w:szCs w:val="24"/>
          <w:lang w:eastAsia="en-US"/>
        </w:rPr>
        <w:t xml:space="preserve"> (only included in the comprehensive reports due in 2017 and 2019), MS are to report additionally on horizontal aspects of the implementation (gender, sustainable development, etc.), and on the support for climate change objectiv</w:t>
      </w:r>
      <w:r>
        <w:rPr>
          <w:noProof/>
          <w:szCs w:val="24"/>
          <w:lang w:eastAsia="en-US"/>
        </w:rPr>
        <w:t xml:space="preserve">es. </w:t>
      </w:r>
    </w:p>
    <w:p w:rsidR="00940A9C" w:rsidRDefault="007B1A4E">
      <w:pPr>
        <w:autoSpaceDE w:val="0"/>
        <w:autoSpaceDN w:val="0"/>
        <w:adjustRightInd w:val="0"/>
        <w:spacing w:before="120" w:after="120" w:line="240" w:lineRule="auto"/>
        <w:rPr>
          <w:noProof/>
          <w:szCs w:val="24"/>
          <w:lang w:eastAsia="en-US"/>
        </w:rPr>
      </w:pPr>
      <w:r>
        <w:rPr>
          <w:noProof/>
          <w:szCs w:val="24"/>
          <w:u w:val="single"/>
          <w:lang w:eastAsia="en-US"/>
        </w:rPr>
        <w:t>Part C</w:t>
      </w:r>
      <w:r>
        <w:rPr>
          <w:noProof/>
          <w:szCs w:val="24"/>
          <w:lang w:eastAsia="en-US"/>
        </w:rPr>
        <w:t xml:space="preserve"> (only included in the comprehensive reports due in 2019) should contain further information in relation to the OP’s contribution to the achievement of the objectives of the Union strategy for smart, sustainable and inclusive growth. </w:t>
      </w:r>
    </w:p>
    <w:p w:rsidR="00940A9C" w:rsidRDefault="00940A9C">
      <w:pPr>
        <w:spacing w:line="240" w:lineRule="auto"/>
        <w:rPr>
          <w:noProof/>
          <w:color w:val="000000"/>
          <w:szCs w:val="24"/>
          <w:lang w:eastAsia="en-US"/>
        </w:rPr>
      </w:pPr>
    </w:p>
    <w:p w:rsidR="00940A9C" w:rsidRDefault="007B1A4E">
      <w:pPr>
        <w:pStyle w:val="Heading2"/>
        <w:rPr>
          <w:noProof/>
          <w:lang w:val="en-GB"/>
        </w:rPr>
      </w:pPr>
      <w:bookmarkStart w:id="23" w:name="_Toc489445768"/>
      <w:bookmarkStart w:id="24" w:name="_Toc493242050"/>
      <w:bookmarkStart w:id="25" w:name="_Toc496537478"/>
      <w:r>
        <w:rPr>
          <w:noProof/>
          <w:lang w:val="en-GB"/>
        </w:rPr>
        <w:t>Evaluation Plan</w:t>
      </w:r>
      <w:bookmarkEnd w:id="23"/>
      <w:bookmarkEnd w:id="24"/>
      <w:bookmarkEnd w:id="25"/>
    </w:p>
    <w:p w:rsidR="00940A9C" w:rsidRDefault="007B1A4E">
      <w:pPr>
        <w:spacing w:after="240"/>
        <w:rPr>
          <w:noProof/>
        </w:rPr>
      </w:pPr>
      <w:r>
        <w:rPr>
          <w:noProof/>
          <w:szCs w:val="24"/>
          <w:lang w:eastAsia="en-US"/>
        </w:rPr>
        <w:t>In order to strengthen the contribution of evaluations towards effective and efficient programmes, the Common Provisions Regulation (CPR)</w:t>
      </w:r>
      <w:r>
        <w:rPr>
          <w:rStyle w:val="FootnoteReference"/>
          <w:noProof/>
          <w:szCs w:val="24"/>
          <w:lang w:eastAsia="en-US"/>
        </w:rPr>
        <w:footnoteReference w:id="23"/>
      </w:r>
      <w:r>
        <w:rPr>
          <w:noProof/>
          <w:szCs w:val="24"/>
          <w:lang w:eastAsia="en-US"/>
        </w:rPr>
        <w:t xml:space="preserve"> makes it compulsory for MAs to design Evaluation Plans at the beginning of the programming period. </w:t>
      </w:r>
      <w:r>
        <w:rPr>
          <w:noProof/>
        </w:rPr>
        <w:t xml:space="preserve">This is a new feature for the EMFF MAs, who had to reflect on their evaluation needs over the implementation period and the way these were going to be addressed. </w:t>
      </w:r>
    </w:p>
    <w:p w:rsidR="00940A9C" w:rsidRDefault="007B1A4E">
      <w:pPr>
        <w:spacing w:after="240"/>
        <w:rPr>
          <w:noProof/>
        </w:rPr>
      </w:pPr>
      <w:r>
        <w:rPr>
          <w:noProof/>
          <w:szCs w:val="24"/>
          <w:lang w:eastAsia="en-US"/>
        </w:rPr>
        <w:t>The Evaluation Plan includes seven sections: purpose, objectives, activities, governance prov</w:t>
      </w:r>
      <w:r>
        <w:rPr>
          <w:noProof/>
          <w:szCs w:val="24"/>
          <w:lang w:eastAsia="en-US"/>
        </w:rPr>
        <w:t>isions, data sources, indicative timeline and resources available. Short guidelines on these sections were provided as part of the EMFF OP template.</w:t>
      </w:r>
    </w:p>
    <w:p w:rsidR="00940A9C" w:rsidRDefault="007B1A4E">
      <w:pPr>
        <w:autoSpaceDE w:val="0"/>
        <w:autoSpaceDN w:val="0"/>
        <w:adjustRightInd w:val="0"/>
        <w:spacing w:line="240" w:lineRule="auto"/>
        <w:rPr>
          <w:noProof/>
          <w:szCs w:val="24"/>
          <w:lang w:eastAsia="en-US"/>
        </w:rPr>
      </w:pPr>
      <w:r>
        <w:rPr>
          <w:noProof/>
          <w:szCs w:val="24"/>
          <w:lang w:eastAsia="en-US"/>
        </w:rPr>
        <w:t>Unlike the other ESI Funds, the evaluation plan is part of the EMFF OPs</w:t>
      </w:r>
      <w:r>
        <w:rPr>
          <w:rStyle w:val="FootnoteReference"/>
          <w:noProof/>
          <w:szCs w:val="24"/>
          <w:lang w:eastAsia="en-US"/>
        </w:rPr>
        <w:footnoteReference w:id="24"/>
      </w:r>
      <w:r>
        <w:rPr>
          <w:noProof/>
          <w:szCs w:val="24"/>
          <w:lang w:eastAsia="en-US"/>
        </w:rPr>
        <w:t>, as this allowed the Commission to</w:t>
      </w:r>
      <w:r>
        <w:rPr>
          <w:noProof/>
          <w:szCs w:val="24"/>
          <w:lang w:eastAsia="en-US"/>
        </w:rPr>
        <w:t xml:space="preserve"> assess these plans as part of the OP negotiation process.</w:t>
      </w:r>
    </w:p>
    <w:p w:rsidR="00940A9C" w:rsidRDefault="00940A9C">
      <w:pPr>
        <w:autoSpaceDE w:val="0"/>
        <w:autoSpaceDN w:val="0"/>
        <w:adjustRightInd w:val="0"/>
        <w:spacing w:line="240" w:lineRule="auto"/>
        <w:rPr>
          <w:noProof/>
          <w:szCs w:val="24"/>
          <w:lang w:eastAsia="en-US"/>
        </w:rPr>
      </w:pPr>
    </w:p>
    <w:p w:rsidR="00940A9C" w:rsidRDefault="007B1A4E">
      <w:pPr>
        <w:pStyle w:val="Heading2"/>
        <w:rPr>
          <w:noProof/>
          <w:lang w:val="en-GB"/>
        </w:rPr>
      </w:pPr>
      <w:bookmarkStart w:id="26" w:name="_Toc493242051"/>
      <w:bookmarkStart w:id="27" w:name="_Toc496537479"/>
      <w:bookmarkStart w:id="28" w:name="_Toc489445769"/>
      <w:r>
        <w:rPr>
          <w:noProof/>
          <w:lang w:val="en-GB"/>
        </w:rPr>
        <w:t>EMFF OPs Evaluations</w:t>
      </w:r>
      <w:bookmarkEnd w:id="26"/>
      <w:bookmarkEnd w:id="27"/>
      <w:r>
        <w:rPr>
          <w:noProof/>
          <w:lang w:val="en-GB"/>
        </w:rPr>
        <w:t xml:space="preserve"> </w:t>
      </w:r>
      <w:bookmarkEnd w:id="28"/>
    </w:p>
    <w:p w:rsidR="00940A9C" w:rsidRDefault="007B1A4E">
      <w:pPr>
        <w:autoSpaceDE w:val="0"/>
        <w:autoSpaceDN w:val="0"/>
        <w:adjustRightInd w:val="0"/>
        <w:spacing w:after="240" w:line="240" w:lineRule="auto"/>
        <w:rPr>
          <w:noProof/>
          <w:szCs w:val="24"/>
          <w:lang w:eastAsia="en-US"/>
        </w:rPr>
      </w:pPr>
      <w:r>
        <w:rPr>
          <w:noProof/>
          <w:szCs w:val="24"/>
          <w:lang w:eastAsia="en-US"/>
        </w:rPr>
        <w:t>Evaluations are necessary to assess the effectiveness, efficiency and impact of the funding in order to improve the implementation of programmes and to determine their impact</w:t>
      </w:r>
      <w:r>
        <w:rPr>
          <w:noProof/>
          <w:szCs w:val="24"/>
          <w:lang w:eastAsia="en-US"/>
        </w:rPr>
        <w:t>. The CPR</w:t>
      </w:r>
      <w:r>
        <w:rPr>
          <w:rStyle w:val="FootnoteReference"/>
          <w:noProof/>
          <w:szCs w:val="24"/>
          <w:lang w:eastAsia="en-US"/>
        </w:rPr>
        <w:footnoteReference w:id="25"/>
      </w:r>
      <w:r>
        <w:rPr>
          <w:noProof/>
          <w:szCs w:val="24"/>
          <w:lang w:eastAsia="en-US"/>
        </w:rPr>
        <w:t xml:space="preserve"> lays down the general rules for evaluation in all the ESI funds, whilst the EMFF Regulation specifies that the MS have to conduct an </w:t>
      </w:r>
      <w:r>
        <w:rPr>
          <w:i/>
          <w:noProof/>
          <w:szCs w:val="24"/>
          <w:lang w:eastAsia="en-US"/>
        </w:rPr>
        <w:t>ex-ante</w:t>
      </w:r>
      <w:r>
        <w:rPr>
          <w:noProof/>
          <w:szCs w:val="24"/>
          <w:lang w:eastAsia="en-US"/>
        </w:rPr>
        <w:t xml:space="preserve"> evaluation and further evaluations during the implementation period, whilst the Commission has to conduc</w:t>
      </w:r>
      <w:r>
        <w:rPr>
          <w:noProof/>
          <w:szCs w:val="24"/>
          <w:lang w:eastAsia="en-US"/>
        </w:rPr>
        <w:t xml:space="preserve">t an </w:t>
      </w:r>
      <w:r>
        <w:rPr>
          <w:i/>
          <w:noProof/>
          <w:szCs w:val="24"/>
          <w:lang w:eastAsia="en-US"/>
        </w:rPr>
        <w:t>ex-post</w:t>
      </w:r>
      <w:r>
        <w:rPr>
          <w:noProof/>
          <w:szCs w:val="24"/>
          <w:lang w:eastAsia="en-US"/>
        </w:rPr>
        <w:t xml:space="preserve"> evaluation, to be completed by the end of 2024.</w:t>
      </w:r>
      <w:r>
        <w:rPr>
          <w:rStyle w:val="FootnoteReference"/>
          <w:noProof/>
          <w:szCs w:val="24"/>
          <w:lang w:eastAsia="en-US"/>
        </w:rPr>
        <w:footnoteReference w:id="26"/>
      </w:r>
      <w:r>
        <w:rPr>
          <w:noProof/>
          <w:szCs w:val="24"/>
          <w:lang w:eastAsia="en-US"/>
        </w:rPr>
        <w:t xml:space="preserve"> </w:t>
      </w:r>
    </w:p>
    <w:p w:rsidR="00940A9C" w:rsidRDefault="007B1A4E">
      <w:pPr>
        <w:pStyle w:val="A1StandEndabst"/>
        <w:spacing w:after="0"/>
        <w:rPr>
          <w:noProof/>
        </w:rPr>
      </w:pPr>
      <w:r>
        <w:rPr>
          <w:noProof/>
        </w:rPr>
        <w:t>The ex-ante evaluation is the only evaluation undertaken so far by the MS. Going beyond a simple photography of the situation before the start of the programme, the ex-ante evaluation is seen a</w:t>
      </w:r>
      <w:r>
        <w:rPr>
          <w:noProof/>
        </w:rPr>
        <w:t xml:space="preserve">s a process, including regular interactions between the MA and the evaluators during the different development stages of the OP. This process was documented in a guidance document discussed with the MS in expert group meetings. </w:t>
      </w:r>
    </w:p>
    <w:p w:rsidR="00940A9C" w:rsidRDefault="00940A9C">
      <w:pPr>
        <w:pStyle w:val="A1StandEndabst"/>
        <w:spacing w:after="0"/>
        <w:rPr>
          <w:noProof/>
        </w:rPr>
      </w:pPr>
    </w:p>
    <w:p w:rsidR="00940A9C" w:rsidRDefault="007B1A4E">
      <w:pPr>
        <w:pStyle w:val="Heading2"/>
        <w:rPr>
          <w:noProof/>
          <w:lang w:val="en-GB"/>
        </w:rPr>
      </w:pPr>
      <w:bookmarkStart w:id="29" w:name="_Toc489445770"/>
      <w:bookmarkStart w:id="30" w:name="_Toc493242052"/>
      <w:bookmarkStart w:id="31" w:name="_Toc496537480"/>
      <w:r>
        <w:rPr>
          <w:noProof/>
          <w:lang w:val="en-GB"/>
        </w:rPr>
        <w:t>Performance Framework</w:t>
      </w:r>
      <w:bookmarkEnd w:id="29"/>
      <w:bookmarkEnd w:id="30"/>
      <w:r>
        <w:rPr>
          <w:noProof/>
          <w:lang w:val="en-GB"/>
        </w:rPr>
        <w:t xml:space="preserve"> and </w:t>
      </w:r>
      <w:r>
        <w:rPr>
          <w:noProof/>
          <w:lang w:val="en-GB"/>
        </w:rPr>
        <w:t>Review</w:t>
      </w:r>
      <w:bookmarkEnd w:id="31"/>
    </w:p>
    <w:p w:rsidR="00940A9C" w:rsidRDefault="007B1A4E">
      <w:pPr>
        <w:spacing w:after="240"/>
        <w:rPr>
          <w:noProof/>
        </w:rPr>
      </w:pPr>
      <w:r>
        <w:rPr>
          <w:noProof/>
        </w:rPr>
        <w:t>The Performance Framework is one of the tools used across all ESIF to foster result-orientation</w:t>
      </w:r>
      <w:r>
        <w:rPr>
          <w:rStyle w:val="FootnoteReference"/>
          <w:noProof/>
        </w:rPr>
        <w:footnoteReference w:id="27"/>
      </w:r>
      <w:r>
        <w:rPr>
          <w:noProof/>
        </w:rPr>
        <w:t>. In the EMFF, it is based on a set of Output and Financial indicators, for which milestones and targets are defined for each Union Priority. Performance</w:t>
      </w:r>
      <w:r>
        <w:rPr>
          <w:noProof/>
        </w:rPr>
        <w:t xml:space="preserve"> Frameworks indicators are reported in the AIRs. The assessment of the milestones in 2019 will form the basis for the allocation of the performance reserve</w:t>
      </w:r>
      <w:r>
        <w:rPr>
          <w:rStyle w:val="FootnoteReference"/>
          <w:noProof/>
        </w:rPr>
        <w:footnoteReference w:id="28"/>
      </w:r>
      <w:r>
        <w:rPr>
          <w:noProof/>
        </w:rPr>
        <w:t>, whilst the achievement of targets will be assessed in 2024. The Commission issued a guidance docum</w:t>
      </w:r>
      <w:r>
        <w:rPr>
          <w:noProof/>
        </w:rPr>
        <w:t>ent</w:t>
      </w:r>
      <w:r>
        <w:rPr>
          <w:rStyle w:val="FootnoteReference"/>
          <w:noProof/>
        </w:rPr>
        <w:footnoteReference w:id="29"/>
      </w:r>
      <w:r>
        <w:rPr>
          <w:noProof/>
        </w:rPr>
        <w:t xml:space="preserve"> to provide MAs with further details on the way this new feature will be implemented.</w:t>
      </w:r>
    </w:p>
    <w:p w:rsidR="00940A9C" w:rsidRDefault="007B1A4E">
      <w:pPr>
        <w:pStyle w:val="A1StandEndabst"/>
        <w:spacing w:after="0"/>
        <w:rPr>
          <w:noProof/>
        </w:rPr>
      </w:pPr>
      <w:r>
        <w:rPr>
          <w:noProof/>
        </w:rPr>
        <w:t>In the EMFF, the Performance Framework is composed of financial indicators (payment certified) which provide a clear and classical indication of performance of the im</w:t>
      </w:r>
      <w:r>
        <w:rPr>
          <w:noProof/>
        </w:rPr>
        <w:t xml:space="preserve">plementation through the level of spending. To reflect the result-orientation given to the ESIF, financial indicators are complemented by output indicators. Both sets of indicators must show a good level of progress to allow the release of the Performance </w:t>
      </w:r>
      <w:r>
        <w:rPr>
          <w:noProof/>
        </w:rPr>
        <w:t>Reserve.</w:t>
      </w:r>
    </w:p>
    <w:p w:rsidR="00940A9C" w:rsidRDefault="00940A9C">
      <w:pPr>
        <w:spacing w:after="240"/>
        <w:rPr>
          <w:i/>
          <w:noProof/>
        </w:rPr>
      </w:pPr>
    </w:p>
    <w:p w:rsidR="00940A9C" w:rsidRDefault="007B1A4E">
      <w:pPr>
        <w:pStyle w:val="Heading1"/>
        <w:rPr>
          <w:noProof/>
          <w:lang w:val="en-GB"/>
        </w:rPr>
      </w:pPr>
      <w:bookmarkStart w:id="32" w:name="_Toc493242053"/>
      <w:bookmarkStart w:id="33" w:name="_Toc496537481"/>
      <w:r>
        <w:rPr>
          <w:noProof/>
          <w:lang w:val="en-GB"/>
        </w:rPr>
        <w:t>Findings and recommendations</w:t>
      </w:r>
      <w:bookmarkEnd w:id="32"/>
      <w:bookmarkEnd w:id="33"/>
    </w:p>
    <w:p w:rsidR="00940A9C" w:rsidRDefault="007B1A4E">
      <w:pPr>
        <w:spacing w:after="120"/>
        <w:rPr>
          <w:noProof/>
        </w:rPr>
      </w:pPr>
      <w:r>
        <w:rPr>
          <w:noProof/>
        </w:rPr>
        <w:t>This report has been drafted with the help of the FAME Support Unit, using feedback from the EMFF MAs collected through workshops held in March and September 2016, a specific stakeholder meeting with the participation</w:t>
      </w:r>
      <w:r>
        <w:rPr>
          <w:noProof/>
        </w:rPr>
        <w:t xml:space="preserve"> of 21 Member States in September 2017, but also questions addressed by the MS to FAME and the Commission during the implementation of the Operational Programmes.</w:t>
      </w:r>
    </w:p>
    <w:p w:rsidR="00940A9C" w:rsidRDefault="007B1A4E">
      <w:pPr>
        <w:pStyle w:val="A0Standard"/>
        <w:spacing w:after="240"/>
        <w:rPr>
          <w:noProof/>
        </w:rPr>
      </w:pPr>
      <w:r>
        <w:rPr>
          <w:noProof/>
        </w:rPr>
        <w:t>The section below summarises the findings in relation to the implementation of each element o</w:t>
      </w:r>
      <w:r>
        <w:rPr>
          <w:noProof/>
        </w:rPr>
        <w:t>f the CMES and, where relevant, proposes recommendations to improve the functioning of the CMES.</w:t>
      </w:r>
    </w:p>
    <w:p w:rsidR="00940A9C" w:rsidRDefault="007B1A4E">
      <w:pPr>
        <w:pStyle w:val="Heading2"/>
        <w:rPr>
          <w:noProof/>
        </w:rPr>
      </w:pPr>
      <w:bookmarkStart w:id="34" w:name="_Toc496537482"/>
      <w:r>
        <w:rPr>
          <w:noProof/>
        </w:rPr>
        <w:t>EMFF Intervention Logic</w:t>
      </w:r>
      <w:bookmarkEnd w:id="34"/>
    </w:p>
    <w:p w:rsidR="00940A9C" w:rsidRDefault="007B1A4E">
      <w:pPr>
        <w:spacing w:after="240"/>
        <w:rPr>
          <w:noProof/>
        </w:rPr>
      </w:pPr>
      <w:r>
        <w:rPr>
          <w:noProof/>
        </w:rPr>
        <w:t>The intervention logic of the EMFF is well suited to the structure of the Fund (Union Priorities - Specific Objectives - Measures), but</w:t>
      </w:r>
      <w:r>
        <w:rPr>
          <w:noProof/>
        </w:rPr>
        <w:t xml:space="preserve"> the late inclusion of the EMFF under the umbrella of the CPR required supplementary reporting at the level of Thematic Objectives</w:t>
      </w:r>
      <w:r>
        <w:rPr>
          <w:noProof/>
          <w:szCs w:val="24"/>
        </w:rPr>
        <w:t xml:space="preserve"> common to all ESIF</w:t>
      </w:r>
      <w:r>
        <w:rPr>
          <w:rStyle w:val="FootnoteReference"/>
          <w:noProof/>
          <w:szCs w:val="24"/>
        </w:rPr>
        <w:footnoteReference w:id="30"/>
      </w:r>
      <w:r>
        <w:rPr>
          <w:noProof/>
        </w:rPr>
        <w:t xml:space="preserve">. This added an extra layer of complexity to the intervention logic and made reporting more difficult for </w:t>
      </w:r>
      <w:r>
        <w:rPr>
          <w:noProof/>
        </w:rPr>
        <w:t xml:space="preserve">the MS. </w:t>
      </w: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rPr>
                <w:b/>
                <w:noProof/>
              </w:rPr>
            </w:pPr>
            <w:r>
              <w:rPr>
                <w:b/>
                <w:noProof/>
              </w:rPr>
              <w:t>Recommendations:</w:t>
            </w:r>
          </w:p>
          <w:p w:rsidR="00940A9C" w:rsidRDefault="007B1A4E">
            <w:pPr>
              <w:pStyle w:val="ListParagraph"/>
              <w:numPr>
                <w:ilvl w:val="0"/>
                <w:numId w:val="45"/>
              </w:numPr>
              <w:spacing w:after="240"/>
              <w:rPr>
                <w:noProof/>
              </w:rPr>
            </w:pPr>
            <w:r>
              <w:rPr>
                <w:noProof/>
              </w:rPr>
              <w:t>The intervention logic is a structuring element in the CMES which should be maintained in the future, although it should be discussed more extensively with the MS in expert group meetings.</w:t>
            </w:r>
          </w:p>
          <w:p w:rsidR="00940A9C" w:rsidRDefault="007B1A4E">
            <w:pPr>
              <w:pStyle w:val="ListParagraph"/>
              <w:numPr>
                <w:ilvl w:val="0"/>
                <w:numId w:val="45"/>
              </w:numPr>
              <w:rPr>
                <w:noProof/>
              </w:rPr>
            </w:pPr>
            <w:r>
              <w:rPr>
                <w:noProof/>
              </w:rPr>
              <w:t xml:space="preserve">It should be simpler and more result </w:t>
            </w:r>
            <w:r>
              <w:rPr>
                <w:noProof/>
              </w:rPr>
              <w:t>oriented, showing clearly which measure or action contributes to which objectives and how is this measured.</w:t>
            </w:r>
          </w:p>
        </w:tc>
      </w:tr>
    </w:tbl>
    <w:p w:rsidR="00940A9C" w:rsidRDefault="00940A9C">
      <w:pPr>
        <w:pStyle w:val="A1StandEndabst"/>
        <w:spacing w:after="0"/>
        <w:rPr>
          <w:b/>
          <w:noProof/>
        </w:rPr>
      </w:pPr>
    </w:p>
    <w:p w:rsidR="00940A9C" w:rsidRDefault="007B1A4E">
      <w:pPr>
        <w:pStyle w:val="Heading2"/>
        <w:spacing w:line="240" w:lineRule="auto"/>
        <w:rPr>
          <w:noProof/>
        </w:rPr>
      </w:pPr>
      <w:bookmarkStart w:id="35" w:name="_Toc496537483"/>
      <w:r>
        <w:rPr>
          <w:noProof/>
        </w:rPr>
        <w:t>Common Indicators</w:t>
      </w:r>
      <w:bookmarkEnd w:id="35"/>
    </w:p>
    <w:p w:rsidR="00940A9C" w:rsidRDefault="00940A9C">
      <w:pPr>
        <w:pStyle w:val="A1StandEndabst"/>
        <w:spacing w:after="0"/>
        <w:rPr>
          <w:noProof/>
        </w:rPr>
      </w:pPr>
    </w:p>
    <w:p w:rsidR="00940A9C" w:rsidRDefault="007B1A4E">
      <w:pPr>
        <w:pStyle w:val="A1StandEndabst"/>
        <w:spacing w:after="0"/>
        <w:rPr>
          <w:noProof/>
        </w:rPr>
      </w:pPr>
      <w:r>
        <w:rPr>
          <w:noProof/>
        </w:rPr>
        <w:t>The following issues appeared during this assessment of the functioning of the CMES:</w:t>
      </w:r>
    </w:p>
    <w:p w:rsidR="00940A9C" w:rsidRDefault="00940A9C">
      <w:pPr>
        <w:pStyle w:val="A1StandEndabst"/>
        <w:spacing w:after="0"/>
        <w:rPr>
          <w:noProof/>
        </w:rPr>
      </w:pPr>
    </w:p>
    <w:p w:rsidR="00940A9C" w:rsidRDefault="007B1A4E">
      <w:pPr>
        <w:pStyle w:val="A1StandEndabst"/>
        <w:numPr>
          <w:ilvl w:val="0"/>
          <w:numId w:val="33"/>
        </w:numPr>
        <w:spacing w:after="0"/>
        <w:rPr>
          <w:noProof/>
        </w:rPr>
      </w:pPr>
      <w:r>
        <w:rPr>
          <w:noProof/>
        </w:rPr>
        <w:t>The working paper providing precise definition of the common indicators and information on the way these should be used was only made available fairly late during the programming process. This led to misunderstandings for certain MS and some OPs were prepa</w:t>
      </w:r>
      <w:r>
        <w:rPr>
          <w:noProof/>
        </w:rPr>
        <w:t xml:space="preserve">red using different methods for setting targets on the results they were planning to achieve.  </w:t>
      </w:r>
    </w:p>
    <w:p w:rsidR="00940A9C" w:rsidRDefault="007B1A4E">
      <w:pPr>
        <w:pStyle w:val="ListParagraph"/>
        <w:numPr>
          <w:ilvl w:val="0"/>
          <w:numId w:val="33"/>
        </w:numPr>
        <w:spacing w:after="240"/>
        <w:rPr>
          <w:noProof/>
        </w:rPr>
      </w:pPr>
      <w:r>
        <w:rPr>
          <w:noProof/>
        </w:rPr>
        <w:t>Result indicators are linked to the specific objectives of the EMFF. The MS had the possibility to declare that certain result indicators under a given specific</w:t>
      </w:r>
      <w:r>
        <w:rPr>
          <w:noProof/>
        </w:rPr>
        <w:t xml:space="preserve"> objective were “non-applicable” to a specific objective. This possibility was used extensively and not as an exception. However since every EMFF specific objective is covered by more than one common result indicator, it is still possible to measure the co</w:t>
      </w:r>
      <w:r>
        <w:rPr>
          <w:noProof/>
        </w:rPr>
        <w:t>ntribution of the OPs to the EMFF specific objective.</w:t>
      </w:r>
    </w:p>
    <w:p w:rsidR="00940A9C" w:rsidRDefault="007B1A4E">
      <w:pPr>
        <w:pStyle w:val="ListParagraph"/>
        <w:numPr>
          <w:ilvl w:val="0"/>
          <w:numId w:val="33"/>
        </w:numPr>
        <w:spacing w:after="240"/>
        <w:rPr>
          <w:noProof/>
        </w:rPr>
      </w:pPr>
      <w:r>
        <w:rPr>
          <w:noProof/>
        </w:rPr>
        <w:t>The MS also had the possibility to use their own indicators instead of selecting them from the common list, leading to a situation where some results cannot be taken properly into account in reporting o</w:t>
      </w:r>
      <w:r>
        <w:rPr>
          <w:noProof/>
        </w:rPr>
        <w:t xml:space="preserve">r aggregated at EU level. </w:t>
      </w:r>
    </w:p>
    <w:p w:rsidR="00940A9C" w:rsidRDefault="007B1A4E">
      <w:pPr>
        <w:pStyle w:val="ListParagraph"/>
        <w:numPr>
          <w:ilvl w:val="0"/>
          <w:numId w:val="33"/>
        </w:numPr>
        <w:rPr>
          <w:noProof/>
        </w:rPr>
      </w:pPr>
      <w:r>
        <w:rPr>
          <w:noProof/>
        </w:rPr>
        <w:t>Some measures were poorly covered by common result indicator (e.g. measures related to innovation) and the time needed for an effect to materialise was not always properly taken into account (e.g. increase in net profit due to an</w:t>
      </w:r>
      <w:r>
        <w:rPr>
          <w:noProof/>
        </w:rPr>
        <w:t xml:space="preserve"> innovation). This implies that some important effects of the EMFF might not be taken into account.</w:t>
      </w:r>
    </w:p>
    <w:p w:rsidR="00940A9C" w:rsidRDefault="007B1A4E">
      <w:pPr>
        <w:pStyle w:val="A1StandEndabst"/>
        <w:numPr>
          <w:ilvl w:val="0"/>
          <w:numId w:val="33"/>
        </w:numPr>
        <w:spacing w:after="0"/>
        <w:rPr>
          <w:noProof/>
        </w:rPr>
      </w:pPr>
      <w:r>
        <w:rPr>
          <w:noProof/>
        </w:rPr>
        <w:t>Some indicators were expressed in ratios</w:t>
      </w:r>
      <w:r>
        <w:rPr>
          <w:rStyle w:val="FootnoteReference"/>
          <w:noProof/>
        </w:rPr>
        <w:footnoteReference w:id="31"/>
      </w:r>
      <w:r>
        <w:rPr>
          <w:noProof/>
        </w:rPr>
        <w:t xml:space="preserve">, their calculation is difficult at operational level, and their aggregation is not meaningful. </w:t>
      </w:r>
    </w:p>
    <w:p w:rsidR="00940A9C" w:rsidRDefault="00940A9C">
      <w:pPr>
        <w:pStyle w:val="A1StandEndabst"/>
        <w:spacing w:after="0"/>
        <w:ind w:left="720"/>
        <w:rPr>
          <w:noProof/>
        </w:rPr>
      </w:pPr>
    </w:p>
    <w:p w:rsidR="00940A9C" w:rsidRDefault="00940A9C">
      <w:pPr>
        <w:pStyle w:val="A1StandEndabst"/>
        <w:spacing w:after="0"/>
        <w:ind w:left="720"/>
        <w:rPr>
          <w:noProof/>
        </w:rPr>
      </w:pP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pStyle w:val="A1StandEndabst"/>
              <w:spacing w:after="0"/>
              <w:rPr>
                <w:b/>
                <w:noProof/>
              </w:rPr>
            </w:pPr>
            <w:r>
              <w:rPr>
                <w:b/>
                <w:noProof/>
              </w:rPr>
              <w:t>Recommendations:</w:t>
            </w:r>
          </w:p>
          <w:p w:rsidR="00940A9C" w:rsidRDefault="007B1A4E">
            <w:pPr>
              <w:pStyle w:val="ListParagraph"/>
              <w:numPr>
                <w:ilvl w:val="0"/>
                <w:numId w:val="46"/>
              </w:numPr>
              <w:rPr>
                <w:noProof/>
              </w:rPr>
            </w:pPr>
            <w:r>
              <w:rPr>
                <w:noProof/>
              </w:rPr>
              <w:t>Result indicators should always be expressed in absolute numbers in the monitoring including targets and baselines. Since EMFF result indicators rely on data from the EMFF beneficiaries before and after the operation, ratios, percentages and arithmetic si</w:t>
            </w:r>
            <w:r>
              <w:rPr>
                <w:noProof/>
              </w:rPr>
              <w:t>gn ambiguities should be avoided since they create errors. For example net profit increase should be expressed as 'before' and 'after' values and not as an increase in percentage.</w:t>
            </w:r>
          </w:p>
          <w:p w:rsidR="00940A9C" w:rsidRDefault="007B1A4E">
            <w:pPr>
              <w:pStyle w:val="A1StandEndabst"/>
              <w:numPr>
                <w:ilvl w:val="0"/>
                <w:numId w:val="46"/>
              </w:numPr>
              <w:spacing w:after="0"/>
              <w:rPr>
                <w:noProof/>
              </w:rPr>
            </w:pPr>
            <w:r>
              <w:rPr>
                <w:noProof/>
              </w:rPr>
              <w:t>Before starting the programming exercise, MS should receive methodological f</w:t>
            </w:r>
            <w:r>
              <w:rPr>
                <w:noProof/>
              </w:rPr>
              <w:t>raming from the Commission on the definitions of the indicators and on the calculation methods to be used for setting the targets.</w:t>
            </w:r>
          </w:p>
          <w:p w:rsidR="00940A9C" w:rsidRDefault="007B1A4E">
            <w:pPr>
              <w:pStyle w:val="A1StandEndabst"/>
              <w:numPr>
                <w:ilvl w:val="0"/>
                <w:numId w:val="46"/>
              </w:numPr>
              <w:spacing w:after="0"/>
              <w:rPr>
                <w:noProof/>
              </w:rPr>
            </w:pPr>
            <w:r>
              <w:rPr>
                <w:noProof/>
              </w:rPr>
              <w:t xml:space="preserve">In order to provide an overall picture of the use of the funds and to allow for meaningful aggregation at EU level, common </w:t>
            </w:r>
            <w:r>
              <w:rPr>
                <w:noProof/>
              </w:rPr>
              <w:t>indicators should cover all investments.</w:t>
            </w:r>
          </w:p>
          <w:p w:rsidR="00940A9C" w:rsidRDefault="007B1A4E">
            <w:pPr>
              <w:pStyle w:val="A1StandEndabst"/>
              <w:spacing w:after="0"/>
              <w:ind w:left="720"/>
              <w:rPr>
                <w:noProof/>
              </w:rPr>
            </w:pPr>
            <w:r>
              <w:rPr>
                <w:noProof/>
              </w:rPr>
              <w:t>However, the MS should have the flexibility to use supplementary indicators to be used at the national level.</w:t>
            </w:r>
          </w:p>
        </w:tc>
      </w:tr>
    </w:tbl>
    <w:p w:rsidR="00940A9C" w:rsidRDefault="00940A9C">
      <w:pPr>
        <w:pStyle w:val="A1StandEndabst"/>
        <w:spacing w:after="0"/>
        <w:rPr>
          <w:noProof/>
          <w:u w:val="single"/>
        </w:rPr>
      </w:pPr>
    </w:p>
    <w:p w:rsidR="00940A9C" w:rsidRDefault="00940A9C">
      <w:pPr>
        <w:pStyle w:val="A1StandEndabst"/>
        <w:spacing w:after="0"/>
        <w:rPr>
          <w:noProof/>
        </w:rPr>
      </w:pPr>
    </w:p>
    <w:p w:rsidR="00940A9C" w:rsidRDefault="007B1A4E">
      <w:pPr>
        <w:pStyle w:val="Heading2"/>
        <w:rPr>
          <w:noProof/>
          <w:lang w:val="en-GB"/>
        </w:rPr>
      </w:pPr>
      <w:bookmarkStart w:id="36" w:name="_Toc496537484"/>
      <w:r>
        <w:rPr>
          <w:noProof/>
          <w:lang w:val="en-GB"/>
        </w:rPr>
        <w:t>Cumulative Data on Operations selected for Funding (Infosys)</w:t>
      </w:r>
      <w:bookmarkEnd w:id="36"/>
    </w:p>
    <w:p w:rsidR="00940A9C" w:rsidRDefault="00940A9C">
      <w:pPr>
        <w:pStyle w:val="A1StandEndabst"/>
        <w:spacing w:after="0"/>
        <w:rPr>
          <w:noProof/>
        </w:rPr>
      </w:pPr>
    </w:p>
    <w:p w:rsidR="00940A9C" w:rsidRDefault="007B1A4E">
      <w:pPr>
        <w:pStyle w:val="A1StandEndabst"/>
        <w:spacing w:after="0"/>
        <w:rPr>
          <w:noProof/>
        </w:rPr>
      </w:pPr>
      <w:r>
        <w:rPr>
          <w:noProof/>
        </w:rPr>
        <w:t>The Infosys is a valuable tool for the M</w:t>
      </w:r>
      <w:r>
        <w:rPr>
          <w:noProof/>
        </w:rPr>
        <w:t>As as it can be used as a "dashboard" for checking the progress of the implementation. It is useful for the Commission as it provides information on EMFF achievements long before the first RI values can be reported meaningfully. It will be an especially us</w:t>
      </w:r>
      <w:r>
        <w:rPr>
          <w:noProof/>
        </w:rPr>
        <w:t>eful tool for the MS when undertaking evaluations from 2018 onwards as it will ensure that a basic but robust set of data is available for the evaluators.</w:t>
      </w:r>
    </w:p>
    <w:p w:rsidR="00940A9C" w:rsidRDefault="007B1A4E">
      <w:pPr>
        <w:pStyle w:val="A1StandEndabst"/>
        <w:spacing w:after="0"/>
        <w:rPr>
          <w:noProof/>
        </w:rPr>
      </w:pPr>
      <w:r>
        <w:rPr>
          <w:noProof/>
        </w:rPr>
        <w:t>Issues with the Infosys include the following:</w:t>
      </w:r>
    </w:p>
    <w:p w:rsidR="00940A9C" w:rsidRDefault="00940A9C">
      <w:pPr>
        <w:pStyle w:val="A1StandEndabst"/>
        <w:spacing w:after="0"/>
        <w:rPr>
          <w:noProof/>
        </w:rPr>
      </w:pPr>
    </w:p>
    <w:p w:rsidR="00940A9C" w:rsidRDefault="007B1A4E">
      <w:pPr>
        <w:pStyle w:val="A1StandEndabst"/>
        <w:numPr>
          <w:ilvl w:val="0"/>
          <w:numId w:val="34"/>
        </w:numPr>
        <w:spacing w:after="0"/>
        <w:rPr>
          <w:noProof/>
        </w:rPr>
      </w:pPr>
      <w:r>
        <w:rPr>
          <w:noProof/>
        </w:rPr>
        <w:t>In the Infosys reports, it is not possible to differe</w:t>
      </w:r>
      <w:r>
        <w:rPr>
          <w:noProof/>
        </w:rPr>
        <w:t xml:space="preserve">ntiate fields left intentionally void from negligent omissions, since the structure of Infosys did not allow indicating “non-applicable” as an answer to certain fields. </w:t>
      </w:r>
    </w:p>
    <w:p w:rsidR="00940A9C" w:rsidRDefault="007B1A4E">
      <w:pPr>
        <w:pStyle w:val="A1StandEndabst"/>
        <w:numPr>
          <w:ilvl w:val="0"/>
          <w:numId w:val="34"/>
        </w:numPr>
        <w:spacing w:after="0"/>
        <w:rPr>
          <w:noProof/>
        </w:rPr>
      </w:pPr>
      <w:r>
        <w:rPr>
          <w:noProof/>
        </w:rPr>
        <w:t xml:space="preserve">A baseline is the value of an indicator before the start of an operation (e.g. number </w:t>
      </w:r>
      <w:r>
        <w:rPr>
          <w:noProof/>
        </w:rPr>
        <w:t>of existing Full Time Equivalents in a SME) and forms a reference point against which progress can be measured. Baselines are not available in the Infosys reports, despite the fact that they are always requested from applicants by the MAs to be able to ass</w:t>
      </w:r>
      <w:r>
        <w:rPr>
          <w:noProof/>
        </w:rPr>
        <w:t>ess the applications for funding and are a compulsory element of the national monitoring system</w:t>
      </w:r>
      <w:r>
        <w:rPr>
          <w:rStyle w:val="FootnoteReference"/>
          <w:noProof/>
        </w:rPr>
        <w:footnoteReference w:id="32"/>
      </w:r>
      <w:r>
        <w:rPr>
          <w:noProof/>
        </w:rPr>
        <w:t>.</w:t>
      </w:r>
    </w:p>
    <w:p w:rsidR="00940A9C" w:rsidRDefault="007B1A4E">
      <w:pPr>
        <w:pStyle w:val="A1StandEndabst"/>
        <w:numPr>
          <w:ilvl w:val="0"/>
          <w:numId w:val="34"/>
        </w:numPr>
        <w:spacing w:after="0"/>
        <w:rPr>
          <w:noProof/>
        </w:rPr>
      </w:pPr>
      <w:r>
        <w:rPr>
          <w:noProof/>
        </w:rPr>
        <w:t>The Infosys requires those applying for funding to provide an estimation of the result they think they will achieve with their operation. This estimate is the</w:t>
      </w:r>
      <w:r>
        <w:rPr>
          <w:noProof/>
        </w:rPr>
        <w:t>n verified by the MAs after completion of the project. Methodological support will be provided to MAs for this second step in order to ensure the robustness of the validation.</w:t>
      </w:r>
    </w:p>
    <w:p w:rsidR="00940A9C" w:rsidRDefault="00940A9C">
      <w:pPr>
        <w:pStyle w:val="A1StandEndabst"/>
        <w:spacing w:after="0"/>
        <w:ind w:left="720"/>
        <w:rPr>
          <w:noProof/>
        </w:rPr>
      </w:pP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pStyle w:val="A1StandEndabst"/>
              <w:spacing w:after="0"/>
              <w:rPr>
                <w:b/>
                <w:noProof/>
              </w:rPr>
            </w:pPr>
            <w:r>
              <w:rPr>
                <w:b/>
                <w:noProof/>
              </w:rPr>
              <w:t>Recommendations:</w:t>
            </w:r>
          </w:p>
          <w:p w:rsidR="00940A9C" w:rsidRDefault="007B1A4E">
            <w:pPr>
              <w:pStyle w:val="ListParagraph"/>
              <w:numPr>
                <w:ilvl w:val="0"/>
                <w:numId w:val="47"/>
              </w:numPr>
              <w:rPr>
                <w:noProof/>
              </w:rPr>
            </w:pPr>
            <w:r>
              <w:rPr>
                <w:noProof/>
              </w:rPr>
              <w:t>The Infosys should be continued in the future as it provides v</w:t>
            </w:r>
            <w:r>
              <w:rPr>
                <w:noProof/>
              </w:rPr>
              <w:t>ery valuable information whilst generating only a limited administrative input from Member State administrations.</w:t>
            </w:r>
          </w:p>
          <w:p w:rsidR="00940A9C" w:rsidRDefault="007B1A4E">
            <w:pPr>
              <w:pStyle w:val="A1StandEndabst"/>
              <w:numPr>
                <w:ilvl w:val="0"/>
                <w:numId w:val="47"/>
              </w:numPr>
              <w:spacing w:after="0"/>
              <w:rPr>
                <w:noProof/>
              </w:rPr>
            </w:pPr>
            <w:r>
              <w:rPr>
                <w:noProof/>
              </w:rPr>
              <w:t>Baselines should be included in the Infosys reports.</w:t>
            </w:r>
          </w:p>
          <w:p w:rsidR="00940A9C" w:rsidRDefault="007B1A4E">
            <w:pPr>
              <w:pStyle w:val="A1StandEndabst"/>
              <w:numPr>
                <w:ilvl w:val="0"/>
                <w:numId w:val="47"/>
              </w:numPr>
              <w:spacing w:after="0"/>
              <w:rPr>
                <w:noProof/>
              </w:rPr>
            </w:pPr>
            <w:r>
              <w:rPr>
                <w:noProof/>
              </w:rPr>
              <w:t xml:space="preserve">Users should have the possibility to use "non-applicable" when appropriate adding an </w:t>
            </w:r>
            <w:r>
              <w:rPr>
                <w:noProof/>
              </w:rPr>
              <w:t>explanatory note.</w:t>
            </w:r>
          </w:p>
        </w:tc>
      </w:tr>
    </w:tbl>
    <w:p w:rsidR="00940A9C" w:rsidRDefault="00940A9C">
      <w:pPr>
        <w:pStyle w:val="A1StandEndabst"/>
        <w:spacing w:after="0"/>
        <w:rPr>
          <w:noProof/>
        </w:rPr>
      </w:pPr>
    </w:p>
    <w:p w:rsidR="00940A9C" w:rsidRDefault="007B1A4E">
      <w:pPr>
        <w:pStyle w:val="Heading2"/>
        <w:rPr>
          <w:noProof/>
        </w:rPr>
      </w:pPr>
      <w:bookmarkStart w:id="37" w:name="_Toc496537485"/>
      <w:r>
        <w:rPr>
          <w:noProof/>
        </w:rPr>
        <w:t>Annual Implementation Report (AIR)</w:t>
      </w:r>
      <w:bookmarkEnd w:id="37"/>
    </w:p>
    <w:p w:rsidR="00940A9C" w:rsidRDefault="00940A9C">
      <w:pPr>
        <w:pStyle w:val="A1StandEndabst"/>
        <w:spacing w:after="0"/>
        <w:rPr>
          <w:noProof/>
        </w:rPr>
      </w:pPr>
    </w:p>
    <w:p w:rsidR="00940A9C" w:rsidRDefault="007B1A4E">
      <w:pPr>
        <w:pStyle w:val="A1StandEndabst"/>
        <w:spacing w:after="0"/>
        <w:rPr>
          <w:noProof/>
        </w:rPr>
      </w:pPr>
      <w:r>
        <w:rPr>
          <w:noProof/>
        </w:rPr>
        <w:t xml:space="preserve">Unlike the Infosys, AIRs are submitted through SFC using a structured workflow and have to be accepted by the Commission. Different types of issues may arise during the assessment of these reports by </w:t>
      </w:r>
      <w:r>
        <w:rPr>
          <w:noProof/>
        </w:rPr>
        <w:t>the Commission, which can lead to substantial delay.  In particular, there should not be any discrepancies between the disaggregated information provided in the Infosys and the aggregated values included in the AIR since both reports cover the same period.</w:t>
      </w:r>
    </w:p>
    <w:p w:rsidR="00940A9C" w:rsidRDefault="00940A9C">
      <w:pPr>
        <w:pStyle w:val="A1StandEndabst"/>
        <w:spacing w:after="0"/>
        <w:rPr>
          <w:noProof/>
        </w:rPr>
      </w:pPr>
    </w:p>
    <w:p w:rsidR="00940A9C" w:rsidRDefault="007B1A4E">
      <w:pPr>
        <w:pStyle w:val="A1StandEndabst"/>
        <w:spacing w:after="0"/>
        <w:rPr>
          <w:noProof/>
        </w:rPr>
      </w:pPr>
      <w:r>
        <w:rPr>
          <w:noProof/>
        </w:rPr>
        <w:t>For all the ESI Funds, key information coming from the AIR is made available to the general public on the Open Data Portal provided by the Commission to ensure transparency on the use of the Funds</w:t>
      </w:r>
      <w:r>
        <w:rPr>
          <w:rStyle w:val="FootnoteReference"/>
          <w:noProof/>
        </w:rPr>
        <w:footnoteReference w:id="33"/>
      </w:r>
      <w:r>
        <w:rPr>
          <w:noProof/>
        </w:rPr>
        <w:t>.  Financial data on the implementation of the EMFF is on</w:t>
      </w:r>
      <w:r>
        <w:rPr>
          <w:noProof/>
        </w:rPr>
        <w:t>ly available annually in the AIR, whilst the Commission receives information on the ERDF, ESF and EAFRD three times per year. The information published on the ODP is therefore more up-to-date for these Funds than for the EMFF.</w:t>
      </w:r>
    </w:p>
    <w:p w:rsidR="00940A9C" w:rsidRDefault="00940A9C">
      <w:pPr>
        <w:pStyle w:val="A1StandEndabst"/>
        <w:spacing w:after="0"/>
        <w:rPr>
          <w:noProof/>
        </w:rPr>
      </w:pP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pStyle w:val="A1StandEndabst"/>
              <w:spacing w:after="0"/>
              <w:rPr>
                <w:b/>
                <w:noProof/>
              </w:rPr>
            </w:pPr>
            <w:r>
              <w:rPr>
                <w:b/>
                <w:noProof/>
              </w:rPr>
              <w:t>Recommendations:</w:t>
            </w:r>
          </w:p>
          <w:p w:rsidR="00940A9C" w:rsidRDefault="007B1A4E">
            <w:pPr>
              <w:pStyle w:val="A1StandEndabst"/>
              <w:numPr>
                <w:ilvl w:val="0"/>
                <w:numId w:val="48"/>
              </w:numPr>
              <w:spacing w:after="0"/>
              <w:rPr>
                <w:noProof/>
              </w:rPr>
            </w:pPr>
            <w:r>
              <w:rPr>
                <w:noProof/>
              </w:rPr>
              <w:t>Guidance sh</w:t>
            </w:r>
            <w:r>
              <w:rPr>
                <w:noProof/>
              </w:rPr>
              <w:t>ould be made available to help the MS with their reporting.</w:t>
            </w:r>
          </w:p>
          <w:p w:rsidR="00940A9C" w:rsidRDefault="007B1A4E">
            <w:pPr>
              <w:pStyle w:val="A1StandEndabst"/>
              <w:numPr>
                <w:ilvl w:val="0"/>
                <w:numId w:val="48"/>
              </w:numPr>
              <w:spacing w:after="0"/>
              <w:rPr>
                <w:noProof/>
              </w:rPr>
            </w:pPr>
            <w:r>
              <w:rPr>
                <w:noProof/>
              </w:rPr>
              <w:t>Better complementarity should be ensured between the Infosys and the AIR.</w:t>
            </w:r>
          </w:p>
          <w:p w:rsidR="00940A9C" w:rsidRDefault="007B1A4E">
            <w:pPr>
              <w:pStyle w:val="A1StandEndabst"/>
              <w:numPr>
                <w:ilvl w:val="0"/>
                <w:numId w:val="48"/>
              </w:numPr>
              <w:spacing w:after="0"/>
              <w:rPr>
                <w:noProof/>
              </w:rPr>
            </w:pPr>
            <w:r>
              <w:rPr>
                <w:noProof/>
              </w:rPr>
              <w:t>Reporting on financial implementation should be aligned between the Funds.</w:t>
            </w:r>
          </w:p>
        </w:tc>
      </w:tr>
    </w:tbl>
    <w:p w:rsidR="00940A9C" w:rsidRDefault="00940A9C">
      <w:pPr>
        <w:pStyle w:val="A1StandEndabst"/>
        <w:spacing w:after="0"/>
        <w:rPr>
          <w:b/>
          <w:noProof/>
        </w:rPr>
      </w:pPr>
    </w:p>
    <w:p w:rsidR="00940A9C" w:rsidRDefault="00940A9C">
      <w:pPr>
        <w:pStyle w:val="A1StandEndabst"/>
        <w:spacing w:after="0"/>
        <w:rPr>
          <w:b/>
          <w:noProof/>
        </w:rPr>
      </w:pPr>
    </w:p>
    <w:p w:rsidR="00940A9C" w:rsidRDefault="00940A9C">
      <w:pPr>
        <w:pStyle w:val="A1StandEndabst"/>
        <w:spacing w:after="0"/>
        <w:rPr>
          <w:b/>
          <w:noProof/>
        </w:rPr>
      </w:pPr>
    </w:p>
    <w:p w:rsidR="00940A9C" w:rsidRDefault="007B1A4E">
      <w:pPr>
        <w:pStyle w:val="Heading2"/>
        <w:rPr>
          <w:noProof/>
        </w:rPr>
      </w:pPr>
      <w:bookmarkStart w:id="38" w:name="_Toc496537486"/>
      <w:r>
        <w:rPr>
          <w:noProof/>
        </w:rPr>
        <w:t>Evaluation Plan</w:t>
      </w:r>
      <w:bookmarkEnd w:id="38"/>
      <w:r>
        <w:rPr>
          <w:noProof/>
        </w:rPr>
        <w:t xml:space="preserve"> </w:t>
      </w:r>
    </w:p>
    <w:p w:rsidR="00940A9C" w:rsidRDefault="00940A9C">
      <w:pPr>
        <w:pStyle w:val="A1StandEndabst"/>
        <w:spacing w:after="0"/>
        <w:rPr>
          <w:noProof/>
        </w:rPr>
      </w:pPr>
    </w:p>
    <w:p w:rsidR="00940A9C" w:rsidRDefault="007B1A4E">
      <w:pPr>
        <w:pStyle w:val="A1StandEndabst"/>
        <w:spacing w:after="0"/>
        <w:rPr>
          <w:noProof/>
        </w:rPr>
      </w:pPr>
      <w:r>
        <w:rPr>
          <w:noProof/>
        </w:rPr>
        <w:t>The Evaluation Plans vary</w:t>
      </w:r>
      <w:r>
        <w:rPr>
          <w:noProof/>
        </w:rPr>
        <w:t xml:space="preserve"> in length, detail and quality, and often present only the minimum information required. The MAs gave priority to other sections of the OP and the Evaluation Plans were sometimes overlooked and drafted rapidly. The budget earmarked for evaluations varies s</w:t>
      </w:r>
      <w:r>
        <w:rPr>
          <w:noProof/>
        </w:rPr>
        <w:t>ubstantially, reflecting proportionality of treatment: MS with numerous regions have a significantly higher budget for evaluation purposes than MS with only a small EMFF OP and smaller or no regional divisions.</w:t>
      </w:r>
    </w:p>
    <w:p w:rsidR="00940A9C" w:rsidRDefault="00940A9C">
      <w:pPr>
        <w:pStyle w:val="A1StandEndabst"/>
        <w:spacing w:after="0"/>
        <w:rPr>
          <w:noProof/>
        </w:rPr>
      </w:pP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pStyle w:val="A1StandEndabst"/>
              <w:spacing w:after="0"/>
              <w:rPr>
                <w:b/>
                <w:noProof/>
              </w:rPr>
            </w:pPr>
            <w:r>
              <w:rPr>
                <w:b/>
                <w:noProof/>
              </w:rPr>
              <w:t>Recommendations:</w:t>
            </w:r>
          </w:p>
          <w:p w:rsidR="00940A9C" w:rsidRDefault="007B1A4E">
            <w:pPr>
              <w:pStyle w:val="A1StandEndabst"/>
              <w:numPr>
                <w:ilvl w:val="0"/>
                <w:numId w:val="43"/>
              </w:numPr>
              <w:spacing w:after="0"/>
              <w:rPr>
                <w:noProof/>
              </w:rPr>
            </w:pPr>
            <w:r>
              <w:rPr>
                <w:noProof/>
              </w:rPr>
              <w:t>The Evaluation Plan include</w:t>
            </w:r>
            <w:r>
              <w:rPr>
                <w:noProof/>
              </w:rPr>
              <w:t>d in the OP should only emphasise the governance of the evaluation process, provide basic time planning and indicative resource allocation.</w:t>
            </w:r>
          </w:p>
          <w:p w:rsidR="00940A9C" w:rsidRDefault="007B1A4E">
            <w:pPr>
              <w:pStyle w:val="A1StandEndabst"/>
              <w:numPr>
                <w:ilvl w:val="0"/>
                <w:numId w:val="43"/>
              </w:numPr>
              <w:rPr>
                <w:noProof/>
              </w:rPr>
            </w:pPr>
            <w:r>
              <w:rPr>
                <w:noProof/>
              </w:rPr>
              <w:t>To maintain flexibility and avoid numerous OP modifications, more detailed planning should be left for a later stage</w:t>
            </w:r>
            <w:r>
              <w:rPr>
                <w:noProof/>
              </w:rPr>
              <w:t>, using updated plans adopted by the Monitoring Committee as it is the case for the other ESIF.</w:t>
            </w:r>
          </w:p>
        </w:tc>
      </w:tr>
    </w:tbl>
    <w:p w:rsidR="00940A9C" w:rsidRDefault="00940A9C">
      <w:pPr>
        <w:pStyle w:val="A1StandEndabst"/>
        <w:spacing w:after="0"/>
        <w:rPr>
          <w:noProof/>
        </w:rPr>
      </w:pPr>
    </w:p>
    <w:p w:rsidR="00940A9C" w:rsidRDefault="00940A9C">
      <w:pPr>
        <w:pStyle w:val="A1StandEndabst"/>
        <w:spacing w:after="0"/>
        <w:rPr>
          <w:noProof/>
        </w:rPr>
      </w:pPr>
    </w:p>
    <w:p w:rsidR="00940A9C" w:rsidRDefault="007B1A4E">
      <w:pPr>
        <w:pStyle w:val="Heading2"/>
        <w:rPr>
          <w:noProof/>
        </w:rPr>
      </w:pPr>
      <w:bookmarkStart w:id="39" w:name="_Toc496537487"/>
      <w:r>
        <w:rPr>
          <w:noProof/>
        </w:rPr>
        <w:t>Evaluations</w:t>
      </w:r>
      <w:bookmarkEnd w:id="39"/>
    </w:p>
    <w:p w:rsidR="00940A9C" w:rsidRDefault="00940A9C">
      <w:pPr>
        <w:pStyle w:val="A1StandEndabst"/>
        <w:spacing w:after="0"/>
        <w:rPr>
          <w:noProof/>
        </w:rPr>
      </w:pPr>
    </w:p>
    <w:p w:rsidR="00940A9C" w:rsidRDefault="007B1A4E">
      <w:pPr>
        <w:spacing w:after="240"/>
        <w:rPr>
          <w:noProof/>
        </w:rPr>
      </w:pPr>
      <w:r>
        <w:rPr>
          <w:noProof/>
        </w:rPr>
        <w:t>In April 2017, the majority of the MS had yet to start evaluations, as they considered that the level of implementation was too low to provide a</w:t>
      </w:r>
      <w:r>
        <w:rPr>
          <w:noProof/>
        </w:rPr>
        <w:t xml:space="preserve"> basis for substantial evaluation results.</w:t>
      </w:r>
      <w:r>
        <w:rPr>
          <w:noProof/>
          <w:lang w:eastAsia="en-US"/>
        </w:rPr>
        <w:t xml:space="preserve"> It is therefore too early to draw conclusions on this component of the CMES.</w:t>
      </w:r>
    </w:p>
    <w:p w:rsidR="00940A9C" w:rsidRDefault="007B1A4E">
      <w:pPr>
        <w:pStyle w:val="A1StandEndabst"/>
        <w:spacing w:after="0"/>
        <w:rPr>
          <w:noProof/>
        </w:rPr>
      </w:pPr>
      <w:r>
        <w:rPr>
          <w:noProof/>
        </w:rPr>
        <w:t>The process of the ex-ante evaluation is presented in the OPs but in a very synthetic way which might need to be improved. The ex-ante e</w:t>
      </w:r>
      <w:r>
        <w:rPr>
          <w:noProof/>
        </w:rPr>
        <w:t>valuation teams have generally not been involved in the negotiation phase of the OPs or their finalisation and were not able to provide an assessment of the final version of the OP.</w:t>
      </w:r>
    </w:p>
    <w:p w:rsidR="00940A9C" w:rsidRDefault="00940A9C">
      <w:pPr>
        <w:pStyle w:val="A1StandEndabst"/>
        <w:spacing w:after="0"/>
        <w:rPr>
          <w:noProof/>
        </w:rPr>
      </w:pPr>
    </w:p>
    <w:p w:rsidR="00940A9C" w:rsidRDefault="007B1A4E">
      <w:pPr>
        <w:pStyle w:val="A1StandEndabst"/>
        <w:spacing w:after="0"/>
        <w:rPr>
          <w:noProof/>
        </w:rPr>
      </w:pPr>
      <w:r>
        <w:rPr>
          <w:noProof/>
        </w:rPr>
        <w:t>A specific issue with evaluation of the EMFF is the difficulty to find ev</w:t>
      </w:r>
      <w:r>
        <w:rPr>
          <w:noProof/>
        </w:rPr>
        <w:t>aluators with the right expertise in both fisheries and evaluation methodologies: this can only be found in a team of individuals with complementary skills.</w:t>
      </w:r>
    </w:p>
    <w:p w:rsidR="00940A9C" w:rsidRDefault="00940A9C">
      <w:pPr>
        <w:pStyle w:val="A1StandEndabst"/>
        <w:spacing w:after="0"/>
        <w:rPr>
          <w:noProof/>
        </w:rPr>
      </w:pPr>
    </w:p>
    <w:p w:rsidR="00940A9C" w:rsidRDefault="007B1A4E">
      <w:pPr>
        <w:pStyle w:val="A1StandEndabst"/>
        <w:spacing w:after="0"/>
        <w:rPr>
          <w:noProof/>
        </w:rPr>
      </w:pPr>
      <w:r>
        <w:rPr>
          <w:noProof/>
        </w:rPr>
        <w:t>Guidance is also needed to support the MS when undertaking effectiveness or impact evaluations. Th</w:t>
      </w:r>
      <w:r>
        <w:rPr>
          <w:noProof/>
        </w:rPr>
        <w:t>is will be especially important when the Commission will undertake the ex-post evaluation which should be based on a set of robust national evaluations.</w:t>
      </w:r>
    </w:p>
    <w:p w:rsidR="00940A9C" w:rsidRDefault="00940A9C">
      <w:pPr>
        <w:pStyle w:val="A1StandEndabst"/>
        <w:spacing w:after="0"/>
        <w:rPr>
          <w:noProof/>
        </w:rPr>
      </w:pP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pStyle w:val="A1StandEndabst"/>
              <w:spacing w:after="0"/>
              <w:rPr>
                <w:b/>
                <w:noProof/>
              </w:rPr>
            </w:pPr>
            <w:r>
              <w:rPr>
                <w:b/>
                <w:noProof/>
              </w:rPr>
              <w:t>Recommendations:</w:t>
            </w:r>
          </w:p>
          <w:p w:rsidR="00940A9C" w:rsidRDefault="007B1A4E">
            <w:pPr>
              <w:pStyle w:val="A1StandEndabst"/>
              <w:numPr>
                <w:ilvl w:val="0"/>
                <w:numId w:val="43"/>
              </w:numPr>
              <w:spacing w:after="0"/>
              <w:rPr>
                <w:noProof/>
              </w:rPr>
            </w:pPr>
            <w:r>
              <w:rPr>
                <w:noProof/>
              </w:rPr>
              <w:t xml:space="preserve">Guidance on the ex-ante evaluation should be more detailed and include a definition </w:t>
            </w:r>
            <w:r>
              <w:rPr>
                <w:noProof/>
              </w:rPr>
              <w:t>of the role of the ex-ante evaluators in the finalisation of the OP.</w:t>
            </w:r>
          </w:p>
          <w:p w:rsidR="00940A9C" w:rsidRDefault="007B1A4E">
            <w:pPr>
              <w:pStyle w:val="A1StandEndabst"/>
              <w:numPr>
                <w:ilvl w:val="0"/>
                <w:numId w:val="43"/>
              </w:numPr>
              <w:spacing w:after="0"/>
              <w:rPr>
                <w:noProof/>
              </w:rPr>
            </w:pPr>
            <w:r>
              <w:rPr>
                <w:noProof/>
              </w:rPr>
              <w:t>MS should seek to combine the different types of expertise required in an ad-hoc team of evaluators</w:t>
            </w:r>
          </w:p>
          <w:p w:rsidR="00940A9C" w:rsidRDefault="007B1A4E">
            <w:pPr>
              <w:pStyle w:val="A1StandEndabst"/>
              <w:numPr>
                <w:ilvl w:val="0"/>
                <w:numId w:val="43"/>
              </w:numPr>
              <w:spacing w:after="0"/>
              <w:rPr>
                <w:noProof/>
              </w:rPr>
            </w:pPr>
            <w:r>
              <w:rPr>
                <w:noProof/>
              </w:rPr>
              <w:t>Methodological framing on evaluation should be made available rapidly.</w:t>
            </w:r>
          </w:p>
        </w:tc>
      </w:tr>
    </w:tbl>
    <w:p w:rsidR="00940A9C" w:rsidRDefault="00940A9C">
      <w:pPr>
        <w:pStyle w:val="A1StandEndabst"/>
        <w:spacing w:after="0"/>
        <w:rPr>
          <w:noProof/>
        </w:rPr>
      </w:pPr>
    </w:p>
    <w:p w:rsidR="00940A9C" w:rsidRDefault="00940A9C">
      <w:pPr>
        <w:pStyle w:val="A1StandEndabst"/>
        <w:spacing w:after="0"/>
        <w:rPr>
          <w:noProof/>
        </w:rPr>
      </w:pPr>
    </w:p>
    <w:p w:rsidR="00940A9C" w:rsidRDefault="00940A9C">
      <w:pPr>
        <w:pStyle w:val="A1StandEndabst"/>
        <w:spacing w:after="0"/>
        <w:rPr>
          <w:noProof/>
        </w:rPr>
      </w:pPr>
    </w:p>
    <w:p w:rsidR="00940A9C" w:rsidRDefault="007B1A4E">
      <w:pPr>
        <w:pStyle w:val="Heading2"/>
        <w:rPr>
          <w:noProof/>
        </w:rPr>
      </w:pPr>
      <w:bookmarkStart w:id="40" w:name="_Toc496537488"/>
      <w:r>
        <w:rPr>
          <w:noProof/>
        </w:rPr>
        <w:t xml:space="preserve">Performance </w:t>
      </w:r>
      <w:r>
        <w:rPr>
          <w:noProof/>
        </w:rPr>
        <w:t>Framework</w:t>
      </w:r>
      <w:bookmarkEnd w:id="40"/>
    </w:p>
    <w:p w:rsidR="00940A9C" w:rsidRDefault="00940A9C">
      <w:pPr>
        <w:pStyle w:val="A1StandEndabst"/>
        <w:spacing w:after="0"/>
        <w:rPr>
          <w:noProof/>
        </w:rPr>
      </w:pPr>
    </w:p>
    <w:p w:rsidR="00940A9C" w:rsidRDefault="007B1A4E">
      <w:pPr>
        <w:pStyle w:val="A1StandEndabst"/>
        <w:spacing w:after="0"/>
        <w:rPr>
          <w:noProof/>
        </w:rPr>
      </w:pPr>
      <w:r>
        <w:rPr>
          <w:noProof/>
        </w:rPr>
        <w:t>Output indicators in the Performance Framework have to be wisely defined in order to avoid misunderstandings: output indicators are mainly the number of operations selected under certain measures, a number which can be influenced by external fac</w:t>
      </w:r>
      <w:r>
        <w:rPr>
          <w:noProof/>
        </w:rPr>
        <w:t xml:space="preserve">tors. </w:t>
      </w:r>
    </w:p>
    <w:p w:rsidR="00940A9C" w:rsidRDefault="00940A9C">
      <w:pPr>
        <w:pStyle w:val="A1StandEndabst"/>
        <w:spacing w:after="0"/>
        <w:rPr>
          <w:noProof/>
        </w:rPr>
      </w:pPr>
    </w:p>
    <w:p w:rsidR="00940A9C" w:rsidRDefault="007B1A4E">
      <w:pPr>
        <w:pStyle w:val="A1StandEndabst"/>
        <w:spacing w:after="0"/>
        <w:rPr>
          <w:noProof/>
        </w:rPr>
      </w:pPr>
      <w:r>
        <w:rPr>
          <w:noProof/>
        </w:rPr>
        <w:t xml:space="preserve">The calculation method used for the financial indicators is defined in the CPR, but raised many questions from the MS. This is probably reflecting the different terminology and reporting methods applied by the different Funds. </w:t>
      </w:r>
    </w:p>
    <w:p w:rsidR="00940A9C" w:rsidRDefault="00940A9C">
      <w:pPr>
        <w:pStyle w:val="A1StandEndabst"/>
        <w:spacing w:after="0"/>
        <w:rPr>
          <w:noProof/>
        </w:rPr>
      </w:pPr>
    </w:p>
    <w:tbl>
      <w:tblPr>
        <w:tblStyle w:val="TableGrid"/>
        <w:tblW w:w="0" w:type="auto"/>
        <w:tblLook w:val="04A0" w:firstRow="1" w:lastRow="0" w:firstColumn="1" w:lastColumn="0" w:noHBand="0" w:noVBand="1"/>
      </w:tblPr>
      <w:tblGrid>
        <w:gridCol w:w="9242"/>
      </w:tblGrid>
      <w:tr w:rsidR="00940A9C">
        <w:tc>
          <w:tcPr>
            <w:tcW w:w="9242" w:type="dxa"/>
          </w:tcPr>
          <w:p w:rsidR="00940A9C" w:rsidRDefault="007B1A4E">
            <w:pPr>
              <w:pStyle w:val="A1StandEndabst"/>
              <w:spacing w:after="0"/>
              <w:rPr>
                <w:b/>
                <w:noProof/>
              </w:rPr>
            </w:pPr>
            <w:r>
              <w:rPr>
                <w:b/>
                <w:noProof/>
              </w:rPr>
              <w:t>Recommendations:</w:t>
            </w:r>
          </w:p>
          <w:p w:rsidR="00940A9C" w:rsidRDefault="007B1A4E">
            <w:pPr>
              <w:pStyle w:val="A1StandEndabst"/>
              <w:numPr>
                <w:ilvl w:val="0"/>
                <w:numId w:val="43"/>
              </w:numPr>
              <w:spacing w:after="0"/>
              <w:rPr>
                <w:noProof/>
              </w:rPr>
            </w:pPr>
            <w:r>
              <w:rPr>
                <w:noProof/>
              </w:rPr>
              <w:t>Th</w:t>
            </w:r>
            <w:r>
              <w:rPr>
                <w:noProof/>
              </w:rPr>
              <w:t>e financial indicators should be similar and comparable throughout all ESIF.</w:t>
            </w:r>
          </w:p>
          <w:p w:rsidR="00940A9C" w:rsidRDefault="007B1A4E">
            <w:pPr>
              <w:pStyle w:val="A1StandEndabst"/>
              <w:numPr>
                <w:ilvl w:val="0"/>
                <w:numId w:val="43"/>
              </w:numPr>
              <w:spacing w:after="0"/>
              <w:rPr>
                <w:noProof/>
              </w:rPr>
            </w:pPr>
            <w:r>
              <w:rPr>
                <w:noProof/>
              </w:rPr>
              <w:t xml:space="preserve">The use of output indicators should be better assessed </w:t>
            </w:r>
          </w:p>
          <w:p w:rsidR="00940A9C" w:rsidRDefault="007B1A4E">
            <w:pPr>
              <w:pStyle w:val="A1StandEndabst"/>
              <w:numPr>
                <w:ilvl w:val="0"/>
                <w:numId w:val="43"/>
              </w:numPr>
              <w:spacing w:after="0"/>
              <w:rPr>
                <w:noProof/>
              </w:rPr>
            </w:pPr>
            <w:r>
              <w:rPr>
                <w:noProof/>
              </w:rPr>
              <w:t>It might be useful to complement the Performance Framework by explanations.</w:t>
            </w:r>
          </w:p>
        </w:tc>
      </w:tr>
    </w:tbl>
    <w:p w:rsidR="00940A9C" w:rsidRDefault="00940A9C">
      <w:pPr>
        <w:pStyle w:val="A1StandEndabst"/>
        <w:spacing w:after="0"/>
        <w:rPr>
          <w:noProof/>
        </w:rPr>
      </w:pPr>
    </w:p>
    <w:p w:rsidR="00940A9C" w:rsidRDefault="007B1A4E">
      <w:pPr>
        <w:pStyle w:val="Heading1"/>
        <w:rPr>
          <w:noProof/>
          <w:lang w:val="en-GB"/>
        </w:rPr>
      </w:pPr>
      <w:bookmarkStart w:id="41" w:name="_Toc496537489"/>
      <w:r>
        <w:rPr>
          <w:noProof/>
          <w:lang w:val="en-GB"/>
        </w:rPr>
        <w:t>Conclusion: are the objectives of the CMES go</w:t>
      </w:r>
      <w:r>
        <w:rPr>
          <w:noProof/>
          <w:lang w:val="en-GB"/>
        </w:rPr>
        <w:t>ing to be achieved?</w:t>
      </w:r>
      <w:bookmarkEnd w:id="41"/>
    </w:p>
    <w:p w:rsidR="00940A9C" w:rsidRDefault="007B1A4E">
      <w:pPr>
        <w:pStyle w:val="A1StandEndabst"/>
        <w:spacing w:after="0"/>
        <w:rPr>
          <w:noProof/>
        </w:rPr>
      </w:pPr>
      <w:r>
        <w:rPr>
          <w:noProof/>
        </w:rPr>
        <w:t>The present stock-taking report indicates that progress is being made towards the four objectives of the CMES but that further work is still required to achieve them fully.</w:t>
      </w:r>
    </w:p>
    <w:p w:rsidR="00940A9C" w:rsidRDefault="00940A9C">
      <w:pPr>
        <w:pStyle w:val="A1StandEndabst"/>
        <w:spacing w:after="0"/>
        <w:rPr>
          <w:noProof/>
        </w:rPr>
      </w:pPr>
    </w:p>
    <w:p w:rsidR="00940A9C" w:rsidRDefault="007B1A4E">
      <w:pPr>
        <w:rPr>
          <w:noProof/>
        </w:rPr>
      </w:pPr>
      <w:r>
        <w:rPr>
          <w:noProof/>
        </w:rPr>
        <w:t>The CMES has been designed to assess the progress in the implementation of the EMFF and support decision-making in this respect at both national and EU levels. The use of common indicators and the new monitoring system provide a robust set of data which ca</w:t>
      </w:r>
      <w:r>
        <w:rPr>
          <w:noProof/>
        </w:rPr>
        <w:t xml:space="preserve">n be used for monitoring purpose but also for decision-making. Despite a series of small shortcomings and issues at different levels that have prevented an optimal functioning of the system in the initial stages, problems were identified and solved one by </w:t>
      </w:r>
      <w:r>
        <w:rPr>
          <w:noProof/>
        </w:rPr>
        <w:t xml:space="preserve">one in cooperation with the MS. </w:t>
      </w:r>
    </w:p>
    <w:p w:rsidR="00940A9C" w:rsidRDefault="00940A9C">
      <w:pPr>
        <w:rPr>
          <w:noProof/>
        </w:rPr>
      </w:pPr>
    </w:p>
    <w:p w:rsidR="00940A9C" w:rsidRDefault="007B1A4E">
      <w:pPr>
        <w:rPr>
          <w:noProof/>
        </w:rPr>
      </w:pPr>
      <w:r>
        <w:rPr>
          <w:noProof/>
        </w:rPr>
        <w:t>The cumulative data on operations supplied by MS via Infosys reporting provides a "dashboard" allowing the Commission and the MS to better monitor the progress in implementation of the EMFF. It also allows the Commission t</w:t>
      </w:r>
      <w:r>
        <w:rPr>
          <w:noProof/>
        </w:rPr>
        <w:t xml:space="preserve">o draw conclusions at EU, sea-basin and cross-MS level, and has already proved very useful to support decision-making.  </w:t>
      </w:r>
    </w:p>
    <w:p w:rsidR="00940A9C" w:rsidRDefault="00940A9C">
      <w:pPr>
        <w:pStyle w:val="A1StandEndabst"/>
        <w:spacing w:after="0"/>
        <w:rPr>
          <w:noProof/>
        </w:rPr>
      </w:pPr>
    </w:p>
    <w:p w:rsidR="00940A9C" w:rsidRDefault="007B1A4E">
      <w:pPr>
        <w:pStyle w:val="A1StandEndabst"/>
        <w:spacing w:after="0"/>
        <w:rPr>
          <w:noProof/>
        </w:rPr>
      </w:pPr>
      <w:r>
        <w:rPr>
          <w:noProof/>
        </w:rPr>
        <w:t>The current set-up of the CMES provides useful data for assessing its contribution to the development of the fisheries sector and to t</w:t>
      </w:r>
      <w:r>
        <w:rPr>
          <w:noProof/>
        </w:rPr>
        <w:t xml:space="preserve">he objectives of EU 2020 as translated in the Thematic Objectives. However, further research and analysis might be required when it comes to assessing the contribution of the EMFF to priorities related to the Common Fisheries Policy or to Maritime Policy, </w:t>
      </w:r>
      <w:r>
        <w:rPr>
          <w:noProof/>
        </w:rPr>
        <w:t xml:space="preserve">such as the implementation of the landing obligation or the fight against marine litter. Taking cost-effectiveness and the need for proportionality into account it would help if a future CMES would include indicators that are more closely related to these </w:t>
      </w:r>
      <w:r>
        <w:rPr>
          <w:noProof/>
        </w:rPr>
        <w:t xml:space="preserve">policies. </w:t>
      </w:r>
    </w:p>
    <w:p w:rsidR="00940A9C" w:rsidRDefault="00940A9C">
      <w:pPr>
        <w:pStyle w:val="A1StandEndabst"/>
        <w:spacing w:after="0"/>
        <w:rPr>
          <w:noProof/>
        </w:rPr>
      </w:pPr>
    </w:p>
    <w:p w:rsidR="00940A9C" w:rsidRDefault="007B1A4E">
      <w:pPr>
        <w:pStyle w:val="A1StandEndabst"/>
        <w:spacing w:after="0"/>
        <w:rPr>
          <w:noProof/>
        </w:rPr>
      </w:pPr>
      <w:r>
        <w:rPr>
          <w:noProof/>
        </w:rPr>
        <w:t>The objective of fostering a common learning process involving the Commission and the MS has been central to the development of the system from day one. Every element has been discussed extensively with the MS and the FAME Support Unit has been</w:t>
      </w:r>
      <w:r>
        <w:rPr>
          <w:noProof/>
        </w:rPr>
        <w:t xml:space="preserve"> put in place in order to reinforce this dimension. </w:t>
      </w:r>
    </w:p>
    <w:p w:rsidR="00940A9C" w:rsidRDefault="00940A9C">
      <w:pPr>
        <w:pStyle w:val="A1StandEndabst"/>
        <w:spacing w:after="0"/>
        <w:rPr>
          <w:noProof/>
        </w:rPr>
      </w:pPr>
    </w:p>
    <w:p w:rsidR="00940A9C" w:rsidRDefault="007B1A4E">
      <w:pPr>
        <w:rPr>
          <w:noProof/>
          <w:highlight w:val="yellow"/>
        </w:rPr>
      </w:pPr>
      <w:r>
        <w:rPr>
          <w:noProof/>
        </w:rPr>
        <w:t>Lastly, evaluations have not yet been finalised due to the delay in the implementation of the EMFF. A working paper is currently being developed that will provide Member States with guidance and explana</w:t>
      </w:r>
      <w:r>
        <w:rPr>
          <w:noProof/>
        </w:rPr>
        <w:t xml:space="preserve">tions for their evaluations, which should start in 2018. Common indicators and Infosys data should be of great help to obtain robust evaluations in the near future. </w:t>
      </w:r>
    </w:p>
    <w:p w:rsidR="00940A9C" w:rsidRDefault="00940A9C">
      <w:pPr>
        <w:autoSpaceDE w:val="0"/>
        <w:autoSpaceDN w:val="0"/>
        <w:adjustRightInd w:val="0"/>
        <w:spacing w:line="240" w:lineRule="auto"/>
        <w:jc w:val="left"/>
        <w:rPr>
          <w:noProof/>
          <w:sz w:val="22"/>
        </w:rPr>
      </w:pPr>
    </w:p>
    <w:sectPr w:rsidR="00940A9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9C" w:rsidRDefault="007B1A4E">
      <w:pPr>
        <w:spacing w:line="240" w:lineRule="auto"/>
      </w:pPr>
      <w:r>
        <w:separator/>
      </w:r>
    </w:p>
    <w:p w:rsidR="00940A9C" w:rsidRDefault="00940A9C"/>
  </w:endnote>
  <w:endnote w:type="continuationSeparator" w:id="0">
    <w:p w:rsidR="00940A9C" w:rsidRDefault="007B1A4E">
      <w:pPr>
        <w:spacing w:line="240" w:lineRule="auto"/>
      </w:pPr>
      <w:r>
        <w:continuationSeparator/>
      </w:r>
    </w:p>
    <w:p w:rsidR="00940A9C" w:rsidRDefault="00940A9C"/>
  </w:endnote>
  <w:endnote w:type="continuationNotice" w:id="1">
    <w:p w:rsidR="00940A9C" w:rsidRDefault="00940A9C">
      <w:pPr>
        <w:spacing w:line="240" w:lineRule="auto"/>
      </w:pPr>
    </w:p>
    <w:p w:rsidR="00940A9C" w:rsidRDefault="00940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4E" w:rsidRPr="007B1A4E" w:rsidRDefault="007B1A4E" w:rsidP="007B1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Pr="007B1A4E" w:rsidRDefault="007B1A4E" w:rsidP="007B1A4E">
    <w:pPr>
      <w:pStyle w:val="FooterCoverPage"/>
      <w:rPr>
        <w:rFonts w:ascii="Arial" w:hAnsi="Arial" w:cs="Arial"/>
        <w:b/>
        <w:sz w:val="48"/>
      </w:rPr>
    </w:pPr>
    <w:r w:rsidRPr="007B1A4E">
      <w:rPr>
        <w:rFonts w:ascii="Arial" w:hAnsi="Arial" w:cs="Arial"/>
        <w:b/>
        <w:sz w:val="48"/>
      </w:rPr>
      <w:t>EN</w:t>
    </w:r>
    <w:r w:rsidRPr="007B1A4E">
      <w:rPr>
        <w:rFonts w:ascii="Arial" w:hAnsi="Arial" w:cs="Arial"/>
        <w:b/>
        <w:sz w:val="48"/>
      </w:rPr>
      <w:tab/>
    </w:r>
    <w:r w:rsidRPr="007B1A4E">
      <w:rPr>
        <w:rFonts w:ascii="Arial" w:hAnsi="Arial" w:cs="Arial"/>
        <w:b/>
        <w:sz w:val="48"/>
      </w:rPr>
      <w:tab/>
    </w:r>
    <w:r w:rsidRPr="007B1A4E">
      <w:tab/>
    </w:r>
    <w:proofErr w:type="spellStart"/>
    <w:r w:rsidRPr="007B1A4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4E" w:rsidRPr="007B1A4E" w:rsidRDefault="007B1A4E" w:rsidP="007B1A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Default="00940A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196171"/>
      <w:docPartObj>
        <w:docPartGallery w:val="Page Numbers (Bottom of Page)"/>
        <w:docPartUnique/>
      </w:docPartObj>
    </w:sdtPr>
    <w:sdtEndPr>
      <w:rPr>
        <w:noProof/>
      </w:rPr>
    </w:sdtEndPr>
    <w:sdtContent>
      <w:p w:rsidR="00940A9C" w:rsidRDefault="007B1A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40A9C" w:rsidRDefault="00940A9C">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Default="00940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9C" w:rsidRDefault="007B1A4E">
      <w:pPr>
        <w:spacing w:line="240" w:lineRule="auto"/>
      </w:pPr>
      <w:r>
        <w:separator/>
      </w:r>
    </w:p>
    <w:p w:rsidR="00940A9C" w:rsidRDefault="00940A9C"/>
  </w:footnote>
  <w:footnote w:type="continuationSeparator" w:id="0">
    <w:p w:rsidR="00940A9C" w:rsidRDefault="007B1A4E">
      <w:pPr>
        <w:spacing w:line="240" w:lineRule="auto"/>
      </w:pPr>
      <w:r>
        <w:continuationSeparator/>
      </w:r>
    </w:p>
    <w:p w:rsidR="00940A9C" w:rsidRDefault="00940A9C"/>
  </w:footnote>
  <w:footnote w:type="continuationNotice" w:id="1">
    <w:p w:rsidR="00940A9C" w:rsidRDefault="00940A9C">
      <w:pPr>
        <w:spacing w:line="240" w:lineRule="auto"/>
      </w:pPr>
    </w:p>
    <w:p w:rsidR="00940A9C" w:rsidRDefault="00940A9C"/>
  </w:footnote>
  <w:footnote w:id="2">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Regulation (EU) No. 508/2014 of the European Parliament and of the Council of 15 May 2014 on the European Maritime and Fisheries Fund</w:t>
      </w:r>
    </w:p>
  </w:footnote>
  <w:footnote w:id="3">
    <w:p w:rsidR="00940A9C" w:rsidRDefault="007B1A4E">
      <w:pPr>
        <w:pStyle w:val="FootnoteText"/>
        <w:tabs>
          <w:tab w:val="clear" w:pos="737"/>
          <w:tab w:val="left" w:pos="0"/>
        </w:tabs>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Article 107 of the EMFF Regulation</w:t>
      </w:r>
    </w:p>
  </w:footnote>
  <w:footnote w:id="4">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Article 107(4) of the EMFF Regulation</w:t>
      </w:r>
    </w:p>
  </w:footnote>
  <w:footnote w:id="5">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These are listed in Article 1 of the Commi</w:t>
      </w:r>
      <w:r>
        <w:rPr>
          <w:sz w:val="16"/>
          <w:szCs w:val="16"/>
          <w:lang w:val="en-US"/>
        </w:rPr>
        <w:t>ssion Delegated Regulation (EU) No. 1014/2014.</w:t>
      </w:r>
    </w:p>
  </w:footnote>
  <w:footnote w:id="6">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Articles 18(1)(a) and 116 of the EMFF Regulation</w:t>
      </w:r>
    </w:p>
  </w:footnote>
  <w:footnote w:id="7">
    <w:p w:rsidR="00940A9C" w:rsidRDefault="007B1A4E">
      <w:pPr>
        <w:autoSpaceDE w:val="0"/>
        <w:autoSpaceDN w:val="0"/>
        <w:adjustRightInd w:val="0"/>
        <w:spacing w:after="120" w:line="240" w:lineRule="auto"/>
        <w:rPr>
          <w:sz w:val="16"/>
          <w:szCs w:val="16"/>
        </w:rPr>
      </w:pPr>
      <w:r>
        <w:rPr>
          <w:rStyle w:val="FootnoteReference"/>
          <w:sz w:val="16"/>
          <w:szCs w:val="16"/>
        </w:rPr>
        <w:footnoteRef/>
      </w:r>
      <w:r>
        <w:rPr>
          <w:sz w:val="16"/>
          <w:szCs w:val="16"/>
        </w:rPr>
        <w:t xml:space="preserve"> </w:t>
      </w:r>
      <w:proofErr w:type="gramStart"/>
      <w:r>
        <w:rPr>
          <w:sz w:val="16"/>
          <w:szCs w:val="16"/>
        </w:rPr>
        <w:t>Article 109 of the EMFF Regulation.</w:t>
      </w:r>
      <w:proofErr w:type="gramEnd"/>
      <w:r>
        <w:rPr>
          <w:sz w:val="16"/>
          <w:szCs w:val="16"/>
        </w:rPr>
        <w:t xml:space="preserve"> The list of common indicators is set out in the Annex of Regulation (EU) No. 1014/2014.</w:t>
      </w:r>
    </w:p>
  </w:footnote>
  <w:footnote w:id="8">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 97(1</w:t>
      </w:r>
      <w:proofErr w:type="gramStart"/>
      <w:r>
        <w:rPr>
          <w:sz w:val="16"/>
          <w:szCs w:val="16"/>
          <w:lang w:val="en-GB"/>
        </w:rPr>
        <w:t>)(</w:t>
      </w:r>
      <w:proofErr w:type="gramEnd"/>
      <w:r>
        <w:rPr>
          <w:sz w:val="16"/>
          <w:szCs w:val="16"/>
          <w:lang w:val="en-GB"/>
        </w:rPr>
        <w:t>a) of the EMFF R</w:t>
      </w:r>
      <w:r>
        <w:rPr>
          <w:sz w:val="16"/>
          <w:szCs w:val="16"/>
          <w:lang w:val="en-GB"/>
        </w:rPr>
        <w:t>egulation (Infosys report).</w:t>
      </w:r>
    </w:p>
  </w:footnote>
  <w:footnote w:id="9">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 114 of EMFF Regulation, complementing Article 50 of the Common Provision Regulation (CPR)</w:t>
      </w:r>
    </w:p>
  </w:footnote>
  <w:footnote w:id="10">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 115 of the EMFF Regulation in conjunction with Article 56 of the CPR</w:t>
      </w:r>
    </w:p>
  </w:footnote>
  <w:footnote w:id="11">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 115, 116 and 117 of the EMFF Regulation</w:t>
      </w:r>
      <w:r>
        <w:rPr>
          <w:sz w:val="16"/>
          <w:szCs w:val="16"/>
          <w:lang w:val="en-GB"/>
        </w:rPr>
        <w:t xml:space="preserve"> in conjunction with Articles 55, 56 and 57 of the CPR</w:t>
      </w:r>
    </w:p>
  </w:footnote>
  <w:footnote w:id="12">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 21(1) of Regulation (EU) No. 1303/2013 of the European Parliament and of the Council of 17 December 2013 laying down common provisions on the European Regional Development Fund, the European </w:t>
      </w:r>
      <w:r>
        <w:rPr>
          <w:sz w:val="16"/>
          <w:szCs w:val="16"/>
          <w:lang w:val="en-GB"/>
        </w:rPr>
        <w:t xml:space="preserve">Social Fund, The Cohesion Fund, the European Agricultural Fund for Rural Development and the European Maritime and Fisheries Fund and laying down general provisions on European Regional Development Fund, the European Social Fund, The Cohesion Fund and the </w:t>
      </w:r>
      <w:r>
        <w:rPr>
          <w:sz w:val="16"/>
          <w:szCs w:val="16"/>
          <w:lang w:val="en-GB"/>
        </w:rPr>
        <w:t>European Maritime and Fisheries Fund and repealing Council Regulation (EC) No 1083/2006.</w:t>
      </w:r>
    </w:p>
  </w:footnote>
  <w:footnote w:id="13">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See documents and report on these meeting here: </w:t>
      </w:r>
      <w:r>
        <w:fldChar w:fldCharType="begin"/>
      </w:r>
      <w:r w:rsidRPr="007B1A4E">
        <w:rPr>
          <w:lang w:val="en-GB"/>
        </w:rPr>
        <w:instrText xml:space="preserve"> HYPERLINK "https://ec.europa.eu/fisheries/cfp/emff_en" </w:instrText>
      </w:r>
      <w:r>
        <w:fldChar w:fldCharType="separate"/>
      </w:r>
      <w:r>
        <w:rPr>
          <w:rStyle w:val="Hyperlink"/>
          <w:sz w:val="16"/>
          <w:szCs w:val="16"/>
          <w:lang w:val="en-US"/>
        </w:rPr>
        <w:t>https://ec.europa.eu/fisheries/cfp/emff_en</w:t>
      </w:r>
      <w:r>
        <w:rPr>
          <w:rStyle w:val="Hyperlink"/>
          <w:sz w:val="16"/>
          <w:szCs w:val="16"/>
          <w:lang w:val="en-US"/>
        </w:rPr>
        <w:fldChar w:fldCharType="end"/>
      </w:r>
    </w:p>
  </w:footnote>
  <w:footnote w:id="14">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FAME's activities are defined in an Annual Work Plan agreed with the Commission. For further information on FAME, please visit </w:t>
      </w:r>
      <w:r>
        <w:fldChar w:fldCharType="begin"/>
      </w:r>
      <w:r w:rsidRPr="007B1A4E">
        <w:rPr>
          <w:lang w:val="en-GB"/>
        </w:rPr>
        <w:instrText xml:space="preserve"> HYPERLINK "https://ec.europa.eu/fisheries/cfp/emff/fame_en" </w:instrText>
      </w:r>
      <w:r>
        <w:fldChar w:fldCharType="separate"/>
      </w:r>
      <w:r>
        <w:rPr>
          <w:rStyle w:val="Hyperlink"/>
          <w:sz w:val="16"/>
          <w:szCs w:val="16"/>
          <w:lang w:val="en-GB"/>
        </w:rPr>
        <w:t>https://ec.europa.eu/fisheries/cfp/emff/fame_en</w:t>
      </w:r>
      <w:r>
        <w:rPr>
          <w:rStyle w:val="Hyperlink"/>
          <w:sz w:val="16"/>
          <w:szCs w:val="16"/>
          <w:lang w:val="en-GB"/>
        </w:rPr>
        <w:fldChar w:fldCharType="end"/>
      </w:r>
    </w:p>
  </w:footnote>
  <w:footnote w:id="15">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Article 18(1</w:t>
      </w:r>
      <w:proofErr w:type="gramStart"/>
      <w:r>
        <w:rPr>
          <w:sz w:val="16"/>
          <w:szCs w:val="16"/>
          <w:lang w:val="en-US"/>
        </w:rPr>
        <w:t>)(</w:t>
      </w:r>
      <w:proofErr w:type="gramEnd"/>
      <w:r>
        <w:rPr>
          <w:sz w:val="16"/>
          <w:szCs w:val="16"/>
          <w:lang w:val="en-US"/>
        </w:rPr>
        <w:t xml:space="preserve">b) and 116 of the EMFF Regulation. </w:t>
      </w:r>
    </w:p>
  </w:footnote>
  <w:footnote w:id="16">
    <w:p w:rsidR="00940A9C" w:rsidRDefault="007B1A4E">
      <w:pPr>
        <w:pStyle w:val="FootnoteText"/>
        <w:spacing w:before="0" w:after="120" w:line="240" w:lineRule="auto"/>
        <w:ind w:left="0" w:right="0" w:firstLine="0"/>
        <w:rPr>
          <w:sz w:val="18"/>
          <w:szCs w:val="18"/>
          <w:lang w:val="en-GB"/>
        </w:rPr>
      </w:pPr>
      <w:r>
        <w:rPr>
          <w:rStyle w:val="FootnoteReference"/>
          <w:sz w:val="16"/>
          <w:szCs w:val="16"/>
        </w:rPr>
        <w:footnoteRef/>
      </w:r>
      <w:r>
        <w:rPr>
          <w:sz w:val="16"/>
          <w:szCs w:val="16"/>
          <w:lang w:val="en-GB"/>
        </w:rPr>
        <w:t xml:space="preserve"> SFC2014 is the structured communication channel between the Commission and the MS. Its main function is the electronic exchange of information concerning shared Fund management between Member States and the European Co</w:t>
      </w:r>
      <w:r>
        <w:rPr>
          <w:sz w:val="16"/>
          <w:szCs w:val="16"/>
          <w:lang w:val="en-GB"/>
        </w:rPr>
        <w:t xml:space="preserve">mmission. See: </w:t>
      </w:r>
      <w:r>
        <w:fldChar w:fldCharType="begin"/>
      </w:r>
      <w:r w:rsidRPr="007B1A4E">
        <w:rPr>
          <w:lang w:val="en-GB"/>
        </w:rPr>
        <w:instrText xml:space="preserve"> HYPERLINK "https://ec.europa.eu/sfc/en/2014/about-sfc2014" </w:instrText>
      </w:r>
      <w:r>
        <w:fldChar w:fldCharType="separate"/>
      </w:r>
      <w:r>
        <w:rPr>
          <w:rStyle w:val="Hyperlink"/>
          <w:sz w:val="16"/>
          <w:szCs w:val="16"/>
          <w:lang w:val="en-GB"/>
        </w:rPr>
        <w:t>https://ec.europa.eu/sfc/en/2014/about-sfc2014</w:t>
      </w:r>
      <w:r>
        <w:rPr>
          <w:rStyle w:val="Hyperlink"/>
          <w:sz w:val="16"/>
          <w:szCs w:val="16"/>
          <w:lang w:val="en-GB"/>
        </w:rPr>
        <w:fldChar w:fldCharType="end"/>
      </w:r>
    </w:p>
  </w:footnote>
  <w:footnote w:id="17">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CDR (EU) No. 1014/2014 defines common Context Indicators, Output Indicators and Result Indicators.</w:t>
      </w:r>
    </w:p>
  </w:footnote>
  <w:footnote w:id="18">
    <w:p w:rsidR="00940A9C" w:rsidRDefault="007B1A4E">
      <w:pPr>
        <w:pStyle w:val="FootnoteText"/>
        <w:spacing w:before="0" w:after="120"/>
        <w:ind w:left="0" w:right="0" w:firstLine="0"/>
        <w:rPr>
          <w:sz w:val="16"/>
          <w:szCs w:val="16"/>
          <w:lang w:val="en-GB"/>
        </w:rPr>
      </w:pPr>
      <w:r>
        <w:rPr>
          <w:rStyle w:val="FootnoteReference"/>
          <w:sz w:val="16"/>
          <w:szCs w:val="16"/>
        </w:rPr>
        <w:footnoteRef/>
      </w:r>
      <w:r>
        <w:rPr>
          <w:sz w:val="16"/>
          <w:szCs w:val="16"/>
          <w:lang w:val="en-GB"/>
        </w:rPr>
        <w:t xml:space="preserve"> A similar Infosys system was</w:t>
      </w:r>
      <w:r>
        <w:rPr>
          <w:sz w:val="16"/>
          <w:szCs w:val="16"/>
          <w:lang w:val="en-GB"/>
        </w:rPr>
        <w:t xml:space="preserve"> established for monitoring the Financial Instrument for Fisheries Guidance (FIFG), covering the 2000-2006 </w:t>
      </w:r>
      <w:proofErr w:type="gramStart"/>
      <w:r>
        <w:rPr>
          <w:sz w:val="16"/>
          <w:szCs w:val="16"/>
          <w:lang w:val="en-GB"/>
        </w:rPr>
        <w:t>period</w:t>
      </w:r>
      <w:proofErr w:type="gramEnd"/>
      <w:r>
        <w:rPr>
          <w:sz w:val="16"/>
          <w:szCs w:val="16"/>
          <w:lang w:val="en-GB"/>
        </w:rPr>
        <w:t>. This system was discontinued under the EFF.</w:t>
      </w:r>
    </w:p>
  </w:footnote>
  <w:footnote w:id="19">
    <w:p w:rsidR="00940A9C" w:rsidRDefault="007B1A4E">
      <w:pPr>
        <w:pStyle w:val="FootnoteText"/>
        <w:spacing w:before="0" w:after="120"/>
        <w:ind w:left="454"/>
        <w:rPr>
          <w:sz w:val="16"/>
          <w:szCs w:val="16"/>
          <w:lang w:val="en-GB"/>
        </w:rPr>
      </w:pPr>
      <w:r>
        <w:rPr>
          <w:rStyle w:val="FootnoteReference"/>
          <w:sz w:val="16"/>
          <w:szCs w:val="16"/>
        </w:rPr>
        <w:footnoteRef/>
      </w:r>
      <w:r>
        <w:rPr>
          <w:sz w:val="16"/>
          <w:szCs w:val="16"/>
          <w:lang w:val="en-GB"/>
        </w:rPr>
        <w:t xml:space="preserve"> In order to limit the administrative burden for the MAs, the system uses information which is a</w:t>
      </w:r>
      <w:r>
        <w:rPr>
          <w:sz w:val="16"/>
          <w:szCs w:val="16"/>
          <w:lang w:val="en-GB"/>
        </w:rPr>
        <w:t>lready available in the MS.</w:t>
      </w:r>
    </w:p>
  </w:footnote>
  <w:footnote w:id="20">
    <w:p w:rsidR="00940A9C" w:rsidRDefault="007B1A4E">
      <w:pPr>
        <w:pStyle w:val="FootnoteText"/>
        <w:spacing w:before="0" w:after="120"/>
        <w:ind w:left="0" w:firstLine="0"/>
        <w:rPr>
          <w:sz w:val="16"/>
          <w:szCs w:val="16"/>
          <w:lang w:val="en-GB"/>
        </w:rPr>
      </w:pPr>
      <w:r>
        <w:rPr>
          <w:rStyle w:val="FootnoteReference"/>
          <w:sz w:val="16"/>
          <w:szCs w:val="16"/>
        </w:rPr>
        <w:footnoteRef/>
      </w:r>
      <w:r>
        <w:rPr>
          <w:sz w:val="16"/>
          <w:szCs w:val="16"/>
          <w:lang w:val="en-GB"/>
        </w:rPr>
        <w:t xml:space="preserve"> Commission Implementing Regulation (EU) No. 1242/2014 of 20 November 2014 laying down rules pursuant to the EMFF Regulation with regard to the presentation of relevant cumulative data on operations and Commission Implementing Regulation (EU) No. 1243/2014</w:t>
      </w:r>
      <w:r>
        <w:rPr>
          <w:sz w:val="16"/>
          <w:szCs w:val="16"/>
          <w:lang w:val="en-GB"/>
        </w:rPr>
        <w:t xml:space="preserve"> of 20 November 2014 on the information to be sent by Member States, as well as data needs and synergies between potential data sources. </w:t>
      </w:r>
    </w:p>
  </w:footnote>
  <w:footnote w:id="21">
    <w:p w:rsidR="00940A9C" w:rsidRDefault="007B1A4E">
      <w:pPr>
        <w:pStyle w:val="A1StandEndabst"/>
        <w:spacing w:after="0"/>
        <w:rPr>
          <w:sz w:val="16"/>
          <w:szCs w:val="16"/>
        </w:rPr>
      </w:pPr>
      <w:r>
        <w:rPr>
          <w:rStyle w:val="FootnoteReference"/>
          <w:sz w:val="16"/>
          <w:szCs w:val="16"/>
        </w:rPr>
        <w:footnoteRef/>
      </w:r>
      <w:r>
        <w:rPr>
          <w:sz w:val="16"/>
          <w:szCs w:val="16"/>
        </w:rPr>
        <w:t xml:space="preserve"> This is established at the level of the CPR by Annex III of Commission Delegated Regulation (EU) No 480/2014 of 3 Ma</w:t>
      </w:r>
      <w:r>
        <w:rPr>
          <w:sz w:val="16"/>
          <w:szCs w:val="16"/>
        </w:rPr>
        <w:t>rch 2014 supplementing Regulation (EU) No 1303/2013 of the European Parliament and of the Council laying down common provisions on the European Regional Development Fund, the European Social Fund, The Cohesion Fund, the European Agricultural Fund for Rural</w:t>
      </w:r>
      <w:r>
        <w:rPr>
          <w:sz w:val="16"/>
          <w:szCs w:val="16"/>
        </w:rPr>
        <w:t xml:space="preserve"> Development and the European Maritime and Fisheries Fund and laying down general provisions on European Regional Development Fund, the European Social Fund, The Cohesion Fund and the European Maritime and Fisheries Fund</w:t>
      </w:r>
    </w:p>
  </w:footnote>
  <w:footnote w:id="22">
    <w:p w:rsidR="00940A9C" w:rsidRDefault="007B1A4E">
      <w:pPr>
        <w:pStyle w:val="FootnoteText"/>
        <w:tabs>
          <w:tab w:val="clear" w:pos="737"/>
          <w:tab w:val="left" w:pos="0"/>
        </w:tabs>
        <w:spacing w:after="120"/>
        <w:ind w:left="0" w:firstLine="0"/>
        <w:rPr>
          <w:lang w:val="en-GB"/>
        </w:rPr>
      </w:pPr>
      <w:r>
        <w:rPr>
          <w:rStyle w:val="FootnoteReference"/>
          <w:sz w:val="16"/>
          <w:szCs w:val="16"/>
        </w:rPr>
        <w:footnoteRef/>
      </w:r>
      <w:r>
        <w:rPr>
          <w:sz w:val="16"/>
          <w:szCs w:val="16"/>
          <w:lang w:val="en-GB"/>
        </w:rPr>
        <w:t xml:space="preserve"> See Article 114 of Regulation 508</w:t>
      </w:r>
      <w:r>
        <w:rPr>
          <w:sz w:val="16"/>
          <w:szCs w:val="16"/>
          <w:lang w:val="en-GB"/>
        </w:rPr>
        <w:t>/2014 and Commission Implementing Regulation 1362/2014 of 18 December 2014 laying down rules on the simplified procedure for the approval of certain amendments to operational programmes financed under the European Maritime and Fisheries Fund and rules conc</w:t>
      </w:r>
      <w:r>
        <w:rPr>
          <w:sz w:val="16"/>
          <w:szCs w:val="16"/>
          <w:lang w:val="en-GB"/>
        </w:rPr>
        <w:t>erning the format and presentation of the annual reports on the implementation of those programmes for the template.</w:t>
      </w:r>
    </w:p>
  </w:footnote>
  <w:footnote w:id="23">
    <w:p w:rsidR="00940A9C" w:rsidRDefault="007B1A4E">
      <w:pPr>
        <w:pStyle w:val="FootnoteText"/>
        <w:spacing w:before="0" w:after="120" w:line="240" w:lineRule="auto"/>
        <w:ind w:left="0" w:right="0" w:firstLine="0"/>
        <w:rPr>
          <w:sz w:val="16"/>
          <w:szCs w:val="16"/>
          <w:lang w:val="en-GB"/>
        </w:rPr>
      </w:pPr>
      <w:r>
        <w:rPr>
          <w:rStyle w:val="FootnoteReference"/>
          <w:sz w:val="16"/>
          <w:szCs w:val="16"/>
        </w:rPr>
        <w:footnoteRef/>
      </w:r>
      <w:r>
        <w:rPr>
          <w:sz w:val="16"/>
          <w:szCs w:val="16"/>
          <w:lang w:val="en-GB"/>
        </w:rPr>
        <w:t xml:space="preserve"> Article 56 (1) of the CPR</w:t>
      </w:r>
    </w:p>
  </w:footnote>
  <w:footnote w:id="24">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A</w:t>
      </w:r>
      <w:r>
        <w:rPr>
          <w:sz w:val="16"/>
          <w:szCs w:val="16"/>
          <w:lang w:val="en-US" w:eastAsia="en-US"/>
        </w:rPr>
        <w:t>rticle 18(1)(j) of the EMFF Regulation, and the OP template in Commission Implementing Regulation (EU) No. 7</w:t>
      </w:r>
      <w:r>
        <w:rPr>
          <w:sz w:val="16"/>
          <w:szCs w:val="16"/>
          <w:lang w:val="en-US" w:eastAsia="en-US"/>
        </w:rPr>
        <w:t xml:space="preserve">71/2014 of 14 July 2014 laying down rules pursuant to Regulation (EU) No 508/2014 of the European Parliament and of the Council on the European Maritime and Fisheries Fund with regard to the model for operational </w:t>
      </w:r>
      <w:proofErr w:type="spellStart"/>
      <w:r>
        <w:rPr>
          <w:sz w:val="16"/>
          <w:szCs w:val="16"/>
          <w:lang w:val="en-US" w:eastAsia="en-US"/>
        </w:rPr>
        <w:t>programmes</w:t>
      </w:r>
      <w:proofErr w:type="spellEnd"/>
      <w:r>
        <w:rPr>
          <w:sz w:val="16"/>
          <w:szCs w:val="16"/>
          <w:lang w:val="en-US" w:eastAsia="en-US"/>
        </w:rPr>
        <w:t xml:space="preserve">, the structure of the plans for </w:t>
      </w:r>
      <w:r>
        <w:rPr>
          <w:sz w:val="16"/>
          <w:szCs w:val="16"/>
          <w:lang w:val="en-US" w:eastAsia="en-US"/>
        </w:rPr>
        <w:t>compensation of additional costs incurred by operators in the fishing, farming, processing and marketing of certain fishery and aquaculture products from the outermost regions, the model for the transmission of financial data, the content of the ex-ante ev</w:t>
      </w:r>
      <w:r>
        <w:rPr>
          <w:sz w:val="16"/>
          <w:szCs w:val="16"/>
          <w:lang w:val="en-US" w:eastAsia="en-US"/>
        </w:rPr>
        <w:t>aluation reports and the minimum requirements for the evaluation plan to be submitted under the European Maritime and Fisheries Fund.</w:t>
      </w:r>
    </w:p>
  </w:footnote>
  <w:footnote w:id="25">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w:t>
      </w:r>
      <w:proofErr w:type="gramStart"/>
      <w:r>
        <w:rPr>
          <w:sz w:val="16"/>
          <w:szCs w:val="16"/>
          <w:lang w:val="en-US"/>
        </w:rPr>
        <w:t>Articles 54–57 of the CPR.</w:t>
      </w:r>
      <w:proofErr w:type="gramEnd"/>
    </w:p>
  </w:footnote>
  <w:footnote w:id="26">
    <w:p w:rsidR="00940A9C" w:rsidRDefault="007B1A4E">
      <w:pPr>
        <w:pStyle w:val="FootnoteText"/>
        <w:spacing w:before="0" w:after="120" w:line="240" w:lineRule="auto"/>
        <w:ind w:left="0" w:right="0" w:firstLine="0"/>
        <w:rPr>
          <w:sz w:val="16"/>
          <w:szCs w:val="16"/>
          <w:lang w:val="en-US"/>
        </w:rPr>
      </w:pPr>
      <w:r>
        <w:rPr>
          <w:rStyle w:val="FootnoteReference"/>
          <w:sz w:val="16"/>
          <w:szCs w:val="16"/>
        </w:rPr>
        <w:footnoteRef/>
      </w:r>
      <w:r>
        <w:rPr>
          <w:sz w:val="16"/>
          <w:szCs w:val="16"/>
          <w:lang w:val="en-US"/>
        </w:rPr>
        <w:t xml:space="preserve"> </w:t>
      </w:r>
      <w:proofErr w:type="gramStart"/>
      <w:r>
        <w:rPr>
          <w:sz w:val="16"/>
          <w:szCs w:val="16"/>
          <w:lang w:val="en-US"/>
        </w:rPr>
        <w:t>Article 55, 56 and 57 of the CPR and Art.</w:t>
      </w:r>
      <w:proofErr w:type="gramEnd"/>
      <w:r>
        <w:rPr>
          <w:sz w:val="16"/>
          <w:szCs w:val="16"/>
          <w:lang w:val="en-US"/>
        </w:rPr>
        <w:t xml:space="preserve"> 107, 108,  109, 111, 113, 115, 116, 117 of the EM</w:t>
      </w:r>
      <w:r>
        <w:rPr>
          <w:sz w:val="16"/>
          <w:szCs w:val="16"/>
          <w:lang w:val="en-US"/>
        </w:rPr>
        <w:t xml:space="preserve">FF Regulation </w:t>
      </w:r>
    </w:p>
  </w:footnote>
  <w:footnote w:id="27">
    <w:p w:rsidR="00940A9C" w:rsidRDefault="007B1A4E">
      <w:pPr>
        <w:pStyle w:val="FootnoteText"/>
        <w:spacing w:before="0" w:after="120" w:line="240" w:lineRule="auto"/>
        <w:ind w:left="0" w:right="0" w:firstLine="0"/>
        <w:jc w:val="left"/>
        <w:rPr>
          <w:sz w:val="16"/>
          <w:szCs w:val="16"/>
          <w:lang w:val="en-GB"/>
        </w:rPr>
      </w:pPr>
      <w:r>
        <w:rPr>
          <w:rStyle w:val="FootnoteReference"/>
          <w:sz w:val="16"/>
          <w:szCs w:val="16"/>
        </w:rPr>
        <w:footnoteRef/>
      </w:r>
      <w:r>
        <w:rPr>
          <w:sz w:val="16"/>
          <w:szCs w:val="16"/>
          <w:lang w:val="en-GB"/>
        </w:rPr>
        <w:t xml:space="preserve"> </w:t>
      </w:r>
      <w:proofErr w:type="gramStart"/>
      <w:r>
        <w:rPr>
          <w:sz w:val="16"/>
          <w:szCs w:val="16"/>
          <w:lang w:val="en-GB"/>
        </w:rPr>
        <w:t>Articles 20-22 and Annex II of the CPR.</w:t>
      </w:r>
      <w:proofErr w:type="gramEnd"/>
    </w:p>
  </w:footnote>
  <w:footnote w:id="28">
    <w:p w:rsidR="00940A9C" w:rsidRDefault="007B1A4E">
      <w:pPr>
        <w:pStyle w:val="FootnoteText"/>
        <w:tabs>
          <w:tab w:val="clear" w:pos="737"/>
        </w:tabs>
        <w:spacing w:before="0" w:after="120" w:line="240" w:lineRule="auto"/>
        <w:ind w:left="0" w:right="0" w:firstLine="0"/>
        <w:jc w:val="left"/>
        <w:rPr>
          <w:sz w:val="16"/>
          <w:szCs w:val="16"/>
          <w:lang w:val="en-GB"/>
        </w:rPr>
      </w:pPr>
      <w:r>
        <w:rPr>
          <w:rStyle w:val="FootnoteReference"/>
          <w:sz w:val="16"/>
          <w:szCs w:val="16"/>
        </w:rPr>
        <w:footnoteRef/>
      </w:r>
      <w:r>
        <w:rPr>
          <w:sz w:val="16"/>
          <w:szCs w:val="16"/>
          <w:lang w:val="en-US"/>
        </w:rPr>
        <w:t xml:space="preserve"> According to Article 20(1) of the CPR, 6% of the resources allocated to measures financed under shared management in the EMFF constitute a performance reserve which was established in the Partnersh</w:t>
      </w:r>
      <w:r>
        <w:rPr>
          <w:sz w:val="16"/>
          <w:szCs w:val="16"/>
          <w:lang w:val="en-US"/>
        </w:rPr>
        <w:t xml:space="preserve">ip Agreement and in the OPs. </w:t>
      </w:r>
      <w:r>
        <w:rPr>
          <w:sz w:val="16"/>
          <w:szCs w:val="16"/>
          <w:lang w:val="en-GB"/>
        </w:rPr>
        <w:t xml:space="preserve">Guidance document: </w:t>
      </w:r>
      <w:r>
        <w:fldChar w:fldCharType="begin"/>
      </w:r>
      <w:r w:rsidRPr="007B1A4E">
        <w:rPr>
          <w:lang w:val="en-GB"/>
        </w:rPr>
        <w:instrText xml:space="preserve"> HYPERLINK "https://ec.europa.eu/fisheries/sites/fisheries/files/docs/body/09-performance-framework_en.pdf" </w:instrText>
      </w:r>
      <w:r>
        <w:fldChar w:fldCharType="separate"/>
      </w:r>
      <w:r>
        <w:rPr>
          <w:rStyle w:val="Hyperlink"/>
          <w:sz w:val="16"/>
          <w:szCs w:val="16"/>
          <w:lang w:val="en-GB"/>
        </w:rPr>
        <w:t>https://ec.europa.eu/fisheries/sites/fisheries/files/docs/body/09-performance-framework_en.pdf</w:t>
      </w:r>
      <w:r>
        <w:rPr>
          <w:rStyle w:val="Hyperlink"/>
          <w:sz w:val="16"/>
          <w:szCs w:val="16"/>
          <w:lang w:val="en-GB"/>
        </w:rPr>
        <w:fldChar w:fldCharType="end"/>
      </w:r>
      <w:r>
        <w:rPr>
          <w:sz w:val="16"/>
          <w:szCs w:val="16"/>
          <w:lang w:val="en-GB"/>
        </w:rPr>
        <w:t xml:space="preserve"> </w:t>
      </w:r>
    </w:p>
  </w:footnote>
  <w:footnote w:id="29">
    <w:p w:rsidR="00940A9C" w:rsidRDefault="007B1A4E">
      <w:pPr>
        <w:pStyle w:val="FootnoteText"/>
        <w:spacing w:before="0" w:after="120" w:line="240" w:lineRule="auto"/>
        <w:ind w:left="0" w:firstLine="0"/>
        <w:rPr>
          <w:sz w:val="16"/>
          <w:szCs w:val="16"/>
          <w:lang w:val="en-GB"/>
        </w:rPr>
      </w:pPr>
      <w:r>
        <w:rPr>
          <w:rStyle w:val="FootnoteReference"/>
          <w:sz w:val="16"/>
          <w:szCs w:val="16"/>
        </w:rPr>
        <w:footnoteRef/>
      </w:r>
      <w:r>
        <w:rPr>
          <w:sz w:val="16"/>
          <w:szCs w:val="16"/>
          <w:lang w:val="en-GB"/>
        </w:rPr>
        <w:t xml:space="preserve"> This guidance document covering the whole ESI Funds can be found here: </w:t>
      </w:r>
      <w:hyperlink r:id="rId1" w:history="1">
        <w:r>
          <w:rPr>
            <w:rStyle w:val="Hyperlink"/>
            <w:sz w:val="16"/>
            <w:szCs w:val="16"/>
            <w:lang w:val="en-GB"/>
          </w:rPr>
          <w:t>https://ec.europa.eu/fisheries/sites/fisheries/files/docs/body/09-perform</w:t>
        </w:r>
        <w:r>
          <w:rPr>
            <w:rStyle w:val="Hyperlink"/>
            <w:sz w:val="16"/>
            <w:szCs w:val="16"/>
            <w:lang w:val="en-GB"/>
          </w:rPr>
          <w:t>ance-framework_en.pdf</w:t>
        </w:r>
      </w:hyperlink>
    </w:p>
    <w:p w:rsidR="00940A9C" w:rsidRDefault="00940A9C">
      <w:pPr>
        <w:pStyle w:val="FootnoteText"/>
        <w:ind w:left="454"/>
        <w:rPr>
          <w:sz w:val="16"/>
          <w:szCs w:val="16"/>
          <w:lang w:val="en-GB"/>
        </w:rPr>
      </w:pPr>
    </w:p>
  </w:footnote>
  <w:footnote w:id="30">
    <w:p w:rsidR="00940A9C" w:rsidRDefault="007B1A4E">
      <w:pPr>
        <w:pStyle w:val="FootnoteText"/>
        <w:spacing w:line="240" w:lineRule="auto"/>
        <w:ind w:left="0" w:right="0" w:firstLine="0"/>
        <w:rPr>
          <w:lang w:val="en-GB"/>
        </w:rPr>
      </w:pPr>
      <w:r>
        <w:rPr>
          <w:rStyle w:val="FootnoteReference"/>
          <w:sz w:val="16"/>
          <w:szCs w:val="16"/>
        </w:rPr>
        <w:footnoteRef/>
      </w:r>
      <w:r>
        <w:rPr>
          <w:sz w:val="16"/>
          <w:szCs w:val="16"/>
          <w:lang w:val="en-GB"/>
        </w:rPr>
        <w:t xml:space="preserve"> </w:t>
      </w:r>
      <w:proofErr w:type="gramStart"/>
      <w:r>
        <w:rPr>
          <w:sz w:val="16"/>
          <w:szCs w:val="16"/>
          <w:lang w:val="en-GB"/>
        </w:rPr>
        <w:t>Article 9 of the CPR.</w:t>
      </w:r>
      <w:proofErr w:type="gramEnd"/>
      <w:r>
        <w:rPr>
          <w:sz w:val="16"/>
          <w:szCs w:val="16"/>
          <w:lang w:val="en-GB"/>
        </w:rPr>
        <w:t xml:space="preserve"> The EMFF contributes to Thematic Objectives 3, 4, 6 and 8.</w:t>
      </w:r>
    </w:p>
  </w:footnote>
  <w:footnote w:id="31">
    <w:p w:rsidR="00940A9C" w:rsidRDefault="007B1A4E">
      <w:pPr>
        <w:pStyle w:val="FootnoteText"/>
        <w:spacing w:line="240" w:lineRule="auto"/>
        <w:ind w:left="0" w:right="0" w:firstLine="0"/>
        <w:rPr>
          <w:sz w:val="18"/>
          <w:lang w:val="en-GB"/>
        </w:rPr>
      </w:pPr>
      <w:r>
        <w:rPr>
          <w:rStyle w:val="FootnoteReference"/>
          <w:sz w:val="16"/>
        </w:rPr>
        <w:footnoteRef/>
      </w:r>
      <w:r>
        <w:rPr>
          <w:sz w:val="16"/>
          <w:lang w:val="en-GB"/>
        </w:rPr>
        <w:t xml:space="preserve"> For example: "Change in the % of unbalanced fleets" or "Change in unwanted catches (%)". Both these indicators require a calculation and a baseline. </w:t>
      </w:r>
    </w:p>
  </w:footnote>
  <w:footnote w:id="32">
    <w:p w:rsidR="00940A9C" w:rsidRDefault="007B1A4E">
      <w:pPr>
        <w:pStyle w:val="FootnoteText"/>
        <w:tabs>
          <w:tab w:val="clear" w:pos="737"/>
          <w:tab w:val="left" w:pos="0"/>
        </w:tabs>
        <w:spacing w:line="240" w:lineRule="auto"/>
        <w:ind w:hanging="737"/>
        <w:rPr>
          <w:sz w:val="16"/>
          <w:szCs w:val="16"/>
          <w:lang w:val="en-GB"/>
        </w:rPr>
      </w:pPr>
      <w:r>
        <w:rPr>
          <w:rStyle w:val="FootnoteReference"/>
          <w:sz w:val="16"/>
          <w:szCs w:val="16"/>
        </w:rPr>
        <w:footnoteRef/>
      </w:r>
      <w:r>
        <w:rPr>
          <w:sz w:val="16"/>
          <w:szCs w:val="16"/>
          <w:lang w:val="en-GB"/>
        </w:rPr>
        <w:t xml:space="preserve"> As requested by CDA 480/2014.</w:t>
      </w:r>
    </w:p>
  </w:footnote>
  <w:footnote w:id="33">
    <w:p w:rsidR="00940A9C" w:rsidRDefault="007B1A4E">
      <w:pPr>
        <w:pStyle w:val="FootnoteText"/>
        <w:tabs>
          <w:tab w:val="clear" w:pos="737"/>
        </w:tabs>
        <w:spacing w:line="240" w:lineRule="auto"/>
        <w:ind w:left="0" w:firstLine="0"/>
        <w:rPr>
          <w:sz w:val="16"/>
          <w:szCs w:val="16"/>
          <w:lang w:val="fr-BE"/>
        </w:rPr>
      </w:pPr>
      <w:r>
        <w:rPr>
          <w:rStyle w:val="FootnoteReference"/>
          <w:sz w:val="16"/>
          <w:szCs w:val="16"/>
        </w:rPr>
        <w:footnoteRef/>
      </w:r>
      <w:r>
        <w:rPr>
          <w:sz w:val="16"/>
          <w:szCs w:val="16"/>
          <w:lang w:val="en-GB"/>
        </w:rPr>
        <w:t xml:space="preserve"> The ODP is a web site on which key information on the implementation of</w:t>
      </w:r>
      <w:r>
        <w:rPr>
          <w:sz w:val="16"/>
          <w:szCs w:val="16"/>
          <w:lang w:val="en-GB"/>
        </w:rPr>
        <w:t xml:space="preserve"> the ESIF is provided graphically. All data sets used for these illustrations can be downloaded and used by members of the public. </w:t>
      </w:r>
      <w:proofErr w:type="spellStart"/>
      <w:r>
        <w:rPr>
          <w:sz w:val="16"/>
          <w:szCs w:val="16"/>
          <w:lang w:val="fr-BE"/>
        </w:rPr>
        <w:t>See</w:t>
      </w:r>
      <w:proofErr w:type="spellEnd"/>
      <w:r>
        <w:rPr>
          <w:sz w:val="16"/>
          <w:szCs w:val="16"/>
          <w:lang w:val="fr-BE"/>
        </w:rPr>
        <w:t xml:space="preserve"> </w:t>
      </w:r>
      <w:hyperlink r:id="rId2" w:history="1">
        <w:r>
          <w:rPr>
            <w:rStyle w:val="Hyperlink"/>
            <w:sz w:val="16"/>
            <w:szCs w:val="16"/>
            <w:lang w:val="fr-BE"/>
          </w:rPr>
          <w:t>https://cohesiondata.ec.europa.eu/</w:t>
        </w:r>
      </w:hyperlink>
    </w:p>
    <w:p w:rsidR="00940A9C" w:rsidRDefault="00940A9C">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4E" w:rsidRPr="007B1A4E" w:rsidRDefault="007B1A4E" w:rsidP="007B1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4E" w:rsidRPr="007B1A4E" w:rsidRDefault="007B1A4E" w:rsidP="007B1A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4E" w:rsidRPr="007B1A4E" w:rsidRDefault="007B1A4E" w:rsidP="007B1A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Default="00940A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Default="00940A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9C" w:rsidRDefault="00940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99E"/>
    <w:multiLevelType w:val="hybridMultilevel"/>
    <w:tmpl w:val="D9BA649A"/>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D61F0"/>
    <w:multiLevelType w:val="hybridMultilevel"/>
    <w:tmpl w:val="E884C1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D750B8"/>
    <w:multiLevelType w:val="hybridMultilevel"/>
    <w:tmpl w:val="357AD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34FE9"/>
    <w:multiLevelType w:val="hybridMultilevel"/>
    <w:tmpl w:val="E3CC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A7257"/>
    <w:multiLevelType w:val="hybridMultilevel"/>
    <w:tmpl w:val="A7948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333FF2"/>
    <w:multiLevelType w:val="hybridMultilevel"/>
    <w:tmpl w:val="D03E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03606"/>
    <w:multiLevelType w:val="hybridMultilevel"/>
    <w:tmpl w:val="7A9AD62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A5526F"/>
    <w:multiLevelType w:val="hybridMultilevel"/>
    <w:tmpl w:val="89062E4C"/>
    <w:lvl w:ilvl="0" w:tplc="76F4E5B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69CA"/>
    <w:multiLevelType w:val="hybridMultilevel"/>
    <w:tmpl w:val="91DE6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7A54AC"/>
    <w:multiLevelType w:val="hybridMultilevel"/>
    <w:tmpl w:val="2FDED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E627F"/>
    <w:multiLevelType w:val="hybridMultilevel"/>
    <w:tmpl w:val="467A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533714"/>
    <w:multiLevelType w:val="hybridMultilevel"/>
    <w:tmpl w:val="54AC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CA48BE"/>
    <w:multiLevelType w:val="hybridMultilevel"/>
    <w:tmpl w:val="E56C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05257F"/>
    <w:multiLevelType w:val="hybridMultilevel"/>
    <w:tmpl w:val="6DD2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D46C0E"/>
    <w:multiLevelType w:val="hybridMultilevel"/>
    <w:tmpl w:val="5A6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1A6BA4"/>
    <w:multiLevelType w:val="hybridMultilevel"/>
    <w:tmpl w:val="6A04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096BBD"/>
    <w:multiLevelType w:val="hybridMultilevel"/>
    <w:tmpl w:val="B7FA6A62"/>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74481F"/>
    <w:multiLevelType w:val="hybridMultilevel"/>
    <w:tmpl w:val="24A07A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997D42"/>
    <w:multiLevelType w:val="hybridMultilevel"/>
    <w:tmpl w:val="56D825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844CCC"/>
    <w:multiLevelType w:val="hybridMultilevel"/>
    <w:tmpl w:val="0016A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93BAC"/>
    <w:multiLevelType w:val="hybridMultilevel"/>
    <w:tmpl w:val="059ED5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3C6DE0"/>
    <w:multiLevelType w:val="hybridMultilevel"/>
    <w:tmpl w:val="0BAE7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C03641"/>
    <w:multiLevelType w:val="hybridMultilevel"/>
    <w:tmpl w:val="44E4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505A7"/>
    <w:multiLevelType w:val="hybridMultilevel"/>
    <w:tmpl w:val="2236DEB2"/>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2351FE"/>
    <w:multiLevelType w:val="hybridMultilevel"/>
    <w:tmpl w:val="910269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681587"/>
    <w:multiLevelType w:val="hybridMultilevel"/>
    <w:tmpl w:val="3FF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0661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48BA43DC"/>
    <w:multiLevelType w:val="hybridMultilevel"/>
    <w:tmpl w:val="362C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15CB7"/>
    <w:multiLevelType w:val="hybridMultilevel"/>
    <w:tmpl w:val="56E049C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947F28"/>
    <w:multiLevelType w:val="hybridMultilevel"/>
    <w:tmpl w:val="2BF26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1327B"/>
    <w:multiLevelType w:val="hybridMultilevel"/>
    <w:tmpl w:val="892CF160"/>
    <w:lvl w:ilvl="0" w:tplc="9D3201D0">
      <w:start w:val="1"/>
      <w:numFmt w:val="bullet"/>
      <w:pStyle w:val="Aufzhlung"/>
      <w:lvlText w:val=""/>
      <w:lvlJc w:val="left"/>
      <w:pPr>
        <w:tabs>
          <w:tab w:val="num" w:pos="709"/>
        </w:tabs>
        <w:ind w:left="709" w:hanging="709"/>
      </w:pPr>
      <w:rPr>
        <w:rFonts w:ascii="Wingdings" w:hAnsi="Wingdings"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4D1D1349"/>
    <w:multiLevelType w:val="hybridMultilevel"/>
    <w:tmpl w:val="355E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7D20C3"/>
    <w:multiLevelType w:val="hybridMultilevel"/>
    <w:tmpl w:val="338292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9F2C04"/>
    <w:multiLevelType w:val="hybridMultilevel"/>
    <w:tmpl w:val="AF42F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B439AE"/>
    <w:multiLevelType w:val="hybridMultilevel"/>
    <w:tmpl w:val="D9A8A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B3AC7"/>
    <w:multiLevelType w:val="hybridMultilevel"/>
    <w:tmpl w:val="5910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734A75"/>
    <w:multiLevelType w:val="hybridMultilevel"/>
    <w:tmpl w:val="69DEDE0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FC50EE"/>
    <w:multiLevelType w:val="hybridMultilevel"/>
    <w:tmpl w:val="F4B2FEE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2687367"/>
    <w:multiLevelType w:val="hybridMultilevel"/>
    <w:tmpl w:val="88B62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14ECB"/>
    <w:multiLevelType w:val="hybridMultilevel"/>
    <w:tmpl w:val="244CCC3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706A4E"/>
    <w:multiLevelType w:val="hybridMultilevel"/>
    <w:tmpl w:val="195C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7269B0"/>
    <w:multiLevelType w:val="hybridMultilevel"/>
    <w:tmpl w:val="BDB8B61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A67D14"/>
    <w:multiLevelType w:val="hybridMultilevel"/>
    <w:tmpl w:val="51C20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7732DD"/>
    <w:multiLevelType w:val="hybridMultilevel"/>
    <w:tmpl w:val="0D70D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D93155"/>
    <w:multiLevelType w:val="hybridMultilevel"/>
    <w:tmpl w:val="C77EBAE0"/>
    <w:lvl w:ilvl="0" w:tplc="C2141AA8">
      <w:start w:val="1"/>
      <w:numFmt w:val="bullet"/>
      <w:pStyle w:val="Fragen"/>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5">
    <w:nsid w:val="7B5F3B39"/>
    <w:multiLevelType w:val="hybridMultilevel"/>
    <w:tmpl w:val="5E5684E6"/>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AF787C"/>
    <w:multiLevelType w:val="hybridMultilevel"/>
    <w:tmpl w:val="0A76B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26"/>
  </w:num>
  <w:num w:numId="4">
    <w:abstractNumId w:val="9"/>
  </w:num>
  <w:num w:numId="5">
    <w:abstractNumId w:val="46"/>
  </w:num>
  <w:num w:numId="6">
    <w:abstractNumId w:val="32"/>
  </w:num>
  <w:num w:numId="7">
    <w:abstractNumId w:val="28"/>
  </w:num>
  <w:num w:numId="8">
    <w:abstractNumId w:val="22"/>
  </w:num>
  <w:num w:numId="9">
    <w:abstractNumId w:val="1"/>
  </w:num>
  <w:num w:numId="10">
    <w:abstractNumId w:val="41"/>
  </w:num>
  <w:num w:numId="11">
    <w:abstractNumId w:val="13"/>
  </w:num>
  <w:num w:numId="12">
    <w:abstractNumId w:val="37"/>
  </w:num>
  <w:num w:numId="13">
    <w:abstractNumId w:val="6"/>
  </w:num>
  <w:num w:numId="14">
    <w:abstractNumId w:val="27"/>
  </w:num>
  <w:num w:numId="15">
    <w:abstractNumId w:val="19"/>
  </w:num>
  <w:num w:numId="16">
    <w:abstractNumId w:val="2"/>
  </w:num>
  <w:num w:numId="17">
    <w:abstractNumId w:val="33"/>
  </w:num>
  <w:num w:numId="18">
    <w:abstractNumId w:val="10"/>
  </w:num>
  <w:num w:numId="19">
    <w:abstractNumId w:val="20"/>
  </w:num>
  <w:num w:numId="20">
    <w:abstractNumId w:val="29"/>
  </w:num>
  <w:num w:numId="21">
    <w:abstractNumId w:val="34"/>
  </w:num>
  <w:num w:numId="22">
    <w:abstractNumId w:val="43"/>
  </w:num>
  <w:num w:numId="23">
    <w:abstractNumId w:val="38"/>
  </w:num>
  <w:num w:numId="24">
    <w:abstractNumId w:val="7"/>
  </w:num>
  <w:num w:numId="25">
    <w:abstractNumId w:val="4"/>
  </w:num>
  <w:num w:numId="26">
    <w:abstractNumId w:val="21"/>
  </w:num>
  <w:num w:numId="27">
    <w:abstractNumId w:val="18"/>
  </w:num>
  <w:num w:numId="28">
    <w:abstractNumId w:val="8"/>
  </w:num>
  <w:num w:numId="29">
    <w:abstractNumId w:val="24"/>
  </w:num>
  <w:num w:numId="30">
    <w:abstractNumId w:val="17"/>
  </w:num>
  <w:num w:numId="31">
    <w:abstractNumId w:val="25"/>
  </w:num>
  <w:num w:numId="32">
    <w:abstractNumId w:val="26"/>
  </w:num>
  <w:num w:numId="33">
    <w:abstractNumId w:val="3"/>
  </w:num>
  <w:num w:numId="34">
    <w:abstractNumId w:val="31"/>
  </w:num>
  <w:num w:numId="35">
    <w:abstractNumId w:val="15"/>
  </w:num>
  <w:num w:numId="36">
    <w:abstractNumId w:val="14"/>
  </w:num>
  <w:num w:numId="37">
    <w:abstractNumId w:val="5"/>
  </w:num>
  <w:num w:numId="38">
    <w:abstractNumId w:val="42"/>
  </w:num>
  <w:num w:numId="39">
    <w:abstractNumId w:val="11"/>
  </w:num>
  <w:num w:numId="40">
    <w:abstractNumId w:val="12"/>
  </w:num>
  <w:num w:numId="41">
    <w:abstractNumId w:val="40"/>
  </w:num>
  <w:num w:numId="42">
    <w:abstractNumId w:val="35"/>
  </w:num>
  <w:num w:numId="43">
    <w:abstractNumId w:val="16"/>
  </w:num>
  <w:num w:numId="44">
    <w:abstractNumId w:val="23"/>
  </w:num>
  <w:num w:numId="45">
    <w:abstractNumId w:val="39"/>
  </w:num>
  <w:num w:numId="46">
    <w:abstractNumId w:val="45"/>
  </w:num>
  <w:num w:numId="47">
    <w:abstractNumId w:val="0"/>
  </w:num>
  <w:num w:numId="48">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oNotTrackFormatting/>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2MjU1MTAztjAxtjRV0lEKTi0uzszPAykwqwUAG/9SMywAAAA="/>
    <w:docVar w:name="DocStatus" w:val="Red"/>
    <w:docVar w:name="LW_CORRIGENDUM" w:val="&lt;UNUSED&gt;"/>
    <w:docVar w:name="LW_COVERPAGE_EXISTS" w:val="True"/>
    <w:docVar w:name="LW_COVERPAGE_GUID" w:val="D708F215-3C95-47F3-A79D-B5AC66ED903B"/>
    <w:docVar w:name="LW_COVERPAGE_TYPE" w:val="1"/>
    <w:docVar w:name="LW_CROSSREFERENCE" w:val="&lt;UNUSED&gt;"/>
    <w:docVar w:name="LW_DocType" w:val="NORMAL"/>
    <w:docVar w:name="LW_EMISSION" w:val="30.1.2018"/>
    <w:docVar w:name="LW_EMISSION_ISODATE" w:val="2018-01-30"/>
    <w:docVar w:name="LW_EMISSION_LOCATION" w:val="BRX"/>
    <w:docVar w:name="LW_EMISSION_PREFIX" w:val="Brussels,"/>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Common Monitoring and Evaluation System for the European Maritime and Fisheries Fund"/>
    <w:docVar w:name="LW_TYPE.DOC.CP" w:val="REPORT FROM THE COMMISSION TO THE EUROPEAN PARLIAMENT AND THE COUNCIL"/>
  </w:docVars>
  <w:rsids>
    <w:rsidRoot w:val="00940A9C"/>
    <w:rsid w:val="007B1A4E"/>
    <w:rsid w:val="00940A9C"/>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8" w:lineRule="atLeast"/>
      <w:jc w:val="both"/>
    </w:pPr>
    <w:rPr>
      <w:rFonts w:ascii="Times New Roman" w:hAnsi="Times New Roman" w:cs="Times New Roman"/>
      <w:sz w:val="24"/>
      <w:szCs w:val="20"/>
      <w:lang w:val="en-GB" w:eastAsia="de-DE"/>
    </w:rPr>
  </w:style>
  <w:style w:type="paragraph" w:styleId="Heading1">
    <w:name w:val="heading 1"/>
    <w:next w:val="Heading2"/>
    <w:link w:val="Heading1Char"/>
    <w:qFormat/>
    <w:pPr>
      <w:keepNext/>
      <w:keepLines/>
      <w:numPr>
        <w:numId w:val="3"/>
      </w:numPr>
      <w:tabs>
        <w:tab w:val="left" w:pos="964"/>
        <w:tab w:val="left" w:pos="1134"/>
      </w:tabs>
      <w:spacing w:before="480" w:after="240" w:line="336" w:lineRule="exact"/>
      <w:outlineLvl w:val="0"/>
    </w:pPr>
    <w:rPr>
      <w:rFonts w:ascii="Arial" w:hAnsi="Arial" w:cs="Times New Roman"/>
      <w:b/>
      <w:sz w:val="28"/>
      <w:szCs w:val="20"/>
      <w:lang w:eastAsia="de-DE"/>
    </w:rPr>
  </w:style>
  <w:style w:type="paragraph" w:styleId="Heading2">
    <w:name w:val="heading 2"/>
    <w:link w:val="Heading2Char"/>
    <w:qFormat/>
    <w:pPr>
      <w:keepNext/>
      <w:keepLines/>
      <w:numPr>
        <w:ilvl w:val="1"/>
        <w:numId w:val="3"/>
      </w:numPr>
      <w:tabs>
        <w:tab w:val="left" w:pos="964"/>
        <w:tab w:val="left" w:pos="1134"/>
      </w:tabs>
      <w:spacing w:after="240" w:line="288" w:lineRule="exact"/>
      <w:outlineLvl w:val="1"/>
    </w:pPr>
    <w:rPr>
      <w:rFonts w:ascii="Arial" w:hAnsi="Arial" w:cs="Times New Roman"/>
      <w:b/>
      <w:sz w:val="24"/>
      <w:szCs w:val="20"/>
      <w:lang w:eastAsia="de-DE"/>
    </w:rPr>
  </w:style>
  <w:style w:type="paragraph" w:styleId="Heading3">
    <w:name w:val="heading 3"/>
    <w:link w:val="Heading3Char"/>
    <w:qFormat/>
    <w:pPr>
      <w:keepNext/>
      <w:keepLines/>
      <w:numPr>
        <w:ilvl w:val="2"/>
        <w:numId w:val="3"/>
      </w:numPr>
      <w:tabs>
        <w:tab w:val="left" w:pos="964"/>
        <w:tab w:val="left" w:pos="1134"/>
      </w:tabs>
      <w:spacing w:after="240" w:line="264" w:lineRule="exact"/>
      <w:outlineLvl w:val="2"/>
    </w:pPr>
    <w:rPr>
      <w:rFonts w:ascii="Arial" w:hAnsi="Arial" w:cs="Times New Roman"/>
      <w:b/>
      <w:szCs w:val="20"/>
      <w:lang w:eastAsia="de-DE"/>
    </w:rPr>
  </w:style>
  <w:style w:type="paragraph" w:styleId="Heading4">
    <w:name w:val="heading 4"/>
    <w:link w:val="Heading4Char"/>
    <w:qFormat/>
    <w:pPr>
      <w:keepNext/>
      <w:keepLines/>
      <w:numPr>
        <w:ilvl w:val="3"/>
        <w:numId w:val="3"/>
      </w:numPr>
      <w:tabs>
        <w:tab w:val="left" w:pos="964"/>
        <w:tab w:val="left" w:pos="1134"/>
      </w:tabs>
      <w:spacing w:after="240" w:line="264" w:lineRule="exact"/>
      <w:outlineLvl w:val="3"/>
    </w:pPr>
    <w:rPr>
      <w:rFonts w:ascii="Arial" w:hAnsi="Arial" w:cs="Times New Roman"/>
      <w:szCs w:val="20"/>
      <w:lang w:eastAsia="de-DE"/>
    </w:rPr>
  </w:style>
  <w:style w:type="paragraph" w:styleId="Heading5">
    <w:name w:val="heading 5"/>
    <w:link w:val="Heading5Char"/>
    <w:qFormat/>
    <w:pPr>
      <w:keepNext/>
      <w:keepLines/>
      <w:numPr>
        <w:ilvl w:val="4"/>
        <w:numId w:val="3"/>
      </w:numPr>
      <w:tabs>
        <w:tab w:val="left" w:pos="964"/>
        <w:tab w:val="left" w:pos="1134"/>
      </w:tabs>
      <w:spacing w:after="240" w:line="264" w:lineRule="exact"/>
      <w:outlineLvl w:val="4"/>
    </w:pPr>
    <w:rPr>
      <w:rFonts w:ascii="Arial" w:hAnsi="Arial" w:cs="Times New Roman"/>
      <w:i/>
      <w:szCs w:val="20"/>
      <w:lang w:eastAsia="de-DE"/>
    </w:rPr>
  </w:style>
  <w:style w:type="paragraph" w:styleId="Heading6">
    <w:name w:val="heading 6"/>
    <w:basedOn w:val="Normal"/>
    <w:next w:val="Normal"/>
    <w:link w:val="Heading6Char"/>
    <w:uiPriority w:val="9"/>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Standard">
    <w:name w:val="A0: Standard"/>
    <w:basedOn w:val="Normal"/>
  </w:style>
  <w:style w:type="paragraph" w:customStyle="1" w:styleId="A1StandEndabst">
    <w:name w:val="A1: Stand. + Endabst"/>
    <w:basedOn w:val="Normal"/>
    <w:pPr>
      <w:spacing w:after="144"/>
    </w:pPr>
  </w:style>
  <w:style w:type="paragraph" w:customStyle="1" w:styleId="A2StandAnfEndab">
    <w:name w:val="A2: Stand + Anf + Endab"/>
    <w:basedOn w:val="A1StandEndabst"/>
    <w:pPr>
      <w:spacing w:before="144"/>
    </w:pPr>
  </w:style>
  <w:style w:type="paragraph" w:styleId="TableofFigures">
    <w:name w:val="table of figures"/>
    <w:basedOn w:val="Normal"/>
    <w:next w:val="Normal"/>
    <w:uiPriority w:val="99"/>
    <w:pPr>
      <w:spacing w:after="120"/>
      <w:ind w:left="1134" w:right="1134" w:hanging="1134"/>
      <w:jc w:val="left"/>
    </w:pPr>
    <w:rPr>
      <w:bCs/>
      <w:lang w:val="de-DE"/>
    </w:rPr>
  </w:style>
  <w:style w:type="paragraph" w:styleId="ListBullet">
    <w:name w:val="List Bullet"/>
    <w:basedOn w:val="Normal"/>
    <w:autoRedefine/>
    <w:pPr>
      <w:ind w:left="283" w:hanging="283"/>
    </w:pPr>
    <w:rPr>
      <w:i/>
    </w:rPr>
  </w:style>
  <w:style w:type="paragraph" w:styleId="Caption">
    <w:name w:val="caption"/>
    <w:basedOn w:val="A1StandEndabst"/>
    <w:next w:val="A1StandEndabst"/>
    <w:uiPriority w:val="99"/>
    <w:qFormat/>
    <w:pPr>
      <w:tabs>
        <w:tab w:val="left" w:pos="1418"/>
      </w:tabs>
      <w:spacing w:after="240"/>
      <w:ind w:left="1588" w:hanging="1588"/>
      <w:jc w:val="left"/>
    </w:pPr>
    <w:rPr>
      <w:rFonts w:ascii="Arial" w:hAnsi="Arial"/>
      <w:b/>
      <w:bCs/>
      <w:sz w:val="22"/>
    </w:rPr>
  </w:style>
  <w:style w:type="paragraph" w:customStyle="1" w:styleId="E1Einzug-09">
    <w:name w:val="E1: Einzug -0.9"/>
    <w:basedOn w:val="Normal"/>
    <w:pPr>
      <w:tabs>
        <w:tab w:val="left" w:pos="510"/>
      </w:tabs>
      <w:ind w:left="510" w:hanging="510"/>
    </w:pPr>
  </w:style>
  <w:style w:type="paragraph" w:customStyle="1" w:styleId="E2Einz-09End">
    <w:name w:val="E2: Einz. -0.9 + End"/>
    <w:basedOn w:val="E1Einzug-09"/>
    <w:pPr>
      <w:spacing w:after="144"/>
    </w:pPr>
  </w:style>
  <w:style w:type="paragraph" w:customStyle="1" w:styleId="E3EinziEinzug">
    <w:name w:val="E3: Einz. i. Einzug"/>
    <w:pPr>
      <w:tabs>
        <w:tab w:val="left" w:pos="851"/>
      </w:tabs>
      <w:spacing w:after="0" w:line="288" w:lineRule="atLeast"/>
      <w:ind w:left="851" w:hanging="340"/>
      <w:jc w:val="both"/>
    </w:pPr>
    <w:rPr>
      <w:rFonts w:ascii="Times New Roman" w:hAnsi="Times New Roman" w:cs="Times New Roman"/>
      <w:sz w:val="24"/>
      <w:szCs w:val="20"/>
      <w:lang w:eastAsia="de-DE"/>
    </w:rPr>
  </w:style>
  <w:style w:type="paragraph" w:customStyle="1" w:styleId="E4EiEEnd">
    <w:name w:val="E4: E i E End"/>
    <w:basedOn w:val="E3EinziEinzug"/>
    <w:pPr>
      <w:spacing w:after="144"/>
      <w:ind w:left="850"/>
    </w:pPr>
  </w:style>
  <w:style w:type="paragraph" w:customStyle="1" w:styleId="E4Einzug15">
    <w:name w:val="E4: Einzug 1.5"/>
    <w:basedOn w:val="E1Einzug-09"/>
    <w:pPr>
      <w:tabs>
        <w:tab w:val="clear" w:pos="510"/>
        <w:tab w:val="left" w:pos="851"/>
      </w:tabs>
      <w:ind w:left="851" w:hanging="851"/>
    </w:pPr>
  </w:style>
  <w:style w:type="paragraph" w:customStyle="1" w:styleId="E5EinzfrmZahlen">
    <w:name w:val="E5: Einz. f. röm. Zahlen"/>
    <w:basedOn w:val="E4Einzug15"/>
    <w:pPr>
      <w:tabs>
        <w:tab w:val="center" w:pos="426"/>
      </w:tabs>
      <w:spacing w:after="144"/>
    </w:pPr>
  </w:style>
  <w:style w:type="paragraph" w:customStyle="1" w:styleId="E6Einzug15">
    <w:name w:val="E6: Einzug 1.5"/>
    <w:basedOn w:val="E1Einzug-09"/>
    <w:pPr>
      <w:tabs>
        <w:tab w:val="clear" w:pos="510"/>
        <w:tab w:val="left" w:pos="851"/>
      </w:tabs>
      <w:ind w:left="851" w:hanging="851"/>
    </w:pPr>
  </w:style>
  <w:style w:type="paragraph" w:customStyle="1" w:styleId="Formatvorlage1">
    <w:name w:val="Formatvorlage1"/>
    <w:basedOn w:val="Caption"/>
  </w:style>
  <w:style w:type="paragraph" w:styleId="FootnoteText">
    <w:name w:val="footnote text"/>
    <w:link w:val="FootnoteTextChar"/>
    <w:uiPriority w:val="99"/>
    <w:pPr>
      <w:tabs>
        <w:tab w:val="left" w:pos="737"/>
      </w:tabs>
      <w:spacing w:before="120" w:after="0" w:line="240" w:lineRule="exact"/>
      <w:ind w:left="737" w:right="284" w:hanging="454"/>
      <w:jc w:val="both"/>
    </w:pPr>
    <w:rPr>
      <w:rFonts w:ascii="Times New Roman" w:hAnsi="Times New Roman" w:cs="Times New Roman"/>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Cs w:val="20"/>
      <w:lang w:eastAsia="de-DE"/>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de-D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de-DE"/>
    </w:r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de-DE"/>
    </w:rPr>
  </w:style>
  <w:style w:type="paragraph" w:styleId="NormalIndent">
    <w:name w:val="Normal Indent"/>
    <w:basedOn w:val="Normal"/>
    <w:pPr>
      <w:ind w:left="708"/>
    </w:pPr>
  </w:style>
  <w:style w:type="paragraph" w:customStyle="1" w:styleId="Tabelle">
    <w:name w:val="Tabelle"/>
    <w:basedOn w:val="Normal"/>
    <w:pPr>
      <w:spacing w:before="40" w:after="40" w:line="240" w:lineRule="auto"/>
      <w:jc w:val="left"/>
    </w:pPr>
    <w:rPr>
      <w:rFonts w:ascii="Arial" w:hAnsi="Arial" w:cs="Arial"/>
      <w:bCs/>
      <w:sz w:val="18"/>
    </w:rPr>
  </w:style>
  <w:style w:type="paragraph" w:customStyle="1" w:styleId="TabelleDezimaltab">
    <w:name w:val="Tabelle Dezimaltab"/>
    <w:basedOn w:val="Tabelle"/>
    <w:pPr>
      <w:tabs>
        <w:tab w:val="decimal" w:pos="851"/>
      </w:tabs>
    </w:pPr>
  </w:style>
  <w:style w:type="paragraph" w:customStyle="1" w:styleId="TabelleKopf">
    <w:name w:val="Tabelle Kopf"/>
    <w:pPr>
      <w:spacing w:before="80" w:after="80" w:line="240" w:lineRule="auto"/>
      <w:jc w:val="center"/>
    </w:pPr>
    <w:rPr>
      <w:rFonts w:ascii="Arial" w:hAnsi="Arial" w:cs="Arial"/>
      <w:b/>
      <w:bCs/>
      <w:sz w:val="18"/>
      <w:szCs w:val="20"/>
      <w:lang w:eastAsia="de-DE"/>
    </w:rPr>
  </w:style>
  <w:style w:type="paragraph" w:customStyle="1" w:styleId="Tabellenberschrift">
    <w:name w:val="Tabellenüberschrift"/>
    <w:basedOn w:val="A1StandEndabst"/>
    <w:next w:val="A1StandEndabst"/>
    <w:pPr>
      <w:keepNext/>
      <w:tabs>
        <w:tab w:val="left" w:pos="1418"/>
      </w:tabs>
      <w:spacing w:after="240"/>
      <w:ind w:left="1418" w:hanging="1418"/>
      <w:jc w:val="left"/>
    </w:pPr>
    <w:rPr>
      <w:rFonts w:ascii="Arial" w:hAnsi="Arial" w:cs="Arial"/>
      <w:b/>
      <w:bCs/>
      <w:sz w:val="22"/>
    </w:rPr>
  </w:style>
  <w:style w:type="character" w:customStyle="1" w:styleId="Heading1Char">
    <w:name w:val="Heading 1 Char"/>
    <w:basedOn w:val="DefaultParagraphFont"/>
    <w:link w:val="Heading1"/>
    <w:rPr>
      <w:rFonts w:ascii="Arial" w:hAnsi="Arial" w:cs="Times New Roman"/>
      <w:b/>
      <w:sz w:val="28"/>
      <w:szCs w:val="20"/>
      <w:lang w:eastAsia="de-DE"/>
    </w:rPr>
  </w:style>
  <w:style w:type="character" w:customStyle="1" w:styleId="Heading2Char">
    <w:name w:val="Heading 2 Char"/>
    <w:basedOn w:val="DefaultParagraphFont"/>
    <w:link w:val="Heading2"/>
    <w:rPr>
      <w:rFonts w:ascii="Arial" w:hAnsi="Arial" w:cs="Times New Roman"/>
      <w:b/>
      <w:sz w:val="24"/>
      <w:szCs w:val="20"/>
      <w:lang w:eastAsia="de-DE"/>
    </w:rPr>
  </w:style>
  <w:style w:type="character" w:customStyle="1" w:styleId="Heading3Char">
    <w:name w:val="Heading 3 Char"/>
    <w:basedOn w:val="DefaultParagraphFont"/>
    <w:link w:val="Heading3"/>
    <w:rPr>
      <w:rFonts w:ascii="Arial" w:hAnsi="Arial" w:cs="Times New Roman"/>
      <w:b/>
      <w:szCs w:val="20"/>
      <w:lang w:eastAsia="de-DE"/>
    </w:rPr>
  </w:style>
  <w:style w:type="character" w:customStyle="1" w:styleId="Heading4Char">
    <w:name w:val="Heading 4 Char"/>
    <w:basedOn w:val="DefaultParagraphFont"/>
    <w:link w:val="Heading4"/>
    <w:rPr>
      <w:rFonts w:ascii="Arial" w:hAnsi="Arial" w:cs="Times New Roman"/>
      <w:szCs w:val="20"/>
      <w:lang w:eastAsia="de-DE"/>
    </w:rPr>
  </w:style>
  <w:style w:type="character" w:customStyle="1" w:styleId="Heading5Char">
    <w:name w:val="Heading 5 Char"/>
    <w:basedOn w:val="DefaultParagraphFont"/>
    <w:link w:val="Heading5"/>
    <w:rPr>
      <w:rFonts w:ascii="Arial" w:hAnsi="Arial" w:cs="Times New Roman"/>
      <w:i/>
      <w:szCs w:val="20"/>
      <w:lang w:eastAsia="de-DE"/>
    </w:rPr>
  </w:style>
  <w:style w:type="paragraph" w:styleId="TOC1">
    <w:name w:val="toc 1"/>
    <w:autoRedefine/>
    <w:uiPriority w:val="39"/>
    <w:pPr>
      <w:tabs>
        <w:tab w:val="decimal" w:leader="dot" w:pos="9015"/>
      </w:tabs>
      <w:spacing w:before="240" w:after="0" w:line="264" w:lineRule="exact"/>
      <w:ind w:left="1134" w:right="1134" w:hanging="1134"/>
    </w:pPr>
    <w:rPr>
      <w:rFonts w:ascii="Times New Roman" w:hAnsi="Times New Roman" w:cs="Times New Roman"/>
      <w:b/>
      <w:sz w:val="24"/>
      <w:szCs w:val="20"/>
      <w:lang w:eastAsia="de-DE"/>
    </w:rPr>
  </w:style>
  <w:style w:type="paragraph" w:styleId="TOC2">
    <w:name w:val="toc 2"/>
    <w:autoRedefine/>
    <w:uiPriority w:val="39"/>
    <w:pPr>
      <w:tabs>
        <w:tab w:val="decimal" w:leader="dot" w:pos="9015"/>
      </w:tabs>
      <w:spacing w:before="48" w:after="0" w:line="240" w:lineRule="exact"/>
      <w:ind w:left="1134" w:right="1134" w:hanging="1134"/>
    </w:pPr>
    <w:rPr>
      <w:rFonts w:ascii="Times New Roman" w:hAnsi="Times New Roman" w:cs="Times New Roman"/>
      <w:sz w:val="24"/>
      <w:szCs w:val="20"/>
      <w:lang w:eastAsia="de-DE"/>
    </w:rPr>
  </w:style>
  <w:style w:type="paragraph" w:styleId="TOC3">
    <w:name w:val="toc 3"/>
    <w:autoRedefine/>
    <w:uiPriority w:val="39"/>
    <w:pPr>
      <w:tabs>
        <w:tab w:val="decimal" w:leader="dot" w:pos="9015"/>
      </w:tabs>
      <w:spacing w:before="48" w:after="0" w:line="240" w:lineRule="exact"/>
      <w:ind w:left="1134" w:right="1134" w:hanging="1134"/>
    </w:pPr>
    <w:rPr>
      <w:rFonts w:ascii="Times New Roman" w:hAnsi="Times New Roman" w:cs="Times New Roman"/>
      <w:sz w:val="24"/>
      <w:szCs w:val="20"/>
      <w:lang w:eastAsia="de-DE"/>
    </w:rPr>
  </w:style>
  <w:style w:type="paragraph" w:styleId="TOC4">
    <w:name w:val="toc 4"/>
    <w:autoRedefine/>
    <w:semiHidden/>
    <w:pPr>
      <w:tabs>
        <w:tab w:val="left" w:pos="1077"/>
        <w:tab w:val="decimal" w:leader="dot" w:pos="9015"/>
      </w:tabs>
      <w:spacing w:before="48" w:after="0" w:line="240" w:lineRule="exact"/>
      <w:ind w:left="1134" w:right="1134" w:hanging="1134"/>
    </w:pPr>
    <w:rPr>
      <w:rFonts w:ascii="Times New Roman" w:hAnsi="Times New Roman" w:cs="Times New Roman"/>
      <w:sz w:val="24"/>
      <w:szCs w:val="20"/>
      <w:lang w:eastAsia="de-DE"/>
    </w:rPr>
  </w:style>
  <w:style w:type="paragraph" w:styleId="TOC5">
    <w:name w:val="toc 5"/>
    <w:basedOn w:val="Normal"/>
    <w:next w:val="Normal"/>
    <w:autoRedefine/>
    <w:semiHidden/>
    <w:pPr>
      <w:tabs>
        <w:tab w:val="right" w:leader="dot" w:pos="9015"/>
      </w:tabs>
      <w:ind w:left="960"/>
    </w:pPr>
  </w:style>
  <w:style w:type="paragraph" w:styleId="TOC6">
    <w:name w:val="toc 6"/>
    <w:basedOn w:val="Normal"/>
    <w:next w:val="Normal"/>
    <w:autoRedefine/>
    <w:semiHidden/>
    <w:pPr>
      <w:tabs>
        <w:tab w:val="right" w:leader="dot" w:pos="9015"/>
      </w:tabs>
      <w:ind w:left="1200"/>
    </w:pPr>
  </w:style>
  <w:style w:type="paragraph" w:styleId="TOC7">
    <w:name w:val="toc 7"/>
    <w:basedOn w:val="Normal"/>
    <w:next w:val="Normal"/>
    <w:autoRedefine/>
    <w:semiHidden/>
    <w:pPr>
      <w:tabs>
        <w:tab w:val="right" w:leader="dot" w:pos="9015"/>
      </w:tabs>
      <w:ind w:left="1440"/>
    </w:pPr>
  </w:style>
  <w:style w:type="paragraph" w:styleId="TOC8">
    <w:name w:val="toc 8"/>
    <w:basedOn w:val="Normal"/>
    <w:next w:val="Normal"/>
    <w:autoRedefine/>
    <w:semiHidden/>
    <w:pPr>
      <w:tabs>
        <w:tab w:val="right" w:leader="dot" w:pos="9015"/>
      </w:tabs>
      <w:ind w:left="1680"/>
    </w:pPr>
  </w:style>
  <w:style w:type="paragraph" w:styleId="TOC9">
    <w:name w:val="toc 9"/>
    <w:basedOn w:val="Normal"/>
    <w:next w:val="Normal"/>
    <w:autoRedefine/>
    <w:semiHidden/>
    <w:pPr>
      <w:tabs>
        <w:tab w:val="right" w:leader="dot" w:pos="9015"/>
      </w:tabs>
      <w:ind w:left="1920"/>
    </w:pPr>
  </w:style>
  <w:style w:type="paragraph" w:customStyle="1" w:styleId="Formatvorlage5">
    <w:name w:val="Formatvorlage5"/>
    <w:basedOn w:val="TableofFigures"/>
    <w:qFormat/>
    <w:pPr>
      <w:tabs>
        <w:tab w:val="right" w:leader="dot" w:pos="9061"/>
      </w:tabs>
    </w:pPr>
    <w:rPr>
      <w:b/>
    </w:rPr>
  </w:style>
  <w:style w:type="paragraph" w:customStyle="1" w:styleId="Formatvorlage6">
    <w:name w:val="Formatvorlage6"/>
    <w:basedOn w:val="Caption"/>
    <w:qFormat/>
    <w:pPr>
      <w:tabs>
        <w:tab w:val="clear" w:pos="1418"/>
      </w:tabs>
      <w:spacing w:before="120" w:after="120"/>
      <w:ind w:left="1134" w:hanging="1134"/>
    </w:pPr>
    <w:rPr>
      <w:lang w:val="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lang w:val="fr-FR"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de-DE"/>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1">
    <w:name w:val="CM1"/>
    <w:basedOn w:val="Normal"/>
    <w:next w:val="Normal"/>
    <w:uiPriority w:val="99"/>
    <w:pPr>
      <w:autoSpaceDE w:val="0"/>
      <w:autoSpaceDN w:val="0"/>
      <w:adjustRightInd w:val="0"/>
      <w:spacing w:line="240" w:lineRule="auto"/>
      <w:jc w:val="left"/>
    </w:pPr>
    <w:rPr>
      <w:rFonts w:eastAsiaTheme="minorEastAsia"/>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Pr>
      <w:rFonts w:ascii="EUAlbertina" w:hAnsi="EUAlbertina" w:cstheme="minorBidi"/>
      <w:color w:val="auto"/>
    </w:rPr>
  </w:style>
  <w:style w:type="paragraph" w:styleId="NoSpacing">
    <w:name w:val="No Spacing"/>
    <w:uiPriority w:val="1"/>
    <w:qFormat/>
    <w:pPr>
      <w:spacing w:after="0" w:line="240" w:lineRule="auto"/>
      <w:jc w:val="both"/>
    </w:pPr>
    <w:rPr>
      <w:rFonts w:ascii="Times New Roman" w:hAnsi="Times New Roman" w:cs="Times New Roman"/>
      <w:sz w:val="24"/>
      <w:szCs w:val="20"/>
      <w:lang w:val="fr-FR" w:eastAsia="de-DE"/>
    </w:rPr>
  </w:style>
  <w:style w:type="paragraph" w:styleId="NormalWeb">
    <w:name w:val="Normal (Web)"/>
    <w:basedOn w:val="Normal"/>
    <w:uiPriority w:val="99"/>
    <w:unhideWhenUsed/>
    <w:pPr>
      <w:spacing w:before="100" w:beforeAutospacing="1" w:after="100" w:afterAutospacing="1" w:line="240" w:lineRule="auto"/>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jc w:val="left"/>
    </w:pPr>
    <w:rPr>
      <w:szCs w:val="24"/>
      <w:lang w:eastAsia="en-GB"/>
    </w:rPr>
  </w:style>
  <w:style w:type="paragraph" w:customStyle="1" w:styleId="berschrifttablefigu7re">
    <w:name w:val="Überschrift_table_figu7re"/>
    <w:basedOn w:val="Heading1"/>
    <w:qFormat/>
    <w:pPr>
      <w:shd w:val="clear" w:color="auto" w:fill="FFFFFF" w:themeFill="background1"/>
      <w:tabs>
        <w:tab w:val="clear" w:pos="964"/>
        <w:tab w:val="clear" w:pos="1134"/>
      </w:tabs>
      <w:ind w:left="0" w:firstLine="0"/>
    </w:pPr>
    <w:rPr>
      <w:rFonts w:eastAsia="Calibri"/>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sz w:val="24"/>
      <w:szCs w:val="20"/>
      <w:lang w:val="en-GB" w:eastAsia="de-DE"/>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szCs w:val="20"/>
      <w:lang w:val="en-GB" w:eastAsia="de-D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eastAsia="de-DE"/>
    </w:rPr>
  </w:style>
  <w:style w:type="paragraph" w:customStyle="1" w:styleId="Fragen">
    <w:name w:val="Fragen"/>
    <w:basedOn w:val="ListBullet"/>
    <w:qFormat/>
    <w:pPr>
      <w:numPr>
        <w:numId w:val="1"/>
      </w:numPr>
      <w:autoSpaceDE w:val="0"/>
      <w:autoSpaceDN w:val="0"/>
      <w:adjustRightInd w:val="0"/>
      <w:jc w:val="left"/>
    </w:pPr>
    <w:rPr>
      <w:sz w:val="22"/>
    </w:rPr>
  </w:style>
  <w:style w:type="paragraph" w:customStyle="1" w:styleId="Aufzhlung">
    <w:name w:val="Aufzählung"/>
    <w:basedOn w:val="Normal"/>
    <w:pPr>
      <w:numPr>
        <w:numId w:val="2"/>
      </w:numPr>
      <w:autoSpaceDE w:val="0"/>
      <w:autoSpaceDN w:val="0"/>
      <w:adjustRightInd w:val="0"/>
      <w:spacing w:after="160" w:line="320" w:lineRule="exact"/>
    </w:pPr>
    <w:rPr>
      <w:rFonts w:ascii="Arial" w:hAnsi="Arial"/>
      <w:sz w:val="20"/>
      <w:szCs w:val="24"/>
      <w:lang w:val="en-IE" w:eastAsia="en-US"/>
    </w:rPr>
  </w:style>
  <w:style w:type="table" w:customStyle="1" w:styleId="TableGrid11">
    <w:name w:val="Table Grid11"/>
    <w:basedOn w:val="TableNormal"/>
    <w:next w:val="TableGrid"/>
    <w:uiPriority w:val="5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paragraph" w:customStyle="1" w:styleId="BodyText1">
    <w:name w:val="Body Text1"/>
    <w:basedOn w:val="Normal"/>
    <w:next w:val="BodyText"/>
    <w:link w:val="BodyTextChar"/>
    <w:uiPriority w:val="1"/>
    <w:qFormat/>
    <w:pPr>
      <w:widowControl w:val="0"/>
      <w:spacing w:before="63" w:line="240" w:lineRule="auto"/>
      <w:ind w:left="2"/>
      <w:jc w:val="left"/>
    </w:pPr>
    <w:rPr>
      <w:rFonts w:cstheme="minorBidi"/>
      <w:sz w:val="14"/>
      <w:szCs w:val="14"/>
      <w:lang w:val="de-DE" w:eastAsia="en-US"/>
    </w:rPr>
  </w:style>
  <w:style w:type="character" w:customStyle="1" w:styleId="BodyTextChar">
    <w:name w:val="Body Text Char"/>
    <w:basedOn w:val="DefaultParagraphFont"/>
    <w:link w:val="BodyText1"/>
    <w:uiPriority w:val="1"/>
    <w:rPr>
      <w:rFonts w:ascii="Times New Roman" w:eastAsia="Times New Roman" w:hAnsi="Times New Roman"/>
      <w:sz w:val="14"/>
      <w:szCs w:val="14"/>
    </w:rPr>
  </w:style>
  <w:style w:type="paragraph" w:customStyle="1" w:styleId="TableParagraph">
    <w:name w:val="Table Paragraph"/>
    <w:basedOn w:val="Normal"/>
    <w:uiPriority w:val="1"/>
    <w:qFormat/>
    <w:pPr>
      <w:widowControl w:val="0"/>
      <w:spacing w:line="240" w:lineRule="auto"/>
      <w:jc w:val="left"/>
    </w:pPr>
    <w:rPr>
      <w:rFonts w:ascii="Calibri" w:eastAsia="Calibri" w:hAnsi="Calibri"/>
      <w:sz w:val="22"/>
      <w:szCs w:val="22"/>
      <w:lang w:val="en-US" w:eastAsia="en-US"/>
    </w:rPr>
  </w:style>
  <w:style w:type="paragraph" w:styleId="BodyText">
    <w:name w:val="Body Text"/>
    <w:basedOn w:val="Normal"/>
    <w:link w:val="BodyTextChar1"/>
    <w:uiPriority w:val="99"/>
    <w:semiHidden/>
    <w:unhideWhenUsed/>
    <w:pPr>
      <w:spacing w:after="120"/>
    </w:pPr>
  </w:style>
  <w:style w:type="character" w:customStyle="1" w:styleId="BodyTextChar1">
    <w:name w:val="Body Text Char1"/>
    <w:basedOn w:val="DefaultParagraphFont"/>
    <w:link w:val="BodyText"/>
    <w:uiPriority w:val="99"/>
    <w:semiHidden/>
    <w:rPr>
      <w:rFonts w:ascii="Times New Roman" w:hAnsi="Times New Roman" w:cs="Times New Roman"/>
      <w:sz w:val="24"/>
      <w:szCs w:val="20"/>
      <w:lang w:val="en-GB" w:eastAsia="de-DE"/>
    </w:rPr>
  </w:style>
  <w:style w:type="paragraph" w:customStyle="1" w:styleId="Pagedecouverture">
    <w:name w:val="Page de couverture"/>
    <w:basedOn w:val="Normal"/>
    <w:next w:val="Normal"/>
    <w:pPr>
      <w:spacing w:line="240" w:lineRule="auto"/>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0"/>
      <w:lang w:val="en-GB" w:eastAsia="de-DE"/>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0"/>
      <w:lang w:val="en-GB" w:eastAsia="de-DE"/>
    </w:rPr>
  </w:style>
  <w:style w:type="character" w:customStyle="1" w:styleId="st">
    <w:name w:val="st"/>
    <w:basedOn w:val="DefaultParagraphFont"/>
  </w:style>
  <w:style w:type="paragraph" w:styleId="TOCHeading">
    <w:name w:val="TOC Heading"/>
    <w:basedOn w:val="Heading1"/>
    <w:next w:val="Normal"/>
    <w:uiPriority w:val="39"/>
    <w:semiHidden/>
    <w:unhideWhenUsed/>
    <w:qFormat/>
    <w:pPr>
      <w:numPr>
        <w:numId w:val="0"/>
      </w:numPr>
      <w:tabs>
        <w:tab w:val="clear" w:pos="964"/>
        <w:tab w:val="clear" w:pos="1134"/>
      </w:tabs>
      <w:spacing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lang w:val="en-GB" w:eastAsia="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8" w:lineRule="atLeast"/>
      <w:jc w:val="both"/>
    </w:pPr>
    <w:rPr>
      <w:rFonts w:ascii="Times New Roman" w:hAnsi="Times New Roman" w:cs="Times New Roman"/>
      <w:sz w:val="24"/>
      <w:szCs w:val="20"/>
      <w:lang w:val="en-GB" w:eastAsia="de-DE"/>
    </w:rPr>
  </w:style>
  <w:style w:type="paragraph" w:styleId="Heading1">
    <w:name w:val="heading 1"/>
    <w:next w:val="Heading2"/>
    <w:link w:val="Heading1Char"/>
    <w:qFormat/>
    <w:pPr>
      <w:keepNext/>
      <w:keepLines/>
      <w:numPr>
        <w:numId w:val="3"/>
      </w:numPr>
      <w:tabs>
        <w:tab w:val="left" w:pos="964"/>
        <w:tab w:val="left" w:pos="1134"/>
      </w:tabs>
      <w:spacing w:before="480" w:after="240" w:line="336" w:lineRule="exact"/>
      <w:outlineLvl w:val="0"/>
    </w:pPr>
    <w:rPr>
      <w:rFonts w:ascii="Arial" w:hAnsi="Arial" w:cs="Times New Roman"/>
      <w:b/>
      <w:sz w:val="28"/>
      <w:szCs w:val="20"/>
      <w:lang w:eastAsia="de-DE"/>
    </w:rPr>
  </w:style>
  <w:style w:type="paragraph" w:styleId="Heading2">
    <w:name w:val="heading 2"/>
    <w:link w:val="Heading2Char"/>
    <w:qFormat/>
    <w:pPr>
      <w:keepNext/>
      <w:keepLines/>
      <w:numPr>
        <w:ilvl w:val="1"/>
        <w:numId w:val="3"/>
      </w:numPr>
      <w:tabs>
        <w:tab w:val="left" w:pos="964"/>
        <w:tab w:val="left" w:pos="1134"/>
      </w:tabs>
      <w:spacing w:after="240" w:line="288" w:lineRule="exact"/>
      <w:outlineLvl w:val="1"/>
    </w:pPr>
    <w:rPr>
      <w:rFonts w:ascii="Arial" w:hAnsi="Arial" w:cs="Times New Roman"/>
      <w:b/>
      <w:sz w:val="24"/>
      <w:szCs w:val="20"/>
      <w:lang w:eastAsia="de-DE"/>
    </w:rPr>
  </w:style>
  <w:style w:type="paragraph" w:styleId="Heading3">
    <w:name w:val="heading 3"/>
    <w:link w:val="Heading3Char"/>
    <w:qFormat/>
    <w:pPr>
      <w:keepNext/>
      <w:keepLines/>
      <w:numPr>
        <w:ilvl w:val="2"/>
        <w:numId w:val="3"/>
      </w:numPr>
      <w:tabs>
        <w:tab w:val="left" w:pos="964"/>
        <w:tab w:val="left" w:pos="1134"/>
      </w:tabs>
      <w:spacing w:after="240" w:line="264" w:lineRule="exact"/>
      <w:outlineLvl w:val="2"/>
    </w:pPr>
    <w:rPr>
      <w:rFonts w:ascii="Arial" w:hAnsi="Arial" w:cs="Times New Roman"/>
      <w:b/>
      <w:szCs w:val="20"/>
      <w:lang w:eastAsia="de-DE"/>
    </w:rPr>
  </w:style>
  <w:style w:type="paragraph" w:styleId="Heading4">
    <w:name w:val="heading 4"/>
    <w:link w:val="Heading4Char"/>
    <w:qFormat/>
    <w:pPr>
      <w:keepNext/>
      <w:keepLines/>
      <w:numPr>
        <w:ilvl w:val="3"/>
        <w:numId w:val="3"/>
      </w:numPr>
      <w:tabs>
        <w:tab w:val="left" w:pos="964"/>
        <w:tab w:val="left" w:pos="1134"/>
      </w:tabs>
      <w:spacing w:after="240" w:line="264" w:lineRule="exact"/>
      <w:outlineLvl w:val="3"/>
    </w:pPr>
    <w:rPr>
      <w:rFonts w:ascii="Arial" w:hAnsi="Arial" w:cs="Times New Roman"/>
      <w:szCs w:val="20"/>
      <w:lang w:eastAsia="de-DE"/>
    </w:rPr>
  </w:style>
  <w:style w:type="paragraph" w:styleId="Heading5">
    <w:name w:val="heading 5"/>
    <w:link w:val="Heading5Char"/>
    <w:qFormat/>
    <w:pPr>
      <w:keepNext/>
      <w:keepLines/>
      <w:numPr>
        <w:ilvl w:val="4"/>
        <w:numId w:val="3"/>
      </w:numPr>
      <w:tabs>
        <w:tab w:val="left" w:pos="964"/>
        <w:tab w:val="left" w:pos="1134"/>
      </w:tabs>
      <w:spacing w:after="240" w:line="264" w:lineRule="exact"/>
      <w:outlineLvl w:val="4"/>
    </w:pPr>
    <w:rPr>
      <w:rFonts w:ascii="Arial" w:hAnsi="Arial" w:cs="Times New Roman"/>
      <w:i/>
      <w:szCs w:val="20"/>
      <w:lang w:eastAsia="de-DE"/>
    </w:rPr>
  </w:style>
  <w:style w:type="paragraph" w:styleId="Heading6">
    <w:name w:val="heading 6"/>
    <w:basedOn w:val="Normal"/>
    <w:next w:val="Normal"/>
    <w:link w:val="Heading6Char"/>
    <w:uiPriority w:val="9"/>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Standard">
    <w:name w:val="A0: Standard"/>
    <w:basedOn w:val="Normal"/>
  </w:style>
  <w:style w:type="paragraph" w:customStyle="1" w:styleId="A1StandEndabst">
    <w:name w:val="A1: Stand. + Endabst"/>
    <w:basedOn w:val="Normal"/>
    <w:pPr>
      <w:spacing w:after="144"/>
    </w:pPr>
  </w:style>
  <w:style w:type="paragraph" w:customStyle="1" w:styleId="A2StandAnfEndab">
    <w:name w:val="A2: Stand + Anf + Endab"/>
    <w:basedOn w:val="A1StandEndabst"/>
    <w:pPr>
      <w:spacing w:before="144"/>
    </w:pPr>
  </w:style>
  <w:style w:type="paragraph" w:styleId="TableofFigures">
    <w:name w:val="table of figures"/>
    <w:basedOn w:val="Normal"/>
    <w:next w:val="Normal"/>
    <w:uiPriority w:val="99"/>
    <w:pPr>
      <w:spacing w:after="120"/>
      <w:ind w:left="1134" w:right="1134" w:hanging="1134"/>
      <w:jc w:val="left"/>
    </w:pPr>
    <w:rPr>
      <w:bCs/>
      <w:lang w:val="de-DE"/>
    </w:rPr>
  </w:style>
  <w:style w:type="paragraph" w:styleId="ListBullet">
    <w:name w:val="List Bullet"/>
    <w:basedOn w:val="Normal"/>
    <w:autoRedefine/>
    <w:pPr>
      <w:ind w:left="283" w:hanging="283"/>
    </w:pPr>
    <w:rPr>
      <w:i/>
    </w:rPr>
  </w:style>
  <w:style w:type="paragraph" w:styleId="Caption">
    <w:name w:val="caption"/>
    <w:basedOn w:val="A1StandEndabst"/>
    <w:next w:val="A1StandEndabst"/>
    <w:uiPriority w:val="99"/>
    <w:qFormat/>
    <w:pPr>
      <w:tabs>
        <w:tab w:val="left" w:pos="1418"/>
      </w:tabs>
      <w:spacing w:after="240"/>
      <w:ind w:left="1588" w:hanging="1588"/>
      <w:jc w:val="left"/>
    </w:pPr>
    <w:rPr>
      <w:rFonts w:ascii="Arial" w:hAnsi="Arial"/>
      <w:b/>
      <w:bCs/>
      <w:sz w:val="22"/>
    </w:rPr>
  </w:style>
  <w:style w:type="paragraph" w:customStyle="1" w:styleId="E1Einzug-09">
    <w:name w:val="E1: Einzug -0.9"/>
    <w:basedOn w:val="Normal"/>
    <w:pPr>
      <w:tabs>
        <w:tab w:val="left" w:pos="510"/>
      </w:tabs>
      <w:ind w:left="510" w:hanging="510"/>
    </w:pPr>
  </w:style>
  <w:style w:type="paragraph" w:customStyle="1" w:styleId="E2Einz-09End">
    <w:name w:val="E2: Einz. -0.9 + End"/>
    <w:basedOn w:val="E1Einzug-09"/>
    <w:pPr>
      <w:spacing w:after="144"/>
    </w:pPr>
  </w:style>
  <w:style w:type="paragraph" w:customStyle="1" w:styleId="E3EinziEinzug">
    <w:name w:val="E3: Einz. i. Einzug"/>
    <w:pPr>
      <w:tabs>
        <w:tab w:val="left" w:pos="851"/>
      </w:tabs>
      <w:spacing w:after="0" w:line="288" w:lineRule="atLeast"/>
      <w:ind w:left="851" w:hanging="340"/>
      <w:jc w:val="both"/>
    </w:pPr>
    <w:rPr>
      <w:rFonts w:ascii="Times New Roman" w:hAnsi="Times New Roman" w:cs="Times New Roman"/>
      <w:sz w:val="24"/>
      <w:szCs w:val="20"/>
      <w:lang w:eastAsia="de-DE"/>
    </w:rPr>
  </w:style>
  <w:style w:type="paragraph" w:customStyle="1" w:styleId="E4EiEEnd">
    <w:name w:val="E4: E i E End"/>
    <w:basedOn w:val="E3EinziEinzug"/>
    <w:pPr>
      <w:spacing w:after="144"/>
      <w:ind w:left="850"/>
    </w:pPr>
  </w:style>
  <w:style w:type="paragraph" w:customStyle="1" w:styleId="E4Einzug15">
    <w:name w:val="E4: Einzug 1.5"/>
    <w:basedOn w:val="E1Einzug-09"/>
    <w:pPr>
      <w:tabs>
        <w:tab w:val="clear" w:pos="510"/>
        <w:tab w:val="left" w:pos="851"/>
      </w:tabs>
      <w:ind w:left="851" w:hanging="851"/>
    </w:pPr>
  </w:style>
  <w:style w:type="paragraph" w:customStyle="1" w:styleId="E5EinzfrmZahlen">
    <w:name w:val="E5: Einz. f. röm. Zahlen"/>
    <w:basedOn w:val="E4Einzug15"/>
    <w:pPr>
      <w:tabs>
        <w:tab w:val="center" w:pos="426"/>
      </w:tabs>
      <w:spacing w:after="144"/>
    </w:pPr>
  </w:style>
  <w:style w:type="paragraph" w:customStyle="1" w:styleId="E6Einzug15">
    <w:name w:val="E6: Einzug 1.5"/>
    <w:basedOn w:val="E1Einzug-09"/>
    <w:pPr>
      <w:tabs>
        <w:tab w:val="clear" w:pos="510"/>
        <w:tab w:val="left" w:pos="851"/>
      </w:tabs>
      <w:ind w:left="851" w:hanging="851"/>
    </w:pPr>
  </w:style>
  <w:style w:type="paragraph" w:customStyle="1" w:styleId="Formatvorlage1">
    <w:name w:val="Formatvorlage1"/>
    <w:basedOn w:val="Caption"/>
  </w:style>
  <w:style w:type="paragraph" w:styleId="FootnoteText">
    <w:name w:val="footnote text"/>
    <w:link w:val="FootnoteTextChar"/>
    <w:uiPriority w:val="99"/>
    <w:pPr>
      <w:tabs>
        <w:tab w:val="left" w:pos="737"/>
      </w:tabs>
      <w:spacing w:before="120" w:after="0" w:line="240" w:lineRule="exact"/>
      <w:ind w:left="737" w:right="284" w:hanging="454"/>
      <w:jc w:val="both"/>
    </w:pPr>
    <w:rPr>
      <w:rFonts w:ascii="Times New Roman" w:hAnsi="Times New Roman" w:cs="Times New Roman"/>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Cs w:val="20"/>
      <w:lang w:eastAsia="de-DE"/>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de-D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de-DE"/>
    </w:r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de-DE"/>
    </w:rPr>
  </w:style>
  <w:style w:type="paragraph" w:styleId="NormalIndent">
    <w:name w:val="Normal Indent"/>
    <w:basedOn w:val="Normal"/>
    <w:pPr>
      <w:ind w:left="708"/>
    </w:pPr>
  </w:style>
  <w:style w:type="paragraph" w:customStyle="1" w:styleId="Tabelle">
    <w:name w:val="Tabelle"/>
    <w:basedOn w:val="Normal"/>
    <w:pPr>
      <w:spacing w:before="40" w:after="40" w:line="240" w:lineRule="auto"/>
      <w:jc w:val="left"/>
    </w:pPr>
    <w:rPr>
      <w:rFonts w:ascii="Arial" w:hAnsi="Arial" w:cs="Arial"/>
      <w:bCs/>
      <w:sz w:val="18"/>
    </w:rPr>
  </w:style>
  <w:style w:type="paragraph" w:customStyle="1" w:styleId="TabelleDezimaltab">
    <w:name w:val="Tabelle Dezimaltab"/>
    <w:basedOn w:val="Tabelle"/>
    <w:pPr>
      <w:tabs>
        <w:tab w:val="decimal" w:pos="851"/>
      </w:tabs>
    </w:pPr>
  </w:style>
  <w:style w:type="paragraph" w:customStyle="1" w:styleId="TabelleKopf">
    <w:name w:val="Tabelle Kopf"/>
    <w:pPr>
      <w:spacing w:before="80" w:after="80" w:line="240" w:lineRule="auto"/>
      <w:jc w:val="center"/>
    </w:pPr>
    <w:rPr>
      <w:rFonts w:ascii="Arial" w:hAnsi="Arial" w:cs="Arial"/>
      <w:b/>
      <w:bCs/>
      <w:sz w:val="18"/>
      <w:szCs w:val="20"/>
      <w:lang w:eastAsia="de-DE"/>
    </w:rPr>
  </w:style>
  <w:style w:type="paragraph" w:customStyle="1" w:styleId="Tabellenberschrift">
    <w:name w:val="Tabellenüberschrift"/>
    <w:basedOn w:val="A1StandEndabst"/>
    <w:next w:val="A1StandEndabst"/>
    <w:pPr>
      <w:keepNext/>
      <w:tabs>
        <w:tab w:val="left" w:pos="1418"/>
      </w:tabs>
      <w:spacing w:after="240"/>
      <w:ind w:left="1418" w:hanging="1418"/>
      <w:jc w:val="left"/>
    </w:pPr>
    <w:rPr>
      <w:rFonts w:ascii="Arial" w:hAnsi="Arial" w:cs="Arial"/>
      <w:b/>
      <w:bCs/>
      <w:sz w:val="22"/>
    </w:rPr>
  </w:style>
  <w:style w:type="character" w:customStyle="1" w:styleId="Heading1Char">
    <w:name w:val="Heading 1 Char"/>
    <w:basedOn w:val="DefaultParagraphFont"/>
    <w:link w:val="Heading1"/>
    <w:rPr>
      <w:rFonts w:ascii="Arial" w:hAnsi="Arial" w:cs="Times New Roman"/>
      <w:b/>
      <w:sz w:val="28"/>
      <w:szCs w:val="20"/>
      <w:lang w:eastAsia="de-DE"/>
    </w:rPr>
  </w:style>
  <w:style w:type="character" w:customStyle="1" w:styleId="Heading2Char">
    <w:name w:val="Heading 2 Char"/>
    <w:basedOn w:val="DefaultParagraphFont"/>
    <w:link w:val="Heading2"/>
    <w:rPr>
      <w:rFonts w:ascii="Arial" w:hAnsi="Arial" w:cs="Times New Roman"/>
      <w:b/>
      <w:sz w:val="24"/>
      <w:szCs w:val="20"/>
      <w:lang w:eastAsia="de-DE"/>
    </w:rPr>
  </w:style>
  <w:style w:type="character" w:customStyle="1" w:styleId="Heading3Char">
    <w:name w:val="Heading 3 Char"/>
    <w:basedOn w:val="DefaultParagraphFont"/>
    <w:link w:val="Heading3"/>
    <w:rPr>
      <w:rFonts w:ascii="Arial" w:hAnsi="Arial" w:cs="Times New Roman"/>
      <w:b/>
      <w:szCs w:val="20"/>
      <w:lang w:eastAsia="de-DE"/>
    </w:rPr>
  </w:style>
  <w:style w:type="character" w:customStyle="1" w:styleId="Heading4Char">
    <w:name w:val="Heading 4 Char"/>
    <w:basedOn w:val="DefaultParagraphFont"/>
    <w:link w:val="Heading4"/>
    <w:rPr>
      <w:rFonts w:ascii="Arial" w:hAnsi="Arial" w:cs="Times New Roman"/>
      <w:szCs w:val="20"/>
      <w:lang w:eastAsia="de-DE"/>
    </w:rPr>
  </w:style>
  <w:style w:type="character" w:customStyle="1" w:styleId="Heading5Char">
    <w:name w:val="Heading 5 Char"/>
    <w:basedOn w:val="DefaultParagraphFont"/>
    <w:link w:val="Heading5"/>
    <w:rPr>
      <w:rFonts w:ascii="Arial" w:hAnsi="Arial" w:cs="Times New Roman"/>
      <w:i/>
      <w:szCs w:val="20"/>
      <w:lang w:eastAsia="de-DE"/>
    </w:rPr>
  </w:style>
  <w:style w:type="paragraph" w:styleId="TOC1">
    <w:name w:val="toc 1"/>
    <w:autoRedefine/>
    <w:uiPriority w:val="39"/>
    <w:pPr>
      <w:tabs>
        <w:tab w:val="decimal" w:leader="dot" w:pos="9015"/>
      </w:tabs>
      <w:spacing w:before="240" w:after="0" w:line="264" w:lineRule="exact"/>
      <w:ind w:left="1134" w:right="1134" w:hanging="1134"/>
    </w:pPr>
    <w:rPr>
      <w:rFonts w:ascii="Times New Roman" w:hAnsi="Times New Roman" w:cs="Times New Roman"/>
      <w:b/>
      <w:sz w:val="24"/>
      <w:szCs w:val="20"/>
      <w:lang w:eastAsia="de-DE"/>
    </w:rPr>
  </w:style>
  <w:style w:type="paragraph" w:styleId="TOC2">
    <w:name w:val="toc 2"/>
    <w:autoRedefine/>
    <w:uiPriority w:val="39"/>
    <w:pPr>
      <w:tabs>
        <w:tab w:val="decimal" w:leader="dot" w:pos="9015"/>
      </w:tabs>
      <w:spacing w:before="48" w:after="0" w:line="240" w:lineRule="exact"/>
      <w:ind w:left="1134" w:right="1134" w:hanging="1134"/>
    </w:pPr>
    <w:rPr>
      <w:rFonts w:ascii="Times New Roman" w:hAnsi="Times New Roman" w:cs="Times New Roman"/>
      <w:sz w:val="24"/>
      <w:szCs w:val="20"/>
      <w:lang w:eastAsia="de-DE"/>
    </w:rPr>
  </w:style>
  <w:style w:type="paragraph" w:styleId="TOC3">
    <w:name w:val="toc 3"/>
    <w:autoRedefine/>
    <w:uiPriority w:val="39"/>
    <w:pPr>
      <w:tabs>
        <w:tab w:val="decimal" w:leader="dot" w:pos="9015"/>
      </w:tabs>
      <w:spacing w:before="48" w:after="0" w:line="240" w:lineRule="exact"/>
      <w:ind w:left="1134" w:right="1134" w:hanging="1134"/>
    </w:pPr>
    <w:rPr>
      <w:rFonts w:ascii="Times New Roman" w:hAnsi="Times New Roman" w:cs="Times New Roman"/>
      <w:sz w:val="24"/>
      <w:szCs w:val="20"/>
      <w:lang w:eastAsia="de-DE"/>
    </w:rPr>
  </w:style>
  <w:style w:type="paragraph" w:styleId="TOC4">
    <w:name w:val="toc 4"/>
    <w:autoRedefine/>
    <w:semiHidden/>
    <w:pPr>
      <w:tabs>
        <w:tab w:val="left" w:pos="1077"/>
        <w:tab w:val="decimal" w:leader="dot" w:pos="9015"/>
      </w:tabs>
      <w:spacing w:before="48" w:after="0" w:line="240" w:lineRule="exact"/>
      <w:ind w:left="1134" w:right="1134" w:hanging="1134"/>
    </w:pPr>
    <w:rPr>
      <w:rFonts w:ascii="Times New Roman" w:hAnsi="Times New Roman" w:cs="Times New Roman"/>
      <w:sz w:val="24"/>
      <w:szCs w:val="20"/>
      <w:lang w:eastAsia="de-DE"/>
    </w:rPr>
  </w:style>
  <w:style w:type="paragraph" w:styleId="TOC5">
    <w:name w:val="toc 5"/>
    <w:basedOn w:val="Normal"/>
    <w:next w:val="Normal"/>
    <w:autoRedefine/>
    <w:semiHidden/>
    <w:pPr>
      <w:tabs>
        <w:tab w:val="right" w:leader="dot" w:pos="9015"/>
      </w:tabs>
      <w:ind w:left="960"/>
    </w:pPr>
  </w:style>
  <w:style w:type="paragraph" w:styleId="TOC6">
    <w:name w:val="toc 6"/>
    <w:basedOn w:val="Normal"/>
    <w:next w:val="Normal"/>
    <w:autoRedefine/>
    <w:semiHidden/>
    <w:pPr>
      <w:tabs>
        <w:tab w:val="right" w:leader="dot" w:pos="9015"/>
      </w:tabs>
      <w:ind w:left="1200"/>
    </w:pPr>
  </w:style>
  <w:style w:type="paragraph" w:styleId="TOC7">
    <w:name w:val="toc 7"/>
    <w:basedOn w:val="Normal"/>
    <w:next w:val="Normal"/>
    <w:autoRedefine/>
    <w:semiHidden/>
    <w:pPr>
      <w:tabs>
        <w:tab w:val="right" w:leader="dot" w:pos="9015"/>
      </w:tabs>
      <w:ind w:left="1440"/>
    </w:pPr>
  </w:style>
  <w:style w:type="paragraph" w:styleId="TOC8">
    <w:name w:val="toc 8"/>
    <w:basedOn w:val="Normal"/>
    <w:next w:val="Normal"/>
    <w:autoRedefine/>
    <w:semiHidden/>
    <w:pPr>
      <w:tabs>
        <w:tab w:val="right" w:leader="dot" w:pos="9015"/>
      </w:tabs>
      <w:ind w:left="1680"/>
    </w:pPr>
  </w:style>
  <w:style w:type="paragraph" w:styleId="TOC9">
    <w:name w:val="toc 9"/>
    <w:basedOn w:val="Normal"/>
    <w:next w:val="Normal"/>
    <w:autoRedefine/>
    <w:semiHidden/>
    <w:pPr>
      <w:tabs>
        <w:tab w:val="right" w:leader="dot" w:pos="9015"/>
      </w:tabs>
      <w:ind w:left="1920"/>
    </w:pPr>
  </w:style>
  <w:style w:type="paragraph" w:customStyle="1" w:styleId="Formatvorlage5">
    <w:name w:val="Formatvorlage5"/>
    <w:basedOn w:val="TableofFigures"/>
    <w:qFormat/>
    <w:pPr>
      <w:tabs>
        <w:tab w:val="right" w:leader="dot" w:pos="9061"/>
      </w:tabs>
    </w:pPr>
    <w:rPr>
      <w:b/>
    </w:rPr>
  </w:style>
  <w:style w:type="paragraph" w:customStyle="1" w:styleId="Formatvorlage6">
    <w:name w:val="Formatvorlage6"/>
    <w:basedOn w:val="Caption"/>
    <w:qFormat/>
    <w:pPr>
      <w:tabs>
        <w:tab w:val="clear" w:pos="1418"/>
      </w:tabs>
      <w:spacing w:before="120" w:after="120"/>
      <w:ind w:left="1134" w:hanging="1134"/>
    </w:pPr>
    <w:rPr>
      <w:lang w:val="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lang w:val="fr-FR"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de-DE"/>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1">
    <w:name w:val="CM1"/>
    <w:basedOn w:val="Normal"/>
    <w:next w:val="Normal"/>
    <w:uiPriority w:val="99"/>
    <w:pPr>
      <w:autoSpaceDE w:val="0"/>
      <w:autoSpaceDN w:val="0"/>
      <w:adjustRightInd w:val="0"/>
      <w:spacing w:line="240" w:lineRule="auto"/>
      <w:jc w:val="left"/>
    </w:pPr>
    <w:rPr>
      <w:rFonts w:eastAsiaTheme="minorEastAsia"/>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Pr>
      <w:rFonts w:ascii="EUAlbertina" w:hAnsi="EUAlbertina" w:cstheme="minorBidi"/>
      <w:color w:val="auto"/>
    </w:rPr>
  </w:style>
  <w:style w:type="paragraph" w:styleId="NoSpacing">
    <w:name w:val="No Spacing"/>
    <w:uiPriority w:val="1"/>
    <w:qFormat/>
    <w:pPr>
      <w:spacing w:after="0" w:line="240" w:lineRule="auto"/>
      <w:jc w:val="both"/>
    </w:pPr>
    <w:rPr>
      <w:rFonts w:ascii="Times New Roman" w:hAnsi="Times New Roman" w:cs="Times New Roman"/>
      <w:sz w:val="24"/>
      <w:szCs w:val="20"/>
      <w:lang w:val="fr-FR" w:eastAsia="de-DE"/>
    </w:rPr>
  </w:style>
  <w:style w:type="paragraph" w:styleId="NormalWeb">
    <w:name w:val="Normal (Web)"/>
    <w:basedOn w:val="Normal"/>
    <w:uiPriority w:val="99"/>
    <w:unhideWhenUsed/>
    <w:pPr>
      <w:spacing w:before="100" w:beforeAutospacing="1" w:after="100" w:afterAutospacing="1" w:line="240" w:lineRule="auto"/>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jc w:val="left"/>
    </w:pPr>
    <w:rPr>
      <w:szCs w:val="24"/>
      <w:lang w:eastAsia="en-GB"/>
    </w:rPr>
  </w:style>
  <w:style w:type="paragraph" w:customStyle="1" w:styleId="berschrifttablefigu7re">
    <w:name w:val="Überschrift_table_figu7re"/>
    <w:basedOn w:val="Heading1"/>
    <w:qFormat/>
    <w:pPr>
      <w:shd w:val="clear" w:color="auto" w:fill="FFFFFF" w:themeFill="background1"/>
      <w:tabs>
        <w:tab w:val="clear" w:pos="964"/>
        <w:tab w:val="clear" w:pos="1134"/>
      </w:tabs>
      <w:ind w:left="0" w:firstLine="0"/>
    </w:pPr>
    <w:rPr>
      <w:rFonts w:eastAsia="Calibri"/>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sz w:val="24"/>
      <w:szCs w:val="20"/>
      <w:lang w:val="en-GB" w:eastAsia="de-DE"/>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sz w:val="24"/>
      <w:szCs w:val="20"/>
      <w:lang w:val="en-GB" w:eastAsia="de-D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eastAsia="de-DE"/>
    </w:rPr>
  </w:style>
  <w:style w:type="paragraph" w:customStyle="1" w:styleId="Fragen">
    <w:name w:val="Fragen"/>
    <w:basedOn w:val="ListBullet"/>
    <w:qFormat/>
    <w:pPr>
      <w:numPr>
        <w:numId w:val="1"/>
      </w:numPr>
      <w:autoSpaceDE w:val="0"/>
      <w:autoSpaceDN w:val="0"/>
      <w:adjustRightInd w:val="0"/>
      <w:jc w:val="left"/>
    </w:pPr>
    <w:rPr>
      <w:sz w:val="22"/>
    </w:rPr>
  </w:style>
  <w:style w:type="paragraph" w:customStyle="1" w:styleId="Aufzhlung">
    <w:name w:val="Aufzählung"/>
    <w:basedOn w:val="Normal"/>
    <w:pPr>
      <w:numPr>
        <w:numId w:val="2"/>
      </w:numPr>
      <w:autoSpaceDE w:val="0"/>
      <w:autoSpaceDN w:val="0"/>
      <w:adjustRightInd w:val="0"/>
      <w:spacing w:after="160" w:line="320" w:lineRule="exact"/>
    </w:pPr>
    <w:rPr>
      <w:rFonts w:ascii="Arial" w:hAnsi="Arial"/>
      <w:sz w:val="20"/>
      <w:szCs w:val="24"/>
      <w:lang w:val="en-IE" w:eastAsia="en-US"/>
    </w:rPr>
  </w:style>
  <w:style w:type="table" w:customStyle="1" w:styleId="TableGrid11">
    <w:name w:val="Table Grid11"/>
    <w:basedOn w:val="TableNormal"/>
    <w:next w:val="TableGrid"/>
    <w:uiPriority w:val="5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paragraph" w:customStyle="1" w:styleId="BodyText1">
    <w:name w:val="Body Text1"/>
    <w:basedOn w:val="Normal"/>
    <w:next w:val="BodyText"/>
    <w:link w:val="BodyTextChar"/>
    <w:uiPriority w:val="1"/>
    <w:qFormat/>
    <w:pPr>
      <w:widowControl w:val="0"/>
      <w:spacing w:before="63" w:line="240" w:lineRule="auto"/>
      <w:ind w:left="2"/>
      <w:jc w:val="left"/>
    </w:pPr>
    <w:rPr>
      <w:rFonts w:cstheme="minorBidi"/>
      <w:sz w:val="14"/>
      <w:szCs w:val="14"/>
      <w:lang w:val="de-DE" w:eastAsia="en-US"/>
    </w:rPr>
  </w:style>
  <w:style w:type="character" w:customStyle="1" w:styleId="BodyTextChar">
    <w:name w:val="Body Text Char"/>
    <w:basedOn w:val="DefaultParagraphFont"/>
    <w:link w:val="BodyText1"/>
    <w:uiPriority w:val="1"/>
    <w:rPr>
      <w:rFonts w:ascii="Times New Roman" w:eastAsia="Times New Roman" w:hAnsi="Times New Roman"/>
      <w:sz w:val="14"/>
      <w:szCs w:val="14"/>
    </w:rPr>
  </w:style>
  <w:style w:type="paragraph" w:customStyle="1" w:styleId="TableParagraph">
    <w:name w:val="Table Paragraph"/>
    <w:basedOn w:val="Normal"/>
    <w:uiPriority w:val="1"/>
    <w:qFormat/>
    <w:pPr>
      <w:widowControl w:val="0"/>
      <w:spacing w:line="240" w:lineRule="auto"/>
      <w:jc w:val="left"/>
    </w:pPr>
    <w:rPr>
      <w:rFonts w:ascii="Calibri" w:eastAsia="Calibri" w:hAnsi="Calibri"/>
      <w:sz w:val="22"/>
      <w:szCs w:val="22"/>
      <w:lang w:val="en-US" w:eastAsia="en-US"/>
    </w:rPr>
  </w:style>
  <w:style w:type="paragraph" w:styleId="BodyText">
    <w:name w:val="Body Text"/>
    <w:basedOn w:val="Normal"/>
    <w:link w:val="BodyTextChar1"/>
    <w:uiPriority w:val="99"/>
    <w:semiHidden/>
    <w:unhideWhenUsed/>
    <w:pPr>
      <w:spacing w:after="120"/>
    </w:pPr>
  </w:style>
  <w:style w:type="character" w:customStyle="1" w:styleId="BodyTextChar1">
    <w:name w:val="Body Text Char1"/>
    <w:basedOn w:val="DefaultParagraphFont"/>
    <w:link w:val="BodyText"/>
    <w:uiPriority w:val="99"/>
    <w:semiHidden/>
    <w:rPr>
      <w:rFonts w:ascii="Times New Roman" w:hAnsi="Times New Roman" w:cs="Times New Roman"/>
      <w:sz w:val="24"/>
      <w:szCs w:val="20"/>
      <w:lang w:val="en-GB" w:eastAsia="de-DE"/>
    </w:rPr>
  </w:style>
  <w:style w:type="paragraph" w:customStyle="1" w:styleId="Pagedecouverture">
    <w:name w:val="Page de couverture"/>
    <w:basedOn w:val="Normal"/>
    <w:next w:val="Normal"/>
    <w:pPr>
      <w:spacing w:line="240" w:lineRule="auto"/>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0"/>
      <w:lang w:val="en-GB" w:eastAsia="de-DE"/>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0"/>
      <w:lang w:val="en-GB" w:eastAsia="de-DE"/>
    </w:rPr>
  </w:style>
  <w:style w:type="character" w:customStyle="1" w:styleId="st">
    <w:name w:val="st"/>
    <w:basedOn w:val="DefaultParagraphFont"/>
  </w:style>
  <w:style w:type="paragraph" w:styleId="TOCHeading">
    <w:name w:val="TOC Heading"/>
    <w:basedOn w:val="Heading1"/>
    <w:next w:val="Normal"/>
    <w:uiPriority w:val="39"/>
    <w:semiHidden/>
    <w:unhideWhenUsed/>
    <w:qFormat/>
    <w:pPr>
      <w:numPr>
        <w:numId w:val="0"/>
      </w:numPr>
      <w:tabs>
        <w:tab w:val="clear" w:pos="964"/>
        <w:tab w:val="clear" w:pos="1134"/>
      </w:tabs>
      <w:spacing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lang w:val="en-GB" w:eastAsia="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530">
      <w:bodyDiv w:val="1"/>
      <w:marLeft w:val="0"/>
      <w:marRight w:val="0"/>
      <w:marTop w:val="0"/>
      <w:marBottom w:val="0"/>
      <w:divBdr>
        <w:top w:val="none" w:sz="0" w:space="0" w:color="auto"/>
        <w:left w:val="none" w:sz="0" w:space="0" w:color="auto"/>
        <w:bottom w:val="none" w:sz="0" w:space="0" w:color="auto"/>
        <w:right w:val="none" w:sz="0" w:space="0" w:color="auto"/>
      </w:divBdr>
    </w:div>
    <w:div w:id="222642706">
      <w:bodyDiv w:val="1"/>
      <w:marLeft w:val="0"/>
      <w:marRight w:val="0"/>
      <w:marTop w:val="0"/>
      <w:marBottom w:val="0"/>
      <w:divBdr>
        <w:top w:val="none" w:sz="0" w:space="0" w:color="auto"/>
        <w:left w:val="none" w:sz="0" w:space="0" w:color="auto"/>
        <w:bottom w:val="none" w:sz="0" w:space="0" w:color="auto"/>
        <w:right w:val="none" w:sz="0" w:space="0" w:color="auto"/>
      </w:divBdr>
      <w:divsChild>
        <w:div w:id="20937995">
          <w:marLeft w:val="0"/>
          <w:marRight w:val="0"/>
          <w:marTop w:val="0"/>
          <w:marBottom w:val="0"/>
          <w:divBdr>
            <w:top w:val="none" w:sz="0" w:space="0" w:color="auto"/>
            <w:left w:val="none" w:sz="0" w:space="0" w:color="auto"/>
            <w:bottom w:val="none" w:sz="0" w:space="0" w:color="auto"/>
            <w:right w:val="none" w:sz="0" w:space="0" w:color="auto"/>
          </w:divBdr>
        </w:div>
        <w:div w:id="653530005">
          <w:marLeft w:val="0"/>
          <w:marRight w:val="0"/>
          <w:marTop w:val="0"/>
          <w:marBottom w:val="0"/>
          <w:divBdr>
            <w:top w:val="none" w:sz="0" w:space="0" w:color="auto"/>
            <w:left w:val="none" w:sz="0" w:space="0" w:color="auto"/>
            <w:bottom w:val="none" w:sz="0" w:space="0" w:color="auto"/>
            <w:right w:val="none" w:sz="0" w:space="0" w:color="auto"/>
          </w:divBdr>
        </w:div>
        <w:div w:id="734471023">
          <w:marLeft w:val="0"/>
          <w:marRight w:val="0"/>
          <w:marTop w:val="0"/>
          <w:marBottom w:val="0"/>
          <w:divBdr>
            <w:top w:val="none" w:sz="0" w:space="0" w:color="auto"/>
            <w:left w:val="none" w:sz="0" w:space="0" w:color="auto"/>
            <w:bottom w:val="none" w:sz="0" w:space="0" w:color="auto"/>
            <w:right w:val="none" w:sz="0" w:space="0" w:color="auto"/>
          </w:divBdr>
        </w:div>
        <w:div w:id="941834942">
          <w:marLeft w:val="0"/>
          <w:marRight w:val="0"/>
          <w:marTop w:val="0"/>
          <w:marBottom w:val="0"/>
          <w:divBdr>
            <w:top w:val="none" w:sz="0" w:space="0" w:color="auto"/>
            <w:left w:val="none" w:sz="0" w:space="0" w:color="auto"/>
            <w:bottom w:val="none" w:sz="0" w:space="0" w:color="auto"/>
            <w:right w:val="none" w:sz="0" w:space="0" w:color="auto"/>
          </w:divBdr>
        </w:div>
        <w:div w:id="1122768412">
          <w:marLeft w:val="0"/>
          <w:marRight w:val="0"/>
          <w:marTop w:val="0"/>
          <w:marBottom w:val="0"/>
          <w:divBdr>
            <w:top w:val="none" w:sz="0" w:space="0" w:color="auto"/>
            <w:left w:val="none" w:sz="0" w:space="0" w:color="auto"/>
            <w:bottom w:val="none" w:sz="0" w:space="0" w:color="auto"/>
            <w:right w:val="none" w:sz="0" w:space="0" w:color="auto"/>
          </w:divBdr>
        </w:div>
        <w:div w:id="2088379569">
          <w:marLeft w:val="0"/>
          <w:marRight w:val="0"/>
          <w:marTop w:val="0"/>
          <w:marBottom w:val="0"/>
          <w:divBdr>
            <w:top w:val="none" w:sz="0" w:space="0" w:color="auto"/>
            <w:left w:val="none" w:sz="0" w:space="0" w:color="auto"/>
            <w:bottom w:val="none" w:sz="0" w:space="0" w:color="auto"/>
            <w:right w:val="none" w:sz="0" w:space="0" w:color="auto"/>
          </w:divBdr>
        </w:div>
      </w:divsChild>
    </w:div>
    <w:div w:id="472521447">
      <w:bodyDiv w:val="1"/>
      <w:marLeft w:val="0"/>
      <w:marRight w:val="0"/>
      <w:marTop w:val="0"/>
      <w:marBottom w:val="0"/>
      <w:divBdr>
        <w:top w:val="none" w:sz="0" w:space="0" w:color="auto"/>
        <w:left w:val="none" w:sz="0" w:space="0" w:color="auto"/>
        <w:bottom w:val="none" w:sz="0" w:space="0" w:color="auto"/>
        <w:right w:val="none" w:sz="0" w:space="0" w:color="auto"/>
      </w:divBdr>
    </w:div>
    <w:div w:id="606543435">
      <w:bodyDiv w:val="1"/>
      <w:marLeft w:val="0"/>
      <w:marRight w:val="0"/>
      <w:marTop w:val="0"/>
      <w:marBottom w:val="0"/>
      <w:divBdr>
        <w:top w:val="none" w:sz="0" w:space="0" w:color="auto"/>
        <w:left w:val="none" w:sz="0" w:space="0" w:color="auto"/>
        <w:bottom w:val="none" w:sz="0" w:space="0" w:color="auto"/>
        <w:right w:val="none" w:sz="0" w:space="0" w:color="auto"/>
      </w:divBdr>
    </w:div>
    <w:div w:id="755975146">
      <w:bodyDiv w:val="1"/>
      <w:marLeft w:val="0"/>
      <w:marRight w:val="0"/>
      <w:marTop w:val="0"/>
      <w:marBottom w:val="0"/>
      <w:divBdr>
        <w:top w:val="none" w:sz="0" w:space="0" w:color="auto"/>
        <w:left w:val="none" w:sz="0" w:space="0" w:color="auto"/>
        <w:bottom w:val="none" w:sz="0" w:space="0" w:color="auto"/>
        <w:right w:val="none" w:sz="0" w:space="0" w:color="auto"/>
      </w:divBdr>
    </w:div>
    <w:div w:id="767115895">
      <w:bodyDiv w:val="1"/>
      <w:marLeft w:val="0"/>
      <w:marRight w:val="0"/>
      <w:marTop w:val="0"/>
      <w:marBottom w:val="0"/>
      <w:divBdr>
        <w:top w:val="none" w:sz="0" w:space="0" w:color="auto"/>
        <w:left w:val="none" w:sz="0" w:space="0" w:color="auto"/>
        <w:bottom w:val="none" w:sz="0" w:space="0" w:color="auto"/>
        <w:right w:val="none" w:sz="0" w:space="0" w:color="auto"/>
      </w:divBdr>
    </w:div>
    <w:div w:id="796409180">
      <w:bodyDiv w:val="1"/>
      <w:marLeft w:val="0"/>
      <w:marRight w:val="0"/>
      <w:marTop w:val="0"/>
      <w:marBottom w:val="0"/>
      <w:divBdr>
        <w:top w:val="none" w:sz="0" w:space="0" w:color="auto"/>
        <w:left w:val="none" w:sz="0" w:space="0" w:color="auto"/>
        <w:bottom w:val="none" w:sz="0" w:space="0" w:color="auto"/>
        <w:right w:val="none" w:sz="0" w:space="0" w:color="auto"/>
      </w:divBdr>
    </w:div>
    <w:div w:id="1010061351">
      <w:bodyDiv w:val="1"/>
      <w:marLeft w:val="0"/>
      <w:marRight w:val="0"/>
      <w:marTop w:val="0"/>
      <w:marBottom w:val="0"/>
      <w:divBdr>
        <w:top w:val="none" w:sz="0" w:space="0" w:color="auto"/>
        <w:left w:val="none" w:sz="0" w:space="0" w:color="auto"/>
        <w:bottom w:val="none" w:sz="0" w:space="0" w:color="auto"/>
        <w:right w:val="none" w:sz="0" w:space="0" w:color="auto"/>
      </w:divBdr>
    </w:div>
    <w:div w:id="1086995250">
      <w:bodyDiv w:val="1"/>
      <w:marLeft w:val="0"/>
      <w:marRight w:val="0"/>
      <w:marTop w:val="0"/>
      <w:marBottom w:val="0"/>
      <w:divBdr>
        <w:top w:val="none" w:sz="0" w:space="0" w:color="auto"/>
        <w:left w:val="none" w:sz="0" w:space="0" w:color="auto"/>
        <w:bottom w:val="none" w:sz="0" w:space="0" w:color="auto"/>
        <w:right w:val="none" w:sz="0" w:space="0" w:color="auto"/>
      </w:divBdr>
    </w:div>
    <w:div w:id="1358770871">
      <w:bodyDiv w:val="1"/>
      <w:marLeft w:val="0"/>
      <w:marRight w:val="0"/>
      <w:marTop w:val="0"/>
      <w:marBottom w:val="0"/>
      <w:divBdr>
        <w:top w:val="none" w:sz="0" w:space="0" w:color="auto"/>
        <w:left w:val="none" w:sz="0" w:space="0" w:color="auto"/>
        <w:bottom w:val="none" w:sz="0" w:space="0" w:color="auto"/>
        <w:right w:val="none" w:sz="0" w:space="0" w:color="auto"/>
      </w:divBdr>
    </w:div>
    <w:div w:id="1374306359">
      <w:bodyDiv w:val="1"/>
      <w:marLeft w:val="0"/>
      <w:marRight w:val="0"/>
      <w:marTop w:val="0"/>
      <w:marBottom w:val="0"/>
      <w:divBdr>
        <w:top w:val="none" w:sz="0" w:space="0" w:color="auto"/>
        <w:left w:val="none" w:sz="0" w:space="0" w:color="auto"/>
        <w:bottom w:val="none" w:sz="0" w:space="0" w:color="auto"/>
        <w:right w:val="none" w:sz="0" w:space="0" w:color="auto"/>
      </w:divBdr>
    </w:div>
    <w:div w:id="1398818293">
      <w:bodyDiv w:val="1"/>
      <w:marLeft w:val="0"/>
      <w:marRight w:val="0"/>
      <w:marTop w:val="0"/>
      <w:marBottom w:val="0"/>
      <w:divBdr>
        <w:top w:val="none" w:sz="0" w:space="0" w:color="auto"/>
        <w:left w:val="none" w:sz="0" w:space="0" w:color="auto"/>
        <w:bottom w:val="none" w:sz="0" w:space="0" w:color="auto"/>
        <w:right w:val="none" w:sz="0" w:space="0" w:color="auto"/>
      </w:divBdr>
    </w:div>
    <w:div w:id="1492794599">
      <w:bodyDiv w:val="1"/>
      <w:marLeft w:val="0"/>
      <w:marRight w:val="0"/>
      <w:marTop w:val="0"/>
      <w:marBottom w:val="0"/>
      <w:divBdr>
        <w:top w:val="none" w:sz="0" w:space="0" w:color="auto"/>
        <w:left w:val="none" w:sz="0" w:space="0" w:color="auto"/>
        <w:bottom w:val="none" w:sz="0" w:space="0" w:color="auto"/>
        <w:right w:val="none" w:sz="0" w:space="0" w:color="auto"/>
      </w:divBdr>
    </w:div>
    <w:div w:id="1508062673">
      <w:bodyDiv w:val="1"/>
      <w:marLeft w:val="0"/>
      <w:marRight w:val="0"/>
      <w:marTop w:val="0"/>
      <w:marBottom w:val="0"/>
      <w:divBdr>
        <w:top w:val="none" w:sz="0" w:space="0" w:color="auto"/>
        <w:left w:val="none" w:sz="0" w:space="0" w:color="auto"/>
        <w:bottom w:val="none" w:sz="0" w:space="0" w:color="auto"/>
        <w:right w:val="none" w:sz="0" w:space="0" w:color="auto"/>
      </w:divBdr>
    </w:div>
    <w:div w:id="1623072706">
      <w:bodyDiv w:val="1"/>
      <w:marLeft w:val="0"/>
      <w:marRight w:val="0"/>
      <w:marTop w:val="0"/>
      <w:marBottom w:val="0"/>
      <w:divBdr>
        <w:top w:val="none" w:sz="0" w:space="0" w:color="auto"/>
        <w:left w:val="none" w:sz="0" w:space="0" w:color="auto"/>
        <w:bottom w:val="none" w:sz="0" w:space="0" w:color="auto"/>
        <w:right w:val="none" w:sz="0" w:space="0" w:color="auto"/>
      </w:divBdr>
    </w:div>
    <w:div w:id="1829007163">
      <w:bodyDiv w:val="1"/>
      <w:marLeft w:val="0"/>
      <w:marRight w:val="0"/>
      <w:marTop w:val="0"/>
      <w:marBottom w:val="0"/>
      <w:divBdr>
        <w:top w:val="none" w:sz="0" w:space="0" w:color="auto"/>
        <w:left w:val="none" w:sz="0" w:space="0" w:color="auto"/>
        <w:bottom w:val="none" w:sz="0" w:space="0" w:color="auto"/>
        <w:right w:val="none" w:sz="0" w:space="0" w:color="auto"/>
      </w:divBdr>
    </w:div>
    <w:div w:id="2061199918">
      <w:bodyDiv w:val="1"/>
      <w:marLeft w:val="0"/>
      <w:marRight w:val="0"/>
      <w:marTop w:val="0"/>
      <w:marBottom w:val="0"/>
      <w:divBdr>
        <w:top w:val="none" w:sz="0" w:space="0" w:color="auto"/>
        <w:left w:val="none" w:sz="0" w:space="0" w:color="auto"/>
        <w:bottom w:val="none" w:sz="0" w:space="0" w:color="auto"/>
        <w:right w:val="none" w:sz="0" w:space="0" w:color="auto"/>
      </w:divBdr>
    </w:div>
    <w:div w:id="21439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cohesiondata.ec.europa.eu/" TargetMode="External"/><Relationship Id="rId1" Type="http://schemas.openxmlformats.org/officeDocument/2006/relationships/hyperlink" Target="https://ec.europa.eu/fisheries/sites/fisheries/files/docs/body/09-performance-framework_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DEED6BCA28B4A993C496AF41EAE29" ma:contentTypeVersion="3" ma:contentTypeDescription="Create a new document." ma:contentTypeScope="" ma:versionID="aafd49c48dbac5db92d01fe943ab718b">
  <xsd:schema xmlns:xsd="http://www.w3.org/2001/XMLSchema" xmlns:xs="http://www.w3.org/2001/XMLSchema" xmlns:p="http://schemas.microsoft.com/office/2006/metadata/properties" xmlns:ns2="ed193357-5556-4c7f-9fca-6894748645e1" xmlns:ns3="http://schemas.microsoft.com/sharepoint/v4" targetNamespace="http://schemas.microsoft.com/office/2006/metadata/properties" ma:root="true" ma:fieldsID="58ef218a4b76580ad9d9599e5ebb24be" ns2:_="" ns3:_="">
    <xsd:import namespace="ed193357-5556-4c7f-9fca-6894748645e1"/>
    <xsd:import namespace="http://schemas.microsoft.com/sharepoint/v4"/>
    <xsd:element name="properties">
      <xsd:complexType>
        <xsd:sequence>
          <xsd:element name="documentManagement">
            <xsd:complexType>
              <xsd:all>
                <xsd:element ref="ns2:Hyperlin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3357-5556-4c7f-9fca-6894748645e1" elementFormDefault="qualified">
    <xsd:import namespace="http://schemas.microsoft.com/office/2006/documentManagement/types"/>
    <xsd:import namespace="http://schemas.microsoft.com/office/infopath/2007/PartnerControls"/>
    <xsd:element name="Hyperlink" ma:index="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ed193357-5556-4c7f-9fca-6894748645e1">
      <Url xsi:nil="true"/>
      <Description xsi:nil="true"/>
    </Hyperlink>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A416-AA2D-4FC9-87C7-B357F6910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93357-5556-4c7f-9fca-6894748645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37757-EC37-4B41-BBB1-FAA15D6FC4FB}">
  <ds:schemaRefs>
    <ds:schemaRef ds:uri="http://schemas.microsoft.com/sharepoint/v3/contenttype/forms"/>
  </ds:schemaRefs>
</ds:datastoreItem>
</file>

<file path=customXml/itemProps3.xml><?xml version="1.0" encoding="utf-8"?>
<ds:datastoreItem xmlns:ds="http://schemas.openxmlformats.org/officeDocument/2006/customXml" ds:itemID="{C221481C-FE04-46F4-8C34-A4EEAC5A0227}">
  <ds:schemaRefs>
    <ds:schemaRef ds:uri="ed193357-5556-4c7f-9fca-6894748645e1"/>
    <ds:schemaRef ds:uri="http://schemas.microsoft.com/sharepoint/v4"/>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528FCBF-B02D-459C-974D-1F62AF30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4149</Words>
  <Characters>21991</Characters>
  <Application>Microsoft Office Word</Application>
  <DocSecurity>0</DocSecurity>
  <Lines>439</Lines>
  <Paragraphs>196</Paragraphs>
  <ScaleCrop>false</ScaleCrop>
  <HeadingPairs>
    <vt:vector size="8" baseType="variant">
      <vt:variant>
        <vt:lpstr>Title</vt:lpstr>
      </vt:variant>
      <vt:variant>
        <vt:i4>1</vt:i4>
      </vt:variant>
      <vt:variant>
        <vt:lpstr>Cím</vt:lpstr>
      </vt:variant>
      <vt:variant>
        <vt:i4>1</vt:i4>
      </vt:variant>
      <vt:variant>
        <vt:lpstr>Titolo</vt:lpstr>
      </vt:variant>
      <vt:variant>
        <vt:i4>1</vt:i4>
      </vt:variant>
      <vt:variant>
        <vt:lpstr>Titel</vt:lpstr>
      </vt:variant>
      <vt:variant>
        <vt:i4>1</vt:i4>
      </vt:variant>
    </vt:vector>
  </HeadingPairs>
  <TitlesOfParts>
    <vt:vector size="4" baseType="lpstr">
      <vt:lpstr>CMES ASM report</vt:lpstr>
      <vt:lpstr>CMES report</vt:lpstr>
      <vt:lpstr>Incomplete draft of IT survey, based on replies from 16 MS. Only for further sicussion of the concept, not yet for detailed review.</vt:lpstr>
      <vt:lpstr>Final Draft of the NA Report for discussion</vt:lpstr>
    </vt:vector>
  </TitlesOfParts>
  <Manager/>
  <Company/>
  <LinksUpToDate>false</LinksUpToDate>
  <CharactersWithSpaces>25944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CMES ASM report</dc:title>
  <dc:creator/>
  <cp:lastModifiedBy>BARTH Carmen (SG)</cp:lastModifiedBy>
  <cp:revision>15</cp:revision>
  <cp:lastPrinted>2017-12-05T10:39:00Z</cp:lastPrinted>
  <dcterms:created xsi:type="dcterms:W3CDTF">2018-01-18T15:16:00Z</dcterms:created>
  <dcterms:modified xsi:type="dcterms:W3CDTF">2018-01-25T07:51:00Z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0x010100EB7DEED6BCA28B4A993C496AF41EAE29</vt:lpwstr>
  </property>
  <property fmtid="{D5CDD505-2E9C-101B-9397-08002B2CF9AE}" pid="3" name="Produced by">
    <vt:lpwstr>;#FAME;#</vt:lpwstr>
  </property>
  <property fmtid="{D5CDD505-2E9C-101B-9397-08002B2CF9AE}" pid="4" name="Description/remarks">
    <vt:lpwstr>Changes between Version Draft_07092015 (changes JPV accepted) and V1_2 marked. Includes native speaker proofreading.</vt:lpwstr>
  </property>
  <property fmtid="{D5CDD505-2E9C-101B-9397-08002B2CF9AE}" pid="5" name="Content type">
    <vt:lpwstr>;#work plan;#</vt:lpwstr>
  </property>
  <property fmtid="{D5CDD505-2E9C-101B-9397-08002B2CF9AE}" pid="6" name="GCG_PWS_Doc_Donor">
    <vt:lpwstr>4;#EU|b05e4926-cd10-4aa1-a755-88a1fa9d24c8</vt:lpwstr>
  </property>
  <property fmtid="{D5CDD505-2E9C-101B-9397-08002B2CF9AE}" pid="7" name="GCG_PWS_Doc_Unit">
    <vt:lpwstr>8;#COFAD|74eabfba-c897-4c69-8ee4-a9df099fd369;#9;#GOPAcom|16c9b3c0-2a23-4493-a6c9-b3379293eb69</vt:lpwstr>
  </property>
  <property fmtid="{D5CDD505-2E9C-101B-9397-08002B2CF9AE}" pid="8" name="GCG_PWS_Doc_TenderingAuthority">
    <vt:lpwstr>5;#DG MARE|b4124605-9a64-4093-8780-d19e227c645d</vt:lpwstr>
  </property>
  <property fmtid="{D5CDD505-2E9C-101B-9397-08002B2CF9AE}" pid="9" name="GCG_PWS_Doc_Sector">
    <vt:lpwstr>10;#Fishery development|b35a8b56-0c48-418a-ad54-befa63af6d6d;#11;#Fishing policy and administrative management|7c5e9e31-fc65-4b92-b963-de4abdbddc1a;#12;#Monitoring ＆ Evaluation|e6ee09f4-e90a-438a-a4e1-2811613291c6</vt:lpwstr>
  </property>
  <property fmtid="{D5CDD505-2E9C-101B-9397-08002B2CF9AE}" pid="10" name="GCG_PWS_Doc_Stage">
    <vt:lpwstr>7;#Contract signed|368ac4b9-7e33-4105-b923-4d04e75e15f9</vt:lpwstr>
  </property>
  <property fmtid="{D5CDD505-2E9C-101B-9397-08002B2CF9AE}" pid="11" name="GCG_PWS_Doc_LeadUnit">
    <vt:lpwstr>8;#COFAD|74eabfba-c897-4c69-8ee4-a9df099fd369</vt:lpwstr>
  </property>
  <property fmtid="{D5CDD505-2E9C-101B-9397-08002B2CF9AE}" pid="12" name="GCG_PWS_Doc_Region">
    <vt:lpwstr>2;#Europe|39e90d53-d1c8-493c-a555-e4a2c0e0b743</vt:lpwstr>
  </property>
  <property fmtid="{D5CDD505-2E9C-101B-9397-08002B2CF9AE}" pid="13" name="GCG_PWS_Doc_Country">
    <vt:lpwstr>3;#Regional|b136d1ce-88a6-45b9-8b12-672d32f6e529</vt:lpwstr>
  </property>
  <property fmtid="{D5CDD505-2E9C-101B-9397-08002B2CF9AE}" pid="14" name="GCG_PWS_Doc_GCGProjectNumber">
    <vt:lpwstr>1;#GCG2014XI5-006|7bf9d798-1b6b-494a-a820-691a8e687bf1</vt:lpwstr>
  </property>
  <property fmtid="{D5CDD505-2E9C-101B-9397-08002B2CF9AE}" pid="15" name="GCG_PWS_Doc_SubSector">
    <vt:lpwstr/>
  </property>
  <property fmtid="{D5CDD505-2E9C-101B-9397-08002B2CF9AE}" pid="16" name="GCG_PWS_Doc_Partner">
    <vt:lpwstr/>
  </property>
  <property fmtid="{D5CDD505-2E9C-101B-9397-08002B2CF9AE}" pid="17" name="GCG_PWS_Doc_Beneficiary">
    <vt:lpwstr>6;#DG MARE|cc861c6a-8bd0-48ac-81d4-2bf8adb6899e</vt:lpwstr>
  </property>
  <property fmtid="{D5CDD505-2E9C-101B-9397-08002B2CF9AE}" pid="18" name="Level of sensitivity">
    <vt:lpwstr>Standard treatment</vt:lpwstr>
  </property>
  <property fmtid="{D5CDD505-2E9C-101B-9397-08002B2CF9AE}" pid="19" name="Part">
    <vt:lpwstr>1</vt:lpwstr>
  </property>
  <property fmtid="{D5CDD505-2E9C-101B-9397-08002B2CF9AE}" pid="20" name="Total parts">
    <vt:lpwstr>1</vt:lpwstr>
  </property>
  <property fmtid="{D5CDD505-2E9C-101B-9397-08002B2CF9AE}" pid="21" name="DocStatus">
    <vt:lpwstr>Red</vt:lpwstr>
  </property>
</Properties>
</file>