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6E748998-0A9F-4BEC-AEB5-19A20E41FA51" style="width:450.75pt;height:379.5pt">
            <v:imagedata r:id="rId9" o:title=""/>
          </v:shape>
        </w:pict>
      </w:r>
    </w:p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КОНТЕКСТ НА ПРЕПОРЪКАТА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>В глобализирания свят, където тежката престъпност и тероризмът имат все по-често транснационално и поливалентно измерение, правоприлагащите органи следва да могат пълноценно да си сътрудничат с външни партньори, за да гарантират сигурността на гражданите. Поради това Европол следва да може да обменя лични данни с правоприлагащите органи на трети държави, доколкото това е необходимо за изпълнението на неговите задачи.</w:t>
      </w:r>
    </w:p>
    <w:p>
      <w:pPr>
        <w:rPr>
          <w:iCs/>
          <w:noProof/>
        </w:rPr>
      </w:pPr>
      <w:r>
        <w:rPr>
          <w:noProof/>
        </w:rPr>
        <w:t>След влизането в сила на Регламент 2016/794 на 1 май 2017 г.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и съгласно Договора Комисията отговаря за воденето на преговори от името на Съюза с цел сключване на международни споразумения с трети държави за обмен на лични данни с Европол. Доколкото е необходимо за изпълнението на неговите задачи, Европол може да установява и поддържа отношения на сътрудничество с външни партньори чрез работни и административни договорености, които не могат сами по себе си да бъдат правно основание за обмен на лични данни. </w:t>
      </w:r>
    </w:p>
    <w:p>
      <w:pPr>
        <w:rPr>
          <w:iCs/>
          <w:noProof/>
        </w:rPr>
      </w:pPr>
      <w:r>
        <w:rPr>
          <w:noProof/>
        </w:rPr>
        <w:t>Като се имат предвид политическата стратегия, очертана в Европейската програма за сигурност</w:t>
      </w:r>
      <w:r>
        <w:rPr>
          <w:rStyle w:val="FootnoteReference"/>
          <w:noProof/>
        </w:rPr>
        <w:footnoteReference w:id="2"/>
      </w:r>
      <w:r>
        <w:rPr>
          <w:noProof/>
        </w:rPr>
        <w:t>, заключенията на Съвета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и Глобалната стратегия</w:t>
      </w:r>
      <w:r>
        <w:rPr>
          <w:rStyle w:val="FootnoteReference"/>
          <w:noProof/>
        </w:rPr>
        <w:footnoteReference w:id="4"/>
      </w:r>
      <w:r>
        <w:rPr>
          <w:noProof/>
        </w:rPr>
        <w:t>, както и оперативните нужди на правоприлагащите органи в целия ЕС и потенциалните ползи от по-тясното сътрудничество в тази област, Комисията смята за необходимо да започне в най-скоро време преговори с осемте държави, посочени в Единадесетия доклад за напредъка по създаването на ефективен и истински Съюз на сигурност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. </w:t>
      </w:r>
    </w:p>
    <w:p>
      <w:pPr>
        <w:pStyle w:val="Text1"/>
        <w:ind w:left="0"/>
        <w:rPr>
          <w:noProof/>
        </w:rPr>
      </w:pPr>
      <w:r>
        <w:rPr>
          <w:noProof/>
        </w:rPr>
        <w:t>Комисията направи оценка на приоритетните държави, като взе предвид оперативните нужди на Европол. В Стратегията на Европол за периода 2016—2020 г. като приоритет за засилени партньорства е посочен Средиземноморският регион</w:t>
      </w:r>
      <w:r>
        <w:rPr>
          <w:rStyle w:val="FootnoteReference"/>
          <w:noProof/>
        </w:rPr>
        <w:footnoteReference w:id="6"/>
      </w:r>
      <w:r>
        <w:rPr>
          <w:noProof/>
        </w:rPr>
        <w:t>. Във Външната стратегия на Европол за периода 2017—2020 г. също се подчертава необходимостта от по-тясно сътрудничество между Европол и Близкия изток/Северна Африка (БИСА) поради настоящата терористична заплаха и предизвикателствата, свързани с миграцията</w:t>
      </w:r>
      <w:r>
        <w:rPr>
          <w:rStyle w:val="FootnoteReference"/>
          <w:noProof/>
        </w:rPr>
        <w:footnoteReference w:id="7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Европол няма сключени споразумения с нито една държава в този регион.</w:t>
      </w:r>
    </w:p>
    <w:p>
      <w:pPr>
        <w:rPr>
          <w:noProof/>
        </w:rPr>
      </w:pPr>
      <w:r>
        <w:rPr>
          <w:noProof/>
        </w:rPr>
        <w:t>Настоящата препоръка се отнася конкретно до преговорите с Израел, макар че сътрудничеството с всяка държава от БИСА трябва да се разглежда в контекста на региона като цяло.</w:t>
      </w:r>
    </w:p>
    <w:p>
      <w:pPr>
        <w:rPr>
          <w:i/>
          <w:noProof/>
        </w:rPr>
      </w:pPr>
      <w:r>
        <w:rPr>
          <w:i/>
          <w:noProof/>
        </w:rPr>
        <w:t>Политически контекст</w:t>
      </w:r>
    </w:p>
    <w:p>
      <w:pPr>
        <w:rPr>
          <w:rFonts w:eastAsia="Calibri"/>
          <w:noProof/>
        </w:rPr>
      </w:pPr>
      <w:r>
        <w:rPr>
          <w:noProof/>
        </w:rPr>
        <w:t>ЕС и Израел изградиха стабилни взаимоотношения въз основа на Споразумението за асоцииране от 1995 г. (в сила от 2000 г.). Както ЕС, така и Израел полагат големи усилия за противодействие на заплахите за сигурността и най-вече на терористичните заплахи. Израел е силно заинтересован от засилването на сътрудничеството с ЕС в борбата с тероризма. Първият диалог ЕС—Израел по въпросите на борбата с тероризма и сигурността се проведе през март 2015 г. в Брюксел, а вторият — в Израел през септември 2016 г. Двете страни се споразумяха да си сътрудничат в области като борбата с използващия насилие екстремизъм, финансирането на тероризма, неконвенционалния тероризъм, сигурността на въздухоплаването и транспорта, както и киберпрестъпността. Беше изразен интерес към засилване на сътрудничеството с агенциите на ЕС в областта на правосъдието и вътрешните работи, и по-специално Европол.</w:t>
      </w:r>
    </w:p>
    <w:p>
      <w:pPr>
        <w:rPr>
          <w:rFonts w:eastAsia="Calibri"/>
          <w:noProof/>
          <w:szCs w:val="24"/>
        </w:rPr>
      </w:pPr>
      <w:r>
        <w:rPr>
          <w:noProof/>
        </w:rPr>
        <w:t>Съветът вече разреши воденето на преговори между Европол и Израел за споразумение за оперативно сътрудничество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. Преговорите започнаха през 2010 г., но не можаха да бъдат приключени, докато все още беше в сила старата правна уредба за Европол. В този контекст Европол и органите на Израел проведоха няколко технически срещи. </w:t>
      </w:r>
    </w:p>
    <w:p>
      <w:pPr>
        <w:rPr>
          <w:noProof/>
        </w:rPr>
      </w:pPr>
      <w:r>
        <w:rPr>
          <w:i/>
          <w:noProof/>
        </w:rPr>
        <w:t>Оперативни нужди</w:t>
      </w:r>
    </w:p>
    <w:p>
      <w:pPr>
        <w:rPr>
          <w:noProof/>
        </w:rPr>
      </w:pPr>
      <w:r>
        <w:rPr>
          <w:noProof/>
        </w:rPr>
        <w:t>Въз основа на данните в SOCTA от 2017 г.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и TE-SAT от 2017 г.</w:t>
      </w:r>
      <w:r>
        <w:rPr>
          <w:rStyle w:val="FootnoteReference"/>
          <w:noProof/>
        </w:rPr>
        <w:footnoteReference w:id="10"/>
      </w:r>
      <w:r>
        <w:rPr>
          <w:noProof/>
        </w:rPr>
        <w:t>, посочените по-горе дискусии и наред с другото, вътрешните за Европол експертни знания сътрудничеството с Израел е необходимо най-вече за да се противодейства на следните престъпни явления:</w:t>
      </w:r>
    </w:p>
    <w:p>
      <w:pPr>
        <w:rPr>
          <w:noProof/>
          <w:szCs w:val="24"/>
        </w:rPr>
      </w:pPr>
      <w:r>
        <w:rPr>
          <w:noProof/>
        </w:rPr>
        <w:t>Тероризъм: ЕС и Израел са изправени пред сериозна заплаха от терористични групи, действащи в региона и в света. По-тясното сътрудничество, включително обмена на лични данни, ще има за цел да се реагира на заплахата от терористи (в това число чуждестранни бойци терористи) с оглед на откриването, предотвратяването и наказателното преследване на пътуванията с цел тероризъм, финансирането на тероризма и терористичните злоупотреби с интернет.</w:t>
      </w:r>
    </w:p>
    <w:p>
      <w:pPr>
        <w:rPr>
          <w:noProof/>
          <w:szCs w:val="24"/>
        </w:rPr>
      </w:pPr>
      <w:r>
        <w:rPr>
          <w:noProof/>
        </w:rPr>
        <w:t>Киберпрестъпност: сътрудничеството с Израел следва да се установи по-специално с оглед на израелския експертен опит в разследването на/справянето с високотехнологични престъпления в кибернетичното пространство. Необходимостта от засилване на обмена на разузнавателни сведения ще бъде от полза за борбата с редица транснационални престъпления в кибернетичното пространство или престъпления, извършвани чрез кибернетични средства , включително атаки за координирано блокиране на услуги (DDoS), случаи на изпиране на криптовалута, измами в електронната търговия, компрометиране на бизнес електронна поща и сексуална експлоатация на деца онлайн.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ПРАВНИ ЕЛЕМЕНТИ НА ПРЕПОРЪКАТА</w:t>
      </w:r>
    </w:p>
    <w:p>
      <w:pPr>
        <w:rPr>
          <w:noProof/>
        </w:rPr>
      </w:pPr>
      <w:r>
        <w:rPr>
          <w:noProof/>
        </w:rPr>
        <w:t xml:space="preserve">С Регламент (ЕС) 2016/794 относно Агенцията на Европейския съюз за сътрудничество в областта на правоприлагането (Европол) се установява правната уредба на тази агенция, и по-специално нейните цели, задачи и материална компетентност, гаранциите за защита на данните и начините за сътрудничество с външни партньори. </w:t>
      </w:r>
    </w:p>
    <w:p>
      <w:pPr>
        <w:rPr>
          <w:noProof/>
        </w:rPr>
      </w:pPr>
      <w:r>
        <w:rPr>
          <w:noProof/>
        </w:rPr>
        <w:t>Настоящата препоръка е в съответствие с разпоредбите на Регламента за Европол.</w:t>
      </w:r>
    </w:p>
    <w:p>
      <w:pPr>
        <w:rPr>
          <w:noProof/>
        </w:rPr>
      </w:pPr>
      <w:r>
        <w:rPr>
          <w:noProof/>
        </w:rPr>
        <w:t>Целта на настоящата препоръка е Съветът да упълномощи Комисията да води преговорите за бъдещото споразумение от името на ЕС. Правното основание Съветът да разреши започването на преговорите е член 218, параграфи 3 и 4 от ДФЕС.</w:t>
      </w:r>
    </w:p>
    <w:p>
      <w:pPr>
        <w:rPr>
          <w:rFonts w:eastAsia="Arial Unicode MS"/>
          <w:noProof/>
          <w:u w:color="000000"/>
          <w:bdr w:val="nil"/>
        </w:rPr>
      </w:pPr>
      <w:r>
        <w:rPr>
          <w:noProof/>
        </w:rPr>
        <w:t>В съответствие с член 218 от Договора за функционирането на Европейския съюз Комисията е определена за преговарящ за Съюза за споразумението между Европейския съюз и Израел относно обмена на лични данни между Агенцията на Европейския съюз за сътрудничество в областта на правоприлагането (Европол) и израелските компетентни органи за борба с тежката престъпност и тероризма.</w:t>
      </w:r>
    </w:p>
    <w:p>
      <w:pPr>
        <w:rPr>
          <w:noProof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Statut"/>
        <w:rPr>
          <w:noProof/>
        </w:rPr>
      </w:pPr>
      <w:r>
        <w:rPr>
          <w:noProof/>
        </w:rPr>
        <w:t>Препоръка за</w:t>
      </w:r>
    </w:p>
    <w:p>
      <w:pPr>
        <w:pStyle w:val="Typedudocument"/>
        <w:rPr>
          <w:noProof/>
        </w:rPr>
      </w:pPr>
      <w:r>
        <w:rPr>
          <w:noProof/>
        </w:rPr>
        <w:t>РЕШЕНИЕ НА СЪВЕТА</w:t>
      </w:r>
    </w:p>
    <w:p>
      <w:pPr>
        <w:pStyle w:val="Titreobjet"/>
        <w:rPr>
          <w:noProof/>
        </w:rPr>
      </w:pPr>
      <w:r>
        <w:rPr>
          <w:noProof/>
        </w:rPr>
        <w:t>за разрешаване на започването на преговори за споразумение между Европейския съюз и Държавата Израел относно обмена на лични данни между Агенцията на Европейския съюз за сътрудничество в областта на правоприлагането (Европол) и израелските компетентни органи за борба с тежката престъпност и тероризма</w:t>
      </w:r>
      <w:r>
        <w:rPr>
          <w:noProof/>
        </w:rPr>
        <w:br/>
      </w:r>
    </w:p>
    <w:p>
      <w:pPr>
        <w:pStyle w:val="Institutionquiagit"/>
        <w:rPr>
          <w:noProof/>
        </w:rPr>
      </w:pPr>
      <w:r>
        <w:rPr>
          <w:noProof/>
        </w:rPr>
        <w:t>СЪВЕТЪТ НА ЕВРОПЕЙСКИЯ СЪЮЗ,</w:t>
      </w:r>
    </w:p>
    <w:p>
      <w:pPr>
        <w:rPr>
          <w:noProof/>
        </w:rPr>
      </w:pPr>
      <w:r>
        <w:rPr>
          <w:noProof/>
        </w:rPr>
        <w:t>като взе предвид Договора за функционирането на Европейския съюз, и по-специално член 218, параграфи 3 и 4 от него,</w:t>
      </w:r>
    </w:p>
    <w:p>
      <w:pPr>
        <w:rPr>
          <w:noProof/>
        </w:rPr>
      </w:pPr>
      <w:r>
        <w:rPr>
          <w:noProof/>
        </w:rPr>
        <w:t xml:space="preserve">като взе предвид препоръката на Европейската комисия, 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като има предвид, че:</w:t>
      </w:r>
    </w:p>
    <w:p>
      <w:pPr>
        <w:rPr>
          <w:noProof/>
        </w:rPr>
      </w:pP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Регламент (ЕС) 2016/794 на Европейския парламент и на Съвета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бе приет на 11 май 2016 г. и се прилага от 1 май 2017 г.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С посочения регламент, и по-специално с член 25 от него, се установяват правилата за предаване на лични данни от Агенцията на Европейския съюз за сътрудничество в областта на правоприлагането (Европол) на трети държави и международни организации. Европол може да предава лични данни на орган на трета държава въз основа на международно споразумение, сключено между Съюза и тази трета държава съгласно член 218 от ДФЕС, което предоставя достатъчни гаранции по отношение на защитата на личния живот и на основните права и свободи на физическите лица.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Следва да започнат преговори с цел сключването на такова споразумение между Европейския съюз и Държавата Израел.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Споразумението следва да зачита основните права и да спазва принципите, признати от Хартата на основните права на Европейския съюз, а именно правото на личен и семеен живот, признато в член 7 от Хартата, правото на защита на личните данни, признато в член 8 от Хартата, и правото на ефективни правни средства за защита и на справедлив съдебен процес, признато в член 47 от Хартата. Споразумението следва да се прилага в съответствие с тези права и принципи.</w:t>
      </w:r>
    </w:p>
    <w:p>
      <w:pPr>
        <w:pStyle w:val="Formuledadoption"/>
        <w:rPr>
          <w:noProof/>
        </w:rPr>
      </w:pPr>
      <w:r>
        <w:rPr>
          <w:noProof/>
        </w:rPr>
        <w:t xml:space="preserve">ПРИЕ НАСТОЯЩОТО РЕШЕНИЕ: </w:t>
      </w:r>
    </w:p>
    <w:p>
      <w:pPr>
        <w:pStyle w:val="Titrearticle"/>
        <w:rPr>
          <w:noProof/>
        </w:rPr>
      </w:pPr>
      <w:r>
        <w:rPr>
          <w:noProof/>
        </w:rPr>
        <w:t>Член 1</w:t>
      </w:r>
    </w:p>
    <w:p>
      <w:pPr>
        <w:rPr>
          <w:noProof/>
        </w:rPr>
      </w:pPr>
      <w:r>
        <w:rPr>
          <w:noProof/>
        </w:rPr>
        <w:t>Комисията се упълномощава да договори, от името на Съюза, споразумение между Европейския съюз и Държавата Израел относно обмена на лични данни между Агенцията на Европейския съюз за сътрудничество в областта на правоприлагането (Европол) и израелските компетентни органи за борба с тежката престъпност и тероризма.</w:t>
      </w:r>
    </w:p>
    <w:p>
      <w:pPr>
        <w:pStyle w:val="Titrearticle"/>
        <w:rPr>
          <w:noProof/>
        </w:rPr>
      </w:pPr>
      <w:r>
        <w:rPr>
          <w:noProof/>
        </w:rPr>
        <w:t>Член 2</w:t>
      </w:r>
    </w:p>
    <w:p>
      <w:pPr>
        <w:rPr>
          <w:noProof/>
        </w:rPr>
      </w:pPr>
      <w:r>
        <w:rPr>
          <w:noProof/>
        </w:rPr>
        <w:t>Указанията за водене на преговорите са посочени в приложението.</w:t>
      </w:r>
    </w:p>
    <w:p>
      <w:pPr>
        <w:pStyle w:val="Titrearticle"/>
        <w:rPr>
          <w:noProof/>
        </w:rPr>
      </w:pPr>
      <w:r>
        <w:rPr>
          <w:noProof/>
        </w:rPr>
        <w:t>Член 3</w:t>
      </w:r>
    </w:p>
    <w:p>
      <w:pPr>
        <w:rPr>
          <w:noProof/>
        </w:rPr>
      </w:pPr>
      <w:r>
        <w:rPr>
          <w:noProof/>
        </w:rPr>
        <w:t xml:space="preserve">Преговорите се водят в консултация с [наименование на специалния комитет — добавя се от Съвета]. </w:t>
      </w:r>
    </w:p>
    <w:p>
      <w:pPr>
        <w:pStyle w:val="Titrearticle"/>
        <w:rPr>
          <w:noProof/>
        </w:rPr>
      </w:pPr>
      <w:r>
        <w:rPr>
          <w:noProof/>
        </w:rPr>
        <w:t>Член 4</w:t>
      </w:r>
    </w:p>
    <w:p>
      <w:pPr>
        <w:rPr>
          <w:noProof/>
        </w:rPr>
      </w:pPr>
      <w:r>
        <w:rPr>
          <w:noProof/>
        </w:rPr>
        <w:t xml:space="preserve">Адресат на настоящото решение е Комисията. </w:t>
      </w:r>
    </w:p>
    <w:p>
      <w:pPr>
        <w:pStyle w:val="Fait"/>
        <w:rPr>
          <w:noProof/>
        </w:rPr>
      </w:pPr>
      <w:r>
        <w:t xml:space="preserve">Съставено в Брюксел на </w:t>
      </w:r>
      <w:r>
        <w:rPr>
          <w:rStyle w:val="Marker"/>
        </w:rPr>
        <w:t>[…]</w:t>
      </w:r>
      <w:r>
        <w:t xml:space="preserve"> година.</w:t>
      </w:r>
    </w:p>
    <w:p>
      <w:pPr>
        <w:pStyle w:val="Institutionquisigne"/>
        <w:rPr>
          <w:noProof/>
        </w:rPr>
      </w:pPr>
      <w:r>
        <w:rPr>
          <w:noProof/>
        </w:rPr>
        <w:tab/>
        <w:t>За Съвета</w:t>
      </w:r>
    </w:p>
    <w:p>
      <w:pPr>
        <w:pStyle w:val="Personnequisigne"/>
        <w:rPr>
          <w:noProof/>
        </w:rPr>
      </w:pPr>
      <w:r>
        <w:rPr>
          <w:noProof/>
        </w:rPr>
        <w:tab/>
        <w:t>Председател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Регламент (ЕС) 2016/794 от 11 май 2016 г. (OB L 135, 24.5.2016 г., стр. 53).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COM(2015) 185 final.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Документ № 10384/17 на Съвета от 19 юни 2017 г.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i/>
        </w:rPr>
        <w:t>Обща визия, общи действия: по-силна Европа</w:t>
      </w:r>
      <w:r>
        <w:t xml:space="preserve"> </w:t>
      </w:r>
      <w:r>
        <w:rPr>
          <w:i/>
        </w:rPr>
        <w:t>— глобална стратегия за външната политика и политиката на сигурност на Европейския съюз</w:t>
      </w:r>
      <w:r>
        <w:t xml:space="preserve"> </w:t>
      </w:r>
      <w:hyperlink r:id="rId1">
        <w:r>
          <w:rPr>
            <w:rStyle w:val="Hyperlink"/>
          </w:rPr>
          <w:t>http://europa.eu/globalstrategy/en</w:t>
        </w:r>
      </w:hyperlink>
      <w:r>
        <w:t xml:space="preserve"> 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COM(2017) 608 final.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 xml:space="preserve">Стратегия на Европол за периода 2016—2020 г., приета от управителния съвет на Европол на 1 декември 2015 г., </w:t>
      </w:r>
      <w:hyperlink r:id="rId2">
        <w:r>
          <w:rPr>
            <w:rStyle w:val="Hyperlink"/>
          </w:rPr>
          <w:t>https://www.europol.europa.eu/publications-documents/europol-strategy-2016-2020</w:t>
        </w:r>
      </w:hyperlink>
      <w:r>
        <w:t xml:space="preserve"> 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Външна стратегия на Европол за периода 2017—2020 г., приета от управителния съвет на Европол на 13 декември 2016 г., EDOC#865852v3.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Решение 2009/371 на Съвета.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3">
        <w:r>
          <w:rPr>
            <w:rStyle w:val="Hyperlink"/>
          </w:rPr>
          <w:t>https://www.europol.europa.eu/socta/2017</w:t>
        </w:r>
      </w:hyperlink>
      <w:r>
        <w:t xml:space="preserve"> 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4">
        <w:r>
          <w:rPr>
            <w:rStyle w:val="Hyperlink"/>
          </w:rPr>
          <w:t>https://www.europol.europa.eu/sites/default/files/documents/tesat2017.pdf</w:t>
        </w:r>
      </w:hyperlink>
      <w:r>
        <w:rPr>
          <w:rStyle w:val="Hyperlink"/>
        </w:rPr>
        <w:t>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 xml:space="preserve">Регламент (ЕС) 2016/794 на Европейския парламент и на Съвета от 11 май 2016 г. относно Агенцията на Европейския съюз за сътрудничество в областта на правоприлагането (Европол) и за замяна и отмяна на решения 2009/371/ПВР, 2009/934/ПВР, 2009/935/ПВР, 2009/936/ПВР и 2009/968/ПВР на Съвета (ОВ L 135, 24.5.2016 г., стр. 53).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B0856C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1F60C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62683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9D42D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EA624E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9922A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BBC1F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6062A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1-31 16:36:54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6E748998-0A9F-4BEC-AEB5-19A20E41FA51"/>
    <w:docVar w:name="LW_COVERPAGE_TYPE" w:val="1"/>
    <w:docVar w:name="LW_CROSSREFERENCE" w:val="&lt;UNUSED&gt;"/>
    <w:docVar w:name="LW_DocType" w:val="COM"/>
    <w:docVar w:name="LW_EMISSION" w:val="20.12.2017"/>
    <w:docVar w:name="LW_EMISSION_ISODATE" w:val="2017-12-20"/>
    <w:docVar w:name="LW_EMISSION_LOCATION" w:val="BRX"/>
    <w:docVar w:name="LW_EMISSION_PREFIX" w:val="Брюксел, "/>
    <w:docVar w:name="LW_EMISSION_SUFFIX" w:val="&lt;EMPTY&gt;"/>
    <w:docVar w:name="LW_ID_DOCMODEL" w:val="SG-001"/>
    <w:docVar w:name="LW_ID_DOCSIGNATURE" w:val="SG-001"/>
    <w:docVar w:name="LW_ID_DOCSTRUCTURE" w:val="COM/PL/ORG"/>
    <w:docVar w:name="LW_ID_DOCTYPE" w:val="SG-001"/>
    <w:docVar w:name="LW_ID_EXP.MOTIFS.NEW" w:val="EM_PL_"/>
    <w:docVar w:name="LW_ID_STATUT" w:val="SG-001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7"/>
    <w:docVar w:name="LW_REF.INST.NEW" w:val="COM"/>
    <w:docVar w:name="LW_REF.INST.NEW_ADOPTED" w:val="final"/>
    <w:docVar w:name="LW_REF.INST.NEW_TEXT" w:val="(2017) 80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\u1055?\u1088?\u1077?\u1087?\u1086?\u1088?\u1098?\u1082?\u1072? \u1079?\u1072?"/>
    <w:docVar w:name="LW_SUPERTITRE" w:val="&lt;UNUSED&gt;"/>
    <w:docVar w:name="LW_TITRE.OBJ.CP" w:val="\u1079?\u1072? \u1088?\u1072?\u1079?\u1088?\u1077?\u1096?\u1072?\u1074?\u1072?\u1085?\u1077? \u1085?\u1072? \u1079?\u1072?\u1087?\u1086?\u1095?\u1074?\u1072?\u1085?\u1077?\u1090?\u1086? \u1085?\u1072? \u1087?\u1088?\u1077?\u1075?\u1086?\u1074?\u1086?\u1088?\u1080? \u1079?\u1072? \u1089?\u1087?\u1086?\u1088?\u1072?\u1079?\u1091?\u1084?\u1077?\u1085?\u1080?\u1077? \u1084?\u1077?\u1078?\u1076?\u1091? \u1045?\u1074?\u1088?\u1086?\u1087?\u1077?\u1081?\u1089?\u1082?\u1080?\u1103? \u1089?\u1098?\u1102?\u1079? \u1080? \u1044?\u1098?\u1088?\u1078?\u1072?\u1074?\u1072?\u1090?\u1072? \u1048?\u1079?\u1088?\u1072?\u1077?\u1083? \u1086?\u1090?\u1085?\u1086?\u1089?\u1085?\u1086? \u1086?\u1073?\u1084?\u1077?\u1085?\u1072? \u1085?\u1072? \u1083?\u1080?\u1095?\u1085?\u1080? \u1076?\u1072?\u1085?\u1085?\u1080? \u1084?\u1077?\u1078?\u1076?\u1091? \u1040?\u1075?\u1077?\u1085?\u1094?\u1080?\u1103?\u1090?\u1072? \u1085?\u1072? \u1045?\u1074?\u1088?\u1086?\u1087?\u1077?\u1081?\u1089?\u1082?\u1080?\u1103? \u1089?\u1098?\u1102?\u1079? \u1079?\u1072? \u1089?\u1098?\u1090?\u1088?\u1091?\u1076?\u1085?\u1080?\u1095?\u1077?\u1089?\u1090?\u1074?\u1086? \u1074? \u1086?\u1073?\u1083?\u1072?\u1089?\u1090?\u1090?\u1072? \u1085?\u1072? \u1087?\u1088?\u1072?\u1074?\u1086?\u1087?\u1088?\u1080?\u1083?\u1072?\u1075?\u1072?\u1085?\u1077?\u1090?\u1086? (\u1045?\u1074?\u1088?\u1086?\u1087?\u1086?\u1083?) \u1080? \u1080?\u1079?\u1088?\u1072?\u1077?\u1083?\u1089?\u1082?\u1080?\u1090?\u1077? \u1082?\u1086?\u1084?\u1087?\u1077?\u1090?\u1077?\u1085?\u1090?\u1085?\u1080? \u1086?\u1088?\u1075?\u1072?\u1085?\u1080? \u1079?\u1072? \u1073?\u1086?\u1088?\u1073?\u1072? \u1089? \u1090?\u1077?\u1078?\u1082?\u1072?\u1090?\u1072? \u1087?\u1088?\u1077?\u1089?\u1090?\u1098?\u1087?\u1085?\u1086?\u1089?\u1090? \u1080? \u1090?\u1077?\u1088?\u1086?\u1088?\u1080?\u1079?\u1084?\u1072?_x000b_"/>
    <w:docVar w:name="LW_TYPE.DOC.CP" w:val="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MAIN CONTENT,List Paragraph11,List Paragraph12,List Paragraph2,OBC Bullet,L"/>
    <w:basedOn w:val="Normal"/>
    <w:link w:val="ListParagraphChar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300"/>
      <w:jc w:val="left"/>
    </w:pPr>
    <w:rPr>
      <w:rFonts w:eastAsia="Times New Roman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Pr>
      <w:rFonts w:ascii="Times New Roman" w:hAnsi="Times New Roman" w:cs="Times New Roman"/>
      <w:sz w:val="24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MAIN CONTENT,List Paragraph11,List Paragraph12,List Paragraph2,OBC Bullet,L"/>
    <w:basedOn w:val="Normal"/>
    <w:link w:val="ListParagraphChar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300"/>
      <w:jc w:val="left"/>
    </w:pPr>
    <w:rPr>
      <w:rFonts w:eastAsia="Times New Roman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Pr>
      <w:rFonts w:ascii="Times New Roman" w:hAnsi="Times New Roman" w:cs="Times New Roman"/>
      <w:sz w:val="24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uropol.europa.eu/socta/2017" TargetMode="External"/><Relationship Id="rId2" Type="http://schemas.openxmlformats.org/officeDocument/2006/relationships/hyperlink" Target="https://www.europol.europa.eu/publications-documents/europol-strategy-2016-2020" TargetMode="External"/><Relationship Id="rId1" Type="http://schemas.openxmlformats.org/officeDocument/2006/relationships/hyperlink" Target="http://europa.eu/globalstrategy/en" TargetMode="External"/><Relationship Id="rId4" Type="http://schemas.openxmlformats.org/officeDocument/2006/relationships/hyperlink" Target="https://www.europol.europa.eu/sites/default/files/documents/tesa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E899-52F5-455C-B493-8E25EEFF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6</Pages>
  <Words>1215</Words>
  <Characters>7029</Characters>
  <Application>Microsoft Office Word</Application>
  <DocSecurity>0</DocSecurity>
  <Lines>137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17</cp:revision>
  <dcterms:created xsi:type="dcterms:W3CDTF">2018-01-29T15:25:00Z</dcterms:created>
  <dcterms:modified xsi:type="dcterms:W3CDTF">2018-01-31T15:36:00Z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SG-001</vt:lpwstr>
  </property>
  <property fmtid="{D5CDD505-2E9C-101B-9397-08002B2CF9AE}" pid="10" name="DQCStatus">
    <vt:lpwstr>Green (DQC version 03)</vt:lpwstr>
  </property>
</Properties>
</file>