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7C0DAC7-A1C3-4491-A374-29DC086D9204"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ΕΙΣΑΓΩΓΗ</w:t>
      </w:r>
    </w:p>
    <w:p>
      <w:pPr>
        <w:spacing w:after="240" w:line="240" w:lineRule="auto"/>
        <w:jc w:val="both"/>
        <w:rPr>
          <w:rFonts w:ascii="Times New Roman" w:hAnsi="Times New Roman" w:cs="Times New Roman"/>
          <w:noProof/>
          <w:sz w:val="24"/>
          <w:szCs w:val="24"/>
        </w:rPr>
      </w:pPr>
      <w:r>
        <w:rPr>
          <w:rFonts w:ascii="Times New Roman" w:hAnsi="Times New Roman"/>
          <w:noProof/>
          <w:sz w:val="24"/>
        </w:rPr>
        <w:t>Η παρούσα είναι η δέκατη τρίτη μηνιαία έκθεση για την πρόοδο που έχει σημειωθεί ως προς την οικοδόμηση μιας αποτελεσματικής και πραγματικής Ένωσης Ασφάλειας και καλύπτει τις εξελίξεις σε δύο βασικούς πυλώνες: στην καταπολέμηση της τρομοκρατίας και του οργανωμένου εγκλήματος, καθώς και των μέσων που τα στηρίζουν· και στην ενίσχυση της άμυνάς μας και την οικοδόμηση ανθεκτικότητας έναντι αυτών των απειλών.</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Κοινή δήλωση της 14ης Δεκεμβρίου 2017 σχετικά με τις νομοθετικές προτεραιότητες της ΕΕ</w:t>
      </w:r>
      <w:r>
        <w:rPr>
          <w:rFonts w:ascii="Times New Roman" w:hAnsi="Times New Roman"/>
          <w:noProof/>
          <w:sz w:val="24"/>
        </w:rPr>
        <w:t xml:space="preserve"> για την περίοδο 2018-2019, η οποία υπεγράφη από τον Πρόεδρο του Ευρωπαϊκού Κοινοβουλίου, την εκ περιτροπής Προεδρία του Συμβουλίου και τον Πρόεδρο της Ευρωπαϊκής Επιτροπής, εξ ονόματος των τριών θεσμικών οργάνων, υπογραμμίζει και πάλι την καίρια σημασία της βελτίωσης της προστασίας της ασφάλειας των πολιτών</w:t>
      </w:r>
      <w:r>
        <w:rPr>
          <w:rStyle w:val="FootnoteReference"/>
          <w:rFonts w:ascii="Times New Roman" w:hAnsi="Times New Roman"/>
          <w:noProof/>
          <w:sz w:val="24"/>
        </w:rPr>
        <w:footnoteReference w:id="2"/>
      </w:r>
      <w:r>
        <w:rPr>
          <w:rFonts w:ascii="Times New Roman" w:hAnsi="Times New Roman"/>
          <w:noProof/>
          <w:sz w:val="24"/>
        </w:rPr>
        <w:t xml:space="preserve"> θέτοντάς την στο επίκεντρο των νομοθετικών εργασιών της Ένωσης. Δίνεται προτεραιότητα σε πρωτοβουλίες σκοπός των οποίων είναι να εξασφαλίσουν ότι οι αρχές των κρατών μελών γνωρίζουν ποιοι διασχίζουν τα κοινά εξωτερικά σύνορα της ΕΕ, να δημιουργήσουν διαλειτουργικά συστήματα πληροφοριών της ΕΕ για την ασφάλεια, τη διαχείριση των συνόρων και της μετανάστευσης, και να ενισχύσουν τα μέσα για την καταπολέμηση της τρομοκρατίας και της νομιμοποίησης εσόδων από παράνομες δραστηριότητες.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Η παρούσα έκθεση περιγράφει την πρόοδο που έχει σημειωθεί όσον αφορά την υλοποίηση των νομοθετικών προτεραιοτήτων σχετικά με την Ένωση Ασφάλειας. Η Επιτροπή θα συνεχίσει να προωθεί την πρόοδο στον τομέα αυτό, σε στενή συνεργασία με όλα τα όργανα και σύμφωνα με το πρόγραμμα εργασίας της Επιτροπής για το 2018, το οποίο θέτει επίσης το έργο αυτό ως προτεραιότητα</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Οι εργασίες αυτές θα τροφοδοτήσουν την άτυπη συνεδρίαση των ηγετών για την εσωτερική ασφάλεια που θα πραγματοποιηθεί στη Βιέννη τον Σεπτέμβριο του 2018, όπως ανακοινώθηκε στο Θεματολόγιο των ηγετών</w:t>
      </w:r>
      <w:r>
        <w:rPr>
          <w:rStyle w:val="FootnoteReference"/>
          <w:rFonts w:ascii="Times New Roman" w:hAnsi="Times New Roman"/>
          <w:noProof/>
          <w:sz w:val="24"/>
        </w:rPr>
        <w:footnoteReference w:id="4"/>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Στην παρούσα έκθεση περιλαμβάνονται επίσης ορισμένες δράσεις που θα αναλάβει η Επιτροπή προκειμένου να εντείνει την υποστήριξη προς τα κράτη μέλη για την </w:t>
      </w:r>
      <w:r>
        <w:rPr>
          <w:rFonts w:ascii="Times New Roman" w:hAnsi="Times New Roman"/>
          <w:b/>
          <w:noProof/>
          <w:sz w:val="24"/>
        </w:rPr>
        <w:t>αντιμετώπιση της ριζοσπαστικοποίησης</w:t>
      </w:r>
      <w:r>
        <w:rPr>
          <w:rFonts w:ascii="Times New Roman" w:hAnsi="Times New Roman"/>
          <w:noProof/>
          <w:sz w:val="24"/>
        </w:rPr>
        <w:t xml:space="preserve"> τόσο εντός όσο και εκτός διαδικτύου, ιδίως μέσω της συνέχειας που θα δοθεί στα προκαταρκτικά πορίσματα και τις συστάσεις της Ομάδας Εμπειρογνωμόνων Υψηλού Επιπέδου για τη Ριζοσπαστικοποίηση</w:t>
      </w:r>
      <w:r>
        <w:rPr>
          <w:rStyle w:val="FootnoteReference"/>
          <w:rFonts w:ascii="Times New Roman" w:hAnsi="Times New Roman"/>
          <w:noProof/>
          <w:sz w:val="24"/>
        </w:rPr>
        <w:footnoteReference w:id="5"/>
      </w:r>
      <w:r>
        <w:rPr>
          <w:rFonts w:ascii="Times New Roman" w:hAnsi="Times New Roman"/>
          <w:noProof/>
          <w:sz w:val="24"/>
        </w:rPr>
        <w:t xml:space="preserve">, και με την ενίσχυση της συνεργασίας με διαδικτυακές πλατφόρμες κατά του τρομοκρατικού περιεχομένου στο διαδίκτυο. Η πρόληψη και αντιμετώπιση της ριζοσπαστικοποίησης παραμένει βασική πρόκληση για τα κράτη μέλη, η οποία απαιτεί την υιοθέτηση κοινής προσέγγισης μεταξύ των κυβερνήσεων, καθώς και σε τοπικό επίπεδο. Η ομάδα εμπειρογνωμόνων, η οποία συστάθηκε τον Ιούλιο του 2017 για να εκπονήσει συστάσεις για μελλοντικές εργασίες, προσδιόρισε ορισμένα θέματα προτεραιότητας που απαιτούν περαιτέρω δράση.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Τέλος, η έκθεση αυτή παρουσιάζει επίσης την πρόοδο που σημειώθηκε όσον αφορά την εφαρμογή των άλλων στόχων προτεραιότητας στην Ένωση Ασφάλειας, και συγκεκριμένα της </w:t>
      </w:r>
      <w:r>
        <w:rPr>
          <w:rFonts w:ascii="Times New Roman" w:hAnsi="Times New Roman"/>
          <w:b/>
          <w:noProof/>
          <w:sz w:val="24"/>
        </w:rPr>
        <w:t>ασφάλειας στον κυβερνοχώρο</w:t>
      </w:r>
      <w:r>
        <w:rPr>
          <w:rFonts w:ascii="Times New Roman" w:hAnsi="Times New Roman"/>
          <w:noProof/>
          <w:sz w:val="24"/>
        </w:rPr>
        <w:t xml:space="preserve">, της </w:t>
      </w:r>
      <w:r>
        <w:rPr>
          <w:rFonts w:ascii="Times New Roman" w:hAnsi="Times New Roman"/>
          <w:b/>
          <w:noProof/>
          <w:sz w:val="24"/>
        </w:rPr>
        <w:t>προστασίας των δημόσιων χώρων</w:t>
      </w:r>
      <w:r>
        <w:rPr>
          <w:rFonts w:ascii="Times New Roman" w:hAnsi="Times New Roman"/>
          <w:noProof/>
          <w:sz w:val="24"/>
        </w:rPr>
        <w:t xml:space="preserve">, της </w:t>
      </w:r>
      <w:r>
        <w:rPr>
          <w:rFonts w:ascii="Times New Roman" w:hAnsi="Times New Roman"/>
          <w:b/>
          <w:noProof/>
          <w:sz w:val="24"/>
        </w:rPr>
        <w:t xml:space="preserve">έρευνας στον </w:t>
      </w:r>
      <w:r>
        <w:rPr>
          <w:rFonts w:ascii="Times New Roman" w:hAnsi="Times New Roman"/>
          <w:b/>
          <w:noProof/>
          <w:sz w:val="24"/>
        </w:rPr>
        <w:lastRenderedPageBreak/>
        <w:t>τομέα της ασφάλειας</w:t>
      </w:r>
      <w:r>
        <w:rPr>
          <w:rFonts w:ascii="Times New Roman" w:hAnsi="Times New Roman"/>
          <w:noProof/>
          <w:sz w:val="24"/>
        </w:rPr>
        <w:t xml:space="preserve"> και της </w:t>
      </w:r>
      <w:r>
        <w:rPr>
          <w:rFonts w:ascii="Times New Roman" w:hAnsi="Times New Roman"/>
          <w:b/>
          <w:noProof/>
          <w:sz w:val="24"/>
        </w:rPr>
        <w:t>εξωτερικής διάστασης της καταπολέμησης της τρομοκρατίας</w:t>
      </w:r>
      <w:r>
        <w:rPr>
          <w:rFonts w:ascii="Times New Roman" w:hAnsi="Times New Roman"/>
          <w:noProof/>
          <w:sz w:val="24"/>
        </w:rPr>
        <w:t>.</w:t>
      </w:r>
    </w:p>
    <w:p>
      <w:pPr>
        <w:keepNext/>
        <w:spacing w:after="240" w:line="240" w:lineRule="auto"/>
        <w:jc w:val="both"/>
        <w:rPr>
          <w:rFonts w:ascii="Times New Roman" w:hAnsi="Times New Roman" w:cs="Times New Roman"/>
          <w:b/>
          <w:noProof/>
          <w:sz w:val="24"/>
          <w:szCs w:val="24"/>
        </w:rPr>
      </w:pPr>
      <w:r>
        <w:rPr>
          <w:rFonts w:ascii="Times New Roman" w:hAnsi="Times New Roman"/>
          <w:b/>
          <w:noProof/>
          <w:sz w:val="24"/>
        </w:rPr>
        <w:t>II.</w:t>
      </w:r>
      <w:r>
        <w:rPr>
          <w:noProof/>
        </w:rPr>
        <w:tab/>
      </w:r>
      <w:r>
        <w:rPr>
          <w:rFonts w:ascii="Times New Roman" w:hAnsi="Times New Roman"/>
          <w:b/>
          <w:noProof/>
          <w:sz w:val="24"/>
        </w:rPr>
        <w:t xml:space="preserve">ΕΦΑΡΜΟΓΗ ΤΩΝ ΝΟΜΟΘΕΤΙΚΩΝ ΠΡΟΤΕΡΑΙΟΤΗΤΩΝ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Στην κοινή δήλωση σχετικά με τις νομοθετικές προτεραιότητες της ΕΕ για την περίοδο 2018-2019, τα τρία θεσμικά όργανα συμφωνούν να δοθεί προτεραιότητα στο πλαίσιο της νομοθετικής διαδικασίας σε 31 νέες πρωτοβουλίες για μια πιο ενωμένη, πιο ισχυρή και πιο δημοκρατική Ένωση, με στόχο να εξασφαλιστεί ουσιαστική πρόοδος και, όπου είναι δυνατόν, να υπάρξουν αποτελέσματα πριν από τις ευρωπαϊκές εκλογές του 2019.  </w:t>
      </w:r>
      <w:r>
        <w:rPr>
          <w:rFonts w:ascii="Times New Roman" w:hAnsi="Times New Roman"/>
          <w:b/>
          <w:noProof/>
          <w:sz w:val="24"/>
        </w:rPr>
        <w:t xml:space="preserve"> Η καλύτερη προστασία της ασφάλειας των πολιτών μας</w:t>
      </w:r>
      <w:r>
        <w:rPr>
          <w:rFonts w:ascii="Times New Roman" w:hAnsi="Times New Roman"/>
          <w:noProof/>
          <w:sz w:val="24"/>
        </w:rPr>
        <w:t xml:space="preserve"> είναι ο πρώτος τομέας που αναφέρεται στο έγγραφο εργασίας που επισυνάπτεται στην κοινή δήλωση.</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Ανάμεσα στις νομοθετικές προτεραιότητες που απαριθμούνται είναι οι </w:t>
      </w:r>
      <w:r>
        <w:rPr>
          <w:rFonts w:ascii="Times New Roman" w:hAnsi="Times New Roman"/>
          <w:b/>
          <w:noProof/>
          <w:sz w:val="24"/>
        </w:rPr>
        <w:t>προτάσεις της Επιτροπής για τη διαλειτουργικότητα</w:t>
      </w:r>
      <w:r>
        <w:rPr>
          <w:rStyle w:val="FootnoteReference"/>
          <w:rFonts w:ascii="Times New Roman" w:hAnsi="Times New Roman"/>
          <w:noProof/>
          <w:sz w:val="24"/>
        </w:rPr>
        <w:footnoteReference w:id="6"/>
      </w:r>
      <w:r>
        <w:rPr>
          <w:rFonts w:ascii="Times New Roman" w:hAnsi="Times New Roman"/>
          <w:noProof/>
          <w:sz w:val="24"/>
        </w:rPr>
        <w:t xml:space="preserve"> των συστημάτων πληροφοριών για την ασφάλεια, τη διαχείριση των συνόρων και της μετανάστευσης, που εγκρίθηκαν τον Δεκέμβριο του 2017 και σχετικά με τις οποίες έχουν πλέον ξεκινήσει οι αντίστοιχες εργασίες στο Ευρωπαϊκό Κοινοβούλιο και το Συμβούλιο. Η Επιτροπή παρουσίασε τις προτάσεις στην Επιτροπή Πολιτικών Ελευθεριών, Δικαιοσύνης και Εσωτερικών Υποθέσεων (LIBE) του Ευρωπαϊκού Κοινοβουλίου στις 15 Ιανουαρίου 2018. Οι πρώτες συζητήσεις πραγματοποιήθηκαν σε επίπεδο ομάδας εργασίας του Συμβουλίου. Λόγω της υψηλής προτεραιότητας που δίδεται στην εν λόγω πρωτοβουλία, η Επιτροπή συνεργάζεται με το Ευρωπαϊκό Κοινοβούλιο και το Συμβούλιο για την επίτευξη της ταχύτερης δυνατής προόδου. Όσον αφορά τις προσπάθειες για την κάλυψη των κενών πληροφόρησης, σε εξέλιξη βρίσκονται οι τριμερείς διάλογοι μεταξύ των συννομοθετών σχετικά με την πρόταση της Επιτροπής για τη δημιουργία </w:t>
      </w:r>
      <w:r>
        <w:rPr>
          <w:rFonts w:ascii="Times New Roman" w:hAnsi="Times New Roman"/>
          <w:b/>
          <w:noProof/>
          <w:sz w:val="24"/>
        </w:rPr>
        <w:t>Ευρωπαϊκού Συστήματος Πληροφοριών και Άδειας Ταξιδίου (ETIAS)</w:t>
      </w:r>
      <w:r>
        <w:rPr>
          <w:rStyle w:val="FootnoteReference"/>
          <w:rFonts w:ascii="Times New Roman" w:hAnsi="Times New Roman"/>
          <w:noProof/>
          <w:sz w:val="24"/>
        </w:rPr>
        <w:footnoteReference w:id="7"/>
      </w:r>
      <w:r>
        <w:rPr>
          <w:noProof/>
        </w:rPr>
        <w:t>.</w:t>
      </w:r>
      <w:r>
        <w:rPr>
          <w:rFonts w:ascii="Times New Roman" w:hAnsi="Times New Roman"/>
          <w:b/>
          <w:noProof/>
          <w:sz w:val="24"/>
        </w:rPr>
        <w:t xml:space="preserve"> </w:t>
      </w:r>
      <w:r>
        <w:rPr>
          <w:rFonts w:ascii="Times New Roman" w:hAnsi="Times New Roman"/>
          <w:noProof/>
          <w:sz w:val="24"/>
        </w:rPr>
        <w:t xml:space="preserve">Δεδομένης της σημασίας που έχει η εν λόγω πρόταση, μεταξύ άλλων και στο πλαίσιο του κοινού στόχου για την επίτευξη ταχείας προόδου όσον αφορά τη διαλειτουργικότητα, η Επιτροπή καλεί τους συννομοθέτες να καταλήξουν σε συμφωνία εντός των προσεχών εβδομάδων.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Όσον αφορά τις προσπάθειες να μεγιστοποιηθούν τα οφέλη των υφιστάμενων συστημάτων πληροφοριών, είναι σε εξέλιξη τριμερείς διάλογοι μεταξύ των συννομοθετών σχετικά με τρεις νομοθετικές προτάσεις για την ενίσχυση του </w:t>
      </w:r>
      <w:r>
        <w:rPr>
          <w:rFonts w:ascii="Times New Roman" w:hAnsi="Times New Roman"/>
          <w:b/>
          <w:noProof/>
          <w:sz w:val="24"/>
        </w:rPr>
        <w:t>Συστήματος Πληροφοριών Σένγκεν (SIS)</w:t>
      </w:r>
      <w:r>
        <w:rPr>
          <w:rFonts w:ascii="Times New Roman" w:hAnsi="Times New Roman"/>
          <w:noProof/>
          <w:sz w:val="24"/>
        </w:rPr>
        <w:t>.</w:t>
      </w:r>
      <w:r>
        <w:rPr>
          <w:rFonts w:ascii="Times New Roman" w:hAnsi="Times New Roman"/>
          <w:noProof/>
          <w:sz w:val="24"/>
          <w:vertAlign w:val="superscript"/>
        </w:rPr>
        <w:footnoteReference w:id="8"/>
      </w:r>
      <w:r>
        <w:rPr>
          <w:rFonts w:ascii="Times New Roman" w:hAnsi="Times New Roman"/>
          <w:noProof/>
          <w:sz w:val="24"/>
        </w:rPr>
        <w:t xml:space="preserve"> Η Επιτροπή καλεί τους δύο συννομοθέτες να καταλήξουν σύντομα σε συμφωνία σχετικά με τις προτάσεις αυτές πραγματοποιώντας έτσι ένα σημαντικό βήμα για πιο ισχυρά και έξυπνα συστήματα πληροφοριών για τα σύνορα και την ασφάλεια, καθώς και για τη διαλειτουργικότητά τους</w:t>
      </w:r>
      <w:r>
        <w:rPr>
          <w:rStyle w:val="FootnoteReference"/>
          <w:rFonts w:ascii="Times New Roman" w:hAnsi="Times New Roman"/>
          <w:noProof/>
          <w:sz w:val="24"/>
        </w:rPr>
        <w:footnoteReference w:id="9"/>
      </w:r>
      <w:r>
        <w:rPr>
          <w:noProof/>
        </w:rPr>
        <w:t>.</w:t>
      </w:r>
      <w:r>
        <w:rPr>
          <w:rFonts w:ascii="Times New Roman" w:hAnsi="Times New Roman"/>
          <w:b/>
          <w:noProof/>
          <w:sz w:val="24"/>
        </w:rPr>
        <w:t xml:space="preserve"> </w:t>
      </w:r>
      <w:r>
        <w:rPr>
          <w:rFonts w:ascii="Times New Roman" w:hAnsi="Times New Roman"/>
          <w:noProof/>
          <w:sz w:val="24"/>
        </w:rPr>
        <w:t xml:space="preserve">Όσον αφορά τη συμπληρωματική πρόταση της Επιτροπής για τη διευκόλυνση της ανταλλαγής ποινικών μητρώων πολιτών τρίτων χωρών στην ΕΕ μέσω του </w:t>
      </w:r>
      <w:r>
        <w:rPr>
          <w:rFonts w:ascii="Times New Roman" w:hAnsi="Times New Roman"/>
          <w:b/>
          <w:noProof/>
          <w:sz w:val="24"/>
        </w:rPr>
        <w:t>Ευρωπαϊκού Συστήματος Πληροφοριών Ποινικού Μητρώου (ECRIS)</w:t>
      </w:r>
      <w:r>
        <w:rPr>
          <w:rStyle w:val="FootnoteReference"/>
          <w:rFonts w:ascii="Times New Roman" w:hAnsi="Times New Roman"/>
          <w:b/>
          <w:noProof/>
          <w:sz w:val="24"/>
        </w:rPr>
        <w:footnoteReference w:id="10"/>
      </w:r>
      <w:r>
        <w:rPr>
          <w:rFonts w:ascii="Times New Roman" w:hAnsi="Times New Roman"/>
          <w:noProof/>
          <w:sz w:val="24"/>
        </w:rPr>
        <w:t xml:space="preserve">, η Επιτροπή Πολιτικών Ελευθεριών, Δικαιοσύνης και Εσωτερικών Υποθέσεων (LIBE) του Ευρωπαϊκού Κοινοβουλίου αναμένεται να ψηφίσει επί της διαπραγματευτικής του εντολής στις 25 Ιανουαρίου 2018. Η Επιτροπή καλεί τους δύο συννομοθέτες να καταλήξουν άμεσα σε συμφωνία σχετικά με τις προτάσεις για τη μεταρρύθμιση του Ευρωπαϊκού Συστήματος Πληροφοριών Ποινικού Μητρώου. Παράλληλα με την παρούσα νομοθετική δραστηριότητα, καρπούς αποδίδουν </w:t>
      </w:r>
      <w:r>
        <w:rPr>
          <w:rFonts w:ascii="Times New Roman" w:hAnsi="Times New Roman"/>
          <w:b/>
          <w:noProof/>
          <w:sz w:val="24"/>
        </w:rPr>
        <w:t>συγκεκριμένες προσπάθειες για να βελτιωθεί η ανταλλαγή πληροφοριών</w:t>
      </w:r>
      <w:r>
        <w:rPr>
          <w:rFonts w:ascii="Times New Roman" w:hAnsi="Times New Roman"/>
          <w:noProof/>
          <w:sz w:val="24"/>
        </w:rPr>
        <w:t>. Για παράδειγμα, η Ευρωπόλ αναφέρει ότι, κατά τη διάρκεια του 2017, αντηλλάγησαν περισσότερα από ένα εκατομμύριο μηνύματα SIENA μεταξύ της Ευρωπόλ, κρατών μελών και τρίτων μερών</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Η Επιτροπή εξακολουθεί να εργάζεται με τα κράτη μέλη για την πλήρη θέση σε εφαρμογή και υλοποίηση των υφιστάμενων συστημάτων πληροφοριών, ιδίως με εκείνα τα κράτη μέλη που δεν έχουν ακόμη σημειώσει επαρκή πρόοδο όσον αφορά την εφαρμογή της οδηγίας της ΕΕ για τις καταστάσεις ονομάτων επιβατών (PNR)</w:t>
      </w:r>
      <w:r>
        <w:rPr>
          <w:rStyle w:val="FootnoteReference"/>
          <w:rFonts w:ascii="Times New Roman" w:hAnsi="Times New Roman"/>
          <w:noProof/>
          <w:sz w:val="24"/>
        </w:rPr>
        <w:footnoteReference w:id="12"/>
      </w:r>
      <w:r>
        <w:rPr>
          <w:rFonts w:ascii="Times New Roman" w:hAnsi="Times New Roman"/>
          <w:noProof/>
          <w:sz w:val="24"/>
        </w:rPr>
        <w:t xml:space="preserve"> που πρέπει να έχει τεθεί σε πλήρη εφαρμογή έως τις 25 Μαΐου 2018.</w:t>
      </w:r>
    </w:p>
    <w:p>
      <w:pPr>
        <w:spacing w:after="240" w:line="240" w:lineRule="auto"/>
        <w:jc w:val="both"/>
        <w:rPr>
          <w:rFonts w:ascii="Times New Roman" w:hAnsi="Times New Roman" w:cs="Times New Roman"/>
          <w:noProof/>
          <w:sz w:val="24"/>
          <w:szCs w:val="24"/>
        </w:rPr>
      </w:pPr>
      <w:r>
        <w:rPr>
          <w:rFonts w:ascii="Times New Roman" w:hAnsi="Times New Roman"/>
          <w:noProof/>
          <w:sz w:val="24"/>
        </w:rPr>
        <w:t>Τον Ιούνιο του 2017, η Επιτροπή υπέβαλε νομοθετική πρόταση</w:t>
      </w:r>
      <w:r>
        <w:rPr>
          <w:rStyle w:val="FootnoteReference"/>
          <w:rFonts w:ascii="Times New Roman" w:hAnsi="Times New Roman"/>
          <w:noProof/>
          <w:sz w:val="24"/>
        </w:rPr>
        <w:footnoteReference w:id="13"/>
      </w:r>
      <w:r>
        <w:rPr>
          <w:rFonts w:ascii="Times New Roman" w:hAnsi="Times New Roman"/>
          <w:noProof/>
          <w:sz w:val="24"/>
        </w:rPr>
        <w:t xml:space="preserve"> για την ενίσχυση της εντολής του </w:t>
      </w:r>
      <w:r>
        <w:rPr>
          <w:rFonts w:ascii="Times New Roman" w:hAnsi="Times New Roman"/>
          <w:b/>
          <w:noProof/>
          <w:sz w:val="24"/>
        </w:rPr>
        <w:t>eu-LISA</w:t>
      </w:r>
      <w:r>
        <w:rPr>
          <w:rStyle w:val="FootnoteReference"/>
          <w:rFonts w:ascii="Times New Roman" w:hAnsi="Times New Roman"/>
          <w:noProof/>
          <w:sz w:val="24"/>
        </w:rPr>
        <w:footnoteReference w:id="14"/>
      </w:r>
      <w:r>
        <w:rPr>
          <w:rFonts w:ascii="Times New Roman" w:hAnsi="Times New Roman"/>
          <w:noProof/>
          <w:sz w:val="24"/>
        </w:rPr>
        <w:t>, ώστε ο οργανισμός να διασφαλίζει την τεχνική εφαρμογή της νέας προσέγγισης όσον αφορά τη διαχείριση των δεδομένων για τα σύνορα και την ασφάλεια. Κατά τη σύνοδο ολομέλειας του Ιανουαρίου 2018, το Ευρωπαϊκό Κοινοβούλιο ενέκρινε τη σχετική εντολή του ώστε να ξεκινήσουν διαπραγματεύσεις σχετικά με την πρόταση της Επιτροπής για την έναρξη των διοργανικών συζητήσεων.</w:t>
      </w:r>
    </w:p>
    <w:p>
      <w:pPr>
        <w:tabs>
          <w:tab w:val="left" w:pos="3428"/>
        </w:tabs>
        <w:spacing w:after="240" w:line="240" w:lineRule="auto"/>
        <w:jc w:val="both"/>
        <w:rPr>
          <w:rFonts w:ascii="Times New Roman" w:hAnsi="Times New Roman" w:cs="Times New Roman"/>
          <w:bCs/>
          <w:noProof/>
          <w:sz w:val="24"/>
          <w:szCs w:val="24"/>
        </w:rPr>
      </w:pPr>
      <w:r>
        <w:rPr>
          <w:rFonts w:ascii="Times New Roman" w:hAnsi="Times New Roman"/>
          <w:noProof/>
          <w:sz w:val="24"/>
        </w:rPr>
        <w:t xml:space="preserve">Στον τομέα του εντοπισμού και της πρόληψης της χρηματοδότησης της τρομοκρατίας, το Συμβούλιο της ΕΕ και το Ευρωπαϊκό Κοινοβούλιο κατέληξαν σε πολιτική συμφωνία στις 13 Δεκεμβρίου 2017 σχετικά με την </w:t>
      </w:r>
      <w:r>
        <w:rPr>
          <w:rFonts w:ascii="Times New Roman" w:hAnsi="Times New Roman"/>
          <w:b/>
          <w:noProof/>
          <w:sz w:val="24"/>
        </w:rPr>
        <w:t>πρόταση της Ευρωπαϊκής Επιτροπής για την τροποποίηση της τέταρτης οδηγίας κατά της νομιμοποίησης εσόδων από παράνομες δραστηριότητες (AMLD5)</w:t>
      </w:r>
      <w:r>
        <w:rPr>
          <w:rFonts w:ascii="Times New Roman" w:hAnsi="Times New Roman"/>
          <w:noProof/>
          <w:sz w:val="24"/>
        </w:rPr>
        <w:t>.</w:t>
      </w:r>
      <w:r>
        <w:rPr>
          <w:rFonts w:ascii="Times New Roman" w:hAnsi="Times New Roman"/>
          <w:noProof/>
          <w:sz w:val="24"/>
          <w:vertAlign w:val="superscript"/>
        </w:rPr>
        <w:footnoteReference w:id="15"/>
      </w:r>
      <w:r>
        <w:rPr>
          <w:rFonts w:ascii="Times New Roman" w:hAnsi="Times New Roman"/>
          <w:noProof/>
          <w:sz w:val="24"/>
        </w:rPr>
        <w:t xml:space="preserve">  Το τελικό συμβιβαστικό κείμενο θα πρέπει να εγκριθεί επίσημα από αμφότερα τα θεσμικά όργανα. Η τροποποιημένη οδηγία αναμένεται να δημοσιευτεί στην Επίσημη Εφημερίδα της ΕΕ έως τα μέσα του 2018, οπότε θα αρχίσει να ισχύει 18 μήνες μετά τη δημοσίευσή της, δηλαδή έως το τέλος του 2019.  Η οδηγία περιλαμβάνει διάφορα νέα μέτρα που θα συνδράμουν τις εθνικές αρχές στην καλύτερη παρακολούθηση των παράνομων χρηματοοικονομικών ροών. Βασικό στοιχείο της εν λόγω οδηγίας είναι η μεγαλύτερη διαφάνεια σχετικά με τα πρόσωπα που έχουν όντως την κυριότητα εταιρειών και καταπιστευμάτων και άλλων νομικών μορφωμάτων μέσω της ενίσχυσης των απαιτήσεων που σχετίζονται με τα μητρώα πραγματικών δικαιούχων. Τα μητρώα πραγματικών δικαιούχων των εταιρειών θα πρέπει να δημοσιοποιούνται πλήρως, ενώ τα μητρώα σχετικά με καταπιστεύματα και άλλα νομικά μορφώματα θα πρέπει να είναι πλήρως προσβάσιμα στις αρμόδιες αρχές και τις υπόχρεες οντότητες (π.χ. τράπεζες) και σε κάθε ιδιώτη που μπορεί να αποδείξει ότι έχει έννομο συμφέρον να αποκτήσει πρόσβαση στις πληροφορίες αυτές. Η οδηγία βελτιώνει επίσης την πρόσβαση των μονάδων χρηματοοικονομικών πληροφοριών (ΜΧΠ) στις κατάλληλες πληροφορίες, συμπεριλαμβανομένων των κτηματολογίων, καθώς και σε νεοσυσταθέντα κεντρικά μητρώα τραπεζικών λογαριασμών. Παράλληλα ενισχύει τη συνεργασία και διευκολύνει την ανταλλαγή πληροφοριών μεταξύ των αρχών χρηματοπιστωτικής εποπτείας της ΕΕ. Ένα άλλο ζωτικής σημασίας στοιχείο της οδηγίας είναι η σημαντική μείωση της ανωνυμίας όσον αφορά τα προϊόντα, όπως οι προπληρωμένες κάρτες και τα εικονικά νομίσματα. Τέλος, η οδηγία προσθέτει επιπλέον κριτήρια, συμπεριλαμβανομένης της διαφάνειας, για την εγγραφή στον κατάλογο τρίτων χωρών υψηλού κινδύνου, διασφαλίζοντας έτσι υψηλό επίπεδο εγγυήσεων για τις χρηματοδοτικές ροές από τις τρίτες χώρες υψηλού κινδύνου.</w:t>
      </w:r>
    </w:p>
    <w:p>
      <w:pPr>
        <w:spacing w:after="240" w:line="240" w:lineRule="auto"/>
        <w:jc w:val="both"/>
        <w:rPr>
          <w:rFonts w:ascii="Times New Roman" w:hAnsi="Times New Roman" w:cs="Times New Roman"/>
          <w:bCs/>
          <w:noProof/>
          <w:sz w:val="24"/>
          <w:szCs w:val="24"/>
        </w:rPr>
      </w:pPr>
      <w:r>
        <w:rPr>
          <w:rFonts w:ascii="Times New Roman" w:hAnsi="Times New Roman"/>
          <w:noProof/>
          <w:sz w:val="24"/>
        </w:rPr>
        <w:t>Αφού το Ευρωπαϊκό Κοινοβούλιο ενέκρινε, στις 11 Δεκεμβρίου 2017, τη θέση του σχετικά με την πρόταση της Επιτροπής για την έκδοση οδηγίας με την οποία θα εναρμονίζονται ο ορισμός και οι ποινικές κυρώσεις όσον αφορά τη νομιμοποίηση εσόδων από παράνομες δραστηριότητες</w:t>
      </w:r>
      <w:r>
        <w:rPr>
          <w:rStyle w:val="FootnoteReference"/>
          <w:rFonts w:ascii="Times New Roman" w:hAnsi="Times New Roman"/>
          <w:noProof/>
          <w:sz w:val="24"/>
        </w:rPr>
        <w:footnoteReference w:id="16"/>
      </w:r>
      <w:r>
        <w:rPr>
          <w:rFonts w:ascii="Times New Roman" w:hAnsi="Times New Roman"/>
          <w:noProof/>
          <w:sz w:val="24"/>
        </w:rPr>
        <w:t xml:space="preserve">, οι διοργανικές συζητήσεις ξεκίνησαν στις 17 Ιανουαρίου 2018. </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sz w:val="24"/>
        </w:rPr>
        <w:t xml:space="preserve">Στον τομέα της </w:t>
      </w:r>
      <w:r>
        <w:rPr>
          <w:rFonts w:ascii="Times New Roman" w:hAnsi="Times New Roman"/>
          <w:b/>
          <w:noProof/>
          <w:sz w:val="24"/>
        </w:rPr>
        <w:t>ασφάλειας στον κυβερνοχώρο</w:t>
      </w:r>
      <w:r>
        <w:rPr>
          <w:rFonts w:ascii="Times New Roman" w:hAnsi="Times New Roman"/>
          <w:noProof/>
          <w:sz w:val="24"/>
        </w:rPr>
        <w:t xml:space="preserve">, </w:t>
      </w:r>
      <w:r>
        <w:rPr>
          <w:rFonts w:ascii="Times New Roman" w:hAnsi="Times New Roman"/>
          <w:noProof/>
          <w:color w:val="000000"/>
          <w:sz w:val="24"/>
        </w:rPr>
        <w:t>οι συννομοθέτες εξετάζουν την πρόταση της Επιτροπής</w:t>
      </w:r>
      <w:r>
        <w:rPr>
          <w:rStyle w:val="FootnoteReference"/>
          <w:rFonts w:ascii="Times New Roman" w:hAnsi="Times New Roman"/>
          <w:noProof/>
          <w:color w:val="000000"/>
          <w:sz w:val="24"/>
        </w:rPr>
        <w:footnoteReference w:id="17"/>
      </w:r>
      <w:r>
        <w:rPr>
          <w:rFonts w:ascii="Times New Roman" w:hAnsi="Times New Roman"/>
          <w:noProof/>
          <w:color w:val="000000"/>
          <w:sz w:val="24"/>
        </w:rPr>
        <w:t xml:space="preserve"> για έκδοση κανονισμού σχετικά με τον καθορισμό νέας εντολής για τον Οργανισμό της ΕΕ για την Ασφάλεια Δικτύων και Πληροφοριών (ENISA) και ένα ευρωπαϊκό πλαίσιο για την πιστοποίηση (στο εξής: νόμος για την ασφάλεια στον κυβερνοχώρο). Πραγματοποιήθηκαν αρκετοί γύροι συνομιλιών σε επίπεδο ομάδας εργασίας του Συμβουλίου. Η Επιτροπή Βιομηχανίας, Έρευνας και Ενέργειας (ITRE) του Ευρωπαϊκού Κοινοβουλίου πραγματοποίησε την πρώτη ακρόαση στις 27 Νοεμβρίου 2017.  Λαμβάνοντας υπόψη τις ταχέως εξελισσόμενες απειλές στον κυβερνοχώρο, η Επιτροπή προτρέπει τους συννομοθέτες να συνεχίσουν κατά προτεραιότητα τις εργασίες σχετικά με την πρόταση, με σκοπό την επίτευξη συμφωνίας έως το τέλος του έτους.</w:t>
      </w:r>
    </w:p>
    <w:p>
      <w:pPr>
        <w:keepNext/>
        <w:spacing w:after="240" w:line="240" w:lineRule="auto"/>
        <w:jc w:val="both"/>
        <w:rPr>
          <w:rFonts w:ascii="Times New Roman" w:hAnsi="Times New Roman" w:cs="Times New Roman"/>
          <w:b/>
          <w:noProof/>
          <w:sz w:val="24"/>
          <w:szCs w:val="24"/>
        </w:rPr>
      </w:pPr>
      <w:r>
        <w:rPr>
          <w:rFonts w:ascii="Times New Roman" w:hAnsi="Times New Roman"/>
          <w:b/>
          <w:noProof/>
          <w:sz w:val="24"/>
        </w:rPr>
        <w:t>III.</w:t>
      </w:r>
      <w:r>
        <w:rPr>
          <w:noProof/>
        </w:rPr>
        <w:tab/>
      </w:r>
      <w:r>
        <w:rPr>
          <w:rFonts w:ascii="Times New Roman" w:hAnsi="Times New Roman"/>
          <w:b/>
          <w:noProof/>
          <w:sz w:val="24"/>
        </w:rPr>
        <w:t xml:space="preserve">ΠΡΟΛΗΨΗ ΤΗΣ ΡΙΖΟΣΠΑΣΤΙΚΟΠΟΙΗΣΗΣ </w:t>
      </w:r>
    </w:p>
    <w:p>
      <w:pPr>
        <w:pStyle w:val="ListParagraph"/>
        <w:keepNext/>
        <w:numPr>
          <w:ilvl w:val="0"/>
          <w:numId w:val="19"/>
        </w:numPr>
        <w:spacing w:after="240" w:line="240" w:lineRule="auto"/>
        <w:ind w:left="737" w:hanging="737"/>
        <w:rPr>
          <w:rFonts w:ascii="Times New Roman" w:hAnsi="Times New Roman" w:cs="Times New Roman"/>
          <w:i/>
          <w:noProof/>
          <w:sz w:val="24"/>
          <w:szCs w:val="24"/>
        </w:rPr>
      </w:pPr>
      <w:r>
        <w:rPr>
          <w:rFonts w:ascii="Times New Roman" w:hAnsi="Times New Roman"/>
          <w:i/>
          <w:noProof/>
          <w:sz w:val="24"/>
        </w:rPr>
        <w:t>Ομάδα εμπειρογνωμόνων υψηλού επιπέδου για τη ριζοσπαστικοποίηση</w:t>
      </w:r>
    </w:p>
    <w:p>
      <w:pPr>
        <w:spacing w:after="240" w:line="240" w:lineRule="auto"/>
        <w:jc w:val="both"/>
        <w:rPr>
          <w:rFonts w:ascii="Times New Roman" w:hAnsi="Times New Roman" w:cs="Times New Roman"/>
          <w:noProof/>
          <w:color w:val="0070C0"/>
          <w:sz w:val="24"/>
          <w:szCs w:val="24"/>
        </w:rPr>
      </w:pPr>
      <w:r>
        <w:rPr>
          <w:rFonts w:ascii="Times New Roman" w:hAnsi="Times New Roman"/>
          <w:noProof/>
          <w:sz w:val="24"/>
        </w:rPr>
        <w:t xml:space="preserve">Η Ομάδα εμπειρογνωμόνων υψηλού επιπέδου για τη ριζοσπαστικοποίηση, η οποία συστάθηκε με σκοπό να ενταθούν οι προσπάθειες για την πρόληψη και την καταπολέμηση της ριζοσπαστικοποίησης και να βελτιωθούν ο συντονισμός και η συνεργασία μεταξύ όλων των ενδιαφερομένων, υπέβαλε την </w:t>
      </w:r>
      <w:r>
        <w:rPr>
          <w:rFonts w:ascii="Times New Roman" w:hAnsi="Times New Roman"/>
          <w:b/>
          <w:noProof/>
          <w:sz w:val="24"/>
        </w:rPr>
        <w:t>ενδιάμεση έκθεσή</w:t>
      </w:r>
      <w:r>
        <w:rPr>
          <w:rFonts w:ascii="Times New Roman" w:hAnsi="Times New Roman"/>
          <w:noProof/>
          <w:sz w:val="24"/>
          <w:vertAlign w:val="superscript"/>
        </w:rPr>
        <w:footnoteReference w:id="18"/>
      </w:r>
      <w:r>
        <w:rPr>
          <w:rFonts w:ascii="Times New Roman" w:hAnsi="Times New Roman"/>
          <w:noProof/>
          <w:sz w:val="24"/>
        </w:rPr>
        <w:t xml:space="preserve"> της τον Νοέμβριο του 2017.  Το Συμβούλιο Δικαιοσύνης και Εσωτερικών Υποθέσεων συζήτησε τα πορίσματα και τις συστάσεις της ομάδας εμπειρογνωμόνων στις 7 Δεκεμβρίου 2017. Στην ενδιάμεση έκθεση, η ομάδα εμπειρογνωμόνων τονίζει το έργο που επιτελείται όσον αφορά την πρόληψη της ριζοσπαστικοποίησης σε επίπεδο ΕΕ, ιδίως μέσω πρωτοβουλιών όπως το Δίκτυο Ενημέρωσης σχετικά με τη Ριζοσπαστικοποίηση (RAN), το φόρουμ της ΕΕ για το διαδίκτυο και το Ευρωπαϊκό Δίκτυο Στρατηγικών Επικοινωνιών (ESCN). Η ενδιάμεση έκθεση ζητεί συστηματικότερες ανταλλαγές για την καταπολέμηση της ριζοσπαστικοποίησης μεταξύ των κρατών μελών, των ασκούντων τα σχετικά επαγγέλματα και των ερευνητών, καθώς και τη δημιουργία ισχυρότερων δομών στήριξης σε επίπεδο ΕΕ. Η έκκληση αυτή βασίζεται στα πορίσματα της διεξοδικής αξιολόγησης των πολιτικών ασφάλειας της ΕΕ στα οποία τονίζεται η ανάγκη για ενισχυμένο συντονισμό των εργασιών πρόληψης της ΕΕ</w:t>
      </w:r>
      <w:r>
        <w:rPr>
          <w:rStyle w:val="FootnoteReference"/>
          <w:rFonts w:ascii="Times New Roman" w:hAnsi="Times New Roman"/>
          <w:noProof/>
          <w:sz w:val="24"/>
        </w:rPr>
        <w:footnoteReference w:id="19"/>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Σε συνέχεια της ενδιάμεσης έκθεσης, η Επιτροπή καταβάλλει προσπάθειες με σκοπό να ενισχυθούν οι υφιστάμενες πρωτοβουλίες για την καταπολέμηση της ριζοσπαστικοποίησης, να ενισχυθεί η συμμετοχή των κρατών μελών και να συσταθεί μηχανισμός συνεργασίας σε επίπεδο ΕΕ. Η Επιτροπή θα ακολουθήσει μια σταδιακή προσέγγιση και, ως πρώτο βήμα, θα ενισχύσει τον συντονισμό των προσπαθειών πρόληψης σε επίπεδο ΕΕ.</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Η Επιτροπή θα παρακολουθήσει επίσης τη συνέχεια που θα δοθεί στις </w:t>
      </w:r>
      <w:r>
        <w:rPr>
          <w:rFonts w:ascii="Times New Roman" w:hAnsi="Times New Roman"/>
          <w:b/>
          <w:noProof/>
          <w:sz w:val="24"/>
        </w:rPr>
        <w:t xml:space="preserve">συστάσεις της ομάδας εμπειρογνωμόνων για περαιτέρω ενέργειες σε ορισμένους τομείς προτεραιότητας </w:t>
      </w:r>
      <w:r>
        <w:rPr>
          <w:rFonts w:ascii="Times New Roman" w:hAnsi="Times New Roman"/>
          <w:noProof/>
          <w:sz w:val="24"/>
        </w:rPr>
        <w:t xml:space="preserve"> ανάλογα με την κλίμακα και τον ρυθμό των προκλήσεων που θέτει η ριζοσπαστικοποίηση. Οι εν λόγω συστάσεις θα υλοποιηθούν κυρίως μέσω των εργασιών του Κέντρου Αριστείας του Δικτύου Ευαισθητοποίησης για τη Ριζοσπαστικοποίηση, όπως αποτυπώνονται στο ετήσιο πρόγραμμα δραστηριοτήτων του για το 2018.  Επιπλέον, με στόχο την προώθηση των κοινών αξιών μέσω της εκπαίδευσης, η Επιτροπή ενέκρινε, στις 17 Ιανουαρίου 2018, ειδική σύσταση που καλεί τα κράτη μέλη να λάβουν περαιτέρω μέτρα για την ενίσχυση της κριτικής σκέψης, για τον τομέα της παιδείας σε σχέση με τα μέσα επικοινωνίας και για τις κοινές αξίες με σκοπό την εδραίωση ισχυρότερης αίσθησης του ανήκειν σε τοπικό και εθνικό επίπεδο</w:t>
      </w:r>
      <w:r>
        <w:rPr>
          <w:rStyle w:val="FootnoteReference"/>
          <w:rFonts w:ascii="Times New Roman" w:hAnsi="Times New Roman"/>
          <w:noProof/>
          <w:sz w:val="24"/>
        </w:rPr>
        <w:footnoteReference w:id="20"/>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Ένας τομέας προτεραιότητας που υπογραμμίστηκε από την ομάδα εμπειρογνωμόνων είναι η </w:t>
      </w:r>
      <w:r>
        <w:rPr>
          <w:rFonts w:ascii="Times New Roman" w:hAnsi="Times New Roman"/>
          <w:b/>
          <w:noProof/>
          <w:sz w:val="24"/>
        </w:rPr>
        <w:t>ριζοσπαστικοποίηση στις φυλακές</w:t>
      </w:r>
      <w:r>
        <w:rPr>
          <w:rFonts w:ascii="Times New Roman" w:hAnsi="Times New Roman"/>
          <w:noProof/>
          <w:sz w:val="24"/>
        </w:rPr>
        <w:t>, που εξακολουθεί να αποτελεί πηγή ανησυχίας. Η Επιτροπή θα ενθαρρύνει την ανταλλαγή βέλτιστων πρακτικών και τη στοχοθετημένη έρευνα και θα εξετάσει μαζί με τα κράτη μέλη το ενδεχόμενο οργάνωσης αξιολογήσεων από ομοτίμους προγραμμάτων αποριζοσπαστικοποίησης μέσω του δικτύου ευαισθητοποίησης σχετικά με τη ριζοσπαστικοποίηση. Στις 27 Φεβρουαρίου 2018, η Επιτροπή θα διοργανώσει, σε συνεργασία με τη βουλγαρική Προεδρία, την Ευρωπαϊκή Οργάνωση Φυλακών και Σωφρονιστικών Υπηρεσιών (EUROPRIS) και την Ευρωπαϊκή Συνομοσπονδία Επιμελητών Κοινωνικής Αρωγής, διάσκεψη για την ανταλλαγή βέλτιστων πρακτικών μεταξύ δικαστών, εισαγγελέων και  σωφρονιστικού προσωπικού και προσωπικού δικαστικής επιτήρησης σχετικά με τη ριζοσπαστικοποίηση στις φυλακές. Η Επιτροπή θα συνεχίσει επίσης να παρέχει, στο πλαίσιο του προγράμματος «Δικαιοσύνη», επιχορηγήσεις δράσης για τη στήριξη έργων στον τομέα αυτό, συμπεριλαμβανομένων των έργων που σχετίζονται με τη δικαστική κατάρτιση των δικαστών, των εισαγγελέων, του προσωπικού των φυλακών και του προσωπικού δικαστικής επιτήρησης. Με βάση ανταλλαγές με τους επαγγελματίες του κλάδου, τους φορείς χάραξης πολιτικής των κρατών μελών  και τους δημόσιους φορείς, το Κέντρο Αριστείας του Δικτύου Ευαισθητοποίησης για τη Ριζοσπαστικοποίηση προετοιμάζει μια νέα έκδοση του εγχειριδίου του για την καταπολέμηση της ριζοσπαστικοποίησης εντός των φυλακών και πρακτικές δικαστικής επιτήρησης για τον καθορισμό νέων πρακτικών.</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Υπάρχει επίσης ανάγκη να ενταθούν οι προσπάθειες για την αντιμετώπιση της </w:t>
      </w:r>
      <w:r>
        <w:rPr>
          <w:rFonts w:ascii="Times New Roman" w:hAnsi="Times New Roman"/>
          <w:b/>
          <w:noProof/>
          <w:sz w:val="24"/>
        </w:rPr>
        <w:t>τρομοκρατικής προπαγάνδας</w:t>
      </w:r>
      <w:r>
        <w:rPr>
          <w:rFonts w:ascii="Times New Roman" w:hAnsi="Times New Roman"/>
          <w:noProof/>
          <w:sz w:val="24"/>
        </w:rPr>
        <w:t>. Εκτός από τις εργασίες για την αντιμετώπιση της ριζοσπαστικοποίησης μέσω του διαδικτύου (βλ. ενότητα κατωτέρω ), το Ευρωπαϊκό Δίκτυο Στρατηγικών Επικοινωνιών και το Κέντρο Αριστείας του Δικτύου Ευαισθητοποίησης για τη Ριζοσπαστικοποίηση παρέχουν στήριξη στα κράτη μέλη, μέσω της ανταλλαγής βέλτιστων πρακτικών σχετικά με εναλλακτικά επιχειρήματα και αντεπιχειρήματα και μέσω της αναβάθμισης της ικανότητάς τους για απαντήσεις στρατηγικής επικοινωνίας στον τρομοκρατικό λόγο.</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Προκειμένου να ενισχύσει την υποστήριξη για την ανάληψη δράσης σε </w:t>
      </w:r>
      <w:r>
        <w:rPr>
          <w:rFonts w:ascii="Times New Roman" w:hAnsi="Times New Roman"/>
          <w:b/>
          <w:noProof/>
          <w:sz w:val="24"/>
        </w:rPr>
        <w:t>τοπικό επίπεδο</w:t>
      </w:r>
      <w:r>
        <w:rPr>
          <w:rFonts w:ascii="Times New Roman" w:hAnsi="Times New Roman"/>
          <w:noProof/>
          <w:sz w:val="24"/>
        </w:rPr>
        <w:t>, η Επιτροπή θα εξετάσει υφιστάμενες δομές υποστήριξης και διυπηρεσιακές προσεγγίσεις, με σκοπό να εντοπίσει ορθές πρακτικές για τοπική συνεργασία σε τομείς όπως πρωτόκολλα ανταλλαγής πληροφοριών ή προκαταρκτικός έλεγχος των εταίρων της κοινωνίας των πολιτών. Οι εμπειρίες από τα χρηματοδοτούμενα από την ΕΕ έργα, επισκέψεις μελέτης και ειδικά εργαστήρια της τοπικής ομάδας εργασίας του Δικτύου Ευαισθητοποίησης για τη Ριζοσπαστικοποίηση θα τροφοδοτήσουν την επισκόπηση αυτή. Το Δίκτυο Ευαισθητοποίησης για τη Ριζοσπαστικοποίηση είναι έτοιμο να προσφέρει στοχευμένες συμβουλευτικές υπηρεσίες για τη στήριξη των προσπαθειών καταπολέμησης της ριζοσπαστικοποίησης σε τοπικό και εθνικό επίπεδο.</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Ένας άλλος τομέας προτεραιότητας είναι το φαινόμενο των </w:t>
      </w:r>
      <w:r>
        <w:rPr>
          <w:rFonts w:ascii="Times New Roman" w:hAnsi="Times New Roman"/>
          <w:b/>
          <w:noProof/>
          <w:sz w:val="24"/>
        </w:rPr>
        <w:t>ξένων τρομοκρατών μαχητών</w:t>
      </w:r>
      <w:r>
        <w:rPr>
          <w:rFonts w:ascii="Times New Roman" w:hAnsi="Times New Roman"/>
          <w:noProof/>
          <w:sz w:val="24"/>
        </w:rPr>
        <w:t xml:space="preserve"> που επιστρέφουν από εμπόλεμες ζώνες. </w:t>
      </w:r>
      <w:r>
        <w:rPr>
          <w:noProof/>
        </w:rPr>
        <w:t xml:space="preserve"> </w:t>
      </w:r>
      <w:r>
        <w:rPr>
          <w:rFonts w:ascii="Times New Roman" w:hAnsi="Times New Roman"/>
          <w:noProof/>
          <w:sz w:val="24"/>
        </w:rPr>
        <w:t xml:space="preserve">Μετά τις εδαφικές απώλειες του Ισλαμικού Κράτους στη Συρία και το Ιράκ, διεξάγεται μεγάλη συζήτηση μεταξύ εμπειρογνωμόνων και στο ευρύ κοινό σχετικά με τον τρόπο αντιμετώπισης των προκλήσεων, όπως π.χ. οι κίνδυνοι για τα </w:t>
      </w:r>
      <w:r>
        <w:rPr>
          <w:rFonts w:ascii="Times New Roman" w:hAnsi="Times New Roman"/>
          <w:b/>
          <w:noProof/>
          <w:sz w:val="24"/>
        </w:rPr>
        <w:t xml:space="preserve">παιδιά και τις οικογένειες </w:t>
      </w:r>
      <w:r>
        <w:rPr>
          <w:rFonts w:ascii="Times New Roman" w:hAnsi="Times New Roman"/>
          <w:noProof/>
          <w:sz w:val="24"/>
        </w:rPr>
        <w:t xml:space="preserve"> που επιστρέφουν από εμπόλεμες ζώνες ή που έχουν ανατραφεί σε ριζοσπαστικοποιημένο περιβάλλον. Η Επιτροπή θα οργανώσει, από κοινού με τη βουλγαρική Προεδρία, διάσκεψη στη Σόφια τον Απρίλιο του 2018 για την ανταλλαγή σχετικών βέλτιστων πρακτικών και διδαγμάτων μεταξύ των κρατών μελών όσον αφορά την αντιμετώπιση των ατόμων που επιστρέφουν, συμπεριλαμβανομένων γυναικών και παιδιών. Επιπλέον, δεδομένης της ανάγκης κατάλληλα προσαρμοσμένων απαντήσεων για την αντιμετώπιση της κατάστασης των παιδιών στο πλαίσιο των επιστρεφόντων, η Επιτροπή θα διενεργήσει συγκριτική ανάλυση των υφιστάμενων προσεγγίσεων σχετικά με τους κινδύνους και την αξιολόγηση των αναγκών, καθώς και με την έγκαιρη διάγνωση. Ταυτόχρονα, ζωτικής σημασίας είναι η συνεργασία με τρίτες χώρες, ιδίως την Τουρκία, και διεθνείς οργανισμούς, συμπεριλαμβανομένων των Ηνωμένων Εθνών και του Παγκόσμιου Φόρουμ κατά της Τρομοκρατίας.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Αναγνωρίζοντας τη διασύνδεση μεταξύ της εσωτερικής και της εξωτερικής ασφάλειας, η Επιτροπή, σε συνεργασία με την Ευρωπαϊκή Υπηρεσία Εξωτερικής Δράσης, θα αυξήσει τη στήριξή της για τη δημιουργία </w:t>
      </w:r>
      <w:r>
        <w:rPr>
          <w:rFonts w:ascii="Times New Roman" w:hAnsi="Times New Roman"/>
          <w:b/>
          <w:noProof/>
          <w:sz w:val="24"/>
        </w:rPr>
        <w:t>στρατηγικών πρόληψης</w:t>
      </w:r>
      <w:r>
        <w:rPr>
          <w:rFonts w:ascii="Times New Roman" w:hAnsi="Times New Roman"/>
          <w:noProof/>
          <w:sz w:val="24"/>
        </w:rPr>
        <w:t xml:space="preserve"> </w:t>
      </w:r>
      <w:r>
        <w:rPr>
          <w:rFonts w:ascii="Times New Roman" w:hAnsi="Times New Roman"/>
          <w:b/>
          <w:noProof/>
          <w:sz w:val="24"/>
        </w:rPr>
        <w:t>και μηχανισμών συνεργασίας σε χώρες εταίρους εκτός της ΕΕ</w:t>
      </w:r>
      <w:r>
        <w:rPr>
          <w:rFonts w:ascii="Times New Roman" w:hAnsi="Times New Roman"/>
          <w:noProof/>
          <w:sz w:val="24"/>
        </w:rPr>
        <w:t>. Θα συγκροτήσει ομάδα εμπειρογνωμόνων της ΕΕ και εταίρων κατάλληλων για εξωτερική τοποθέτηση και θα στηρίξει τη δημιουργία πλατφόρμας των οργανώσεων της κοινωνίας των πολιτών, η οποία θα λειτουργεί ως κόμβος για την ανάληψη δράσης με σκοπό την πρόληψη της ριζοσπαστικοποίησης εκτός της ΕΕ. Το 2018, η Επιτροπή θα απευθύνει πολλές εκκλήσεις για υποστήριξη της επιτόπιας έρευνας των παραγόντων που οδηγούν προς τον βίαιο εξτρεμισμό στις περιοχές προτεραιότητας.</w:t>
      </w:r>
    </w:p>
    <w:p>
      <w:pPr>
        <w:pStyle w:val="ListParagraph"/>
        <w:keepNext/>
        <w:numPr>
          <w:ilvl w:val="0"/>
          <w:numId w:val="19"/>
        </w:numPr>
        <w:spacing w:after="240" w:line="240" w:lineRule="auto"/>
        <w:ind w:left="737" w:hanging="737"/>
        <w:rPr>
          <w:rFonts w:ascii="Times New Roman" w:hAnsi="Times New Roman" w:cs="Times New Roman"/>
          <w:i/>
          <w:noProof/>
          <w:sz w:val="24"/>
          <w:szCs w:val="24"/>
        </w:rPr>
      </w:pPr>
      <w:r>
        <w:rPr>
          <w:rFonts w:ascii="Times New Roman" w:hAnsi="Times New Roman"/>
          <w:i/>
          <w:noProof/>
          <w:sz w:val="24"/>
        </w:rPr>
        <w:t>Καταπολέμηση του τρομοκρατικού περιεχομένου στο διαδίκτυο</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Όπως προβλέπεται στο πρόγραμμα εργασίας της Επιτροπής για το 2018 και σε προηγούμενες εκθέσεις της Ένωσης Ασφάλειας, η Επιτροπή προωθεί τη συνεργασία με πλατφόρμες για τον εντοπισμό και την αφαίρεση τρομοκρατικού και άλλου παράνομου διαδικτυακού περιεχομένου, και, εν ανάγκη, θα προτείνει νομοθεσία για την αφαίρεση του τρομοκρατικού περιεχομένου. Στις 9 Ιανουαρίου 2018, η Επιτροπή συγκάλεσε σύσκεψη στρογγυλής τραπέζης με εκπροσώπους υψηλού επιπέδου από διαδικτυακές πλατφόρμες για να συζητήσουν την πρόοδο που έχει σημειωθεί στην καταπολέμηση της διάδοσης του παράνομου περιεχομένου στο Διαδίκτυο. Η </w:t>
      </w:r>
      <w:r>
        <w:rPr>
          <w:rFonts w:ascii="Times New Roman" w:hAnsi="Times New Roman"/>
          <w:b/>
          <w:noProof/>
          <w:sz w:val="24"/>
        </w:rPr>
        <w:t>Επιτροπή παρότρυνε τις πλατφόρμες να ενισχύσουν και να επιταχύνουν την πρόοδο</w:t>
      </w:r>
      <w:r>
        <w:rPr>
          <w:rFonts w:ascii="Times New Roman" w:hAnsi="Times New Roman"/>
          <w:noProof/>
          <w:sz w:val="24"/>
        </w:rPr>
        <w:t xml:space="preserve"> που έχει μέχρι στιγμής σημειωθεί και τους πόρους που επενδύονται, με στόχο την καλύτερη προστασία των πολιτών της ΕΕ. Η Επιτροπή αναμένει από τις διαδικτυακές πλατφόρμες να εντείνουν και να επιταχύνουν τις προσπάθειές τους, καλύπτοντας, μεταξύ άλλων, τη στενότερη συνεργασία με τις εθνικές και διεθνείς αρχές επιβολής του νόμου, την αυξημένη ανταλλαγή τεχνογνωσίας μεταξύ των διαδικτυακών  φορέων, την ανάληψη περαιτέρω δράσης κατά της επανεμφάνισης παράνομου περιεχομένου που έχει αφαιρεθεί, την ταχύτητα των περιπτώσεων αφαίρεσης περιεχομένου, καθώς και περαιτέρω επενδύσεις σε εργαλεία αυτοματοποιημένης ανίχνευσης, σύμφωνα με την ανακοίνωση της Επιτροπής του Σεπτεμβρίου 2017.</w:t>
      </w:r>
      <w:r>
        <w:rPr>
          <w:rFonts w:ascii="Times New Roman" w:hAnsi="Times New Roman"/>
          <w:noProof/>
          <w:sz w:val="24"/>
          <w:vertAlign w:val="superscript"/>
        </w:rPr>
        <w:t xml:space="preserve"> </w:t>
      </w:r>
      <w:r>
        <w:rPr>
          <w:rFonts w:ascii="Times New Roman" w:hAnsi="Times New Roman"/>
          <w:noProof/>
          <w:sz w:val="24"/>
          <w:vertAlign w:val="superscript"/>
        </w:rPr>
        <w:footnoteReference w:id="21"/>
      </w:r>
      <w:r>
        <w:rPr>
          <w:rFonts w:ascii="Times New Roman" w:hAnsi="Times New Roman"/>
          <w:noProof/>
          <w:sz w:val="24"/>
        </w:rPr>
        <w:t xml:space="preserve"> Η Επιτροπή επεξεργάζεται επί του παρόντος νέους τρόπους για να παρακολουθείται η πρόοδος μέσω ειδικών δεικτών, καθώς και για να καταστεί ο υφιστάμενος διάλογος περισσότερο στοχευμένος και συγκεκριμένος. Το Φόρουμ της ΕΕ για το Διαδίκτυο, αναπτύσσει έναν ειδικό μηχανισμό υποβολής εκθέσεων με δείκτες για την αφαίρεση τρομοκρατικού περιεχομένου, βάσει του οποίου οι διαδικτυακές πλατφόρμες κλήθηκαν να υποβάλουν πληροφορίες ενόψει της προσεχούς συνόδου ανωτάτων υπαλλήλων στο πλαίσιο του Φόρουμ τον Φεβρουάριο του 2018.</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Επίσης, η Επιτροπή επί του παρόντος εξετάζει τη λήψη </w:t>
      </w:r>
      <w:r>
        <w:rPr>
          <w:rFonts w:ascii="Times New Roman" w:hAnsi="Times New Roman"/>
          <w:b/>
          <w:noProof/>
          <w:sz w:val="24"/>
        </w:rPr>
        <w:t>πιο συγκεκριμένων μέτρων</w:t>
      </w:r>
      <w:r>
        <w:rPr>
          <w:rFonts w:ascii="Times New Roman" w:hAnsi="Times New Roman"/>
          <w:noProof/>
          <w:sz w:val="24"/>
        </w:rPr>
        <w:t xml:space="preserve">, που θα μπορούσαν να ληφθούν άμεσα για να βελτιωθεί η αντίδραση στο τρομοκρατικό περιεχόμενο στο διαδίκτυο, πριν η Επιτροπή λάβει απόφαση όσον αφορά την αναγκαιότητα σχετικής νομοθεσίας. </w:t>
      </w:r>
    </w:p>
    <w:p>
      <w:pPr>
        <w:keepNext/>
        <w:spacing w:after="240" w:line="240" w:lineRule="auto"/>
        <w:jc w:val="both"/>
        <w:rPr>
          <w:rFonts w:ascii="Times New Roman" w:hAnsi="Times New Roman" w:cs="Times New Roman"/>
          <w:b/>
          <w:noProof/>
          <w:sz w:val="24"/>
          <w:szCs w:val="24"/>
        </w:rPr>
      </w:pPr>
      <w:r>
        <w:rPr>
          <w:rFonts w:ascii="Times New Roman" w:hAnsi="Times New Roman"/>
          <w:b/>
          <w:noProof/>
          <w:sz w:val="24"/>
        </w:rPr>
        <w:t>IV.</w:t>
      </w:r>
      <w:r>
        <w:rPr>
          <w:noProof/>
        </w:rPr>
        <w:tab/>
      </w:r>
      <w:r>
        <w:rPr>
          <w:rFonts w:ascii="Times New Roman" w:hAnsi="Times New Roman"/>
          <w:b/>
          <w:noProof/>
          <w:sz w:val="24"/>
        </w:rPr>
        <w:t xml:space="preserve">ΥΛΟΠΟΙΗΣΗ ΑΛΛΩΝ ΖΗΤΗΜΑΤΩΝ ΠΡΟΤΕΡΑΙΟΤΗΤΑΣ ΓΙΑ ΤΗΝ ΑΣΦΑΛΕΙΑ </w:t>
      </w:r>
    </w:p>
    <w:p>
      <w:pPr>
        <w:keepNext/>
        <w:spacing w:after="240" w:line="240" w:lineRule="auto"/>
        <w:jc w:val="both"/>
        <w:rPr>
          <w:rFonts w:ascii="Times New Roman" w:eastAsia="Calibri" w:hAnsi="Times New Roman" w:cs="Times New Roman"/>
          <w:i/>
          <w:noProof/>
          <w:color w:val="000000"/>
          <w:sz w:val="24"/>
          <w:szCs w:val="24"/>
        </w:rPr>
      </w:pPr>
      <w:r>
        <w:rPr>
          <w:rFonts w:ascii="Times New Roman" w:hAnsi="Times New Roman"/>
          <w:i/>
          <w:noProof/>
          <w:color w:val="000000"/>
          <w:sz w:val="24"/>
        </w:rPr>
        <w:t>1.</w:t>
      </w:r>
      <w:r>
        <w:rPr>
          <w:noProof/>
        </w:rPr>
        <w:tab/>
      </w:r>
      <w:r>
        <w:rPr>
          <w:rFonts w:ascii="Times New Roman" w:hAnsi="Times New Roman"/>
          <w:i/>
          <w:noProof/>
          <w:color w:val="000000"/>
          <w:sz w:val="24"/>
        </w:rPr>
        <w:t>Ασφάλεια στον κυβερνοχώρο</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Η Επιτροπή συνεχίζει, σε συνεργασία με την Ευρωπαϊκή Υπηρεσία Εξωτερικής Δράσης, την υλοποίηση των δράσεων που προβλέπονται στην κοινή ανακοίνωση</w:t>
      </w:r>
      <w:r>
        <w:rPr>
          <w:rStyle w:val="FootnoteReference"/>
          <w:rFonts w:ascii="Times New Roman" w:hAnsi="Times New Roman"/>
          <w:noProof/>
          <w:sz w:val="24"/>
        </w:rPr>
        <w:footnoteReference w:id="22"/>
      </w:r>
      <w:r>
        <w:rPr>
          <w:rFonts w:ascii="Times New Roman" w:hAnsi="Times New Roman"/>
          <w:noProof/>
          <w:color w:val="000000"/>
          <w:sz w:val="24"/>
        </w:rPr>
        <w:t xml:space="preserve"> του Σεπτεμβρίου 2017 σχετικά με την ανθεκτικότητα, την αποτροπή και την άμυνα: Οικοδόμηση ισχυρής ασφάλειας στον κυβερνοχώρο για την ΕΕ. Η Επιτροπή διαβουλεύεται με τα ενδιαφερόμενα μέρη και προσπαθεί να καταρτίσει εκτίμηση αντικτύπου για νομοθετική πρόταση με σκοπό τη δημιουργία ενός </w:t>
      </w:r>
      <w:r>
        <w:rPr>
          <w:rFonts w:ascii="Times New Roman" w:hAnsi="Times New Roman"/>
          <w:b/>
          <w:noProof/>
          <w:color w:val="000000"/>
          <w:sz w:val="24"/>
        </w:rPr>
        <w:t>δικτύου Κέντρων Ικανοτήτων για την ασφάλεια στον κυβερνοχώρο</w:t>
      </w:r>
      <w:r>
        <w:rPr>
          <w:rFonts w:ascii="Times New Roman" w:hAnsi="Times New Roman"/>
          <w:noProof/>
          <w:color w:val="000000"/>
          <w:sz w:val="24"/>
        </w:rPr>
        <w:t xml:space="preserve">, που θα έχει ως πυρήνα ένα </w:t>
      </w:r>
      <w:r>
        <w:rPr>
          <w:rFonts w:ascii="Times New Roman" w:hAnsi="Times New Roman"/>
          <w:b/>
          <w:noProof/>
          <w:color w:val="000000"/>
          <w:sz w:val="24"/>
        </w:rPr>
        <w:t>Ευρωπαϊκό κέντρο Έρευνας και Ικανοτήτων Ασφάλειας στον Κυβερνοχώρο</w:t>
      </w:r>
      <w:r>
        <w:rPr>
          <w:rFonts w:ascii="Times New Roman" w:hAnsi="Times New Roman"/>
          <w:noProof/>
          <w:color w:val="000000"/>
          <w:sz w:val="24"/>
        </w:rPr>
        <w:t xml:space="preserve">. </w:t>
      </w:r>
      <w:r>
        <w:rPr>
          <w:rFonts w:ascii="Times New Roman" w:eastAsia="Calibri" w:hAnsi="Times New Roman" w:cs="Times New Roman"/>
          <w:noProof/>
          <w:color w:val="000000"/>
          <w:sz w:val="24"/>
          <w:szCs w:val="24"/>
        </w:rPr>
        <w:br/>
      </w:r>
      <w:r>
        <w:rPr>
          <w:rFonts w:ascii="Times New Roman" w:hAnsi="Times New Roman"/>
          <w:noProof/>
          <w:color w:val="000000"/>
          <w:sz w:val="24"/>
        </w:rPr>
        <w:t xml:space="preserve"> Η πρόταση αυτή συνάδεει με τα συμπεράσματα του Συμβουλίου του Νοεμβρίου 2017 σχετικά με την κοινή ανακοίνωση με την οποία καλείται η Επιτροπή να υποβάλει νομοθετική πρόταση έως τα μέσα του 2018.  Η Επιτροπή ξεκίνησε επίσης διαδικασία χαρτογράφησης των δεξιοτήτων σε όλη την ΕΕ. Η έρευνα της Επιτροπής θα συμπληρωθεί με τα αποτελέσματα έρευνας αυτοκαταχώρισης που δρομολογήθηκε στις 10 Ιανουαρίου 2018</w:t>
      </w:r>
      <w:r>
        <w:rPr>
          <w:rStyle w:val="FootnoteReference"/>
          <w:rFonts w:ascii="Times New Roman" w:hAnsi="Times New Roman"/>
          <w:noProof/>
          <w:color w:val="000000"/>
          <w:sz w:val="24"/>
        </w:rPr>
        <w:footnoteReference w:id="23"/>
      </w:r>
      <w:r>
        <w:rPr>
          <w:noProof/>
        </w:rPr>
        <w:t xml:space="preserve">. </w:t>
      </w:r>
      <w:r>
        <w:rPr>
          <w:rFonts w:ascii="Times New Roman" w:hAnsi="Times New Roman"/>
          <w:noProof/>
          <w:color w:val="000000"/>
          <w:sz w:val="24"/>
        </w:rPr>
        <w:t xml:space="preserve"> Η Επιτροπή καλεί όλα τα ενδιαφερόμενα κέντρα για την ασφάλεια στον κυβερνοχώρο σε ολόκληρη την ΕΕ να ανταλλάσσουν πληροφορίες σχετικά με τις αρμοδιότητες και τις δραστηριότητές τους. Τέλος, η Επιτροπή ενήργησε με βάση τη δέσμευσή της να δρομολογήσει πιλοτικό πρόγραμμα ύψους 50 εκατ. EUR στο πλαίσιο του προγράμματος πλαισίου «Ορίζοντας 2020», με σκοπό τη στήριξη της δημιουργίας δικτύου κέντρων δεξιοτήτων. Η Επιτροπή υπέβαλε στα κράτη μέλη πρόταση τροποποίησης του προγράμματος εργασίας 2018-2020 και σχεδιάζει να προκηρύξει πρόσκληση υποβολής προτάσεων κατά το πρώτο τρίμηνο του 2018.</w:t>
      </w:r>
    </w:p>
    <w:p>
      <w:pPr>
        <w:spacing w:after="240" w:line="240" w:lineRule="auto"/>
        <w:jc w:val="both"/>
        <w:rPr>
          <w:rFonts w:ascii="Times New Roman" w:eastAsia="Calibri" w:hAnsi="Times New Roman" w:cs="Times New Roman"/>
          <w:noProof/>
          <w:color w:val="000000"/>
          <w:sz w:val="24"/>
          <w:szCs w:val="24"/>
          <w:highlight w:val="yellow"/>
        </w:rPr>
      </w:pPr>
      <w:r>
        <w:rPr>
          <w:rFonts w:ascii="Times New Roman" w:hAnsi="Times New Roman"/>
          <w:noProof/>
          <w:color w:val="000000"/>
          <w:sz w:val="24"/>
        </w:rPr>
        <w:t>Τον Σεπτέμβριο του 2017, η Επιτροπή πρότεινε</w:t>
      </w:r>
      <w:r>
        <w:rPr>
          <w:rStyle w:val="FootnoteReference"/>
          <w:rFonts w:ascii="Times New Roman" w:hAnsi="Times New Roman"/>
          <w:noProof/>
          <w:color w:val="000000"/>
          <w:sz w:val="24"/>
        </w:rPr>
        <w:footnoteReference w:id="24"/>
      </w:r>
      <w:r>
        <w:rPr>
          <w:rFonts w:ascii="Times New Roman" w:hAnsi="Times New Roman"/>
          <w:noProof/>
          <w:color w:val="000000"/>
          <w:sz w:val="24"/>
        </w:rPr>
        <w:t xml:space="preserve"> την ενίσχυση της αποτρεπτικής ισχύος μας μέσω νέων μέτρων για την καταπολέμηση της απάτης και της πλαστογραφίας που αφορούν τα μέσα πληρωμής πλην των μετρητών. Η προτεινόμενη οδηγία θα ενισχύσει την ικανότητα των αρχών επιβολής του νόμου να αντιμετωπίζουν αυτή τη μορφή εγκληματικότητας και θα θεσπίσει επίσης κοινές διατάξεις σχετικά με το επίπεδο των ποινών, θα αποσαφηνίσει δε το πεδίο εφαρμογής της δικαιοδοσίας των κρατών μελών σε παρόμοιες παραβάσεις. Η Επιτροπή καλεί τους συννομοθέτες να εγκρίνουν τις διαπραγματευτικές εντολές τους ώστε να καταστεί δυνατή η έναρξη των διοργανικών συζητήσεων σχετικά με την πρόταση, με σκοπό την επίτευξη συμφωνίας έως το τέλος του έτους.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Τον Οκτώβριο του 2017, η Επιτροπή παρουσίασε εξάλλου σύνολο μέτρων για τη στήριξη των αρχών επιβολής και των δικαστικών αρχών όταν έρχονται αντιμέτωπες με τη χρήση κρυπτογράφησης από εγκληματίες. Σύμφωνα με τα ανωτέρω, στην 12η έκθεση προόδου για την Ένωση Ασφάλειας, η Επιτροπή ανέλαβε τη δέσμευση να υποβάλει έκθεση σχετικά με τα κονδύλια που διατίθενται για την υποστήριξη της εφαρμογής του νόμου στις περιπτώσεις </w:t>
      </w:r>
      <w:r>
        <w:rPr>
          <w:rFonts w:ascii="Times New Roman" w:hAnsi="Times New Roman"/>
          <w:b/>
          <w:noProof/>
          <w:sz w:val="24"/>
        </w:rPr>
        <w:t>κρυπτογράφησης σε ποινικές έρευνες</w:t>
      </w:r>
      <w:r>
        <w:rPr>
          <w:rStyle w:val="FootnoteReference"/>
          <w:rFonts w:ascii="Times New Roman" w:hAnsi="Times New Roman"/>
          <w:noProof/>
          <w:sz w:val="24"/>
        </w:rPr>
        <w:footnoteReference w:id="25"/>
      </w:r>
      <w:r>
        <w:rPr>
          <w:noProof/>
        </w:rPr>
        <w:t>.</w:t>
      </w:r>
      <w:r>
        <w:rPr>
          <w:rFonts w:ascii="Times New Roman" w:hAnsi="Times New Roman"/>
          <w:noProof/>
          <w:sz w:val="24"/>
        </w:rPr>
        <w:t xml:space="preserve"> Λαμβάνοντας υπόψη το αίτημα για περαιτέρω υποστήριξη το οποίο διατύπωσαν τα κράτη μέλη στο Συμβούλιο Δικαιοσύνης και Εσωτερικών Υποθέσεων τον Δεκέμβριο του 2017, η Επιτροπή θα τροποποιήσει τον προϋπολογισμό της Ευρωπόλ για το 2018 με συμπληρωματικό ποσό 5 εκατ. EUR ούτως ώστε να ενισχυθούν οι ικανότητες της Ευρωπόλ να αποκρυπτογραφεί πληροφορίες τις οποίες έχει αποκτήσει νομίμως στο πλαίσιο ποινικών ερευνών. Όπως ανακοινώθηκε τον Οκτώβριο του 2017, υπάρχει ανάγκη για συνεχή αξιολόγηση των τεχνικών και νομικών πτυχών του ρόλου της κρυπτογράφησης στο πλαίσιο ποινικών ερευνών δεδομένης της ακατάπαυστης εξέλιξης των τεχνικών κρυπτογράφησης, της αυξημένης χρήσης τους από εγκληματίες και των συνεπειών τους για τις ποινικές έρευνες. Η Επιτροπή θα συνεχίσει το σημαντικό αυτό έργο.</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sz w:val="24"/>
        </w:rPr>
        <w:t xml:space="preserve">Πέρυσι το φθινόπωρο, η Ευρωπαϊκή Υπηρεσία Εξωτερικής Δράσης, σε συνεργασία με την Επιτροπή, πραγματοποίησε </w:t>
      </w:r>
      <w:r>
        <w:rPr>
          <w:rFonts w:ascii="Times New Roman" w:hAnsi="Times New Roman"/>
          <w:b/>
          <w:noProof/>
          <w:sz w:val="24"/>
        </w:rPr>
        <w:t>διαλόγους με θέμα τον κυβερνοχώρο</w:t>
      </w:r>
      <w:r>
        <w:rPr>
          <w:rFonts w:ascii="Times New Roman" w:hAnsi="Times New Roman"/>
          <w:noProof/>
          <w:sz w:val="24"/>
        </w:rPr>
        <w:t xml:space="preserve"> με την Κίνα, την Ινδία, τις ΗΠΑ και τη Βραζιλία, κατά τους οποίους συζητήθηκαν η εφαρμογή των κανόνων για τον κυβερνοχώρο, η λήψη μέτρων οικοδόμησης εμπιστοσύνης για την ασφάλεια στον κυβερνοχώρο, η εφαρμογή της υφιστάμενης διεθνούς νομοθεσίας στον κυβερνοχώρο, καθώς και εσωτερικές πολιτικές της ΕΕ και των εταίρων σχετικά με τον κυβερνοχώρο. Επιπλέον, επιτεύχθηκε πρόοδος προς την κατεύθυνση της δημιουργίας ικανοτήτων στον κυβερνοχώρο σε τρίτες χώρες. Όσον αφορά την άμυνα στον κυβερνοχώρο, η έκθεση εφαρμογής του πλαισίου πολιτικής για την άμυνα στον κυβερνοχώρο εγκρίθηκε από την Επιτροπή Πολιτικής και Ασφάλειας. Οι ετήσιες διαβουλεύσεις του προσωπικού υψηλού επιπέδου ΕΕ-ΝΑΤΟ στον κυβερνοχώρο πραγματοποιήθηκαν στις 8 Δεκεμβρίου 2017, με επίκεντρο την υλοποίηση των δράσεων στον κυβερνοχώρο στο πλαίσιο της κοινής δήλωσης. Τον Δεκέμβριο του 2017, η Ευρωπαϊκή Υπηρεσία Εξωτερικής Δράσης είχε επίσης συνεργασία με τα κράτη μέλη προκειμένου να καταστούν λειτουργικές οι κατευθυντήριες γραμμές εφαρμογής του πλαισίου της ΕΕ για Κοινή Διπλωματική Απάντηση στις Επιθέσεις στον Κυβερνοχώρο από κρατικούς και μη κρατικούς φορείς. </w:t>
      </w:r>
    </w:p>
    <w:p>
      <w:pPr>
        <w:keepNext/>
        <w:spacing w:after="240" w:line="240" w:lineRule="auto"/>
        <w:jc w:val="both"/>
        <w:rPr>
          <w:rFonts w:ascii="Times New Roman" w:hAnsi="Times New Roman" w:cs="Times New Roman"/>
          <w:i/>
          <w:noProof/>
          <w:sz w:val="24"/>
          <w:szCs w:val="24"/>
        </w:rPr>
      </w:pPr>
      <w:r>
        <w:rPr>
          <w:rFonts w:ascii="Times New Roman" w:hAnsi="Times New Roman"/>
          <w:i/>
          <w:noProof/>
          <w:sz w:val="24"/>
        </w:rPr>
        <w:t>2.</w:t>
      </w:r>
      <w:r>
        <w:rPr>
          <w:noProof/>
        </w:rPr>
        <w:tab/>
      </w:r>
      <w:r>
        <w:rPr>
          <w:rFonts w:ascii="Times New Roman" w:hAnsi="Times New Roman"/>
          <w:i/>
          <w:noProof/>
          <w:sz w:val="24"/>
        </w:rPr>
        <w:t>Προστασία των δημόσιων χώρων</w:t>
      </w:r>
    </w:p>
    <w:p>
      <w:pPr>
        <w:spacing w:after="240" w:line="240" w:lineRule="auto"/>
        <w:jc w:val="both"/>
        <w:rPr>
          <w:rFonts w:ascii="Times New Roman" w:hAnsi="Times New Roman" w:cs="Times New Roman"/>
          <w:noProof/>
          <w:sz w:val="24"/>
          <w:szCs w:val="24"/>
        </w:rPr>
      </w:pPr>
      <w:r>
        <w:rPr>
          <w:rFonts w:ascii="Times New Roman" w:hAnsi="Times New Roman"/>
          <w:noProof/>
          <w:sz w:val="24"/>
        </w:rPr>
        <w:t>Η Επιτροπή υλοποιεί το σχέδιο δράσης για την υποστήριξη της προστασίας των δημόσιων χώρων</w:t>
      </w:r>
      <w:r>
        <w:rPr>
          <w:rStyle w:val="FootnoteReference"/>
          <w:rFonts w:ascii="Times New Roman" w:hAnsi="Times New Roman"/>
          <w:noProof/>
          <w:sz w:val="24"/>
        </w:rPr>
        <w:footnoteReference w:id="26"/>
      </w:r>
      <w:r>
        <w:rPr>
          <w:rFonts w:ascii="Times New Roman" w:hAnsi="Times New Roman"/>
          <w:noProof/>
          <w:sz w:val="24"/>
        </w:rPr>
        <w:t xml:space="preserve">, ως ζήτημα προτεραιότητας, σύμφωνα με το πρόγραμμα εργασίας της Επιτροπής για το 2018.  Στις 20 Δεκεμβρίου 2017, η Επιτροπή διοργάνωσε την </w:t>
      </w:r>
      <w:r>
        <w:rPr>
          <w:rFonts w:ascii="Times New Roman" w:hAnsi="Times New Roman"/>
          <w:b/>
          <w:noProof/>
          <w:sz w:val="24"/>
        </w:rPr>
        <w:t>πρώτη συνάντηση του Ευρωπαϊκού Φόρουμ Φορέων Εκμετάλλευσης</w:t>
      </w:r>
      <w:r>
        <w:rPr>
          <w:rFonts w:ascii="Times New Roman" w:hAnsi="Times New Roman"/>
          <w:noProof/>
          <w:sz w:val="24"/>
        </w:rPr>
        <w:t xml:space="preserve"> στην οποία συμμετείχαν δημόσιες αρχές και ιδιωτικοί φορείς εκμετάλλευσης διάφορων δημόσιων χώρων, όπως οι ζώνες μεταφορών, τα εκθεσιακά κέντρα, τα γήπεδα, τα νοσοκομεία, τα εμπορικά κέντρα, και η ψυχαγωγία. Στόχος του φόρουμ είναι να προαγάγει τη συνεργασία μεταξύ δημόσιου και ιδιωτικού τομέα για την προστασία των δημόσιων χώρων μέσω της ανταλλαγής των αντληθέντων διδαγμάτων και των ορθών πρακτικών, της ανταλλαγής πληροφοριών, της ενθάρρυνσης της διατομεακής μάθησης και της κατάρτισης υλικού καθοδήγησης. Στο πλαίσιο αυτό καλύπτονται δραστηριότητες όπως η εξακρίβωση, ο έλεγχος νέων τεχνολογιών και λύσεων στον τομέα της ασφάλειας, η ανάπτυξη προτύπων και η διενέργεια εκτιμήσεων κινδύνου και τρωτότητας. Όλοι οι συμμετέχοντες υπογράμμισαν τη σημασία της ανάπτυξης  πραγματικής σύμπραξης δημόσιου και ιδιωτικού τομέα, τόσο σε επίπεδο ΕΕ όσο και σε εθνικό επίπεδο, και την ανάγκη να συνεχιστούν οι εργασίες σε ειδικές συνεδριάσεις που θα ασχολούνται με ειδικούς τομείς, όπως οι μεταφορές, οι μαζικές εκδηλώσεις και η ψυχαγωγία, οι υπηρεσίες φιλοξενίας και το εμπόριο. Παράλληλα με την πρώτη σύνοδο του φόρουμ των φορέων εκμετάλλευσης της ΕΕ, και λαμβάνοντας υπόψη το γεγονός ότι ορισμένες τρομοκρατικές επιθέσεις συμπεριλάμβαναν και ενοικίαση οχημάτων, η Επιτροπή οργάνωσε επίσης </w:t>
      </w:r>
      <w:r>
        <w:rPr>
          <w:rFonts w:ascii="Times New Roman" w:hAnsi="Times New Roman"/>
          <w:b/>
          <w:noProof/>
          <w:sz w:val="24"/>
        </w:rPr>
        <w:t>συνάντηση με τον κλάδο ενοικίασης αυτοκινήτων</w:t>
      </w:r>
      <w:r>
        <w:rPr>
          <w:rFonts w:ascii="Times New Roman" w:hAnsi="Times New Roman"/>
          <w:noProof/>
          <w:sz w:val="24"/>
        </w:rPr>
        <w:t xml:space="preserve"> στις 21 Δεκεμβρίου 2017.  Οι φορείς εκμετάλλευσης συμφώνησαν με τα κράτη μέλη σχετικά με τη σημασία της περαιτέρω ευαισθητοποίησης του προσωπικού ώστε να διαθέτει τα κατάλληλα εργαλεία και δεξιότητες για να αναγνωρίζει ύποπτες ενοικιάσεις στο πλαίσιο καταπολέμησης της τρομοκρατίας. Η Επιτροπή θα δημιουργήσει δικτυακή πύλη που θα διευκολύνει την ανταλλαγή ορθών πρακτικών σε αυτόν τον τομέα.</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Το σχέδιο δράσης ζητεί την εγκαθίδρυση </w:t>
      </w:r>
      <w:r>
        <w:rPr>
          <w:rFonts w:ascii="Times New Roman" w:hAnsi="Times New Roman"/>
          <w:b/>
          <w:noProof/>
          <w:sz w:val="24"/>
        </w:rPr>
        <w:t>στενού διαλόγου με τις  περιφερειακές και τις τοπικές αρχές</w:t>
      </w:r>
      <w:r>
        <w:rPr>
          <w:rFonts w:ascii="Times New Roman" w:hAnsi="Times New Roman"/>
          <w:noProof/>
          <w:sz w:val="24"/>
        </w:rPr>
        <w:t>. Για τον σκοπό αυτό, η Επιτροπή και η Επιτροπή των Περιφερειών διοργανώνουν στις 8 Μαρτίου διάσκεψη στις Βρυξέλλες κατά την οποία θα συγκεντρωθούν δήμαρχοι από πολλές ευρωπαϊκές πόλεις, συμπεριλαμβανομένων των πόλεων που επλήγησαν από τρομοκρατικές επιθέσεις, προκειμένου να διευκολυνθεί η ανταλλαγή απόψεων σχετικά με την προστασία των δημόσιων χώρων. Η διάσκεψη θα αντλήσει διδάγματα από τις πρόσφατες επιθέσεις και θα προσδιορίσει τις βέλτιστες πρακτικές που εφαρμόζονται στις πόλεις  ολόκληρης της Ένωσης. Θα προβεί επίσης σε απολογισμό εν εξελίξει ή προγραμματισμένων πιλοτικών έργων, ενώ παράλληλα στόχος της είναι να προσδιοριστεί ο τρόπος με τον οποίο μπορεί η χρηματοδότηση της ΕΕ να στηρίξει τις προσπάθειες αυτές.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χρηματοδότηση</w:t>
      </w:r>
      <w:r>
        <w:rPr>
          <w:rFonts w:ascii="Times New Roman" w:hAnsi="Times New Roman"/>
          <w:noProof/>
          <w:sz w:val="24"/>
        </w:rPr>
        <w:t xml:space="preserve"> είναι πράγματι σημαντική πτυχή της υποστήριξης για την προστασία των δημόσιων χώρων. Η δρομολόγηση του σχεδίου δράσης συνοδευόταν από προσκλήσεις υποβολής προτάσεων μέσω του Ταμείου Εσωτερικής Ασφάλειας - Αστυνομία συνολικού ύψους 18,5 εκατ. EUR , καθώς και,  πιο μακροπρόθεσμα, από την αναγγελία πρόσθετης χρηματοδότησης ύψους έως 100 εκατ. EUR στο πλαίσιο της πρωτοβουλίας «Αστικές καινοτόμοι δράσεις» (ΑΑΑ)</w:t>
      </w:r>
      <w:r>
        <w:rPr>
          <w:rStyle w:val="FootnoteReference"/>
          <w:rFonts w:ascii="Times New Roman" w:hAnsi="Times New Roman"/>
          <w:noProof/>
          <w:sz w:val="24"/>
        </w:rPr>
        <w:footnoteReference w:id="27"/>
      </w:r>
      <w:r>
        <w:rPr>
          <w:rFonts w:ascii="Times New Roman" w:hAnsi="Times New Roman"/>
          <w:noProof/>
          <w:sz w:val="24"/>
        </w:rPr>
        <w:t xml:space="preserve"> στο πλαίσιο του Ευρωπαϊκού Ταμείου Περιφερειακής Ανάπτυξης. Μετά το πέρας της δημόσιας διαβούλευσης που δρομολογήθηκε στις 15 Σεπτεμβρίου 2017, η Επιτροπή διοργάνωσε, στις 18 Ιανουαρίου 2018, στις Βρυξέλλες εργαστήριο με τα ενδιαφερόμενα μέρη σχετικά με την αστική σκοπιά της ασφάλειας στους δημόσιους χώρους. Οι συμμετέχοντες συζήτησαν τα βασικά ζητήματα ασφαλείας στις πόλεις και τις απαντήσεις που πρέπει να παρέχονται σε τοπικό επίπεδο, με  εκπροσώπους κρατών μελών και τοπικών κυβερνήσεων,  ευρωπαϊκά δίκτυα,  πανεπιστημιακούς και ερευνητές, ΜΚΟ και άλλους διεθνείς οργανισμούς. Τα αποτελέσματα των εργασιών του εν λόγω εργαστηρίου θα συμβάλουν στον καθορισμό του πεδίου εφαρμογής των ενεργειών που θα αναληφθούν σε σχέση με τις «Αστικές Καινοτόμες Δράσεις» και το αστικό θεματολόγιο για την ΕΕ.</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Επιπλέον, η Επιτροπή λαμβάνει μέτρα για την αντιμετώπιση των κινδύνων όσον αφορά την ασφάλεια στον τομέα των εμπορικών </w:t>
      </w:r>
      <w:r>
        <w:rPr>
          <w:rFonts w:ascii="Times New Roman" w:hAnsi="Times New Roman"/>
          <w:b/>
          <w:noProof/>
          <w:sz w:val="24"/>
        </w:rPr>
        <w:t>οδικών μεταφορών</w:t>
      </w:r>
      <w:r>
        <w:rPr>
          <w:rFonts w:ascii="Times New Roman" w:hAnsi="Times New Roman"/>
          <w:noProof/>
          <w:sz w:val="24"/>
        </w:rPr>
        <w:t>. Τον Ιανουάριο του 2018 δημοσιεύεται εργαλειοθήκη για την ασφάλεια που θα προσφέρει επιχειρησιακή καθοδήγηση για να βοηθήσει τους ευρωπαίους οδηγούς φορτηγών, τις εταιρείες μεταφοράς εμπορευμάτων και άλλους βασικούς ενδιαφερόμενους φορείς να αντιμετωπίζουν την κλοπή φορτίου, τη λαθραία είσοδο σε φορτηγά, καθώς και πιθανές τρομοκρατικές απειλές. Επικαιροποιεί επίσης και αναβαθμίζει τις σύγχρονες ορθές πρακτικές ασφαλείας οι οποίες καθίστανται ταχύτατα παρωχημένες λόγω της διαρκώς μεταβαλλόμενης απειλής, των αναδυόμενων τεχνολογιών και των κανονιστικών αλλαγών.</w:t>
      </w:r>
    </w:p>
    <w:p>
      <w:pPr>
        <w:keepNext/>
        <w:spacing w:after="240" w:line="240" w:lineRule="auto"/>
        <w:jc w:val="both"/>
        <w:rPr>
          <w:rFonts w:ascii="Times New Roman" w:hAnsi="Times New Roman" w:cs="Times New Roman"/>
          <w:i/>
          <w:noProof/>
          <w:sz w:val="24"/>
          <w:szCs w:val="24"/>
        </w:rPr>
      </w:pPr>
      <w:r>
        <w:rPr>
          <w:rFonts w:ascii="Times New Roman" w:hAnsi="Times New Roman"/>
          <w:i/>
          <w:noProof/>
          <w:sz w:val="24"/>
        </w:rPr>
        <w:t>3.</w:t>
      </w:r>
      <w:r>
        <w:rPr>
          <w:noProof/>
        </w:rPr>
        <w:tab/>
      </w:r>
      <w:r>
        <w:rPr>
          <w:rFonts w:ascii="Times New Roman" w:hAnsi="Times New Roman"/>
          <w:i/>
          <w:noProof/>
          <w:sz w:val="24"/>
        </w:rPr>
        <w:t>Έρευνα στον τομέα της ασφάλειας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Με προϋπολογισμό για την έρευνα και την καινοτομία ύψους 1 δισ. EUR, η Ένωση Ασφάλειας είναι ένας από τους τέσσερις τομείς εστίασης στο πλαίσιο του προγράμματος εργασίας 2018-2020 για το πρόγραμμα «Ορίζοντας 2020»· το ποσό αυτό αντιπροσωπεύει το 50 % της συνολικής δημόσιας χρηματοδότησης για την έρευνα για την ασφάλεια στην ΕΕ. Η έρευνα σχετικά με απειλές κατά της ασφάλειας θα στηρίξει  τη συντονισμένη αντίδραση της ΕΕ και θα μετριάσει τους κινδύνους που συνδέονται με την τρομοκρατία, το σοβαρό έγκλημα, την ασφάλεια των συνόρων, την εγκληματικότητα στον κυβερνοχώρο, τις υβριδικές απειλές, και άλλους τομείς.</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Στο πλαίσιο της Κοινότητας χρηστών για την ασφάλεια και για ανθεκτικές κοινωνίες, η Επιτροπή διοργάνωσε δύο εργαστήρια, τον Δεκέμβριο του 2017, σχετικά με έργα που αφορούν τη ριζοσπαστικοποίηση και με έργα που σχετίζονται με το έγκλημα στον κυβερνοχώρο. Στο </w:t>
      </w:r>
      <w:r>
        <w:rPr>
          <w:rFonts w:ascii="Times New Roman" w:hAnsi="Times New Roman"/>
          <w:b/>
          <w:noProof/>
          <w:sz w:val="24"/>
        </w:rPr>
        <w:t>εργαστήριο για την καταπολέμηση της ριζοσπαστικοποίησης</w:t>
      </w:r>
      <w:r>
        <w:rPr>
          <w:rFonts w:ascii="Times New Roman" w:hAnsi="Times New Roman"/>
          <w:noProof/>
          <w:sz w:val="24"/>
        </w:rPr>
        <w:t xml:space="preserve"> συμμετείχαν φορείς σχετικών ερευνητικών έργων στο πλαίσιο του 7ου προγράμματος πλαισίου, του προγράμματος «Ορίζοντας 2020» (έρευνα στον τομέα της ασφάλειας) και του</w:t>
      </w:r>
      <w:r>
        <w:rPr>
          <w:noProof/>
        </w:rPr>
        <w:t xml:space="preserve"> </w:t>
      </w:r>
      <w:r>
        <w:rPr>
          <w:rFonts w:ascii="Times New Roman" w:hAnsi="Times New Roman"/>
          <w:noProof/>
          <w:sz w:val="24"/>
        </w:rPr>
        <w:t xml:space="preserve">Ταμείου Εσωτερικής Ασφάλειας - Αστυνομία, καθώς και μέλη του Δικτύου Ευαισθητοποίησης για τη Ριζοσπαστικοποίηση. Το εργαστήριο επέτρεψε τον εντοπισμό τομέων για συνέργειες στους οποίους η έρευνα στον τομέα της ασφάλειας μπορεί να υποστηρίξει τη δράση της ΕΕ για την καταπολέμηση της ριζοσπαστικοποίησης. Στο </w:t>
      </w:r>
      <w:r>
        <w:rPr>
          <w:rFonts w:ascii="Times New Roman" w:hAnsi="Times New Roman"/>
          <w:b/>
          <w:noProof/>
          <w:sz w:val="24"/>
        </w:rPr>
        <w:t>εργαστήριο για το έγκλημα στον κυβερνοχώρο</w:t>
      </w:r>
      <w:r>
        <w:rPr>
          <w:rFonts w:ascii="Times New Roman" w:hAnsi="Times New Roman"/>
          <w:noProof/>
          <w:sz w:val="24"/>
        </w:rPr>
        <w:t xml:space="preserve"> συμμετείχαν φορείς συναφών ερευνητικών έργων, το Ευρωπαϊκό Κέντρο για τα Εγκλήματα στον Κυβερνοχώρο (EC3) στο πλαίσιο της Ευρωπόλ και εκπρόσωποι των δύο δικτύων επαγγελματιών του κλάδου επιβολής του νόμου που είχαν συσταθεί το προηγούμενο έτος στο πλαίσιο του προγράμματος «Ορίζοντας 2020» προκειμένου να βελτιωθεί η σχέση έρευνας και εμπορικής εκμετάλλευσης. Το σεμινάριο επέτρεψε σε σειρά έργων να παρουσιάσουν τα αποτελέσματά τους σε διάφορους τομείς του εγκλήματος στον κυβερνοχώρο, όπως η ψηφιακή εγκληματολογία και τα ψηφιακά αποδεικτικά στοιχεία, τα οικονομικά κίνητρα, τα εικονικά νομίσματα, η ανίχνευση κακόβουλου λογισμικού τρομοκρατικού περιεχομένου στο διαδίκτυο και η ανάλυση μαζικών δεδομένων.</w:t>
      </w:r>
    </w:p>
    <w:p>
      <w:pPr>
        <w:keepNext/>
        <w:spacing w:after="240" w:line="240" w:lineRule="auto"/>
        <w:jc w:val="both"/>
        <w:rPr>
          <w:rFonts w:ascii="Times New Roman" w:hAnsi="Times New Roman" w:cs="Times New Roman"/>
          <w:i/>
          <w:noProof/>
          <w:sz w:val="24"/>
          <w:szCs w:val="24"/>
        </w:rPr>
      </w:pPr>
      <w:r>
        <w:rPr>
          <w:rFonts w:ascii="Times New Roman" w:hAnsi="Times New Roman"/>
          <w:i/>
          <w:noProof/>
          <w:sz w:val="24"/>
        </w:rPr>
        <w:t>4.</w:t>
      </w:r>
      <w:r>
        <w:rPr>
          <w:noProof/>
        </w:rPr>
        <w:tab/>
      </w:r>
      <w:r>
        <w:rPr>
          <w:rFonts w:ascii="Times New Roman" w:hAnsi="Times New Roman"/>
          <w:i/>
          <w:noProof/>
          <w:sz w:val="24"/>
        </w:rPr>
        <w:t>Εξωτερική διάσταση της καταπολέμησης της τρομοκρατίας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Η ΕΕ διαθέτει επί του παρόντος ένα δίκτυο εμπειρογνωμόνων για θέματα αντιτρομοκρατίας/ασφαλείας αποσπασμένων σε 13 αντιπροσωπείες της ΕΕ σε τρίτες χώρες. Το εν λόγω δίκτυο παρέχει πραγματική προστιθέμενη αξία, εξασφαλίζοντας τον καθοριστικό σύνδεσμο μεταξύ εξωτερικής και  εσωτερικής ασφάλειας, και αποτελεί σημαντική συνιστώσα της στήριξης της ΕΕ προς τρίτες χώρες για την καταπολέμηση της τρομοκρατίας. Τα συμπεράσματα του Συμβουλίου του Ιουνίου 2017 σχετικά με την εξωτερική δράση της ΕΕ στον τομέα αυτό αναγνώρισαν την αξία του έργου που επιτελούν επιτόπου οι εμπειρογνώμονες της ΕΕ και ζήτησαν να διευρυνθούν το γεωγραφικό και το λειτουργικό πεδίο εφαρμογής του δικτύου. Η απόφαση αυτή ελήφθη στις 18 Ιανουαρίου 2018 από την Ύπατη Εκπρόσωπο της Ένωσης για Θέματα Εξωτερικής Πολιτικής και Πολιτικής Ασφαλείας/Αντιπρόεδρο της Επιτροπής (ΥΕ/ΑΠ). Τέσσερις νέοι εμπειρογνώμονες θα σταλούν σύντομα στις ακόλουθες αντιπροσωπείες της ΕΕ: αποστολή της ΕΕ στην ASEAN με έδρα την Τζακάρτα με γεωγραφική κάλυψη της Νοτιοανατολικής Ασίας, αντιπροσωπεία της ΕΕ στο Bishkek της Κιργιζίας με γεωγραφική κάλυψη των χωρών της Κεντρικής Ασίας, αντιπροσωπεία της ΕΕ στο Ναϊρόμπι της Κένυας με γεωγραφική κάλυψη για το Κέρας της Αφρικής, και αντιπροσωπεία της ΕΕ στην Αντίς Αμπέμπα της Αιθιοπίας που θα συνεργάζεται με την Αφρικανική Ένωση και τα περιφερειακά και λειτουργικά θεσμικά της όργανα.</w:t>
      </w:r>
    </w:p>
    <w:p>
      <w:pPr>
        <w:keepNext/>
        <w:spacing w:after="240" w:line="240" w:lineRule="auto"/>
        <w:jc w:val="both"/>
        <w:rPr>
          <w:rFonts w:ascii="Times New Roman"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ΣΥΜΠΕΡΑΣΜΑ</w:t>
      </w:r>
    </w:p>
    <w:p>
      <w:pPr>
        <w:spacing w:after="240" w:line="240" w:lineRule="auto"/>
        <w:jc w:val="both"/>
        <w:rPr>
          <w:rFonts w:ascii="Times New Roman" w:hAnsi="Times New Roman" w:cs="Times New Roman"/>
          <w:noProof/>
          <w:sz w:val="24"/>
          <w:szCs w:val="24"/>
        </w:rPr>
      </w:pPr>
      <w:r>
        <w:rPr>
          <w:rFonts w:ascii="Times New Roman" w:hAnsi="Times New Roman"/>
          <w:noProof/>
          <w:sz w:val="24"/>
        </w:rPr>
        <w:t>Η παρούσα έκθεση παρουσιάζει την πρόοδο που έχει σημειωθεί όσον αφορά την υλοποίηση των σχετικών με την ασφάλεια πρωτοβουλιών που προσδιορίστηκαν στην κοινή δήλωση σχετικά με τις νομοθετικές προτεραιότητες της ΕΕ για την περίοδο 2018-2019.  Η υλοποίηση των πρωτοβουλιών αυτών θα έχει καθοριστική σημασία για την ολοκλήρωση μιας αποτελεσματικής και πραγματικής Ένωσης Ασφάλειας, για την καλύτερη προστασία της ασφάλειας των πολιτών μας.</w:t>
      </w:r>
    </w:p>
    <w:p>
      <w:pPr>
        <w:spacing w:after="240" w:line="240" w:lineRule="auto"/>
        <w:jc w:val="both"/>
        <w:rPr>
          <w:rFonts w:ascii="Times New Roman" w:hAnsi="Times New Roman" w:cs="Times New Roman"/>
          <w:noProof/>
          <w:sz w:val="24"/>
          <w:szCs w:val="24"/>
        </w:rPr>
      </w:pPr>
      <w:r>
        <w:rPr>
          <w:rFonts w:ascii="Times New Roman" w:hAnsi="Times New Roman"/>
          <w:noProof/>
          <w:sz w:val="24"/>
        </w:rPr>
        <w:t>Η παρούσα έκθεση παρέχει επίσης ενημέρωση σχετικά με σειρά δράσεων που έχουν αναληφθεί σε επίπεδο ΕΕ σε διάφορους τομείς πολιτικής για την ενίσχυση της εσωτερικής ασφάλειας, ιδίως δράσεων για την ενίσχυση της στήριξης των προσπαθειών των κρατών μελών για την καταπολέμηση της ριζοσπαστικοποίησης σε εθνικό και τοπικό επίπεδο, οι οποίες αντικατοπτρίζουν τις προσωρινές συστάσεις της ομάδας εμπειρογνωμόνων υψηλού επιπέδου για τη ριζοσπαστικοποίηση. Η Επιτροπή καλεί όλους τους εμπλεκόμενους φορείς να συνεχίσουν αυτή την προσπάθεια θέτοντάς την ως προτεραιότητα, συνεργαζόμενοι ανάμεσα σε διαφορετικούς τομείς και επίπεδα πολιτικής και ανταλλάσσοντας βέλτιστες πρακτικές για την αντιμετώπιση της ριζοσπαστικοποίησης ως κοινής πρόκλησης.</w:t>
      </w:r>
    </w:p>
    <w:p>
      <w:pPr>
        <w:spacing w:after="240" w:line="240" w:lineRule="auto"/>
        <w:contextualSpacing/>
        <w:jc w:val="both"/>
        <w:rPr>
          <w:rFonts w:ascii="Times New Roman" w:hAnsi="Times New Roman" w:cs="Times New Roman"/>
          <w:bCs/>
          <w:noProof/>
          <w:sz w:val="23"/>
          <w:szCs w:val="23"/>
        </w:rPr>
      </w:pPr>
      <w:r>
        <w:rPr>
          <w:rFonts w:ascii="Times New Roman" w:hAnsi="Times New Roman"/>
          <w:noProof/>
          <w:sz w:val="24"/>
        </w:rPr>
        <w:t>Η Επιτροπή θα συνεχίσει να υποβάλει τακτικά εκθέσεις σχετικά με την πρόοδο που επιτελείται προς μια αποτελεσματική και πραγματική Ένωση Ασφάλειας.</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31886686"/>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567" w:hanging="567"/>
        <w:rPr>
          <w:lang w:val="de-DE"/>
        </w:rPr>
      </w:pPr>
      <w:r>
        <w:rPr>
          <w:rStyle w:val="FootnoteReference"/>
        </w:rPr>
        <w:footnoteRef/>
      </w:r>
      <w:r>
        <w:t xml:space="preserve"> </w:t>
      </w:r>
      <w:r>
        <w:tab/>
      </w:r>
      <w:hyperlink r:id="rId1">
        <w:r>
          <w:rPr>
            <w:rStyle w:val="Hyperlink"/>
          </w:rPr>
          <w:t>https://ec.europa.eu/commission/publications/joint-declaration-eus-legislative-priorities-2018_en</w:t>
        </w:r>
      </w:hyperlink>
      <w:r>
        <w:t xml:space="preserve"> </w:t>
      </w:r>
    </w:p>
  </w:footnote>
  <w:footnote w:id="3">
    <w:p>
      <w:pPr>
        <w:pStyle w:val="FootnoteText"/>
        <w:ind w:left="567" w:hanging="567"/>
        <w:rPr>
          <w:lang w:val="pt-PT"/>
        </w:rPr>
      </w:pPr>
      <w:r>
        <w:rPr>
          <w:rStyle w:val="FootnoteReference"/>
        </w:rPr>
        <w:footnoteRef/>
      </w:r>
      <w:r>
        <w:rPr>
          <w:lang w:val="pt-PT"/>
        </w:rPr>
        <w:t xml:space="preserve"> </w:t>
      </w:r>
      <w:r>
        <w:rPr>
          <w:lang w:val="pt-PT"/>
        </w:rPr>
        <w:tab/>
        <w:t>COM(2017) 650 final (24.10.2017).</w:t>
      </w:r>
    </w:p>
  </w:footnote>
  <w:footnote w:id="4">
    <w:p>
      <w:pPr>
        <w:pStyle w:val="FootnoteText"/>
        <w:ind w:left="567" w:hanging="567"/>
        <w:rPr>
          <w:lang w:val="pt-PT"/>
        </w:rPr>
      </w:pPr>
      <w:r>
        <w:rPr>
          <w:rStyle w:val="FootnoteReference"/>
        </w:rPr>
        <w:footnoteRef/>
      </w:r>
      <w:r>
        <w:rPr>
          <w:lang w:val="pt-PT"/>
        </w:rPr>
        <w:t xml:space="preserve"> </w:t>
      </w:r>
      <w:r>
        <w:rPr>
          <w:lang w:val="pt-PT"/>
        </w:rPr>
        <w:tab/>
      </w:r>
      <w:hyperlink r:id="rId2">
        <w:r>
          <w:rPr>
            <w:rStyle w:val="Hyperlink"/>
            <w:lang w:val="pt-PT"/>
          </w:rPr>
          <w:t>http://www.consilium.europa.eu/media/21594/leaders-agenda.pdf</w:t>
        </w:r>
      </w:hyperlink>
      <w:r>
        <w:rPr>
          <w:lang w:val="pt-PT"/>
        </w:rPr>
        <w:t xml:space="preserve"> </w:t>
      </w:r>
    </w:p>
  </w:footnote>
  <w:footnote w:id="5">
    <w:p>
      <w:pPr>
        <w:pStyle w:val="FootnoteText"/>
        <w:ind w:left="567" w:hanging="567"/>
        <w:rPr>
          <w:lang w:val="pt-PT"/>
        </w:rPr>
      </w:pPr>
      <w:r>
        <w:rPr>
          <w:rStyle w:val="FootnoteReference"/>
        </w:rPr>
        <w:footnoteRef/>
      </w:r>
      <w:r>
        <w:rPr>
          <w:lang w:val="pt-PT"/>
        </w:rPr>
        <w:t xml:space="preserve"> </w:t>
      </w:r>
      <w:r>
        <w:rPr>
          <w:lang w:val="pt-PT"/>
        </w:rPr>
        <w:tab/>
      </w:r>
      <w:hyperlink r:id="rId3">
        <w:r>
          <w:rPr>
            <w:rStyle w:val="Hyperlink"/>
            <w:lang w:val="pt-PT"/>
          </w:rPr>
          <w:t>http://ec.europa.eu/transparency/regexpert/index.cfm?do=groupDetail.groupDetail&amp;groupID=3552</w:t>
        </w:r>
      </w:hyperlink>
      <w:r>
        <w:rPr>
          <w:lang w:val="pt-PT"/>
        </w:rPr>
        <w:t xml:space="preserve"> </w:t>
      </w:r>
    </w:p>
  </w:footnote>
  <w:footnote w:id="6">
    <w:p>
      <w:pPr>
        <w:pStyle w:val="FootnoteText"/>
        <w:ind w:left="567" w:hanging="567"/>
        <w:rPr>
          <w:lang w:val="pt-PT"/>
        </w:rPr>
      </w:pPr>
      <w:r>
        <w:rPr>
          <w:rStyle w:val="FootnoteReference"/>
        </w:rPr>
        <w:footnoteRef/>
      </w:r>
      <w:r>
        <w:rPr>
          <w:lang w:val="pt-PT"/>
        </w:rPr>
        <w:t xml:space="preserve"> </w:t>
      </w:r>
      <w:r>
        <w:rPr>
          <w:lang w:val="pt-PT"/>
        </w:rPr>
        <w:tab/>
        <w:t xml:space="preserve">COM(2017)793 final </w:t>
      </w:r>
      <w:r>
        <w:t>και</w:t>
      </w:r>
      <w:r>
        <w:rPr>
          <w:lang w:val="pt-PT"/>
        </w:rPr>
        <w:t xml:space="preserve"> COM(2017)794 final </w:t>
      </w:r>
      <w:r>
        <w:t>της</w:t>
      </w:r>
      <w:r>
        <w:rPr>
          <w:lang w:val="pt-PT"/>
        </w:rPr>
        <w:t xml:space="preserve"> 12.12.2017.</w:t>
      </w:r>
    </w:p>
  </w:footnote>
  <w:footnote w:id="7">
    <w:p>
      <w:pPr>
        <w:pStyle w:val="FootnoteText"/>
        <w:ind w:left="567" w:hanging="567"/>
        <w:rPr>
          <w:lang w:val="pt-PT"/>
        </w:rPr>
      </w:pPr>
      <w:r>
        <w:rPr>
          <w:rStyle w:val="FootnoteReference"/>
        </w:rPr>
        <w:footnoteRef/>
      </w:r>
      <w:r>
        <w:rPr>
          <w:lang w:val="pt-PT"/>
        </w:rPr>
        <w:t xml:space="preserve"> </w:t>
      </w:r>
      <w:r>
        <w:rPr>
          <w:lang w:val="pt-PT"/>
        </w:rPr>
        <w:tab/>
        <w:t xml:space="preserve">COM(2016) 731 final </w:t>
      </w:r>
      <w:r>
        <w:t>της</w:t>
      </w:r>
      <w:r>
        <w:rPr>
          <w:lang w:val="pt-PT"/>
        </w:rPr>
        <w:t xml:space="preserve"> 16.11.2016.</w:t>
      </w:r>
    </w:p>
  </w:footnote>
  <w:footnote w:id="8">
    <w:p>
      <w:pPr>
        <w:pStyle w:val="FootnoteText"/>
        <w:ind w:left="567" w:hanging="567"/>
        <w:rPr>
          <w:lang w:val="pt-PT"/>
        </w:rPr>
      </w:pPr>
      <w:r>
        <w:rPr>
          <w:rStyle w:val="FootnoteReference"/>
        </w:rPr>
        <w:footnoteRef/>
      </w:r>
      <w:r>
        <w:rPr>
          <w:lang w:val="pt-PT"/>
        </w:rPr>
        <w:t xml:space="preserve"> </w:t>
      </w:r>
      <w:r>
        <w:rPr>
          <w:lang w:val="pt-PT"/>
        </w:rPr>
        <w:tab/>
        <w:t xml:space="preserve">COM(2016) 881 final, 882 final </w:t>
      </w:r>
      <w:r>
        <w:t>και</w:t>
      </w:r>
      <w:r>
        <w:rPr>
          <w:lang w:val="pt-PT"/>
        </w:rPr>
        <w:t xml:space="preserve"> 883 final (21.12.2016).</w:t>
      </w:r>
    </w:p>
  </w:footnote>
  <w:footnote w:id="9">
    <w:p>
      <w:pPr>
        <w:pStyle w:val="FootnoteText"/>
        <w:ind w:left="567" w:hanging="567"/>
      </w:pPr>
      <w:r>
        <w:rPr>
          <w:rStyle w:val="FootnoteReference"/>
        </w:rPr>
        <w:footnoteRef/>
      </w:r>
      <w:r>
        <w:t xml:space="preserve"> </w:t>
      </w:r>
      <w:r>
        <w:tab/>
        <w:t>Βλ. την ανακοίνωση του Απριλίου 2016 με τίτλο «Πιο Ισχυρά και Έξυπνα Συστήματα Πληροφοριών για τα Σύνορα και την Ασφάλεια» (COM(2016) 205 final της 6.4.2016) και την προσέγγιση της Επιτροπής όσον αφορά τη διαχείριση των δεδομένων για τα σύνορα και την ασφάλεια, όπως ορίζεται στην έβδομη έκθεση προόδου προς μια αποτελεσματική και πραγματική Ένωση Ασφάλειας (COM2017) 261 final της 16.5.2017).</w:t>
      </w:r>
    </w:p>
  </w:footnote>
  <w:footnote w:id="10">
    <w:p>
      <w:pPr>
        <w:pStyle w:val="FootnoteText"/>
        <w:ind w:left="567" w:hanging="567"/>
        <w:rPr>
          <w:lang w:val="pt-PT"/>
        </w:rPr>
      </w:pPr>
      <w:r>
        <w:rPr>
          <w:rStyle w:val="FootnoteReference"/>
        </w:rPr>
        <w:footnoteRef/>
      </w:r>
      <w:r>
        <w:rPr>
          <w:lang w:val="pt-PT"/>
        </w:rPr>
        <w:t xml:space="preserve"> </w:t>
      </w:r>
      <w:r>
        <w:rPr>
          <w:lang w:val="pt-PT"/>
        </w:rPr>
        <w:tab/>
        <w:t>COM(2017) 344 final (29.6.2017).</w:t>
      </w:r>
    </w:p>
  </w:footnote>
  <w:footnote w:id="11">
    <w:p>
      <w:pPr>
        <w:pStyle w:val="FootnoteText"/>
        <w:ind w:left="567" w:hanging="567"/>
      </w:pPr>
      <w:r>
        <w:rPr>
          <w:rStyle w:val="FootnoteReference"/>
        </w:rPr>
        <w:footnoteRef/>
      </w:r>
      <w:r>
        <w:rPr>
          <w:lang w:val="pt-PT"/>
        </w:rPr>
        <w:t xml:space="preserve"> </w:t>
      </w:r>
      <w:r>
        <w:rPr>
          <w:lang w:val="pt-PT"/>
        </w:rPr>
        <w:tab/>
      </w:r>
      <w:hyperlink r:id="rId4">
        <w:r>
          <w:rPr>
            <w:rStyle w:val="Hyperlink"/>
            <w:lang w:val="pt-PT"/>
          </w:rPr>
          <w:t>https://www.europol.europa.eu/newsroom/news/more-one-million-operational-messages-shared-between-europol-member-states-and-third-parties-in-2017</w:t>
        </w:r>
      </w:hyperlink>
      <w:r>
        <w:rPr>
          <w:lang w:val="pt-PT"/>
        </w:rPr>
        <w:t xml:space="preserve">. </w:t>
      </w:r>
      <w:r>
        <w:t>SIENA είναι η ασφαλής εφαρμογή δικτύου ανταλλαγής πληροφοριών, την οποία διαχειρίζεται η Ευρωπόλ, και η οποία επιτρέπει την ταχεία και ασφαλή επικοινωνία και ανταλλαγή επιχειρησιακών και στρατηγικών πληροφοριών.</w:t>
      </w:r>
    </w:p>
  </w:footnote>
  <w:footnote w:id="12">
    <w:p>
      <w:pPr>
        <w:pStyle w:val="FootnoteText"/>
        <w:ind w:left="567" w:hanging="567"/>
      </w:pPr>
      <w:r>
        <w:rPr>
          <w:rStyle w:val="FootnoteReference"/>
        </w:rPr>
        <w:footnoteRef/>
      </w:r>
      <w:r>
        <w:t xml:space="preserve"> </w:t>
      </w:r>
      <w:r>
        <w:tab/>
        <w:t>Οδηγία 2016/681 της 27.4.2016.</w:t>
      </w:r>
    </w:p>
  </w:footnote>
  <w:footnote w:id="13">
    <w:p>
      <w:pPr>
        <w:pStyle w:val="FootnoteText"/>
        <w:ind w:left="567" w:hanging="567"/>
      </w:pPr>
      <w:r>
        <w:rPr>
          <w:rStyle w:val="FootnoteReference"/>
        </w:rPr>
        <w:footnoteRef/>
      </w:r>
      <w:r>
        <w:t xml:space="preserve"> </w:t>
      </w:r>
      <w:r>
        <w:tab/>
        <w:t xml:space="preserve">COM(2017) 352 final της 29.6.2017. </w:t>
      </w:r>
    </w:p>
  </w:footnote>
  <w:footnote w:id="14">
    <w:p>
      <w:pPr>
        <w:pStyle w:val="FootnoteText"/>
        <w:ind w:left="567" w:hanging="567"/>
      </w:pPr>
      <w:r>
        <w:rPr>
          <w:rStyle w:val="FootnoteReference"/>
        </w:rPr>
        <w:footnoteRef/>
      </w:r>
      <w:r>
        <w:t xml:space="preserve"> </w:t>
      </w:r>
      <w:r>
        <w:tab/>
        <w:t>Ο Ευρωπαϊκός Οργανισμός για τη λειτουργική διαχείριση συστημάτων ΤΠ μεγάλης κλίμακας στον χώρο ελευθερίας, ασφάλειας και δικαιοσύνης.</w:t>
      </w:r>
    </w:p>
  </w:footnote>
  <w:footnote w:id="15">
    <w:p>
      <w:pPr>
        <w:pStyle w:val="FootnoteText"/>
        <w:ind w:left="567" w:hanging="567"/>
        <w:rPr>
          <w:lang w:val="pt-PT"/>
        </w:rPr>
      </w:pPr>
      <w:r>
        <w:rPr>
          <w:rStyle w:val="FootnoteReference"/>
        </w:rPr>
        <w:footnoteRef/>
      </w:r>
      <w:r>
        <w:rPr>
          <w:lang w:val="pt-PT"/>
        </w:rPr>
        <w:t xml:space="preserve"> </w:t>
      </w:r>
      <w:r>
        <w:rPr>
          <w:lang w:val="pt-PT"/>
        </w:rPr>
        <w:tab/>
        <w:t xml:space="preserve">COM(2016) 450 final </w:t>
      </w:r>
      <w:r>
        <w:t>της</w:t>
      </w:r>
      <w:r>
        <w:rPr>
          <w:lang w:val="pt-PT"/>
        </w:rPr>
        <w:t xml:space="preserve"> 5.7.2016.</w:t>
      </w:r>
    </w:p>
  </w:footnote>
  <w:footnote w:id="16">
    <w:p>
      <w:pPr>
        <w:pStyle w:val="FootnoteText"/>
        <w:ind w:left="567" w:hanging="567"/>
        <w:rPr>
          <w:lang w:val="pt-PT"/>
        </w:rPr>
      </w:pPr>
      <w:r>
        <w:rPr>
          <w:rStyle w:val="FootnoteReference"/>
        </w:rPr>
        <w:footnoteRef/>
      </w:r>
      <w:r>
        <w:rPr>
          <w:lang w:val="pt-PT"/>
        </w:rPr>
        <w:t xml:space="preserve"> </w:t>
      </w:r>
      <w:r>
        <w:rPr>
          <w:lang w:val="pt-PT"/>
        </w:rPr>
        <w:tab/>
        <w:t xml:space="preserve">COM(2016) 826 final </w:t>
      </w:r>
      <w:r>
        <w:t>της</w:t>
      </w:r>
      <w:r>
        <w:rPr>
          <w:lang w:val="pt-PT"/>
        </w:rPr>
        <w:t xml:space="preserve"> 21.12.2016.</w:t>
      </w:r>
    </w:p>
  </w:footnote>
  <w:footnote w:id="17">
    <w:p>
      <w:pPr>
        <w:pStyle w:val="FootnoteText"/>
        <w:ind w:left="567" w:hanging="567"/>
        <w:rPr>
          <w:lang w:val="pt-PT"/>
        </w:rPr>
      </w:pPr>
      <w:r>
        <w:rPr>
          <w:rStyle w:val="FootnoteReference"/>
        </w:rPr>
        <w:footnoteRef/>
      </w:r>
      <w:r>
        <w:rPr>
          <w:lang w:val="pt-PT"/>
        </w:rPr>
        <w:t xml:space="preserve"> </w:t>
      </w:r>
      <w:r>
        <w:rPr>
          <w:lang w:val="pt-PT"/>
        </w:rPr>
        <w:tab/>
        <w:t xml:space="preserve">COM(2017) 477 final </w:t>
      </w:r>
      <w:r>
        <w:t>της</w:t>
      </w:r>
      <w:r>
        <w:rPr>
          <w:lang w:val="pt-PT"/>
        </w:rPr>
        <w:t xml:space="preserve"> 13.9.2017.</w:t>
      </w:r>
    </w:p>
  </w:footnote>
  <w:footnote w:id="18">
    <w:p>
      <w:pPr>
        <w:pStyle w:val="FootnoteText"/>
        <w:ind w:left="567" w:hanging="567"/>
        <w:rPr>
          <w:lang w:val="pt-PT"/>
        </w:rPr>
      </w:pPr>
      <w:r>
        <w:rPr>
          <w:rStyle w:val="FootnoteReference"/>
        </w:rPr>
        <w:footnoteRef/>
      </w:r>
      <w:r>
        <w:rPr>
          <w:lang w:val="pt-PT"/>
        </w:rPr>
        <w:t xml:space="preserve"> </w:t>
      </w:r>
      <w:r>
        <w:rPr>
          <w:lang w:val="pt-PT"/>
        </w:rPr>
        <w:tab/>
      </w:r>
      <w:hyperlink r:id="rId5">
        <w:r>
          <w:rPr>
            <w:rStyle w:val="Hyperlink"/>
            <w:lang w:val="pt-PT"/>
          </w:rPr>
          <w:t>http://ec.europa.eu/transparency/regexpert/index.cfm?do=groupDetail.groupDetailDoc&amp;id=36235&amp;no=1</w:t>
        </w:r>
      </w:hyperlink>
    </w:p>
  </w:footnote>
  <w:footnote w:id="19">
    <w:p>
      <w:pPr>
        <w:pStyle w:val="FootnoteText"/>
        <w:ind w:left="567" w:hanging="567"/>
      </w:pPr>
      <w:r>
        <w:rPr>
          <w:rStyle w:val="FootnoteReference"/>
        </w:rPr>
        <w:footnoteRef/>
      </w:r>
      <w:r>
        <w:t xml:space="preserve"> </w:t>
      </w:r>
      <w:r>
        <w:tab/>
        <w:t>Βλ. την ένατη έκθεση προόδου Προς μια αποτελεσματική και πραγματική Ένωση Ασφάλειας (COM(2017) 407 final της 26.7.2017) και το συνημμένο έγγραφο εργασίας των υπηρεσιών της Επιτροπής (SWD(2017) 278 final).</w:t>
      </w:r>
    </w:p>
  </w:footnote>
  <w:footnote w:id="20">
    <w:p>
      <w:pPr>
        <w:pStyle w:val="FootnoteText"/>
        <w:ind w:left="567" w:hanging="567"/>
        <w:rPr>
          <w:lang w:val="pt-PT"/>
        </w:rPr>
      </w:pPr>
      <w:r>
        <w:rPr>
          <w:rStyle w:val="FootnoteReference"/>
        </w:rPr>
        <w:footnoteRef/>
      </w:r>
      <w:r>
        <w:rPr>
          <w:lang w:val="pt-PT"/>
        </w:rPr>
        <w:t xml:space="preserve"> </w:t>
      </w:r>
      <w:r>
        <w:rPr>
          <w:lang w:val="pt-PT"/>
        </w:rPr>
        <w:tab/>
        <w:t xml:space="preserve">COM (2018)23 final (17 </w:t>
      </w:r>
      <w:r>
        <w:t>Ιανουαρίου</w:t>
      </w:r>
      <w:r>
        <w:rPr>
          <w:lang w:val="pt-PT"/>
        </w:rPr>
        <w:t xml:space="preserve"> 2018).</w:t>
      </w:r>
    </w:p>
  </w:footnote>
  <w:footnote w:id="21">
    <w:p>
      <w:pPr>
        <w:pStyle w:val="FootnoteText"/>
        <w:ind w:left="567" w:hanging="567"/>
        <w:rPr>
          <w:lang w:val="pt-PT"/>
        </w:rPr>
      </w:pPr>
      <w:r>
        <w:rPr>
          <w:rStyle w:val="FootnoteReference"/>
        </w:rPr>
        <w:footnoteRef/>
      </w:r>
      <w:r>
        <w:rPr>
          <w:lang w:val="pt-PT"/>
        </w:rPr>
        <w:t xml:space="preserve"> </w:t>
      </w:r>
      <w:r>
        <w:rPr>
          <w:lang w:val="pt-PT"/>
        </w:rPr>
        <w:tab/>
      </w:r>
      <w:hyperlink r:id="rId6">
        <w:r>
          <w:rPr>
            <w:lang w:val="pt-PT"/>
          </w:rPr>
          <w:t>COM(2017)</w:t>
        </w:r>
      </w:hyperlink>
      <w:r>
        <w:rPr>
          <w:lang w:val="pt-PT"/>
        </w:rPr>
        <w:t xml:space="preserve"> 555 final (28.9.2017).</w:t>
      </w:r>
    </w:p>
  </w:footnote>
  <w:footnote w:id="22">
    <w:p>
      <w:pPr>
        <w:pStyle w:val="FootnoteText"/>
        <w:ind w:left="567" w:hanging="567"/>
        <w:rPr>
          <w:lang w:val="en-GB"/>
        </w:rPr>
      </w:pPr>
      <w:r>
        <w:rPr>
          <w:rStyle w:val="FootnoteReference"/>
        </w:rPr>
        <w:footnoteRef/>
      </w:r>
      <w:r>
        <w:rPr>
          <w:lang w:val="en-GB"/>
        </w:rPr>
        <w:t xml:space="preserve"> </w:t>
      </w:r>
      <w:r>
        <w:rPr>
          <w:lang w:val="en-GB"/>
        </w:rPr>
        <w:tab/>
        <w:t xml:space="preserve">JOIN(2017) 450 final </w:t>
      </w:r>
      <w:r>
        <w:t>της</w:t>
      </w:r>
      <w:r>
        <w:rPr>
          <w:lang w:val="en-GB"/>
        </w:rPr>
        <w:t xml:space="preserve"> 13.9.2017.</w:t>
      </w:r>
    </w:p>
  </w:footnote>
  <w:footnote w:id="23">
    <w:p>
      <w:pPr>
        <w:pStyle w:val="FootnoteText"/>
        <w:ind w:left="567" w:hanging="567"/>
        <w:rPr>
          <w:lang w:val="en-GB"/>
        </w:rPr>
      </w:pPr>
      <w:r>
        <w:rPr>
          <w:rStyle w:val="FootnoteReference"/>
        </w:rPr>
        <w:footnoteRef/>
      </w:r>
      <w:r>
        <w:rPr>
          <w:lang w:val="en-GB"/>
        </w:rPr>
        <w:t xml:space="preserve"> </w:t>
      </w:r>
      <w:r>
        <w:rPr>
          <w:lang w:val="en-GB"/>
        </w:rPr>
        <w:tab/>
      </w:r>
      <w:hyperlink r:id="rId7">
        <w:r>
          <w:rPr>
            <w:rStyle w:val="Hyperlink"/>
            <w:lang w:val="en-GB"/>
          </w:rPr>
          <w:t>https://ec.europa.eu/eusurvey/runner/cybersecurity-survey</w:t>
        </w:r>
      </w:hyperlink>
      <w:r>
        <w:rPr>
          <w:lang w:val="en-GB"/>
        </w:rPr>
        <w:t>.</w:t>
      </w:r>
    </w:p>
  </w:footnote>
  <w:footnote w:id="24">
    <w:p>
      <w:pPr>
        <w:pStyle w:val="FootnoteText"/>
        <w:ind w:left="567" w:hanging="567"/>
        <w:rPr>
          <w:lang w:val="pt-PT"/>
        </w:rPr>
      </w:pPr>
      <w:r>
        <w:rPr>
          <w:rStyle w:val="FootnoteReference"/>
        </w:rPr>
        <w:footnoteRef/>
      </w:r>
      <w:r>
        <w:rPr>
          <w:lang w:val="pt-PT"/>
        </w:rPr>
        <w:t xml:space="preserve"> </w:t>
      </w:r>
      <w:r>
        <w:rPr>
          <w:lang w:val="pt-PT"/>
        </w:rPr>
        <w:tab/>
        <w:t>COM(2017) 489 final (13.9.2017).</w:t>
      </w:r>
    </w:p>
  </w:footnote>
  <w:footnote w:id="25">
    <w:p>
      <w:pPr>
        <w:pStyle w:val="FootnoteText"/>
        <w:ind w:left="567" w:hanging="567"/>
        <w:rPr>
          <w:lang w:val="pt-PT"/>
        </w:rPr>
      </w:pPr>
      <w:r>
        <w:rPr>
          <w:rStyle w:val="FootnoteReference"/>
        </w:rPr>
        <w:footnoteRef/>
      </w:r>
      <w:r>
        <w:rPr>
          <w:lang w:val="pt-PT"/>
        </w:rPr>
        <w:t xml:space="preserve"> </w:t>
      </w:r>
      <w:r>
        <w:rPr>
          <w:lang w:val="pt-PT"/>
        </w:rPr>
        <w:tab/>
        <w:t>COM(2017) 779 final (12.12.2017).</w:t>
      </w:r>
    </w:p>
  </w:footnote>
  <w:footnote w:id="26">
    <w:p>
      <w:pPr>
        <w:pStyle w:val="FootnoteText"/>
        <w:ind w:left="567" w:hanging="567"/>
        <w:rPr>
          <w:lang w:val="pt-PT"/>
        </w:rPr>
      </w:pPr>
      <w:r>
        <w:rPr>
          <w:rStyle w:val="FootnoteReference"/>
        </w:rPr>
        <w:footnoteRef/>
      </w:r>
      <w:r>
        <w:rPr>
          <w:lang w:val="pt-PT"/>
        </w:rPr>
        <w:t xml:space="preserve"> </w:t>
      </w:r>
      <w:r>
        <w:rPr>
          <w:lang w:val="pt-PT"/>
        </w:rPr>
        <w:tab/>
        <w:t xml:space="preserve">COM(2017) 612 final </w:t>
      </w:r>
      <w:r>
        <w:t>της</w:t>
      </w:r>
      <w:r>
        <w:rPr>
          <w:lang w:val="pt-PT"/>
        </w:rPr>
        <w:t xml:space="preserve"> 18.10.2017.</w:t>
      </w:r>
    </w:p>
  </w:footnote>
  <w:footnote w:id="27">
    <w:p>
      <w:pPr>
        <w:pStyle w:val="FootnoteText"/>
        <w:ind w:left="567" w:hanging="567"/>
        <w:rPr>
          <w:lang w:val="pt-PT"/>
        </w:rPr>
      </w:pPr>
      <w:r>
        <w:rPr>
          <w:rStyle w:val="FootnoteReference"/>
        </w:rPr>
        <w:footnoteRef/>
      </w:r>
      <w:r>
        <w:rPr>
          <w:lang w:val="pt-PT"/>
        </w:rPr>
        <w:t xml:space="preserve"> </w:t>
      </w:r>
      <w:r>
        <w:rPr>
          <w:lang w:val="pt-PT"/>
        </w:rPr>
        <w:tab/>
      </w:r>
      <w:hyperlink r:id="rId8">
        <w:r>
          <w:rPr>
            <w:rStyle w:val="Hyperlink"/>
            <w:lang w:val="pt-PT"/>
          </w:rPr>
          <w:t>http://www.uia-initiative.eu/en</w:t>
        </w:r>
      </w:hyperlink>
      <w:r>
        <w:rPr>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54A"/>
    <w:multiLevelType w:val="hybridMultilevel"/>
    <w:tmpl w:val="17404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7711DA"/>
    <w:multiLevelType w:val="hybridMultilevel"/>
    <w:tmpl w:val="2A4298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96D4686"/>
    <w:multiLevelType w:val="hybridMultilevel"/>
    <w:tmpl w:val="A4DE73C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C901EB1"/>
    <w:multiLevelType w:val="hybridMultilevel"/>
    <w:tmpl w:val="5C50D06C"/>
    <w:lvl w:ilvl="0" w:tplc="0809000B">
      <w:start w:val="1"/>
      <w:numFmt w:val="bullet"/>
      <w:lvlText w:val=""/>
      <w:lvlJc w:val="left"/>
      <w:pPr>
        <w:ind w:left="1498" w:hanging="360"/>
      </w:pPr>
      <w:rPr>
        <w:rFonts w:ascii="Wingdings" w:hAnsi="Wingdings"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4">
    <w:nsid w:val="0CBE0621"/>
    <w:multiLevelType w:val="hybridMultilevel"/>
    <w:tmpl w:val="A266C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6B67F8"/>
    <w:multiLevelType w:val="hybridMultilevel"/>
    <w:tmpl w:val="D1BA7B34"/>
    <w:lvl w:ilvl="0" w:tplc="402EA0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E0C1316"/>
    <w:multiLevelType w:val="hybridMultilevel"/>
    <w:tmpl w:val="B1101FFE"/>
    <w:lvl w:ilvl="0" w:tplc="08090005">
      <w:start w:val="1"/>
      <w:numFmt w:val="bullet"/>
      <w:lvlText w:val=""/>
      <w:lvlJc w:val="left"/>
      <w:pPr>
        <w:ind w:left="-2136" w:hanging="360"/>
      </w:pPr>
      <w:rPr>
        <w:rFonts w:ascii="Wingdings" w:hAnsi="Wingdings"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696" w:hanging="360"/>
      </w:pPr>
      <w:rPr>
        <w:rFonts w:ascii="Wingdings" w:hAnsi="Wingdings" w:hint="default"/>
      </w:rPr>
    </w:lvl>
    <w:lvl w:ilvl="3" w:tplc="08090001" w:tentative="1">
      <w:start w:val="1"/>
      <w:numFmt w:val="bullet"/>
      <w:lvlText w:val=""/>
      <w:lvlJc w:val="left"/>
      <w:pPr>
        <w:ind w:left="24" w:hanging="360"/>
      </w:pPr>
      <w:rPr>
        <w:rFonts w:ascii="Symbol" w:hAnsi="Symbol" w:hint="default"/>
      </w:rPr>
    </w:lvl>
    <w:lvl w:ilvl="4" w:tplc="08090003" w:tentative="1">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7">
    <w:nsid w:val="0E237974"/>
    <w:multiLevelType w:val="hybridMultilevel"/>
    <w:tmpl w:val="454604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E5C16DB"/>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1825784"/>
    <w:multiLevelType w:val="hybridMultilevel"/>
    <w:tmpl w:val="3DE020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AE45F1D"/>
    <w:multiLevelType w:val="hybridMultilevel"/>
    <w:tmpl w:val="1CDC88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1BB821B2"/>
    <w:multiLevelType w:val="hybridMultilevel"/>
    <w:tmpl w:val="A316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441E2C"/>
    <w:multiLevelType w:val="hybridMultilevel"/>
    <w:tmpl w:val="7872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672271"/>
    <w:multiLevelType w:val="hybridMultilevel"/>
    <w:tmpl w:val="EBEC46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03250CE"/>
    <w:multiLevelType w:val="hybridMultilevel"/>
    <w:tmpl w:val="789A29B2"/>
    <w:lvl w:ilvl="0" w:tplc="0809000B">
      <w:start w:val="1"/>
      <w:numFmt w:val="bullet"/>
      <w:lvlText w:val=""/>
      <w:lvlJc w:val="left"/>
      <w:pPr>
        <w:ind w:left="1680" w:hanging="360"/>
      </w:pPr>
      <w:rPr>
        <w:rFonts w:ascii="Wingdings" w:hAnsi="Wingdings"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6">
    <w:nsid w:val="23942F4F"/>
    <w:multiLevelType w:val="hybridMultilevel"/>
    <w:tmpl w:val="34BEA576"/>
    <w:lvl w:ilvl="0" w:tplc="0809000B">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7">
    <w:nsid w:val="24A638EF"/>
    <w:multiLevelType w:val="hybridMultilevel"/>
    <w:tmpl w:val="D5269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53F0E5B"/>
    <w:multiLevelType w:val="hybridMultilevel"/>
    <w:tmpl w:val="ECDA0E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DE02EA6"/>
    <w:multiLevelType w:val="hybridMultilevel"/>
    <w:tmpl w:val="A8E02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1BB1686"/>
    <w:multiLevelType w:val="hybridMultilevel"/>
    <w:tmpl w:val="948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2D2E26"/>
    <w:multiLevelType w:val="hybridMultilevel"/>
    <w:tmpl w:val="CF1E6B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5441FF6"/>
    <w:multiLevelType w:val="hybridMultilevel"/>
    <w:tmpl w:val="BF9A20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E241D1D"/>
    <w:multiLevelType w:val="hybridMultilevel"/>
    <w:tmpl w:val="106A1EF6"/>
    <w:lvl w:ilvl="0" w:tplc="0809000B">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nsid w:val="40FA720F"/>
    <w:multiLevelType w:val="hybridMultilevel"/>
    <w:tmpl w:val="E4A88B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1A80529"/>
    <w:multiLevelType w:val="hybridMultilevel"/>
    <w:tmpl w:val="BFF6B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81E65BC"/>
    <w:multiLevelType w:val="hybridMultilevel"/>
    <w:tmpl w:val="59CEC2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8511FDC"/>
    <w:multiLevelType w:val="hybridMultilevel"/>
    <w:tmpl w:val="CBC0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7D0EFC"/>
    <w:multiLevelType w:val="hybridMultilevel"/>
    <w:tmpl w:val="0AFC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CB3143"/>
    <w:multiLevelType w:val="hybridMultilevel"/>
    <w:tmpl w:val="49F46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DA842DD"/>
    <w:multiLevelType w:val="hybridMultilevel"/>
    <w:tmpl w:val="A4CCBC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EE96287"/>
    <w:multiLevelType w:val="hybridMultilevel"/>
    <w:tmpl w:val="409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4B30FA"/>
    <w:multiLevelType w:val="hybridMultilevel"/>
    <w:tmpl w:val="9552DC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2FD4507"/>
    <w:multiLevelType w:val="hybridMultilevel"/>
    <w:tmpl w:val="D14626EE"/>
    <w:lvl w:ilvl="0" w:tplc="402EA0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4F66B5B"/>
    <w:multiLevelType w:val="hybridMultilevel"/>
    <w:tmpl w:val="8CCE47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C64F23"/>
    <w:multiLevelType w:val="hybridMultilevel"/>
    <w:tmpl w:val="C8EA5C66"/>
    <w:lvl w:ilvl="0" w:tplc="78F27E6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C350CE"/>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4081965"/>
    <w:multiLevelType w:val="hybridMultilevel"/>
    <w:tmpl w:val="D9008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E17035"/>
    <w:multiLevelType w:val="hybridMultilevel"/>
    <w:tmpl w:val="00DAEE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AC8218D"/>
    <w:multiLevelType w:val="hybridMultilevel"/>
    <w:tmpl w:val="B97C74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BF35B20"/>
    <w:multiLevelType w:val="hybridMultilevel"/>
    <w:tmpl w:val="58F62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25"/>
  </w:num>
  <w:num w:numId="3">
    <w:abstractNumId w:val="30"/>
  </w:num>
  <w:num w:numId="4">
    <w:abstractNumId w:val="18"/>
  </w:num>
  <w:num w:numId="5">
    <w:abstractNumId w:val="9"/>
  </w:num>
  <w:num w:numId="6">
    <w:abstractNumId w:val="28"/>
  </w:num>
  <w:num w:numId="7">
    <w:abstractNumId w:val="20"/>
  </w:num>
  <w:num w:numId="8">
    <w:abstractNumId w:val="12"/>
  </w:num>
  <w:num w:numId="9">
    <w:abstractNumId w:val="10"/>
  </w:num>
  <w:num w:numId="10">
    <w:abstractNumId w:val="26"/>
  </w:num>
  <w:num w:numId="11">
    <w:abstractNumId w:val="24"/>
  </w:num>
  <w:num w:numId="12">
    <w:abstractNumId w:val="19"/>
  </w:num>
  <w:num w:numId="13">
    <w:abstractNumId w:val="7"/>
  </w:num>
  <w:num w:numId="14">
    <w:abstractNumId w:val="38"/>
  </w:num>
  <w:num w:numId="15">
    <w:abstractNumId w:val="33"/>
  </w:num>
  <w:num w:numId="16">
    <w:abstractNumId w:val="5"/>
  </w:num>
  <w:num w:numId="17">
    <w:abstractNumId w:val="2"/>
  </w:num>
  <w:num w:numId="18">
    <w:abstractNumId w:val="34"/>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num>
  <w:num w:numId="23">
    <w:abstractNumId w:val="40"/>
  </w:num>
  <w:num w:numId="24">
    <w:abstractNumId w:val="37"/>
  </w:num>
  <w:num w:numId="25">
    <w:abstractNumId w:val="32"/>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9"/>
  </w:num>
  <w:num w:numId="31">
    <w:abstractNumId w:val="36"/>
  </w:num>
  <w:num w:numId="32">
    <w:abstractNumId w:val="27"/>
  </w:num>
  <w:num w:numId="33">
    <w:abstractNumId w:val="1"/>
  </w:num>
  <w:num w:numId="34">
    <w:abstractNumId w:val="23"/>
  </w:num>
  <w:num w:numId="35">
    <w:abstractNumId w:val="16"/>
  </w:num>
  <w:num w:numId="36">
    <w:abstractNumId w:val="3"/>
  </w:num>
  <w:num w:numId="37">
    <w:abstractNumId w:val="13"/>
  </w:num>
  <w:num w:numId="38">
    <w:abstractNumId w:val="39"/>
  </w:num>
  <w:num w:numId="39">
    <w:abstractNumId w:val="22"/>
  </w:num>
  <w:num w:numId="40">
    <w:abstractNumId w:val="21"/>
  </w:num>
  <w:num w:numId="41">
    <w:abstractNumId w:val="15"/>
  </w:num>
  <w:num w:numId="42">
    <w:abstractNumId w:val="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7C0DAC7-A1C3-4491-A374-29DC086D9204"/>
    <w:docVar w:name="LW_COVERPAGE_TYPE" w:val="1"/>
    <w:docVar w:name="LW_CROSSREFERENCE" w:val="&lt;UNUSED&gt;"/>
    <w:docVar w:name="LW_DocType" w:val="NORMAL"/>
    <w:docVar w:name="LW_EMISSION" w:val="24.1.2018"/>
    <w:docVar w:name="LW_EMISSION_ISODATE" w:val="2018-01-24"/>
    <w:docVar w:name="LW_EMISSION_LOCATION" w:val="BRX"/>
    <w:docVar w:name="LW_EMISSION_PREFIX" w:val="Βρυξέλλες, "/>
    <w:docVar w:name="LW_EMISSION_SUFFIX" w:val="&lt;EMPTY&gt;"/>
    <w:docVar w:name="LW_ID_DOCTYPE_NONLW" w:val="CP-0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916?\u941?\u954?\u945?\u964?\u951? \u964?\u961?\u943?\u964?\u951? \u941?\u954?\u952?\u949?\u963?\u951? \u960?\u961?\u959?\u972?\u948?\u959?\u965? \u960?\u961?\u959?\u962? \u956?\u953?\u945? \u945?\u960?\u959?\u964?\u949?\u955?\u949?\u963?\u956?\u945?\u964?\u953?\u954?\u942? \u954?\u945?\u953? \u960?\u961?\u945?\u947?\u956?\u945?\u964?\u953?\u954?\u942? \u904?\u957?\u969?\u963?\u951? \u913?\u963?\u966?\u940?\u955?\u949?\u953?\u945?\u962? "/>
    <w:docVar w:name="LW_TYPE.DOC.CP" w:val="_x000b_ \u913?\u925?\u913?\u922?\u927?\u921?\u925?\u937?\u931?\u919? \u932?\u919?\u931? \u917?\u928?\u921?\u932?\u929?\u927?\u928?\u919?\u931? \u928?\u929?\u927?\u931? \u932?\u927? \u917?\u933?\u929?\u937?\u928?\u913?\u938?\u922?\u927? \u922?\u927?\u921?\u925?\u927?\u914?\u927?\u933?\u923?\u921?\u927?, \u932?\u927? \u917?\u933?\u929?\u937?\u928?\u913?\u938?\u922?\u927? \u931?\u933?\u924?\u914?\u927?\u933?\u923?\u921?\u927? \u922?\u913?\u921? \u932?\u927? \u931?\u933?\u924?\u914?\u927?\u933?\u923?\u921?\u927?_x000b_ "/>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2683">
      <w:bodyDiv w:val="1"/>
      <w:marLeft w:val="0"/>
      <w:marRight w:val="0"/>
      <w:marTop w:val="0"/>
      <w:marBottom w:val="0"/>
      <w:divBdr>
        <w:top w:val="none" w:sz="0" w:space="0" w:color="auto"/>
        <w:left w:val="none" w:sz="0" w:space="0" w:color="auto"/>
        <w:bottom w:val="none" w:sz="0" w:space="0" w:color="auto"/>
        <w:right w:val="none" w:sz="0" w:space="0" w:color="auto"/>
      </w:divBdr>
    </w:div>
    <w:div w:id="121730454">
      <w:bodyDiv w:val="1"/>
      <w:marLeft w:val="0"/>
      <w:marRight w:val="0"/>
      <w:marTop w:val="0"/>
      <w:marBottom w:val="0"/>
      <w:divBdr>
        <w:top w:val="none" w:sz="0" w:space="0" w:color="auto"/>
        <w:left w:val="none" w:sz="0" w:space="0" w:color="auto"/>
        <w:bottom w:val="none" w:sz="0" w:space="0" w:color="auto"/>
        <w:right w:val="none" w:sz="0" w:space="0" w:color="auto"/>
      </w:divBdr>
    </w:div>
    <w:div w:id="268855867">
      <w:bodyDiv w:val="1"/>
      <w:marLeft w:val="0"/>
      <w:marRight w:val="0"/>
      <w:marTop w:val="0"/>
      <w:marBottom w:val="0"/>
      <w:divBdr>
        <w:top w:val="none" w:sz="0" w:space="0" w:color="auto"/>
        <w:left w:val="none" w:sz="0" w:space="0" w:color="auto"/>
        <w:bottom w:val="none" w:sz="0" w:space="0" w:color="auto"/>
        <w:right w:val="none" w:sz="0" w:space="0" w:color="auto"/>
      </w:divBdr>
    </w:div>
    <w:div w:id="289091121">
      <w:bodyDiv w:val="1"/>
      <w:marLeft w:val="0"/>
      <w:marRight w:val="0"/>
      <w:marTop w:val="0"/>
      <w:marBottom w:val="0"/>
      <w:divBdr>
        <w:top w:val="none" w:sz="0" w:space="0" w:color="auto"/>
        <w:left w:val="none" w:sz="0" w:space="0" w:color="auto"/>
        <w:bottom w:val="none" w:sz="0" w:space="0" w:color="auto"/>
        <w:right w:val="none" w:sz="0" w:space="0" w:color="auto"/>
      </w:divBdr>
    </w:div>
    <w:div w:id="541206789">
      <w:bodyDiv w:val="1"/>
      <w:marLeft w:val="0"/>
      <w:marRight w:val="0"/>
      <w:marTop w:val="0"/>
      <w:marBottom w:val="0"/>
      <w:divBdr>
        <w:top w:val="none" w:sz="0" w:space="0" w:color="auto"/>
        <w:left w:val="none" w:sz="0" w:space="0" w:color="auto"/>
        <w:bottom w:val="none" w:sz="0" w:space="0" w:color="auto"/>
        <w:right w:val="none" w:sz="0" w:space="0" w:color="auto"/>
      </w:divBdr>
    </w:div>
    <w:div w:id="889533579">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115098425">
      <w:bodyDiv w:val="1"/>
      <w:marLeft w:val="0"/>
      <w:marRight w:val="0"/>
      <w:marTop w:val="0"/>
      <w:marBottom w:val="0"/>
      <w:divBdr>
        <w:top w:val="none" w:sz="0" w:space="0" w:color="auto"/>
        <w:left w:val="none" w:sz="0" w:space="0" w:color="auto"/>
        <w:bottom w:val="none" w:sz="0" w:space="0" w:color="auto"/>
        <w:right w:val="none" w:sz="0" w:space="0" w:color="auto"/>
      </w:divBdr>
    </w:div>
    <w:div w:id="1287470836">
      <w:bodyDiv w:val="1"/>
      <w:marLeft w:val="0"/>
      <w:marRight w:val="0"/>
      <w:marTop w:val="0"/>
      <w:marBottom w:val="0"/>
      <w:divBdr>
        <w:top w:val="none" w:sz="0" w:space="0" w:color="auto"/>
        <w:left w:val="none" w:sz="0" w:space="0" w:color="auto"/>
        <w:bottom w:val="none" w:sz="0" w:space="0" w:color="auto"/>
        <w:right w:val="none" w:sz="0" w:space="0" w:color="auto"/>
      </w:divBdr>
    </w:div>
    <w:div w:id="1639336877">
      <w:bodyDiv w:val="1"/>
      <w:marLeft w:val="0"/>
      <w:marRight w:val="0"/>
      <w:marTop w:val="0"/>
      <w:marBottom w:val="0"/>
      <w:divBdr>
        <w:top w:val="none" w:sz="0" w:space="0" w:color="auto"/>
        <w:left w:val="none" w:sz="0" w:space="0" w:color="auto"/>
        <w:bottom w:val="none" w:sz="0" w:space="0" w:color="auto"/>
        <w:right w:val="none" w:sz="0" w:space="0" w:color="auto"/>
      </w:divBdr>
    </w:div>
    <w:div w:id="2076707965">
      <w:bodyDiv w:val="1"/>
      <w:marLeft w:val="0"/>
      <w:marRight w:val="0"/>
      <w:marTop w:val="0"/>
      <w:marBottom w:val="0"/>
      <w:divBdr>
        <w:top w:val="none" w:sz="0" w:space="0" w:color="auto"/>
        <w:left w:val="none" w:sz="0" w:space="0" w:color="auto"/>
        <w:bottom w:val="none" w:sz="0" w:space="0" w:color="auto"/>
        <w:right w:val="none" w:sz="0" w:space="0" w:color="auto"/>
      </w:divBdr>
    </w:div>
    <w:div w:id="20944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ia-initiative.eu/en" TargetMode="External"/><Relationship Id="rId3" Type="http://schemas.openxmlformats.org/officeDocument/2006/relationships/hyperlink" Target="http://ec.europa.eu/transparency/regexpert/index.cfm?do=groupDetail.groupDetail&amp;groupID=3552" TargetMode="External"/><Relationship Id="rId7" Type="http://schemas.openxmlformats.org/officeDocument/2006/relationships/hyperlink" Target="https://ec.europa.eu/eusurvey/runner/cybersecurity-survey" TargetMode="External"/><Relationship Id="rId2" Type="http://schemas.openxmlformats.org/officeDocument/2006/relationships/hyperlink" Target="http://www.consilium.europa.eu/media/21594/leaders-agenda.pdf" TargetMode="External"/><Relationship Id="rId1" Type="http://schemas.openxmlformats.org/officeDocument/2006/relationships/hyperlink" Target="https://ec.europa.eu/commission/publications/joint-declaration-eus-legislative-priorities-2018_en" TargetMode="External"/><Relationship Id="rId6" Type="http://schemas.openxmlformats.org/officeDocument/2006/relationships/hyperlink" Target="http://eur-lex.europa.eu/legal-content/EN/TXT/PDF/?uri=CELEX:52017DC0555&amp;from=en" TargetMode="External"/><Relationship Id="rId5" Type="http://schemas.openxmlformats.org/officeDocument/2006/relationships/hyperlink" Target="http://ec.europa.eu/transparency/regexpert/index.cfm?do=groupDetail.groupDetailDoc&amp;id=36235&amp;no=1" TargetMode="External"/><Relationship Id="rId4" Type="http://schemas.openxmlformats.org/officeDocument/2006/relationships/hyperlink" Target="https://www.europol.europa.eu/newsroom/news/more-one-million-operational-messages-shared-between-europol-member-states-and-third-parties-in-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E6E5-7526-4F4C-9225-A2BAB908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4937</Words>
  <Characters>29923</Characters>
  <Application>Microsoft Office Word</Application>
  <DocSecurity>0</DocSecurity>
  <Lines>453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2018-01-16T15:23:00Z</cp:lastPrinted>
  <dcterms:created xsi:type="dcterms:W3CDTF">2018-01-31T18:48:00Z</dcterms:created>
  <dcterms:modified xsi:type="dcterms:W3CDTF">2018-02-01T08:56:00Z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