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030C5C23-1B97-4AAE-A78C-B745A5BA5E6B" style="width:450.75pt;height:306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ZPRÁVA KOMISE RADĚ A EVROPSKÉMU PARLAMENTU</w:t>
      </w:r>
    </w:p>
    <w:p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Provoz reaktoru s vysokým tokem neutronů v letech 2014–2015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Dne 13. listopadu 2012 přijala Rada doplňkový program výzkumu</w:t>
      </w:r>
      <w:r>
        <w:rPr>
          <w:rFonts w:ascii="Times New Roman" w:hAnsi="Times New Roman"/>
          <w:noProof/>
          <w:sz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</w:rPr>
        <w:t>, který má být po dobu čtyř let (2012–2015) prováděn Společným výzkumným střediskem (JRC) a který je určen pro provoz reaktoru s vysokým tokem neutronů (HFR) v nizozemském Pettenu. Podle článku 4 tohoto rozhodnutí Rady má Komise předkládat Evropskému parlamentu a Radě zprávu o provádění doplňkového programu výzkumu. Zpráva v polovině období se již zabývala obdobím 2012–2013</w:t>
      </w:r>
      <w:r>
        <w:rPr>
          <w:rFonts w:ascii="Times New Roman" w:hAnsi="Times New Roman"/>
          <w:noProof/>
          <w:sz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</w:rPr>
        <w:t xml:space="preserve">, a proto se tato závěrečná zpráva zaměří na zbývající období 2014–2015. 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Reaktor HFR je v provozu od roku 1961 a nabízí různé možnosti umístění ozařování (aktivní zóna reaktoru, jeho reflektor a nádrž).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Hlavní cíle doplňkového programu výzkumu jsou:</w:t>
      </w:r>
    </w:p>
    <w:p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Zajistit bezpečný a spolehlivý provoz HFR tak, aby se zaručila dostupnost toku neutronů pro experimentální účely.</w:t>
      </w:r>
    </w:p>
    <w:p>
      <w:pPr>
        <w:pStyle w:val="Bullet0"/>
        <w:rPr>
          <w:noProof/>
        </w:rPr>
      </w:pPr>
      <w:r>
        <w:rPr>
          <w:noProof/>
        </w:rPr>
        <w:t>Umožnit efektivní využívání HFR výzkumnými instituty v široké škále oborů: zlepšení bezpečnosti jaderných reaktorů, ochrana zdraví včetně vývoje lékařských izotopů, jaderná fúze, základní výzkum a vzdělávání a nakládání s odpadem včetně možnosti studia bezpečnostních otázek jaderných paliv pro reaktorové systémy, jež jsou předmětem zájmu v Evropě.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HFR se využívá pro komerční výrobu radioizotopů a je rovněž zařízením odborné přípravy pro studenty doktorandského studia a jeho absolventy, jimž umožňuje vykonávat výzkumnou činnost prostřednictvím vnitrostátních nebo evropských programů.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1. Bezpečný provoz HFR</w:t>
      </w:r>
    </w:p>
    <w:p>
      <w:pPr>
        <w:widowControl w:val="0"/>
        <w:spacing w:after="135" w:line="278" w:lineRule="exact"/>
        <w:ind w:left="40" w:right="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bookmark12"/>
      <w:r>
        <w:rPr>
          <w:rFonts w:ascii="Times New Roman" w:hAnsi="Times New Roman"/>
          <w:noProof/>
          <w:sz w:val="24"/>
        </w:rPr>
        <w:t>Vlastníkem HFR je Evropské společenství pro atomovou energii (Euratom) (v nájmu na dobu 99 let). Reaktor HFR je provozován společností NRG (Nuclear Research and Consultancy Group), která provozuje a udržuje celé zařízení a řídí komerční činnosti související s reaktorem. Její provozní povolení vystavil nizozemský celostátní regulační orgán KFD (Kernfysische Dienst). Stejně jako u jaderných elektráren se na HFR vztahují zákonem požadované desetileté pravidelné kontroly bezpečnosti, které provádí NRG.</w:t>
      </w:r>
    </w:p>
    <w:p>
      <w:pPr>
        <w:widowControl w:val="0"/>
        <w:spacing w:after="135" w:line="278" w:lineRule="exact"/>
        <w:ind w:left="40" w:right="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Období 2014–2015 se vyznačovalo jednou událostí související s bezpečností (ve druhé polovině roku 2015), která měla dopad na dostupnost toku neutronů.</w:t>
      </w:r>
    </w:p>
    <w:bookmarkEnd w:id="2"/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 neplánové odstávce trvající čtyři měsíce byl provoz reaktoru HFR v únoru 2014 obnoven. Cyklus zahrnoval plánovaný počet 216 provozních dní, plánované čtyřdenní odstávky reaktoru a delší období odstávky v délce 65 dní v říjnu a listopadu 2014. Tento výsledek představuje skutečnou dostupnost ve výši 100 % s ohledem na původní plán pravidelného provozu. Jmenovitý výkon v tomto období byl 45 MW.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Provoz HFR byl v roce 2015 naplánován na devět cyklů s 271 plánovanými dny provozu na plný výkon, z nichž však bylo dosaženo pouze 230. Hlavní příčinou ztráty dnů provozu na plný výkon bylo zrušení cyklu 2015-08 v říjnu 2015. K přeskočení tohoto cyklu došlo kvůli deviacím ve výkonu systému regulačních tyčí. Z kontrol a analýz vyplynulo, že v jedné z regulačních tyčí reaktoru používaných k úpravě výkonu reaktoru existuje marginální prostor. Ačkoli tento fakt neměl žádný vliv na funkčnost regulačních tyčí ani na bezpečnost reaktoru, byl preventivně vypracován nový postup pro montáž, zprovoznění, údržbu a kontrolu regulačních tyčí tak, aby se do budoucna takovým případům předešlo. Tento postup byl poté zahrnut do bezpečnostní dokumentace, která byla vyhodnocena výborem pro bezpečnost reaktorů a Autoriteit nucleaire Veiligheid en Stralingsbescherming (ANVS) – nizozemským dozorným orgánem pro jadernou bezpečnost. ANVS předložil formální prohlášení, že nemá námitky proti opětovnému zprovoznění reaktoru. V prosinci 2015 došlo k opětovnému bezpečnému zprovoznění reaktoru HFR. V úzké spolupráci s odborníky na problematiku nýtování a po absolvování technické návštěvy reaktoru SAFARI v Jižní Africe (jehož regulační tyče jsou koncipovány obdobně) bylo rozhodnuto vypracovat rovněž lepší koncept struktury regulační tyče. V rámci tohoto nového konceptu se ke zlepšení bezpečnostního rozpětí použijí jiné nýty. Kromě toho bude s využitím jiného nosného materiálu vylepšeno uložení vedení regulačních tyčí. Tyto úpravy budou provedeny v letech 2018 až 2019.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Jmenovitý výkon v tomto období byl 45 MW.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Roční školení obsluhy reaktoru 30 MW a roční měření toku proběhla během vykazovaného období (2014–2015) podle plánu.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Údržba v letech 2014 a 2015 se skládala z preventivní, korektivní a povýpadkové údržby všech systémů, struktur a složek HFR, jak je popsáno v ročních a dlouhodobých plánech údržby. Tyto činnosti byly prováděny s cílem zajistit bezpečný a spolehlivý provoz HFR tak, aby se předešlo náhodným odstávkám způsobeným nedostatečnou údržbou. Úspěšně dokončeny byly tyto činnosti:</w:t>
      </w:r>
    </w:p>
    <w:p>
      <w:pPr>
        <w:pStyle w:val="Bullet0"/>
        <w:rPr>
          <w:noProof/>
        </w:rPr>
      </w:pPr>
      <w:r>
        <w:rPr>
          <w:noProof/>
        </w:rPr>
        <w:t>plánovaná pravidelná preventivní a korektivní údržba,</w:t>
      </w:r>
    </w:p>
    <w:p>
      <w:pPr>
        <w:pStyle w:val="Bullet0"/>
        <w:rPr>
          <w:noProof/>
        </w:rPr>
      </w:pPr>
      <w:r>
        <w:rPr>
          <w:noProof/>
        </w:rPr>
        <w:t xml:space="preserve">pravidelné zkoušky těsnosti kontejnmentu (0,02 MPa přetlaku po dobu 24 hodin), což je jeden z licenčních požadavků, </w:t>
      </w:r>
    </w:p>
    <w:p>
      <w:pPr>
        <w:pStyle w:val="Bullet0"/>
        <w:rPr>
          <w:noProof/>
        </w:rPr>
      </w:pPr>
      <w:r>
        <w:rPr>
          <w:noProof/>
        </w:rPr>
        <w:t>provozní inspekce bezpečnosti příslušných částí primárního systému (tlakové nádoby reaktoru, výstupních reduktorů, dna reaktoru a primárního potrubí v budově, v níž je umístěno primární čerpadlo),</w:t>
      </w:r>
    </w:p>
    <w:p>
      <w:pPr>
        <w:pStyle w:val="Bullet0"/>
        <w:rPr>
          <w:noProof/>
        </w:rPr>
      </w:pPr>
      <w:r>
        <w:rPr>
          <w:noProof/>
        </w:rPr>
        <w:t>čištění sekundárního chladicího systému,</w:t>
      </w:r>
    </w:p>
    <w:p>
      <w:pPr>
        <w:pStyle w:val="Bullet0"/>
        <w:rPr>
          <w:noProof/>
        </w:rPr>
      </w:pPr>
      <w:r>
        <w:rPr>
          <w:noProof/>
        </w:rPr>
        <w:t>revize záložních naftových generátorů.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2. Výzkum a výroba izotopů</w:t>
      </w:r>
    </w:p>
    <w:p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2.1 Výzkum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V období 2014–2015 proběhly tyto vědecké činnosti (z nichž mnohé pokračovaly z období 2012–2013):</w:t>
      </w:r>
    </w:p>
    <w:p>
      <w:pPr>
        <w:pStyle w:val="Bullet0"/>
        <w:rPr>
          <w:noProof/>
        </w:rPr>
      </w:pPr>
      <w:r>
        <w:rPr>
          <w:noProof/>
        </w:rPr>
        <w:t>pokusy s ozařováním jaderného paliva, při nichž se zjišťovalo snížení radiotoxicity jaderného odpadu, technické otázky transmutace minoritních aktinidů (tj. schopnost retence produktů štěpení, neprašný proces, bobtnání vlivem helia),</w:t>
      </w:r>
    </w:p>
    <w:p>
      <w:pPr>
        <w:pStyle w:val="Bullet0"/>
        <w:rPr>
          <w:noProof/>
        </w:rPr>
      </w:pPr>
      <w:r>
        <w:rPr>
          <w:noProof/>
        </w:rPr>
        <w:t>kvalifikace jaderného paliva (např. pro vysokoteplotní reaktory a reaktory chlazené roztavenou solí) a grafitu (pro vysokoteplotní reaktory),</w:t>
      </w:r>
    </w:p>
    <w:p>
      <w:pPr>
        <w:pStyle w:val="Bullet0"/>
        <w:rPr>
          <w:noProof/>
        </w:rPr>
      </w:pPr>
      <w:r>
        <w:rPr>
          <w:noProof/>
        </w:rPr>
        <w:t>pokusy za účelem zjištění degradace konstrukčního materiálu jaderného reaktoru při ozařování (grafity, modelové oceli, svary atd.),</w:t>
      </w:r>
    </w:p>
    <w:p>
      <w:pPr>
        <w:pStyle w:val="Bullet0"/>
        <w:rPr>
          <w:noProof/>
        </w:rPr>
      </w:pPr>
      <w:r>
        <w:rPr>
          <w:noProof/>
        </w:rPr>
        <w:t>technologie reaktoru pro jadernou syntézu použitá při ozařování a následné zkoumání materiálů, které mají být použity pro modul první stěny reaktoru ITER</w:t>
      </w:r>
      <w:r>
        <w:rPr>
          <w:rStyle w:val="tgc"/>
          <w:b/>
          <w:noProof/>
        </w:rPr>
        <w:t xml:space="preserve"> </w:t>
      </w:r>
      <w:r>
        <w:rPr>
          <w:noProof/>
        </w:rPr>
        <w:t>(Mezinárodní termonukleární experimentální reaktor),</w:t>
      </w:r>
    </w:p>
    <w:p>
      <w:pPr>
        <w:pStyle w:val="Bullet0"/>
        <w:rPr>
          <w:noProof/>
        </w:rPr>
      </w:pPr>
      <w:r>
        <w:rPr>
          <w:noProof/>
        </w:rPr>
        <w:t>standardizace materiálů (např. metoda neutronové difrakce pro měření zbytkového pnutí u silných bimetalických svarů, měření zbytkového pnutí).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4"/>
          <w:u w:val="single"/>
        </w:rPr>
      </w:pPr>
      <w:r>
        <w:rPr>
          <w:rFonts w:ascii="Times New Roman" w:hAnsi="Times New Roman"/>
          <w:b/>
          <w:noProof/>
          <w:color w:val="000000"/>
          <w:spacing w:val="-1"/>
          <w:sz w:val="24"/>
          <w:u w:val="single"/>
        </w:rPr>
        <w:t>2.2 Výroba izotopů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Přibližně 25 000 pacientů z celého světa je denně závislých na lékařských radioizotopech vyrobených v reaktoru HFR v Pettenu pro účely vystavení diagnózy a léčby.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Tyto lékařské izotopy dodává NRG zejména společnostem vyrábějícím radiofarmaka. Zdaleka nejdůležitějším z těchto izotopů je molybden-99. Je to předchůdce technecia-99 m, které představuje nejrozšířenější lékařský izotop pro zobrazování, na nějž připadá 80 % všech nukleárních diagnostických postupů. Plní zásadní úlohu při diagnostice onemocnění srdce a v rámci snímkování kostí a orgánů se používá rovněž pro diagnostiku rakoviny. Kromě toho jsou rozvíjeny nové léčebné metody, což vede ke stále větší poptávce po (nových) izotopech. Vzhledem k poločasu rozpadu vyrobených izotopů a vysoké poptávce po poskytnutí péče, má zásadní význam velmi dobře fungující včasná logistická infrastruktura.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Nashromážděné znalosti nizozemských odborníků z NRG, URENCO (společnost zabývající se jaderným palivem,</w:t>
      </w:r>
      <w:hyperlink r:id="rId15" w:tooltip="Uranium enrichment">
        <w:r>
          <w:rPr>
            <w:rFonts w:ascii="Times New Roman" w:hAnsi="Times New Roman"/>
            <w:noProof/>
            <w:sz w:val="24"/>
          </w:rPr>
          <w:t xml:space="preserve"> která provozuje</w:t>
        </w:r>
      </w:hyperlink>
      <w:r>
        <w:rPr>
          <w:rFonts w:ascii="Times New Roman" w:hAnsi="Times New Roman"/>
          <w:noProof/>
          <w:sz w:val="24"/>
        </w:rPr>
        <w:t xml:space="preserve"> několik zařízení na obohacování uranu) a TU Delft (Technická univerzita v Delftu) v oblasti lékařských radioizotopů se nedávno spojily do tzv. „Dutch Isotope Valley“ (DIVA), v jehož rámci znalosti, dovednosti, kapacita a alternativní výrobní postupy, pokud jde o (lékařské) izotopy, nabyly takového rozsahu, že jsou s to obsloužit světový trh. Skutečnost, že reaktor NRU v Chalk River v Kanadě ukončí běžnou výrobu Mo-99 a má být odstaven v roce 2018 a že Kanada se na úkor vývozu zaměří na domácí poptávku, představuje vynikající příležitost pro DIVA zaplnit produkční mezeru.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Za účelem provedení programu neporušenosti vybavení, který je předpokladem pro provoz HFR a jeho přidružených zařízení až do roku 2024, poskytla nizozemská vláda společnosti NRG půjčku (prostřednictvím její dceřiné společnosti ECN). Souběžně s tím NRG úspěšně zvýšila ceny za celý balíček svých služeb, které všichni zákazníci akceptovali. Zejména šest největších zákazníků NRG se zájmem o izotopy této společnosti vyjádřilo důvěru tím, že s ní podepsali dlouhodobé dodavatelské smlouvy. Tím byl uskutečněn úspěšný krok k finanční stabilitě a životaschopnosti.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HFR byl opět uveden do provozu dne 14. února 2014 a v průběhu zbývající části téhož roku plnil svůj plán výroby podle harmonogramu. HFR se tak ocitl zpět na mezinárodní scéně jako jeden z hlavních výrobců lékařských izotopů po celém světě. V říjnu 2015 vypadl u HFR jeden výrobní cyklus, ale v prosinci 2015 již mohl být opět zprovozněn.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u w:val="single"/>
        </w:rPr>
      </w:pPr>
      <w:bookmarkStart w:id="3" w:name="_Toc274559249"/>
      <w:r>
        <w:rPr>
          <w:rFonts w:ascii="Times New Roman" w:hAnsi="Times New Roman"/>
          <w:b/>
          <w:noProof/>
          <w:sz w:val="24"/>
          <w:u w:val="single"/>
        </w:rPr>
        <w:t xml:space="preserve">3. Finanční příspěvky na provádění </w:t>
      </w:r>
      <w:bookmarkEnd w:id="3"/>
      <w:r>
        <w:rPr>
          <w:rFonts w:ascii="Times New Roman" w:hAnsi="Times New Roman"/>
          <w:b/>
          <w:noProof/>
          <w:sz w:val="24"/>
          <w:u w:val="single"/>
        </w:rPr>
        <w:t>programu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V letech 2014 až 2015 poskytly členské státy na provádění doplňkového programu tyto finanční příspěvky:</w:t>
      </w:r>
    </w:p>
    <w:p>
      <w:pPr>
        <w:pStyle w:val="Bullet0"/>
        <w:rPr>
          <w:noProof/>
        </w:rPr>
      </w:pPr>
      <w:r>
        <w:rPr>
          <w:noProof/>
        </w:rPr>
        <w:t>Belgie: 300 000 EUR (2014) + 300 000 EUR (2015)</w:t>
      </w:r>
    </w:p>
    <w:p>
      <w:pPr>
        <w:pStyle w:val="Bullet0"/>
        <w:rPr>
          <w:noProof/>
        </w:rPr>
      </w:pPr>
      <w:r>
        <w:rPr>
          <w:noProof/>
        </w:rPr>
        <w:t>Francie: 300 000 EUR (2014) + 300 000 EUR (2015)</w:t>
      </w:r>
    </w:p>
    <w:p>
      <w:pPr>
        <w:pStyle w:val="Bullet0"/>
        <w:rPr>
          <w:noProof/>
        </w:rPr>
      </w:pPr>
      <w:r>
        <w:rPr>
          <w:noProof/>
        </w:rPr>
        <w:t>Nizozemsko: 7 250 000 EUR (2014) + 7 250 000 EUR (2015)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To představuje celkovou částku ve výši 15 700 000 EUR. Tyto příspěvky pokrývají náklady uvedené v příloze II rozhodnutí Rady 2012/709/Euratom. Komise nehradí provozní schodek ani případné náklady na údržbu nebo opravu. Z této částky je financován fond pro vyřazování zařízení z provozu a další výdaje v souvislosti s řízením doplňkového programu výzkumu Komisí.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Od roku 2004 se roční příspěvek doplňkového programu na fond pro vyřazování zařízení z provozu v důsledku přehodnocení nákladů na vyřazování zařízení z provozu zvýšil z 400 000 EUR/rok na 800 000 EUR/rok. Tato částka je hrazena a) z běžného rozpočtu doplňkového programu výzkumu a b) z úroků připsaných na bankovní účet fondu pro vyřazování zařízení z provozu v rámci doplňkového programu výzkumu. Například v roce 2014 činila odhadovaná částka úroků vzniklých na účtu fondu 145 000 EUR. Z běžného rozpočtu doplňkového programu výzkumu bylo proto nutné doplnit již jen 655 000 EUR, aby byla dosažena částka 800 000 EUR/rok. Celková částka fondu pro vyřazování zařízení z provozu činila 17 239 000 EUR. Tento fond přispěje k pokrytí budoucích nákladů na vyřazení reaktoru HFR z provozu (které má uhradit Euratom), jež jsou podle nejnovější dostupné studie o vyřazování zařízení z provozu odhadovány na 72 600 000 EUR</w:t>
      </w:r>
      <w:r>
        <w:rPr>
          <w:rFonts w:ascii="Times New Roman" w:hAnsi="Times New Roman"/>
          <w:noProof/>
          <w:sz w:val="24"/>
          <w:vertAlign w:val="superscript"/>
        </w:rPr>
        <w:footnoteReference w:id="3"/>
      </w:r>
      <w:r>
        <w:rPr>
          <w:rFonts w:ascii="Times New Roman" w:hAnsi="Times New Roman"/>
          <w:noProof/>
          <w:sz w:val="24"/>
        </w:rPr>
        <w:t xml:space="preserve">. 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Další výdaje vzniklé JRC během vykazovaného období a hrazené přímo z rozpočtu doplňkového programu výzkumu zahrnují:</w:t>
      </w:r>
    </w:p>
    <w:p>
      <w:pPr>
        <w:pStyle w:val="Bullet0"/>
        <w:rPr>
          <w:noProof/>
        </w:rPr>
      </w:pPr>
      <w:r>
        <w:rPr>
          <w:noProof/>
        </w:rPr>
        <w:t>přímé náklady na zaměstnance (např. HFR – řízení doplňkového programu výzkumu): 257 000 EUR</w:t>
      </w:r>
    </w:p>
    <w:p>
      <w:pPr>
        <w:pStyle w:val="Bullet0"/>
        <w:rPr>
          <w:noProof/>
        </w:rPr>
      </w:pPr>
      <w:r>
        <w:rPr>
          <w:noProof/>
        </w:rPr>
        <w:t>náklady HFR na podporu (např. právní poradenství): 166 000 EUR</w:t>
      </w:r>
    </w:p>
    <w:p>
      <w:pPr>
        <w:pStyle w:val="Bullet0"/>
        <w:rPr>
          <w:noProof/>
        </w:rPr>
      </w:pPr>
      <w:r>
        <w:rPr>
          <w:noProof/>
        </w:rPr>
        <w:t>veřejné služby (např. elektřina, voda, topení); 1 040 000 EUR</w:t>
      </w:r>
    </w:p>
    <w:p>
      <w:pPr>
        <w:pStyle w:val="Bullet0"/>
        <w:rPr>
          <w:noProof/>
        </w:rPr>
      </w:pPr>
      <w:r>
        <w:rPr>
          <w:noProof/>
        </w:rPr>
        <w:t>náklady na likvidaci vyhořelého paliva: 2 450 000 EUR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color w:val="000000"/>
          <w:spacing w:val="-1"/>
          <w:sz w:val="24"/>
        </w:rPr>
        <w:t xml:space="preserve">Průvodní </w:t>
      </w:r>
      <w:r>
        <w:rPr>
          <w:rFonts w:ascii="Times New Roman" w:hAnsi="Times New Roman"/>
          <w:noProof/>
          <w:sz w:val="24"/>
        </w:rPr>
        <w:t>pracovní dokument útvarů Komise uvádí technické výsledky provozu HFR v letech 2014–2015 podrobněji.</w:t>
      </w:r>
      <w:bookmarkStart w:id="4" w:name="_CopyToNewDocument_"/>
      <w:bookmarkEnd w:id="4"/>
    </w:p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21719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ROZHODNUTÍ RADY ze dne 13. listopadu 2012 o přijetí doplňkového programu výzkumu reaktoru s vysokým tokem neutronů na období 2012–2015, který má být prováděn Společným výzkumným střediskem pro Evropské společenství pro atomovou energii (rozhodnutí Rady 2012/709/Euratom).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ZPRÁVA KOMISE RADĚ A EVROPSKÉMU PARLAMENTU Provoz reaktoru s vysokým tokem neutronů v období 2012–13 (COM(2016) 170).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Sdělení Komise Radě a Evropskému parlamentu – Vyřazování jaderných zařízení z provozu a nakládání s radioaktivními odpady: Řízení jaderných závazků vyplývajících z činnosti Společného výzkumného střediska (SVS) prováděné v rámci Smlouvy o Euratomu (COM(2013) 734 final).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127F"/>
    <w:multiLevelType w:val="singleLevel"/>
    <w:tmpl w:val="057A5296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030C5C23-1B97-4AAE-A78C-B745A5BA5E6B"/>
    <w:docVar w:name="LW_COVERPAGE_TYPE" w:val="1"/>
    <w:docVar w:name="LW_CROSSREFERENCE" w:val="{SWD(2018) 46 final}"/>
    <w:docVar w:name="LW_DocType" w:val="NORMAL"/>
    <w:docVar w:name="LW_EMISSION" w:val="27.2.2018"/>
    <w:docVar w:name="LW_EMISSION_ISODATE" w:val="2018-02-27"/>
    <w:docVar w:name="LW_EMISSION_LOCATION" w:val="BRX"/>
    <w:docVar w:name="LW_EMISSION_PREFIX" w:val="V Bruselu dne "/>
    <w:docVar w:name="LW_EMISSION_SUFFIX" w:val="&lt;EMPTY&gt;"/>
    <w:docVar w:name="LW_ID_DOCTYPE_NONLW" w:val="CP-005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8) 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Provoz reaktoru s vysokým tokem neutron\u367? v letech 2014\u8211?2015"/>
    <w:docVar w:name="LW_TYPE.DOC.CP" w:val="ZPRÁVA KOMISE RAD\u282? A EVROPSKÉMU PARLAMENTU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Bullet0">
    <w:name w:val="Bullet 0"/>
    <w:basedOn w:val="Normal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Bullet0">
    <w:name w:val="Bullet 0"/>
    <w:basedOn w:val="Normal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ranium_enrichment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1561</Words>
  <Characters>9200</Characters>
  <Application>Microsoft Office Word</Application>
  <DocSecurity>0</DocSecurity>
  <Lines>155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2017-12-12T13:25:00Z</dcterms:created>
  <dcterms:modified xsi:type="dcterms:W3CDTF">2018-02-20T10:28:00Z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</Properties>
</file>