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DCF9B6A1-65E3-4BA8-9B16-71CE708634F1" style="width:450.7pt;height:348.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Heading2"/>
        <w:numPr>
          <w:ilvl w:val="0"/>
          <w:numId w:val="18"/>
        </w:numPr>
        <w:spacing w:before="240" w:after="240"/>
        <w:ind w:hanging="720"/>
        <w:rPr>
          <w:rFonts w:ascii="Times New Roman" w:hAnsi="Times New Roman" w:cs="Times New Roman"/>
          <w:noProof/>
          <w:color w:val="auto"/>
          <w:sz w:val="28"/>
          <w:szCs w:val="28"/>
        </w:rPr>
      </w:pPr>
      <w:bookmarkStart w:id="1" w:name="_GoBack"/>
      <w:bookmarkEnd w:id="1"/>
      <w:r>
        <w:rPr>
          <w:rFonts w:ascii="Times New Roman" w:hAnsi="Times New Roman"/>
          <w:noProof/>
          <w:color w:val="auto"/>
          <w:sz w:val="28"/>
        </w:rPr>
        <w:lastRenderedPageBreak/>
        <w:t>Introducción</w:t>
      </w:r>
    </w:p>
    <w:p>
      <w:pPr>
        <w:jc w:val="both"/>
        <w:rPr>
          <w:rFonts w:ascii="Times New Roman" w:hAnsi="Times New Roman"/>
          <w:noProof/>
          <w:sz w:val="24"/>
          <w:szCs w:val="24"/>
        </w:rPr>
      </w:pPr>
      <w:r>
        <w:rPr>
          <w:rFonts w:ascii="Times New Roman" w:hAnsi="Times New Roman"/>
          <w:noProof/>
          <w:sz w:val="24"/>
        </w:rPr>
        <w:t>Los peces de piscifactoría están amparados por el</w:t>
      </w:r>
      <w:r>
        <w:rPr>
          <w:rFonts w:ascii="Times New Roman" w:hAnsi="Times New Roman"/>
          <w:b/>
          <w:noProof/>
          <w:sz w:val="24"/>
        </w:rPr>
        <w:t xml:space="preserve"> </w:t>
      </w:r>
      <w:r>
        <w:rPr>
          <w:rFonts w:ascii="Times New Roman" w:hAnsi="Times New Roman"/>
          <w:noProof/>
          <w:sz w:val="24"/>
        </w:rPr>
        <w:t>Reglamento (CE) n.º 1099/2009 del Consejo, relativo a la protección de los animales en el momento de la matanza («el Reglamento»)</w:t>
      </w:r>
      <w:r>
        <w:rPr>
          <w:rFonts w:ascii="Times New Roman" w:hAnsi="Times New Roman"/>
          <w:noProof/>
          <w:sz w:val="24"/>
          <w:vertAlign w:val="superscript"/>
        </w:rPr>
        <w:footnoteReference w:id="1"/>
      </w:r>
      <w:r>
        <w:rPr>
          <w:rFonts w:ascii="Times New Roman" w:hAnsi="Times New Roman"/>
          <w:noProof/>
          <w:sz w:val="24"/>
        </w:rPr>
        <w:t>. Sin embargo, tan solo la disposición general contemplada en su artículo 3, apartado 1, es aplicable a los peces de piscifactoría: «</w:t>
      </w:r>
      <w:r>
        <w:rPr>
          <w:rFonts w:ascii="Times New Roman" w:hAnsi="Times New Roman"/>
          <w:i/>
          <w:noProof/>
          <w:sz w:val="24"/>
        </w:rPr>
        <w:t>Durante la matanza o las operaciones conexas a ella no se causará a los animales ningún dolor, angustia o sufrimiento evitable</w:t>
      </w:r>
      <w:r>
        <w:rPr>
          <w:rFonts w:ascii="Times New Roman" w:hAnsi="Times New Roman"/>
          <w:noProof/>
          <w:sz w:val="24"/>
        </w:rPr>
        <w:t xml:space="preserve">.» </w:t>
      </w:r>
    </w:p>
    <w:p>
      <w:pPr>
        <w:jc w:val="both"/>
        <w:rPr>
          <w:rFonts w:ascii="Times New Roman" w:hAnsi="Times New Roman"/>
          <w:noProof/>
          <w:sz w:val="24"/>
          <w:szCs w:val="24"/>
        </w:rPr>
      </w:pPr>
      <w:r>
        <w:rPr>
          <w:rFonts w:ascii="Times New Roman" w:hAnsi="Times New Roman"/>
          <w:noProof/>
          <w:sz w:val="24"/>
        </w:rPr>
        <w:t>Además, el artículo 27, apartado 1, del Reglamento dispone que «</w:t>
      </w:r>
      <w:r>
        <w:rPr>
          <w:rFonts w:ascii="Times New Roman" w:hAnsi="Times New Roman"/>
          <w:i/>
          <w:noProof/>
          <w:sz w:val="24"/>
        </w:rPr>
        <w:t>[...] la Comisión presentará al Parlamento Europeo y al Consejo un informe sobre la posibilidad de introducir determinados requisitos en relación con la protección de los peces en el momento de su matanza teniendo en cuenta los aspectos relativos al bienestar animal así como el impacto socioeconómico y medioambiental».</w:t>
      </w:r>
    </w:p>
    <w:p>
      <w:pPr>
        <w:jc w:val="both"/>
        <w:rPr>
          <w:rFonts w:ascii="Times New Roman" w:hAnsi="Times New Roman"/>
          <w:noProof/>
          <w:sz w:val="24"/>
          <w:szCs w:val="24"/>
        </w:rPr>
      </w:pPr>
      <w:r>
        <w:rPr>
          <w:rFonts w:ascii="Times New Roman" w:hAnsi="Times New Roman"/>
          <w:noProof/>
          <w:sz w:val="24"/>
        </w:rPr>
        <w:t>El presente informe tiene por objeto cumplir lo dispuesto en el artículo 27, apartado 1, del Reglamento. Se incluye también un análisis del impacto socioeconómico en el momento del sacrificio, aunque los posibles efectos medioambientales no se han tenido en cuenta en este informe, pues su impacto se considera insignificante en el momento de la matanza</w:t>
      </w:r>
      <w:r>
        <w:rPr>
          <w:rStyle w:val="FootnoteReference"/>
          <w:rFonts w:ascii="Times New Roman" w:hAnsi="Times New Roman"/>
          <w:noProof/>
          <w:sz w:val="24"/>
        </w:rPr>
        <w:footnoteReference w:id="2"/>
      </w:r>
      <w:r>
        <w:rPr>
          <w:rFonts w:ascii="Times New Roman" w:hAnsi="Times New Roman"/>
          <w:noProof/>
          <w:sz w:val="24"/>
        </w:rPr>
        <w:t xml:space="preserve">. </w:t>
      </w:r>
    </w:p>
    <w:p>
      <w:pPr>
        <w:jc w:val="both"/>
        <w:rPr>
          <w:rFonts w:ascii="Times New Roman" w:hAnsi="Times New Roman"/>
          <w:noProof/>
          <w:sz w:val="24"/>
          <w:szCs w:val="24"/>
        </w:rPr>
      </w:pPr>
      <w:r>
        <w:rPr>
          <w:rFonts w:ascii="Times New Roman" w:hAnsi="Times New Roman"/>
          <w:noProof/>
          <w:sz w:val="24"/>
        </w:rPr>
        <w:t>El informe constituye también una de las acciones indicadas en la estrategia de la Unión Europea para la protección y el bienestar de los animales 2012-2015</w:t>
      </w:r>
      <w:r>
        <w:rPr>
          <w:rFonts w:ascii="Times New Roman" w:hAnsi="Times New Roman"/>
          <w:noProof/>
          <w:sz w:val="24"/>
          <w:vertAlign w:val="superscript"/>
        </w:rPr>
        <w:footnoteReference w:id="3"/>
      </w:r>
      <w:r>
        <w:rPr>
          <w:rFonts w:ascii="Times New Roman" w:hAnsi="Times New Roman"/>
          <w:noProof/>
          <w:sz w:val="24"/>
        </w:rPr>
        <w:t>.</w:t>
      </w:r>
    </w:p>
    <w:p>
      <w:pPr>
        <w:jc w:val="both"/>
        <w:rPr>
          <w:rFonts w:ascii="Times New Roman" w:hAnsi="Times New Roman"/>
          <w:noProof/>
          <w:sz w:val="24"/>
          <w:szCs w:val="24"/>
        </w:rPr>
      </w:pPr>
      <w:r>
        <w:rPr>
          <w:rFonts w:ascii="Times New Roman" w:hAnsi="Times New Roman"/>
          <w:noProof/>
          <w:sz w:val="24"/>
        </w:rPr>
        <w:t>La Organización Mundial de Sanidad Animal (OIE) ha adoptado recomendaciones sobre aspectos relativos al bienestar en el aturdimiento y sacrificio de peces de cultivo para consumo humano</w:t>
      </w:r>
      <w:r>
        <w:rPr>
          <w:rFonts w:ascii="Times New Roman" w:hAnsi="Times New Roman"/>
          <w:noProof/>
          <w:sz w:val="24"/>
          <w:vertAlign w:val="superscript"/>
        </w:rPr>
        <w:footnoteReference w:id="4"/>
      </w:r>
      <w:r>
        <w:rPr>
          <w:rFonts w:ascii="Times New Roman" w:hAnsi="Times New Roman"/>
          <w:noProof/>
          <w:sz w:val="24"/>
        </w:rPr>
        <w:t xml:space="preserve">. Estas recomendaciones son pertinentes también en la UE, pues todos los Estados miembros de la UE son miembros de la OIE. </w:t>
      </w:r>
    </w:p>
    <w:p>
      <w:pPr>
        <w:spacing w:after="120"/>
        <w:jc w:val="both"/>
        <w:rPr>
          <w:rFonts w:ascii="Times New Roman" w:hAnsi="Times New Roman"/>
          <w:noProof/>
          <w:sz w:val="24"/>
          <w:szCs w:val="24"/>
        </w:rPr>
      </w:pPr>
      <w:r>
        <w:rPr>
          <w:rFonts w:ascii="Times New Roman" w:hAnsi="Times New Roman"/>
          <w:noProof/>
          <w:sz w:val="24"/>
        </w:rPr>
        <w:t>En cuanto al bienestar de las principales especies de peces de piscifactoría de la UE, la Autoridad Europea de Seguridad Alimentaria (EFSA) publicó en 2009 varios dictámenes sobre los aspectos de los principales sistemas de aturdimiento y matanza</w:t>
      </w:r>
      <w:r>
        <w:rPr>
          <w:rFonts w:ascii="Times New Roman" w:hAnsi="Times New Roman"/>
          <w:noProof/>
          <w:sz w:val="24"/>
          <w:vertAlign w:val="superscript"/>
        </w:rPr>
        <w:footnoteReference w:id="5"/>
      </w:r>
      <w:r>
        <w:rPr>
          <w:rFonts w:ascii="Times New Roman" w:hAnsi="Times New Roman"/>
          <w:noProof/>
          <w:sz w:val="24"/>
        </w:rPr>
        <w:t xml:space="preserve">. Dichos dictámenes </w:t>
      </w:r>
      <w:r>
        <w:rPr>
          <w:rFonts w:ascii="Times New Roman" w:hAnsi="Times New Roman"/>
          <w:noProof/>
          <w:sz w:val="24"/>
        </w:rPr>
        <w:lastRenderedPageBreak/>
        <w:t xml:space="preserve">demostraron que existen cuestiones por resolver en el sector de la acuicultura con respecto al mantenimiento del bienestar de los peces en el momento de su matanza. Aplicando un enfoque basado en el riesgo, los principales peligros identificados fueron: </w:t>
      </w:r>
    </w:p>
    <w:p>
      <w:pPr>
        <w:spacing w:after="120"/>
        <w:ind w:left="142"/>
        <w:jc w:val="both"/>
        <w:rPr>
          <w:rFonts w:ascii="Times New Roman" w:hAnsi="Times New Roman"/>
          <w:noProof/>
          <w:sz w:val="24"/>
          <w:szCs w:val="24"/>
        </w:rPr>
      </w:pPr>
      <w:r>
        <w:rPr>
          <w:rFonts w:ascii="Times New Roman" w:hAnsi="Times New Roman"/>
          <w:noProof/>
          <w:sz w:val="24"/>
        </w:rPr>
        <w:t>1) manejo o procedimientos relacionados con el manejo (p. ej. concentración, bombeo, tiempo fuera del agua),</w:t>
      </w:r>
    </w:p>
    <w:p>
      <w:pPr>
        <w:spacing w:after="120"/>
        <w:ind w:left="142"/>
        <w:jc w:val="both"/>
        <w:rPr>
          <w:rFonts w:ascii="Times New Roman" w:hAnsi="Times New Roman"/>
          <w:noProof/>
          <w:sz w:val="24"/>
          <w:szCs w:val="24"/>
        </w:rPr>
      </w:pPr>
      <w:r>
        <w:rPr>
          <w:rFonts w:ascii="Times New Roman" w:hAnsi="Times New Roman"/>
          <w:noProof/>
          <w:sz w:val="24"/>
        </w:rPr>
        <w:t xml:space="preserve">2) calidad del agua en el tanque/jaula de pesca, </w:t>
      </w:r>
    </w:p>
    <w:p>
      <w:pPr>
        <w:ind w:left="142"/>
        <w:jc w:val="both"/>
        <w:rPr>
          <w:rFonts w:ascii="Times New Roman" w:hAnsi="Times New Roman"/>
          <w:noProof/>
          <w:sz w:val="24"/>
          <w:szCs w:val="24"/>
        </w:rPr>
      </w:pPr>
      <w:r>
        <w:rPr>
          <w:rFonts w:ascii="Times New Roman" w:hAnsi="Times New Roman"/>
          <w:noProof/>
          <w:sz w:val="24"/>
        </w:rPr>
        <w:t xml:space="preserve">3) métodos de aturdimiento y matanza. </w:t>
      </w:r>
    </w:p>
    <w:p>
      <w:pPr>
        <w:jc w:val="both"/>
        <w:rPr>
          <w:rFonts w:ascii="Times New Roman" w:hAnsi="Times New Roman"/>
          <w:noProof/>
          <w:sz w:val="24"/>
          <w:szCs w:val="24"/>
        </w:rPr>
      </w:pPr>
      <w:r>
        <w:rPr>
          <w:rFonts w:ascii="Times New Roman" w:hAnsi="Times New Roman"/>
          <w:noProof/>
          <w:sz w:val="24"/>
        </w:rPr>
        <w:t xml:space="preserve">La EFSA concluyó que muchos de los métodos y la mayoría de los equipos utilizados en ese momento se traducían en un bienestar precario de los peces. Por esta razón, la EFSA propuso algunas recomendaciones para las operaciones tanto previas al sacrificio como de aturdimiento y matanza. También se puso de relieve la existencia de considerables oportunidades de desarrollo de nuevos métodos de aturdimiento o matanza para todas las especies de peces evaluadas. </w:t>
      </w:r>
    </w:p>
    <w:p>
      <w:pPr>
        <w:jc w:val="both"/>
        <w:rPr>
          <w:rFonts w:ascii="Times New Roman" w:hAnsi="Times New Roman"/>
          <w:noProof/>
          <w:sz w:val="24"/>
          <w:szCs w:val="24"/>
        </w:rPr>
      </w:pPr>
      <w:r>
        <w:rPr>
          <w:rFonts w:ascii="Times New Roman" w:hAnsi="Times New Roman"/>
          <w:noProof/>
          <w:sz w:val="24"/>
        </w:rPr>
        <w:t>Con el fin de ayudar a la elaboración de este informe, en 2016 se encargó un informe de estudio independiente a un contratista externo seleccionado</w:t>
      </w:r>
      <w:r>
        <w:rPr>
          <w:rFonts w:ascii="Times New Roman" w:hAnsi="Times New Roman"/>
          <w:noProof/>
          <w:sz w:val="24"/>
          <w:vertAlign w:val="superscript"/>
        </w:rPr>
        <w:footnoteReference w:id="6"/>
      </w:r>
      <w:r>
        <w:rPr>
          <w:rFonts w:ascii="Times New Roman" w:hAnsi="Times New Roman"/>
          <w:noProof/>
          <w:sz w:val="24"/>
        </w:rPr>
        <w:t xml:space="preserve">. El objeto del estudio encargado era recopilar información sobre las prácticas actuales de bienestar animal en acuicultura en Europa, en especial en lo que respecta al sacrificio de peces de piscifactoría, y analizar en qué medida existían cuestiones aún sin resolver relacionadas con el bienestar de los peces. Se tuvieron en cuenta los costes vinculados a la aplicación de buenas prácticas en materia de bienestar, la situación económica, los efectos sobre la competitividad y otros factores. El estudio se centró en las cinco principales especies de peces de piscifactoría en varios países del EEE seleccionados con el fin de ofrecer una imagen general de la situación actual de la acuicultura europea: salmón atlántico (agua marina fría); carpa común y trucha arco iris (agua dulce), y lubina europea y dorada (agua marina mediterránea), como se describe en el cuadro 1 siguiente. </w:t>
      </w:r>
    </w:p>
    <w:p>
      <w:pPr>
        <w:jc w:val="both"/>
        <w:rPr>
          <w:rFonts w:ascii="Times New Roman" w:hAnsi="Times New Roman"/>
          <w:noProof/>
          <w:sz w:val="24"/>
          <w:szCs w:val="24"/>
        </w:rPr>
      </w:pPr>
      <w:r>
        <w:rPr>
          <w:rFonts w:ascii="Times New Roman" w:hAnsi="Times New Roman"/>
          <w:noProof/>
          <w:sz w:val="24"/>
        </w:rPr>
        <w:t>Como valor de referencia para la evaluación de las prácticas de bienestar se utilizaron las normas internacionales de la OIE sobre bienestar animal durante el transporte y el aturdimiento y matanza de peces de piscifactoría para el consumo humano. Asimismo se tuvieron en cuenta las recomendaciones de la EFSA sobre sacrificio. El estudio abarcó el periodo comprendido entre 2009 y 2013</w:t>
      </w:r>
      <w:r>
        <w:rPr>
          <w:rFonts w:ascii="Times New Roman" w:hAnsi="Times New Roman"/>
          <w:noProof/>
          <w:sz w:val="24"/>
          <w:vertAlign w:val="superscript"/>
        </w:rPr>
        <w:footnoteReference w:id="7"/>
      </w:r>
      <w:r>
        <w:rPr>
          <w:rFonts w:ascii="Times New Roman" w:hAnsi="Times New Roman"/>
          <w:noProof/>
          <w:sz w:val="24"/>
        </w:rPr>
        <w:t xml:space="preserve"> a fin de permitir la evaluación de cambios o variaciones hacia los métodos de manipulación, transporte y aturdimiento/matanza exigidos en las normas de la OIE o recomendados por la EFSA. Para garantizar una recogida de datos amplia y fiable, se contactó con todas las partes interesadas pertinentes (p. ej., Estados miembros, sector, científicos, fabricantes de equipos y organizaciones protectoras de animales), que contribuyeron a través de consultas abiertas y específicas.</w:t>
      </w:r>
    </w:p>
    <w:p>
      <w:pPr>
        <w:keepNext/>
        <w:keepLines/>
        <w:spacing w:after="120"/>
        <w:jc w:val="both"/>
        <w:rPr>
          <w:rFonts w:ascii="Times New Roman" w:hAnsi="Times New Roman"/>
          <w:noProof/>
          <w:sz w:val="24"/>
          <w:szCs w:val="24"/>
        </w:rPr>
      </w:pPr>
      <w:bookmarkStart w:id="2" w:name="_Toc476912994"/>
      <w:r>
        <w:rPr>
          <w:rFonts w:ascii="Times New Roman" w:hAnsi="Times New Roman"/>
          <w:noProof/>
          <w:sz w:val="24"/>
        </w:rPr>
        <w:t>Este informe se basó en las siguientes fuentes de información:</w:t>
      </w:r>
      <w:bookmarkEnd w:id="2"/>
    </w:p>
    <w:p>
      <w:pPr>
        <w:keepNext/>
        <w:keepLines/>
        <w:numPr>
          <w:ilvl w:val="0"/>
          <w:numId w:val="8"/>
        </w:numPr>
        <w:ind w:left="426" w:hanging="284"/>
        <w:jc w:val="both"/>
        <w:rPr>
          <w:rFonts w:ascii="Times New Roman" w:hAnsi="Times New Roman"/>
          <w:noProof/>
          <w:sz w:val="24"/>
          <w:szCs w:val="24"/>
        </w:rPr>
      </w:pPr>
      <w:bookmarkStart w:id="3" w:name="_Toc476913344"/>
      <w:bookmarkStart w:id="4" w:name="_Toc476912999"/>
      <w:r>
        <w:rPr>
          <w:rFonts w:ascii="Times New Roman" w:hAnsi="Times New Roman"/>
          <w:noProof/>
          <w:sz w:val="24"/>
        </w:rPr>
        <w:t xml:space="preserve">El citado informe del estudio sobre el bienestar de los peces de piscifactoría, que incluye: </w:t>
      </w:r>
    </w:p>
    <w:p>
      <w:pPr>
        <w:keepNext/>
        <w:keepLines/>
        <w:numPr>
          <w:ilvl w:val="1"/>
          <w:numId w:val="8"/>
        </w:numPr>
        <w:spacing w:after="120"/>
        <w:jc w:val="both"/>
        <w:rPr>
          <w:rFonts w:ascii="Times New Roman" w:hAnsi="Times New Roman"/>
          <w:noProof/>
          <w:sz w:val="24"/>
          <w:szCs w:val="24"/>
        </w:rPr>
      </w:pPr>
      <w:r>
        <w:rPr>
          <w:rFonts w:ascii="Times New Roman" w:hAnsi="Times New Roman"/>
          <w:noProof/>
          <w:sz w:val="24"/>
        </w:rPr>
        <w:t>Investigación documental: revisión bibliográfica y búsquedas en bases de datos utilizando datos del Comité Científico, Técnico y Económico de Pesca (CCTEP)</w:t>
      </w:r>
      <w:r>
        <w:rPr>
          <w:rFonts w:ascii="Times New Roman" w:hAnsi="Times New Roman"/>
          <w:noProof/>
          <w:sz w:val="24"/>
          <w:vertAlign w:val="superscript"/>
        </w:rPr>
        <w:footnoteReference w:id="8"/>
      </w:r>
      <w:r>
        <w:rPr>
          <w:rFonts w:ascii="Times New Roman" w:hAnsi="Times New Roman"/>
          <w:noProof/>
          <w:sz w:val="24"/>
        </w:rPr>
        <w:t xml:space="preserve"> y Eurostat; datos procedentes de otras fuentes, incluidas organizaciones sectoriales a escala de la UE, el EEE (Espacio Económico Europeo) y nacional</w:t>
      </w:r>
      <w:bookmarkEnd w:id="3"/>
      <w:r>
        <w:rPr>
          <w:rFonts w:ascii="Times New Roman" w:hAnsi="Times New Roman"/>
          <w:noProof/>
          <w:sz w:val="24"/>
        </w:rPr>
        <w:t>;</w:t>
      </w:r>
    </w:p>
    <w:p>
      <w:pPr>
        <w:numPr>
          <w:ilvl w:val="1"/>
          <w:numId w:val="8"/>
        </w:numPr>
        <w:jc w:val="both"/>
        <w:rPr>
          <w:rFonts w:ascii="Times New Roman" w:hAnsi="Times New Roman"/>
          <w:noProof/>
          <w:sz w:val="24"/>
          <w:szCs w:val="24"/>
        </w:rPr>
      </w:pPr>
      <w:bookmarkStart w:id="5" w:name="_Toc476913345"/>
      <w:r>
        <w:rPr>
          <w:rFonts w:ascii="Times New Roman" w:hAnsi="Times New Roman"/>
          <w:noProof/>
          <w:sz w:val="24"/>
        </w:rPr>
        <w:t>Consulta: datos recabados en encuestas en línea</w:t>
      </w:r>
      <w:bookmarkStart w:id="6" w:name="_Toc476913346"/>
      <w:bookmarkEnd w:id="5"/>
      <w:r>
        <w:rPr>
          <w:rFonts w:ascii="Times New Roman" w:hAnsi="Times New Roman"/>
          <w:noProof/>
          <w:sz w:val="24"/>
        </w:rPr>
        <w:t xml:space="preserve">; entrevistas con partes interesadas seleccionadas, </w:t>
      </w:r>
      <w:bookmarkEnd w:id="6"/>
      <w:r>
        <w:rPr>
          <w:rFonts w:ascii="Times New Roman" w:hAnsi="Times New Roman"/>
          <w:noProof/>
          <w:sz w:val="24"/>
        </w:rPr>
        <w:t>y grupos temáticos</w:t>
      </w:r>
      <w:bookmarkStart w:id="7" w:name="_Ref463387737"/>
      <w:bookmarkStart w:id="8" w:name="_Toc470641271"/>
      <w:bookmarkStart w:id="9" w:name="_Toc470641611"/>
      <w:bookmarkStart w:id="10" w:name="_Toc477203070"/>
      <w:bookmarkStart w:id="11" w:name="_Toc495328576"/>
      <w:bookmarkEnd w:id="4"/>
      <w:r>
        <w:rPr>
          <w:rFonts w:ascii="Times New Roman" w:hAnsi="Times New Roman"/>
          <w:noProof/>
          <w:sz w:val="24"/>
        </w:rPr>
        <w:t xml:space="preserve">, como representantes de asociaciones de acuicultura, administraciones nacionales y regionales, grupos de productores y otras partes interesadas pertinentes, según proceda en los distintos países comprendidos en el estudio; </w:t>
      </w:r>
    </w:p>
    <w:p>
      <w:pPr>
        <w:numPr>
          <w:ilvl w:val="0"/>
          <w:numId w:val="8"/>
        </w:numPr>
        <w:ind w:left="426" w:hanging="284"/>
        <w:jc w:val="both"/>
        <w:rPr>
          <w:rFonts w:ascii="Times New Roman" w:hAnsi="Times New Roman"/>
          <w:noProof/>
          <w:sz w:val="24"/>
          <w:szCs w:val="24"/>
        </w:rPr>
      </w:pPr>
      <w:r>
        <w:rPr>
          <w:rFonts w:ascii="Times New Roman" w:hAnsi="Times New Roman"/>
          <w:noProof/>
          <w:sz w:val="24"/>
        </w:rPr>
        <w:t>Informe general de la Comisión sobre la aplicación de las normas relativas a la acuicultura de peces de aleta</w:t>
      </w:r>
      <w:r>
        <w:rPr>
          <w:rStyle w:val="FootnoteReference"/>
          <w:rFonts w:ascii="Times New Roman" w:hAnsi="Times New Roman"/>
          <w:noProof/>
          <w:sz w:val="24"/>
        </w:rPr>
        <w:footnoteReference w:id="9"/>
      </w:r>
      <w:r>
        <w:rPr>
          <w:rFonts w:ascii="Times New Roman" w:hAnsi="Times New Roman"/>
          <w:noProof/>
          <w:sz w:val="24"/>
        </w:rPr>
        <w:t xml:space="preserve">. </w:t>
      </w:r>
    </w:p>
    <w:p>
      <w:pPr>
        <w:spacing w:after="120" w:line="240" w:lineRule="auto"/>
        <w:jc w:val="center"/>
        <w:rPr>
          <w:rFonts w:ascii="Calibri" w:eastAsia="Times New Roman" w:hAnsi="Calibri" w:cs="Arial"/>
          <w:b/>
          <w:bCs/>
          <w:noProof/>
          <w:szCs w:val="20"/>
        </w:rPr>
      </w:pPr>
    </w:p>
    <w:p>
      <w:pPr>
        <w:spacing w:after="120" w:line="240" w:lineRule="auto"/>
        <w:jc w:val="center"/>
        <w:rPr>
          <w:rFonts w:ascii="Calibri" w:eastAsia="Times New Roman" w:hAnsi="Calibri" w:cs="Arial"/>
          <w:b/>
          <w:bCs/>
          <w:noProof/>
          <w:szCs w:val="20"/>
        </w:rPr>
      </w:pPr>
      <w:r>
        <w:rPr>
          <w:rFonts w:ascii="Calibri" w:hAnsi="Calibri"/>
          <w:b/>
          <w:noProof/>
        </w:rPr>
        <w:t xml:space="preserve">Cuadro </w:t>
      </w:r>
      <w:r>
        <w:rPr>
          <w:rFonts w:ascii="Calibri" w:eastAsia="Times New Roman" w:hAnsi="Calibri" w:cs="Arial"/>
          <w:b/>
          <w:bCs/>
          <w:noProof/>
          <w:szCs w:val="20"/>
        </w:rPr>
        <w:fldChar w:fldCharType="begin"/>
      </w:r>
      <w:r>
        <w:rPr>
          <w:rFonts w:ascii="Calibri" w:eastAsia="Times New Roman" w:hAnsi="Calibri" w:cs="Arial"/>
          <w:b/>
          <w:bCs/>
          <w:noProof/>
          <w:szCs w:val="20"/>
        </w:rPr>
        <w:instrText xml:space="preserve"> SEQ Table \* ARABIC </w:instrText>
      </w:r>
      <w:r>
        <w:rPr>
          <w:rFonts w:ascii="Calibri" w:eastAsia="Times New Roman" w:hAnsi="Calibri" w:cs="Arial"/>
          <w:b/>
          <w:bCs/>
          <w:noProof/>
          <w:szCs w:val="20"/>
        </w:rPr>
        <w:fldChar w:fldCharType="separate"/>
      </w:r>
      <w:r>
        <w:rPr>
          <w:rFonts w:ascii="Calibri" w:eastAsia="Times New Roman" w:hAnsi="Calibri" w:cs="Arial"/>
          <w:b/>
          <w:bCs/>
          <w:noProof/>
          <w:szCs w:val="20"/>
        </w:rPr>
        <w:t>1</w:t>
      </w:r>
      <w:r>
        <w:rPr>
          <w:rFonts w:ascii="Calibri" w:eastAsia="Times New Roman" w:hAnsi="Calibri" w:cs="Arial"/>
          <w:b/>
          <w:bCs/>
          <w:noProof/>
          <w:szCs w:val="20"/>
        </w:rPr>
        <w:fldChar w:fldCharType="end"/>
      </w:r>
      <w:bookmarkEnd w:id="7"/>
      <w:r>
        <w:rPr>
          <w:rFonts w:ascii="Calibri" w:hAnsi="Calibri"/>
          <w:b/>
          <w:noProof/>
        </w:rPr>
        <w:t>. Estados del EEE incluidos en el estudio</w:t>
      </w:r>
      <w:bookmarkEnd w:id="8"/>
      <w:bookmarkEnd w:id="9"/>
      <w:bookmarkEnd w:id="10"/>
      <w:bookmarkEnd w:id="11"/>
      <w:r>
        <w:rPr>
          <w:rStyle w:val="FootnoteReference"/>
          <w:rFonts w:ascii="Calibri" w:hAnsi="Calibri"/>
          <w:noProof/>
        </w:rPr>
        <w:footnoteReference w:id="10"/>
      </w:r>
      <w:r>
        <w:rPr>
          <w:rFonts w:ascii="Calibri" w:hAnsi="Calibri"/>
          <w:b/>
          <w:noProof/>
        </w:rPr>
        <w:t xml:space="preserve"> </w:t>
      </w:r>
    </w:p>
    <w:tbl>
      <w:tblPr>
        <w:tblW w:w="5080" w:type="pct"/>
        <w:jc w:val="center"/>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CellMar>
          <w:left w:w="180" w:type="dxa"/>
          <w:right w:w="180" w:type="dxa"/>
        </w:tblCellMar>
        <w:tblLook w:val="0000" w:firstRow="0" w:lastRow="0" w:firstColumn="0" w:lastColumn="0" w:noHBand="0" w:noVBand="0"/>
      </w:tblPr>
      <w:tblGrid>
        <w:gridCol w:w="2676"/>
        <w:gridCol w:w="2005"/>
        <w:gridCol w:w="1566"/>
        <w:gridCol w:w="1585"/>
        <w:gridCol w:w="1752"/>
      </w:tblGrid>
      <w:tr>
        <w:trPr>
          <w:trHeight w:val="284"/>
          <w:jc w:val="center"/>
        </w:trPr>
        <w:tc>
          <w:tcPr>
            <w:tcW w:w="1396" w:type="pct"/>
            <w:tcBorders>
              <w:right w:val="single" w:sz="2" w:space="0" w:color="FFFFFF" w:themeColor="background1"/>
            </w:tcBorders>
            <w:shd w:val="clear" w:color="auto" w:fill="1F497D" w:themeFill="text2"/>
            <w:vAlign w:val="center"/>
          </w:tcPr>
          <w:p>
            <w:pPr>
              <w:spacing w:before="60" w:after="60" w:line="240" w:lineRule="auto"/>
              <w:jc w:val="center"/>
              <w:rPr>
                <w:rFonts w:ascii="Calibri" w:eastAsia="Times New Roman" w:hAnsi="Calibri" w:cs="Arial"/>
                <w:b/>
                <w:bCs/>
                <w:noProof/>
                <w:color w:val="FFFFFF" w:themeColor="background1"/>
              </w:rPr>
            </w:pPr>
            <w:bookmarkStart w:id="12" w:name="_Toc476912692"/>
            <w:r>
              <w:rPr>
                <w:rFonts w:ascii="Calibri" w:hAnsi="Calibri"/>
                <w:b/>
                <w:noProof/>
                <w:color w:val="FFFFFF" w:themeColor="background1"/>
              </w:rPr>
              <w:t>Especies de peces</w:t>
            </w:r>
            <w:bookmarkEnd w:id="12"/>
            <w:r>
              <w:rPr>
                <w:rFonts w:ascii="Calibri" w:hAnsi="Calibri"/>
                <w:b/>
                <w:noProof/>
                <w:color w:val="FFFFFF" w:themeColor="background1"/>
              </w:rPr>
              <w:t>**</w:t>
            </w:r>
          </w:p>
        </w:tc>
        <w:tc>
          <w:tcPr>
            <w:tcW w:w="1046" w:type="pct"/>
            <w:tcBorders>
              <w:left w:val="single" w:sz="2" w:space="0" w:color="FFFFFF" w:themeColor="background1"/>
              <w:right w:val="single" w:sz="2" w:space="0" w:color="FFFFFF" w:themeColor="background1"/>
            </w:tcBorders>
            <w:shd w:val="clear" w:color="auto" w:fill="1F497D" w:themeFill="text2"/>
            <w:vAlign w:val="center"/>
          </w:tcPr>
          <w:p>
            <w:pPr>
              <w:spacing w:before="60" w:after="60" w:line="240" w:lineRule="auto"/>
              <w:jc w:val="center"/>
              <w:rPr>
                <w:rFonts w:ascii="Calibri" w:eastAsia="Times New Roman" w:hAnsi="Calibri" w:cs="Arial"/>
                <w:b/>
                <w:bCs/>
                <w:noProof/>
                <w:color w:val="FFFFFF" w:themeColor="background1"/>
              </w:rPr>
            </w:pPr>
            <w:bookmarkStart w:id="13" w:name="_Toc476912693"/>
            <w:r>
              <w:rPr>
                <w:rFonts w:ascii="Calibri" w:hAnsi="Calibri"/>
                <w:b/>
                <w:noProof/>
                <w:color w:val="FFFFFF" w:themeColor="background1"/>
              </w:rPr>
              <w:t>País en el estudio</w:t>
            </w:r>
            <w:bookmarkEnd w:id="13"/>
          </w:p>
        </w:tc>
        <w:tc>
          <w:tcPr>
            <w:tcW w:w="817" w:type="pct"/>
            <w:tcBorders>
              <w:left w:val="single" w:sz="2" w:space="0" w:color="FFFFFF" w:themeColor="background1"/>
              <w:right w:val="single" w:sz="2" w:space="0" w:color="FFFFFF" w:themeColor="background1"/>
            </w:tcBorders>
            <w:shd w:val="clear" w:color="auto" w:fill="1F497D" w:themeFill="text2"/>
            <w:vAlign w:val="center"/>
          </w:tcPr>
          <w:p>
            <w:pPr>
              <w:spacing w:before="60" w:after="60" w:line="240" w:lineRule="auto"/>
              <w:jc w:val="center"/>
              <w:rPr>
                <w:rFonts w:ascii="Calibri" w:eastAsia="Times New Roman" w:hAnsi="Calibri" w:cs="Arial"/>
                <w:b/>
                <w:bCs/>
                <w:noProof/>
                <w:color w:val="FFFFFF" w:themeColor="background1"/>
              </w:rPr>
            </w:pPr>
            <w:bookmarkStart w:id="14" w:name="_Toc476912694"/>
            <w:r>
              <w:rPr>
                <w:rFonts w:ascii="Calibri" w:hAnsi="Calibri"/>
                <w:b/>
                <w:noProof/>
                <w:color w:val="FFFFFF" w:themeColor="background1"/>
              </w:rPr>
              <w:t>Clasificación europea según producción</w:t>
            </w:r>
            <w:bookmarkEnd w:id="14"/>
          </w:p>
        </w:tc>
        <w:tc>
          <w:tcPr>
            <w:tcW w:w="827" w:type="pct"/>
            <w:tcBorders>
              <w:left w:val="single" w:sz="2" w:space="0" w:color="FFFFFF" w:themeColor="background1"/>
              <w:right w:val="single" w:sz="2" w:space="0" w:color="FFFFFF" w:themeColor="background1"/>
            </w:tcBorders>
            <w:shd w:val="clear" w:color="auto" w:fill="1F497D" w:themeFill="text2"/>
            <w:vAlign w:val="center"/>
          </w:tcPr>
          <w:p>
            <w:pPr>
              <w:spacing w:before="60" w:after="60" w:line="240" w:lineRule="auto"/>
              <w:jc w:val="center"/>
              <w:rPr>
                <w:rFonts w:ascii="Calibri" w:eastAsia="Times New Roman" w:hAnsi="Calibri" w:cs="Arial"/>
                <w:b/>
                <w:bCs/>
                <w:noProof/>
                <w:color w:val="FFFFFF" w:themeColor="background1"/>
              </w:rPr>
            </w:pPr>
            <w:bookmarkStart w:id="15" w:name="_Toc476912695"/>
            <w:r>
              <w:rPr>
                <w:rFonts w:ascii="Calibri" w:hAnsi="Calibri"/>
                <w:b/>
                <w:noProof/>
                <w:color w:val="FFFFFF" w:themeColor="background1"/>
              </w:rPr>
              <w:t>Producción (en toneladas) en 2014*</w:t>
            </w:r>
            <w:bookmarkEnd w:id="15"/>
          </w:p>
        </w:tc>
        <w:tc>
          <w:tcPr>
            <w:tcW w:w="914" w:type="pct"/>
            <w:tcBorders>
              <w:left w:val="single" w:sz="2" w:space="0" w:color="FFFFFF" w:themeColor="background1"/>
            </w:tcBorders>
            <w:shd w:val="clear" w:color="auto" w:fill="1F497D" w:themeFill="text2"/>
            <w:vAlign w:val="center"/>
          </w:tcPr>
          <w:p>
            <w:pPr>
              <w:spacing w:before="60" w:after="60" w:line="240" w:lineRule="auto"/>
              <w:jc w:val="center"/>
              <w:rPr>
                <w:rFonts w:ascii="Calibri" w:eastAsia="Times New Roman" w:hAnsi="Calibri" w:cs="Arial"/>
                <w:b/>
                <w:bCs/>
                <w:noProof/>
                <w:color w:val="FFFFFF" w:themeColor="background1"/>
              </w:rPr>
            </w:pPr>
            <w:bookmarkStart w:id="16" w:name="_Toc476912696"/>
            <w:r>
              <w:rPr>
                <w:rFonts w:ascii="Calibri" w:hAnsi="Calibri"/>
                <w:b/>
                <w:noProof/>
                <w:color w:val="FFFFFF" w:themeColor="background1"/>
              </w:rPr>
              <w:t>Tipo de producción</w:t>
            </w:r>
            <w:bookmarkEnd w:id="16"/>
          </w:p>
        </w:tc>
      </w:tr>
      <w:tr>
        <w:trPr>
          <w:trHeight w:val="527"/>
          <w:jc w:val="center"/>
        </w:trPr>
        <w:tc>
          <w:tcPr>
            <w:tcW w:w="1396" w:type="pct"/>
            <w:shd w:val="clear" w:color="auto" w:fill="FFFFFF" w:themeFill="background1"/>
            <w:vAlign w:val="center"/>
          </w:tcPr>
          <w:p>
            <w:pPr>
              <w:spacing w:before="60" w:after="60" w:line="240" w:lineRule="auto"/>
              <w:jc w:val="both"/>
              <w:rPr>
                <w:rFonts w:ascii="Calibri" w:eastAsia="Times New Roman" w:hAnsi="Calibri" w:cs="Arial"/>
                <w:bCs/>
                <w:noProof/>
                <w:szCs w:val="20"/>
              </w:rPr>
            </w:pPr>
            <w:bookmarkStart w:id="17" w:name="_Toc476912697"/>
            <w:r>
              <w:rPr>
                <w:rFonts w:ascii="Calibri" w:hAnsi="Calibri"/>
                <w:noProof/>
              </w:rPr>
              <w:t>Salmón atlántico</w:t>
            </w:r>
            <w:bookmarkEnd w:id="17"/>
          </w:p>
          <w:p>
            <w:pPr>
              <w:spacing w:before="60" w:after="60" w:line="240" w:lineRule="auto"/>
              <w:jc w:val="both"/>
              <w:rPr>
                <w:rFonts w:ascii="Calibri" w:eastAsia="Times New Roman" w:hAnsi="Calibri" w:cs="Arial"/>
                <w:bCs/>
                <w:noProof/>
                <w:szCs w:val="20"/>
              </w:rPr>
            </w:pPr>
            <w:r>
              <w:rPr>
                <w:rFonts w:ascii="Calibri" w:eastAsia="Times New Roman" w:hAnsi="Calibri" w:cs="Arial"/>
                <w:bCs/>
                <w:noProof/>
                <w:szCs w:val="20"/>
                <w:lang w:val="en-US" w:eastAsia="en-US" w:bidi="ar-SA"/>
              </w:rPr>
              <w:drawing>
                <wp:inline distT="0" distB="0" distL="0" distR="0">
                  <wp:extent cx="1257300" cy="457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57300" cy="457200"/>
                          </a:xfrm>
                          <a:prstGeom prst="rect">
                            <a:avLst/>
                          </a:prstGeom>
                          <a:noFill/>
                          <a:ln>
                            <a:noFill/>
                          </a:ln>
                        </pic:spPr>
                      </pic:pic>
                    </a:graphicData>
                  </a:graphic>
                </wp:inline>
              </w:drawing>
            </w:r>
          </w:p>
          <w:p>
            <w:pPr>
              <w:spacing w:before="60" w:after="60" w:line="240" w:lineRule="auto"/>
              <w:jc w:val="both"/>
              <w:rPr>
                <w:rFonts w:ascii="Calibri" w:eastAsia="Times New Roman" w:hAnsi="Calibri" w:cs="Arial"/>
                <w:bCs/>
                <w:noProof/>
                <w:szCs w:val="20"/>
              </w:rPr>
            </w:pPr>
          </w:p>
        </w:tc>
        <w:tc>
          <w:tcPr>
            <w:tcW w:w="1046" w:type="pct"/>
            <w:shd w:val="clear" w:color="auto" w:fill="FFFFFF" w:themeFill="background1"/>
            <w:vAlign w:val="center"/>
          </w:tcPr>
          <w:p>
            <w:pPr>
              <w:spacing w:before="60" w:after="60" w:line="240" w:lineRule="auto"/>
              <w:jc w:val="both"/>
              <w:rPr>
                <w:rFonts w:ascii="Calibri" w:eastAsia="Times New Roman" w:hAnsi="Calibri" w:cs="Arial"/>
                <w:bCs/>
                <w:noProof/>
                <w:szCs w:val="20"/>
                <w:vertAlign w:val="superscript"/>
                <w:lang w:val="pt-PT"/>
              </w:rPr>
            </w:pPr>
            <w:bookmarkStart w:id="18" w:name="_Toc476912698"/>
            <w:r>
              <w:rPr>
                <w:rFonts w:ascii="Calibri" w:hAnsi="Calibri"/>
                <w:noProof/>
                <w:lang w:val="pt-PT"/>
              </w:rPr>
              <w:t>Noruega</w:t>
            </w:r>
            <w:bookmarkEnd w:id="18"/>
            <w:r>
              <w:rPr>
                <w:rFonts w:ascii="Calibri" w:hAnsi="Calibri"/>
                <w:noProof/>
                <w:lang w:val="pt-PT"/>
              </w:rPr>
              <w:t xml:space="preserve"> (NO)</w:t>
            </w:r>
          </w:p>
          <w:p>
            <w:pPr>
              <w:spacing w:before="60" w:after="60" w:line="240" w:lineRule="auto"/>
              <w:jc w:val="both"/>
              <w:rPr>
                <w:rFonts w:ascii="Calibri" w:eastAsia="Times New Roman" w:hAnsi="Calibri" w:cs="Arial"/>
                <w:bCs/>
                <w:noProof/>
                <w:szCs w:val="20"/>
                <w:lang w:val="pt-PT"/>
              </w:rPr>
            </w:pPr>
            <w:bookmarkStart w:id="19" w:name="_Toc476912699"/>
            <w:r>
              <w:rPr>
                <w:rFonts w:ascii="Calibri" w:hAnsi="Calibri"/>
                <w:noProof/>
                <w:lang w:val="pt-PT"/>
              </w:rPr>
              <w:t>Reino Unido</w:t>
            </w:r>
            <w:bookmarkEnd w:id="19"/>
            <w:r>
              <w:rPr>
                <w:rFonts w:ascii="Calibri" w:hAnsi="Calibri"/>
                <w:noProof/>
                <w:lang w:val="pt-PT"/>
              </w:rPr>
              <w:t xml:space="preserve"> (UK)</w:t>
            </w:r>
          </w:p>
          <w:p>
            <w:pPr>
              <w:spacing w:before="60" w:after="60" w:line="240" w:lineRule="auto"/>
              <w:jc w:val="both"/>
              <w:rPr>
                <w:rFonts w:ascii="Calibri" w:eastAsia="Times New Roman" w:hAnsi="Calibri" w:cs="Arial"/>
                <w:bCs/>
                <w:noProof/>
                <w:szCs w:val="20"/>
                <w:lang w:val="pt-PT"/>
              </w:rPr>
            </w:pPr>
            <w:bookmarkStart w:id="20" w:name="_Toc476912700"/>
            <w:r>
              <w:rPr>
                <w:rFonts w:ascii="Calibri" w:hAnsi="Calibri"/>
                <w:noProof/>
                <w:lang w:val="pt-PT"/>
              </w:rPr>
              <w:t>Irlanda</w:t>
            </w:r>
            <w:bookmarkEnd w:id="20"/>
            <w:r>
              <w:rPr>
                <w:rFonts w:ascii="Calibri" w:hAnsi="Calibri"/>
                <w:noProof/>
                <w:lang w:val="pt-PT"/>
              </w:rPr>
              <w:t xml:space="preserve"> (IE)</w:t>
            </w:r>
          </w:p>
        </w:tc>
        <w:tc>
          <w:tcPr>
            <w:tcW w:w="817" w:type="pct"/>
            <w:shd w:val="clear" w:color="auto" w:fill="FFFFFF" w:themeFill="background1"/>
            <w:vAlign w:val="center"/>
          </w:tcPr>
          <w:p>
            <w:pPr>
              <w:spacing w:before="60" w:after="60" w:line="240" w:lineRule="auto"/>
              <w:jc w:val="both"/>
              <w:rPr>
                <w:rFonts w:ascii="Calibri" w:eastAsia="Times New Roman" w:hAnsi="Calibri" w:cs="Arial"/>
                <w:bCs/>
                <w:noProof/>
                <w:szCs w:val="20"/>
              </w:rPr>
            </w:pPr>
            <w:bookmarkStart w:id="21" w:name="_Toc476912701"/>
            <w:r>
              <w:rPr>
                <w:rFonts w:ascii="Calibri" w:hAnsi="Calibri"/>
                <w:noProof/>
              </w:rPr>
              <w:t>1</w:t>
            </w:r>
            <w:bookmarkEnd w:id="21"/>
          </w:p>
          <w:p>
            <w:pPr>
              <w:spacing w:before="60" w:after="60" w:line="240" w:lineRule="auto"/>
              <w:jc w:val="both"/>
              <w:rPr>
                <w:rFonts w:ascii="Calibri" w:eastAsia="Times New Roman" w:hAnsi="Calibri" w:cs="Arial"/>
                <w:bCs/>
                <w:noProof/>
                <w:szCs w:val="20"/>
              </w:rPr>
            </w:pPr>
            <w:bookmarkStart w:id="22" w:name="_Toc476912702"/>
            <w:r>
              <w:rPr>
                <w:rFonts w:ascii="Calibri" w:hAnsi="Calibri"/>
                <w:noProof/>
              </w:rPr>
              <w:t>2</w:t>
            </w:r>
            <w:bookmarkEnd w:id="22"/>
          </w:p>
          <w:p>
            <w:pPr>
              <w:spacing w:before="60" w:after="60" w:line="240" w:lineRule="auto"/>
              <w:jc w:val="both"/>
              <w:rPr>
                <w:rFonts w:ascii="Calibri" w:eastAsia="Times New Roman" w:hAnsi="Calibri" w:cs="Arial"/>
                <w:bCs/>
                <w:noProof/>
                <w:szCs w:val="20"/>
              </w:rPr>
            </w:pPr>
            <w:bookmarkStart w:id="23" w:name="_Toc476912703"/>
            <w:r>
              <w:rPr>
                <w:rFonts w:ascii="Calibri" w:hAnsi="Calibri"/>
                <w:noProof/>
              </w:rPr>
              <w:t>4</w:t>
            </w:r>
            <w:bookmarkEnd w:id="23"/>
          </w:p>
        </w:tc>
        <w:tc>
          <w:tcPr>
            <w:tcW w:w="827" w:type="pct"/>
            <w:shd w:val="clear" w:color="auto" w:fill="FFFFFF" w:themeFill="background1"/>
            <w:vAlign w:val="center"/>
          </w:tcPr>
          <w:p>
            <w:pPr>
              <w:spacing w:before="60" w:after="60" w:line="240" w:lineRule="auto"/>
              <w:ind w:right="272"/>
              <w:jc w:val="right"/>
              <w:rPr>
                <w:rFonts w:ascii="Calibri" w:eastAsia="Times New Roman" w:hAnsi="Calibri" w:cs="Arial"/>
                <w:bCs/>
                <w:noProof/>
                <w:szCs w:val="20"/>
              </w:rPr>
            </w:pPr>
            <w:bookmarkStart w:id="24" w:name="_Toc476912704"/>
            <w:r>
              <w:rPr>
                <w:rFonts w:ascii="Calibri" w:hAnsi="Calibri"/>
                <w:noProof/>
              </w:rPr>
              <w:t>1 290 000</w:t>
            </w:r>
            <w:bookmarkEnd w:id="24"/>
          </w:p>
          <w:p>
            <w:pPr>
              <w:spacing w:before="60" w:after="60" w:line="240" w:lineRule="auto"/>
              <w:ind w:right="272"/>
              <w:jc w:val="right"/>
              <w:rPr>
                <w:rFonts w:ascii="Calibri" w:eastAsia="Times New Roman" w:hAnsi="Calibri" w:cs="Arial"/>
                <w:bCs/>
                <w:noProof/>
                <w:szCs w:val="20"/>
              </w:rPr>
            </w:pPr>
            <w:bookmarkStart w:id="25" w:name="_Toc476912705"/>
            <w:r>
              <w:rPr>
                <w:rFonts w:ascii="Calibri" w:hAnsi="Calibri"/>
                <w:noProof/>
              </w:rPr>
              <w:t>163 347</w:t>
            </w:r>
            <w:bookmarkEnd w:id="25"/>
          </w:p>
          <w:p>
            <w:pPr>
              <w:spacing w:before="60" w:after="60" w:line="240" w:lineRule="auto"/>
              <w:ind w:right="272"/>
              <w:jc w:val="right"/>
              <w:rPr>
                <w:rFonts w:ascii="Calibri" w:eastAsia="Times New Roman" w:hAnsi="Calibri" w:cs="Arial"/>
                <w:bCs/>
                <w:noProof/>
                <w:szCs w:val="20"/>
              </w:rPr>
            </w:pPr>
            <w:bookmarkStart w:id="26" w:name="_Toc476912706"/>
            <w:r>
              <w:rPr>
                <w:rFonts w:ascii="Calibri" w:hAnsi="Calibri"/>
                <w:noProof/>
              </w:rPr>
              <w:t>10 000</w:t>
            </w:r>
            <w:bookmarkEnd w:id="26"/>
          </w:p>
        </w:tc>
        <w:tc>
          <w:tcPr>
            <w:tcW w:w="914" w:type="pct"/>
            <w:shd w:val="clear" w:color="auto" w:fill="FFFFFF" w:themeFill="background1"/>
            <w:vAlign w:val="center"/>
          </w:tcPr>
          <w:p>
            <w:pPr>
              <w:spacing w:before="60" w:after="60" w:line="240" w:lineRule="auto"/>
              <w:jc w:val="both"/>
              <w:rPr>
                <w:rFonts w:ascii="Calibri" w:eastAsia="Times New Roman" w:hAnsi="Calibri" w:cs="Arial"/>
                <w:bCs/>
                <w:noProof/>
                <w:szCs w:val="20"/>
              </w:rPr>
            </w:pPr>
            <w:bookmarkStart w:id="27" w:name="_Toc476912707"/>
            <w:r>
              <w:rPr>
                <w:rFonts w:ascii="Calibri" w:hAnsi="Calibri"/>
                <w:noProof/>
              </w:rPr>
              <w:t>Agua marina fría</w:t>
            </w:r>
            <w:bookmarkEnd w:id="27"/>
          </w:p>
        </w:tc>
      </w:tr>
      <w:tr>
        <w:trPr>
          <w:trHeight w:val="527"/>
          <w:jc w:val="center"/>
        </w:trPr>
        <w:tc>
          <w:tcPr>
            <w:tcW w:w="1396" w:type="pct"/>
            <w:shd w:val="clear" w:color="auto" w:fill="FFFFFF" w:themeFill="background1"/>
            <w:vAlign w:val="center"/>
          </w:tcPr>
          <w:p>
            <w:pPr>
              <w:spacing w:before="60" w:after="60" w:line="240" w:lineRule="auto"/>
              <w:jc w:val="both"/>
              <w:rPr>
                <w:rFonts w:ascii="Calibri" w:eastAsia="Times New Roman" w:hAnsi="Calibri" w:cs="Arial"/>
                <w:bCs/>
                <w:noProof/>
                <w:szCs w:val="20"/>
              </w:rPr>
            </w:pPr>
            <w:bookmarkStart w:id="28" w:name="_Toc476912708"/>
            <w:r>
              <w:rPr>
                <w:rFonts w:ascii="Calibri" w:hAnsi="Calibri"/>
                <w:noProof/>
              </w:rPr>
              <w:t>Carpa común</w:t>
            </w:r>
            <w:bookmarkEnd w:id="28"/>
          </w:p>
          <w:p>
            <w:pPr>
              <w:spacing w:before="60" w:after="60" w:line="240" w:lineRule="auto"/>
              <w:jc w:val="both"/>
              <w:rPr>
                <w:rFonts w:ascii="Calibri" w:eastAsia="Times New Roman" w:hAnsi="Calibri" w:cs="Arial"/>
                <w:bCs/>
                <w:noProof/>
                <w:szCs w:val="20"/>
              </w:rPr>
            </w:pPr>
            <w:r>
              <w:rPr>
                <w:rFonts w:ascii="Calibri" w:eastAsia="Times New Roman" w:hAnsi="Calibri" w:cs="Arial"/>
                <w:bCs/>
                <w:noProof/>
                <w:szCs w:val="20"/>
                <w:lang w:val="en-US" w:eastAsia="en-US" w:bidi="ar-SA"/>
              </w:rPr>
              <w:drawing>
                <wp:inline distT="0" distB="0" distL="0" distR="0">
                  <wp:extent cx="1257300" cy="476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57300" cy="476250"/>
                          </a:xfrm>
                          <a:prstGeom prst="rect">
                            <a:avLst/>
                          </a:prstGeom>
                          <a:noFill/>
                          <a:ln>
                            <a:noFill/>
                          </a:ln>
                        </pic:spPr>
                      </pic:pic>
                    </a:graphicData>
                  </a:graphic>
                </wp:inline>
              </w:drawing>
            </w:r>
          </w:p>
          <w:p>
            <w:pPr>
              <w:spacing w:before="60" w:after="60" w:line="240" w:lineRule="auto"/>
              <w:jc w:val="both"/>
              <w:rPr>
                <w:rFonts w:ascii="Calibri" w:eastAsia="Times New Roman" w:hAnsi="Calibri" w:cs="Arial"/>
                <w:bCs/>
                <w:noProof/>
                <w:szCs w:val="20"/>
              </w:rPr>
            </w:pPr>
          </w:p>
        </w:tc>
        <w:tc>
          <w:tcPr>
            <w:tcW w:w="1046" w:type="pct"/>
            <w:shd w:val="clear" w:color="auto" w:fill="FFFFFF" w:themeFill="background1"/>
            <w:vAlign w:val="center"/>
          </w:tcPr>
          <w:p>
            <w:pPr>
              <w:spacing w:before="60" w:after="60" w:line="240" w:lineRule="auto"/>
              <w:jc w:val="both"/>
              <w:rPr>
                <w:rFonts w:ascii="Calibri" w:eastAsia="Times New Roman" w:hAnsi="Calibri" w:cs="Arial"/>
                <w:bCs/>
                <w:noProof/>
                <w:szCs w:val="20"/>
                <w:lang w:val="pt-PT"/>
              </w:rPr>
            </w:pPr>
            <w:bookmarkStart w:id="29" w:name="_Toc476912709"/>
            <w:r>
              <w:rPr>
                <w:rFonts w:ascii="Calibri" w:hAnsi="Calibri"/>
                <w:noProof/>
                <w:lang w:val="pt-PT"/>
              </w:rPr>
              <w:t>Polonia</w:t>
            </w:r>
            <w:bookmarkEnd w:id="29"/>
            <w:r>
              <w:rPr>
                <w:rFonts w:ascii="Calibri" w:hAnsi="Calibri"/>
                <w:noProof/>
                <w:lang w:val="pt-PT"/>
              </w:rPr>
              <w:t xml:space="preserve"> (PL)</w:t>
            </w:r>
          </w:p>
          <w:p>
            <w:pPr>
              <w:spacing w:before="60" w:after="60" w:line="240" w:lineRule="auto"/>
              <w:jc w:val="both"/>
              <w:rPr>
                <w:rFonts w:ascii="Calibri" w:eastAsia="Times New Roman" w:hAnsi="Calibri" w:cs="Arial"/>
                <w:bCs/>
                <w:noProof/>
                <w:szCs w:val="20"/>
                <w:lang w:val="pt-PT"/>
              </w:rPr>
            </w:pPr>
            <w:bookmarkStart w:id="30" w:name="_Toc476912710"/>
            <w:r>
              <w:rPr>
                <w:rFonts w:ascii="Calibri" w:hAnsi="Calibri"/>
                <w:noProof/>
                <w:lang w:val="pt-PT"/>
              </w:rPr>
              <w:t>Chequia</w:t>
            </w:r>
            <w:bookmarkEnd w:id="30"/>
            <w:r>
              <w:rPr>
                <w:rFonts w:ascii="Calibri" w:hAnsi="Calibri"/>
                <w:noProof/>
                <w:lang w:val="pt-PT"/>
              </w:rPr>
              <w:t xml:space="preserve"> (CZ)</w:t>
            </w:r>
          </w:p>
          <w:p>
            <w:pPr>
              <w:spacing w:before="60" w:after="60" w:line="240" w:lineRule="auto"/>
              <w:jc w:val="both"/>
              <w:rPr>
                <w:rFonts w:ascii="Calibri" w:eastAsia="Times New Roman" w:hAnsi="Calibri" w:cs="Arial"/>
                <w:bCs/>
                <w:noProof/>
                <w:szCs w:val="20"/>
                <w:lang w:val="pt-PT"/>
              </w:rPr>
            </w:pPr>
            <w:bookmarkStart w:id="31" w:name="_Toc476912711"/>
            <w:r>
              <w:rPr>
                <w:rFonts w:ascii="Calibri" w:hAnsi="Calibri"/>
                <w:noProof/>
                <w:lang w:val="pt-PT"/>
              </w:rPr>
              <w:t>Alemania</w:t>
            </w:r>
            <w:bookmarkEnd w:id="31"/>
            <w:r>
              <w:rPr>
                <w:rFonts w:ascii="Calibri" w:hAnsi="Calibri"/>
                <w:noProof/>
                <w:lang w:val="pt-PT"/>
              </w:rPr>
              <w:t xml:space="preserve"> (DE)</w:t>
            </w:r>
          </w:p>
        </w:tc>
        <w:tc>
          <w:tcPr>
            <w:tcW w:w="817" w:type="pct"/>
            <w:shd w:val="clear" w:color="auto" w:fill="FFFFFF" w:themeFill="background1"/>
            <w:vAlign w:val="center"/>
          </w:tcPr>
          <w:p>
            <w:pPr>
              <w:spacing w:before="60" w:after="60" w:line="240" w:lineRule="auto"/>
              <w:jc w:val="both"/>
              <w:rPr>
                <w:rFonts w:ascii="Calibri" w:eastAsia="Times New Roman" w:hAnsi="Calibri" w:cs="Arial"/>
                <w:bCs/>
                <w:noProof/>
                <w:szCs w:val="20"/>
              </w:rPr>
            </w:pPr>
            <w:bookmarkStart w:id="32" w:name="_Toc476912712"/>
            <w:r>
              <w:rPr>
                <w:rFonts w:ascii="Calibri" w:hAnsi="Calibri"/>
                <w:noProof/>
              </w:rPr>
              <w:t>1</w:t>
            </w:r>
            <w:bookmarkEnd w:id="32"/>
          </w:p>
          <w:p>
            <w:pPr>
              <w:spacing w:before="60" w:after="60" w:line="240" w:lineRule="auto"/>
              <w:jc w:val="both"/>
              <w:rPr>
                <w:rFonts w:ascii="Calibri" w:eastAsia="Times New Roman" w:hAnsi="Calibri" w:cs="Arial"/>
                <w:bCs/>
                <w:noProof/>
                <w:szCs w:val="20"/>
              </w:rPr>
            </w:pPr>
            <w:bookmarkStart w:id="33" w:name="_Toc476912713"/>
            <w:r>
              <w:rPr>
                <w:rFonts w:ascii="Calibri" w:hAnsi="Calibri"/>
                <w:noProof/>
              </w:rPr>
              <w:t>2</w:t>
            </w:r>
            <w:bookmarkEnd w:id="33"/>
          </w:p>
          <w:p>
            <w:pPr>
              <w:spacing w:before="60" w:after="60" w:line="240" w:lineRule="auto"/>
              <w:jc w:val="both"/>
              <w:rPr>
                <w:rFonts w:ascii="Calibri" w:eastAsia="Times New Roman" w:hAnsi="Calibri" w:cs="Arial"/>
                <w:bCs/>
                <w:noProof/>
                <w:szCs w:val="20"/>
              </w:rPr>
            </w:pPr>
            <w:bookmarkStart w:id="34" w:name="_Toc476912714"/>
            <w:r>
              <w:rPr>
                <w:rFonts w:ascii="Calibri" w:hAnsi="Calibri"/>
                <w:noProof/>
              </w:rPr>
              <w:t>4</w:t>
            </w:r>
            <w:bookmarkEnd w:id="34"/>
          </w:p>
        </w:tc>
        <w:tc>
          <w:tcPr>
            <w:tcW w:w="827" w:type="pct"/>
            <w:shd w:val="clear" w:color="auto" w:fill="FFFFFF" w:themeFill="background1"/>
            <w:vAlign w:val="center"/>
          </w:tcPr>
          <w:p>
            <w:pPr>
              <w:spacing w:before="60" w:after="60" w:line="240" w:lineRule="auto"/>
              <w:ind w:right="272"/>
              <w:jc w:val="right"/>
              <w:rPr>
                <w:rFonts w:ascii="Calibri" w:eastAsia="Times New Roman" w:hAnsi="Calibri" w:cs="Arial"/>
                <w:bCs/>
                <w:noProof/>
                <w:szCs w:val="20"/>
              </w:rPr>
            </w:pPr>
            <w:bookmarkStart w:id="35" w:name="_Toc476912715"/>
            <w:r>
              <w:rPr>
                <w:rFonts w:ascii="Calibri" w:hAnsi="Calibri"/>
                <w:noProof/>
              </w:rPr>
              <w:t>18 000</w:t>
            </w:r>
            <w:bookmarkEnd w:id="35"/>
          </w:p>
          <w:p>
            <w:pPr>
              <w:spacing w:before="60" w:after="60" w:line="240" w:lineRule="auto"/>
              <w:ind w:right="272"/>
              <w:jc w:val="right"/>
              <w:rPr>
                <w:rFonts w:ascii="Calibri" w:eastAsia="Times New Roman" w:hAnsi="Calibri" w:cs="Arial"/>
                <w:bCs/>
                <w:noProof/>
                <w:szCs w:val="20"/>
              </w:rPr>
            </w:pPr>
            <w:bookmarkStart w:id="36" w:name="_Toc476912716"/>
            <w:r>
              <w:rPr>
                <w:rFonts w:ascii="Calibri" w:hAnsi="Calibri"/>
                <w:noProof/>
              </w:rPr>
              <w:t>17 833</w:t>
            </w:r>
            <w:bookmarkEnd w:id="36"/>
          </w:p>
          <w:p>
            <w:pPr>
              <w:spacing w:before="60" w:after="60" w:line="240" w:lineRule="auto"/>
              <w:ind w:right="272"/>
              <w:jc w:val="right"/>
              <w:rPr>
                <w:rFonts w:ascii="Calibri" w:eastAsia="Times New Roman" w:hAnsi="Calibri" w:cs="Arial"/>
                <w:bCs/>
                <w:noProof/>
                <w:szCs w:val="20"/>
              </w:rPr>
            </w:pPr>
            <w:bookmarkStart w:id="37" w:name="_Toc476912717"/>
            <w:r>
              <w:rPr>
                <w:rFonts w:ascii="Calibri" w:hAnsi="Calibri"/>
                <w:noProof/>
              </w:rPr>
              <w:t>5 285</w:t>
            </w:r>
            <w:bookmarkEnd w:id="37"/>
          </w:p>
        </w:tc>
        <w:tc>
          <w:tcPr>
            <w:tcW w:w="914" w:type="pct"/>
            <w:shd w:val="clear" w:color="auto" w:fill="FFFFFF" w:themeFill="background1"/>
            <w:vAlign w:val="center"/>
          </w:tcPr>
          <w:p>
            <w:pPr>
              <w:spacing w:before="60" w:after="60" w:line="240" w:lineRule="auto"/>
              <w:jc w:val="both"/>
              <w:rPr>
                <w:rFonts w:ascii="Calibri" w:eastAsia="Times New Roman" w:hAnsi="Calibri" w:cs="Arial"/>
                <w:bCs/>
                <w:noProof/>
                <w:szCs w:val="20"/>
              </w:rPr>
            </w:pPr>
            <w:bookmarkStart w:id="38" w:name="_Toc476912718"/>
            <w:r>
              <w:rPr>
                <w:rFonts w:ascii="Calibri" w:hAnsi="Calibri"/>
                <w:noProof/>
              </w:rPr>
              <w:t>Agua dulce</w:t>
            </w:r>
            <w:bookmarkEnd w:id="38"/>
          </w:p>
        </w:tc>
      </w:tr>
      <w:tr>
        <w:trPr>
          <w:trHeight w:val="532"/>
          <w:jc w:val="center"/>
        </w:trPr>
        <w:tc>
          <w:tcPr>
            <w:tcW w:w="1396" w:type="pct"/>
            <w:shd w:val="clear" w:color="auto" w:fill="FFFFFF" w:themeFill="background1"/>
            <w:vAlign w:val="center"/>
          </w:tcPr>
          <w:p>
            <w:pPr>
              <w:spacing w:before="60" w:after="60" w:line="240" w:lineRule="auto"/>
              <w:jc w:val="both"/>
              <w:rPr>
                <w:rFonts w:ascii="Calibri" w:eastAsia="Times New Roman" w:hAnsi="Calibri" w:cs="Arial"/>
                <w:bCs/>
                <w:noProof/>
                <w:szCs w:val="20"/>
              </w:rPr>
            </w:pPr>
            <w:bookmarkStart w:id="39" w:name="_Toc476912719"/>
            <w:r>
              <w:rPr>
                <w:rFonts w:ascii="Calibri" w:hAnsi="Calibri"/>
                <w:noProof/>
              </w:rPr>
              <w:t xml:space="preserve">Trucha arco iris </w:t>
            </w:r>
          </w:p>
          <w:p>
            <w:pPr>
              <w:spacing w:before="60" w:after="60" w:line="240" w:lineRule="auto"/>
              <w:jc w:val="both"/>
              <w:rPr>
                <w:rFonts w:ascii="Calibri" w:eastAsia="Times New Roman" w:hAnsi="Calibri" w:cs="Arial"/>
                <w:bCs/>
                <w:noProof/>
                <w:szCs w:val="20"/>
              </w:rPr>
            </w:pPr>
            <w:r>
              <w:rPr>
                <w:rFonts w:ascii="Calibri" w:hAnsi="Calibri"/>
                <w:noProof/>
              </w:rPr>
              <w:t>[grande (L) y porción (P)]</w:t>
            </w:r>
            <w:bookmarkEnd w:id="39"/>
          </w:p>
          <w:p>
            <w:pPr>
              <w:spacing w:before="60" w:after="60" w:line="240" w:lineRule="auto"/>
              <w:jc w:val="both"/>
              <w:rPr>
                <w:rFonts w:ascii="Calibri" w:eastAsia="Times New Roman" w:hAnsi="Calibri" w:cs="Arial"/>
                <w:bCs/>
                <w:noProof/>
                <w:szCs w:val="20"/>
              </w:rPr>
            </w:pPr>
            <w:r>
              <w:rPr>
                <w:rFonts w:ascii="Calibri" w:eastAsia="Times New Roman" w:hAnsi="Calibri" w:cs="Arial"/>
                <w:bCs/>
                <w:noProof/>
                <w:szCs w:val="20"/>
                <w:lang w:val="en-US" w:eastAsia="en-US" w:bidi="ar-SA"/>
              </w:rPr>
              <w:drawing>
                <wp:inline distT="0" distB="0" distL="0" distR="0">
                  <wp:extent cx="1257300" cy="4762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57300" cy="476250"/>
                          </a:xfrm>
                          <a:prstGeom prst="rect">
                            <a:avLst/>
                          </a:prstGeom>
                          <a:noFill/>
                          <a:ln>
                            <a:noFill/>
                          </a:ln>
                        </pic:spPr>
                      </pic:pic>
                    </a:graphicData>
                  </a:graphic>
                </wp:inline>
              </w:drawing>
            </w:r>
          </w:p>
          <w:p>
            <w:pPr>
              <w:spacing w:before="60" w:after="60" w:line="240" w:lineRule="auto"/>
              <w:jc w:val="both"/>
              <w:rPr>
                <w:rFonts w:ascii="Calibri" w:eastAsia="Times New Roman" w:hAnsi="Calibri" w:cs="Arial"/>
                <w:bCs/>
                <w:noProof/>
                <w:szCs w:val="20"/>
              </w:rPr>
            </w:pPr>
          </w:p>
        </w:tc>
        <w:tc>
          <w:tcPr>
            <w:tcW w:w="1046" w:type="pct"/>
            <w:shd w:val="clear" w:color="auto" w:fill="FFFFFF" w:themeFill="background1"/>
            <w:vAlign w:val="center"/>
          </w:tcPr>
          <w:p>
            <w:pPr>
              <w:spacing w:before="60" w:after="60" w:line="240" w:lineRule="auto"/>
              <w:jc w:val="both"/>
              <w:rPr>
                <w:rFonts w:ascii="Calibri" w:eastAsia="Times New Roman" w:hAnsi="Calibri" w:cs="Arial"/>
                <w:bCs/>
                <w:noProof/>
                <w:szCs w:val="20"/>
                <w:lang w:val="it-IT"/>
              </w:rPr>
            </w:pPr>
            <w:bookmarkStart w:id="40" w:name="_Toc476912720"/>
            <w:r>
              <w:rPr>
                <w:rFonts w:ascii="Calibri" w:hAnsi="Calibri"/>
                <w:noProof/>
                <w:lang w:val="it-IT"/>
              </w:rPr>
              <w:t>Dinamarca</w:t>
            </w:r>
            <w:bookmarkEnd w:id="40"/>
            <w:r>
              <w:rPr>
                <w:rFonts w:ascii="Calibri" w:hAnsi="Calibri"/>
                <w:noProof/>
                <w:lang w:val="it-IT"/>
              </w:rPr>
              <w:t xml:space="preserve"> (DK)</w:t>
            </w:r>
          </w:p>
          <w:p>
            <w:pPr>
              <w:spacing w:before="60" w:after="60" w:line="240" w:lineRule="auto"/>
              <w:jc w:val="both"/>
              <w:rPr>
                <w:rFonts w:ascii="Calibri" w:eastAsia="Times New Roman" w:hAnsi="Calibri" w:cs="Arial"/>
                <w:bCs/>
                <w:noProof/>
                <w:szCs w:val="20"/>
                <w:lang w:val="it-IT"/>
              </w:rPr>
            </w:pPr>
            <w:bookmarkStart w:id="41" w:name="_Toc476912721"/>
            <w:r>
              <w:rPr>
                <w:rFonts w:ascii="Calibri" w:hAnsi="Calibri"/>
                <w:noProof/>
                <w:lang w:val="it-IT"/>
              </w:rPr>
              <w:t>Francia</w:t>
            </w:r>
            <w:bookmarkEnd w:id="41"/>
            <w:r>
              <w:rPr>
                <w:rFonts w:ascii="Calibri" w:hAnsi="Calibri"/>
                <w:noProof/>
                <w:lang w:val="it-IT"/>
              </w:rPr>
              <w:t xml:space="preserve"> (FR)</w:t>
            </w:r>
          </w:p>
          <w:p>
            <w:pPr>
              <w:spacing w:before="60" w:after="60" w:line="240" w:lineRule="auto"/>
              <w:jc w:val="both"/>
              <w:rPr>
                <w:rFonts w:ascii="Calibri" w:eastAsia="Times New Roman" w:hAnsi="Calibri" w:cs="Arial"/>
                <w:bCs/>
                <w:noProof/>
                <w:szCs w:val="20"/>
                <w:lang w:val="it-IT"/>
              </w:rPr>
            </w:pPr>
            <w:bookmarkStart w:id="42" w:name="_Toc476912722"/>
            <w:r>
              <w:rPr>
                <w:rFonts w:ascii="Calibri" w:hAnsi="Calibri"/>
                <w:noProof/>
                <w:lang w:val="it-IT"/>
              </w:rPr>
              <w:t>Italia</w:t>
            </w:r>
            <w:bookmarkEnd w:id="42"/>
            <w:r>
              <w:rPr>
                <w:rFonts w:ascii="Calibri" w:hAnsi="Calibri"/>
                <w:noProof/>
                <w:lang w:val="it-IT"/>
              </w:rPr>
              <w:t xml:space="preserve"> (IT)</w:t>
            </w:r>
          </w:p>
          <w:p>
            <w:pPr>
              <w:spacing w:before="60" w:after="60" w:line="240" w:lineRule="auto"/>
              <w:jc w:val="both"/>
              <w:rPr>
                <w:rFonts w:ascii="Calibri" w:eastAsia="Times New Roman" w:hAnsi="Calibri" w:cs="Arial"/>
                <w:bCs/>
                <w:noProof/>
                <w:szCs w:val="20"/>
                <w:lang w:val="it-IT"/>
              </w:rPr>
            </w:pPr>
            <w:bookmarkStart w:id="43" w:name="_Toc476912723"/>
            <w:r>
              <w:rPr>
                <w:rFonts w:ascii="Calibri" w:hAnsi="Calibri"/>
                <w:noProof/>
                <w:lang w:val="it-IT"/>
              </w:rPr>
              <w:t>Polonia</w:t>
            </w:r>
            <w:bookmarkEnd w:id="43"/>
          </w:p>
        </w:tc>
        <w:tc>
          <w:tcPr>
            <w:tcW w:w="817" w:type="pct"/>
            <w:shd w:val="clear" w:color="auto" w:fill="FFFFFF" w:themeFill="background1"/>
            <w:vAlign w:val="center"/>
          </w:tcPr>
          <w:p>
            <w:pPr>
              <w:spacing w:before="60" w:after="60" w:line="240" w:lineRule="auto"/>
              <w:jc w:val="both"/>
              <w:rPr>
                <w:rFonts w:ascii="Calibri" w:eastAsia="Times New Roman" w:hAnsi="Calibri" w:cs="Arial"/>
                <w:bCs/>
                <w:noProof/>
                <w:szCs w:val="20"/>
              </w:rPr>
            </w:pPr>
            <w:bookmarkStart w:id="44" w:name="_Toc476912724"/>
            <w:r>
              <w:rPr>
                <w:rFonts w:ascii="Calibri" w:hAnsi="Calibri"/>
                <w:noProof/>
              </w:rPr>
              <w:t>(L4 y P3)</w:t>
            </w:r>
            <w:bookmarkEnd w:id="44"/>
          </w:p>
          <w:p>
            <w:pPr>
              <w:spacing w:before="60" w:after="60" w:line="240" w:lineRule="auto"/>
              <w:jc w:val="both"/>
              <w:rPr>
                <w:rFonts w:ascii="Calibri" w:eastAsia="Times New Roman" w:hAnsi="Calibri" w:cs="Arial"/>
                <w:bCs/>
                <w:noProof/>
                <w:szCs w:val="20"/>
              </w:rPr>
            </w:pPr>
            <w:bookmarkStart w:id="45" w:name="_Toc476912725"/>
            <w:r>
              <w:rPr>
                <w:rFonts w:ascii="Calibri" w:hAnsi="Calibri"/>
                <w:noProof/>
              </w:rPr>
              <w:t>(L3 y P4)</w:t>
            </w:r>
            <w:bookmarkEnd w:id="45"/>
          </w:p>
          <w:p>
            <w:pPr>
              <w:spacing w:before="60" w:after="60" w:line="240" w:lineRule="auto"/>
              <w:jc w:val="both"/>
              <w:rPr>
                <w:rFonts w:ascii="Calibri" w:eastAsia="Times New Roman" w:hAnsi="Calibri" w:cs="Arial"/>
                <w:bCs/>
                <w:noProof/>
                <w:szCs w:val="20"/>
              </w:rPr>
            </w:pPr>
            <w:bookmarkStart w:id="46" w:name="_Toc476912726"/>
            <w:r>
              <w:rPr>
                <w:rFonts w:ascii="Calibri" w:hAnsi="Calibri"/>
                <w:noProof/>
              </w:rPr>
              <w:t>(L9 y P2)</w:t>
            </w:r>
            <w:bookmarkEnd w:id="46"/>
          </w:p>
          <w:p>
            <w:pPr>
              <w:spacing w:before="60" w:after="60" w:line="240" w:lineRule="auto"/>
              <w:jc w:val="both"/>
              <w:rPr>
                <w:rFonts w:ascii="Calibri" w:eastAsia="Times New Roman" w:hAnsi="Calibri" w:cs="Arial"/>
                <w:bCs/>
                <w:noProof/>
                <w:szCs w:val="20"/>
              </w:rPr>
            </w:pPr>
            <w:bookmarkStart w:id="47" w:name="_Toc476912727"/>
            <w:r>
              <w:rPr>
                <w:rFonts w:ascii="Calibri" w:hAnsi="Calibri"/>
                <w:noProof/>
              </w:rPr>
              <w:t>(P5)</w:t>
            </w:r>
            <w:bookmarkEnd w:id="47"/>
          </w:p>
        </w:tc>
        <w:tc>
          <w:tcPr>
            <w:tcW w:w="827" w:type="pct"/>
            <w:shd w:val="clear" w:color="auto" w:fill="FFFFFF" w:themeFill="background1"/>
            <w:vAlign w:val="center"/>
          </w:tcPr>
          <w:p>
            <w:pPr>
              <w:spacing w:before="60" w:after="60" w:line="240" w:lineRule="auto"/>
              <w:ind w:right="272"/>
              <w:jc w:val="right"/>
              <w:rPr>
                <w:rFonts w:ascii="Calibri" w:eastAsia="Times New Roman" w:hAnsi="Calibri" w:cs="Arial"/>
                <w:bCs/>
                <w:noProof/>
                <w:szCs w:val="20"/>
              </w:rPr>
            </w:pPr>
            <w:bookmarkStart w:id="48" w:name="_Toc476912728"/>
            <w:r>
              <w:rPr>
                <w:rFonts w:ascii="Calibri" w:hAnsi="Calibri"/>
                <w:noProof/>
              </w:rPr>
              <w:t>38 091</w:t>
            </w:r>
            <w:bookmarkEnd w:id="48"/>
          </w:p>
          <w:p>
            <w:pPr>
              <w:spacing w:before="60" w:after="60" w:line="240" w:lineRule="auto"/>
              <w:ind w:right="272"/>
              <w:jc w:val="right"/>
              <w:rPr>
                <w:rFonts w:ascii="Calibri" w:eastAsia="Times New Roman" w:hAnsi="Calibri" w:cs="Arial"/>
                <w:bCs/>
                <w:noProof/>
                <w:szCs w:val="20"/>
              </w:rPr>
            </w:pPr>
            <w:bookmarkStart w:id="49" w:name="_Toc476912729"/>
            <w:r>
              <w:rPr>
                <w:rFonts w:ascii="Calibri" w:hAnsi="Calibri"/>
                <w:noProof/>
              </w:rPr>
              <w:t>34 000</w:t>
            </w:r>
            <w:bookmarkEnd w:id="49"/>
          </w:p>
          <w:p>
            <w:pPr>
              <w:spacing w:before="60" w:after="60" w:line="240" w:lineRule="auto"/>
              <w:ind w:right="272"/>
              <w:jc w:val="right"/>
              <w:rPr>
                <w:rFonts w:ascii="Calibri" w:eastAsia="Times New Roman" w:hAnsi="Calibri" w:cs="Arial"/>
                <w:bCs/>
                <w:noProof/>
                <w:szCs w:val="20"/>
              </w:rPr>
            </w:pPr>
            <w:bookmarkStart w:id="50" w:name="_Toc476912730"/>
            <w:r>
              <w:rPr>
                <w:rFonts w:ascii="Calibri" w:hAnsi="Calibri"/>
                <w:noProof/>
              </w:rPr>
              <w:t>38 800</w:t>
            </w:r>
            <w:bookmarkEnd w:id="50"/>
          </w:p>
          <w:p>
            <w:pPr>
              <w:spacing w:before="60" w:after="60" w:line="240" w:lineRule="auto"/>
              <w:ind w:right="272"/>
              <w:jc w:val="right"/>
              <w:rPr>
                <w:rFonts w:ascii="Calibri" w:eastAsia="Times New Roman" w:hAnsi="Calibri" w:cs="Arial"/>
                <w:bCs/>
                <w:noProof/>
                <w:szCs w:val="20"/>
              </w:rPr>
            </w:pPr>
            <w:bookmarkStart w:id="51" w:name="_Toc476912731"/>
            <w:r>
              <w:rPr>
                <w:rFonts w:ascii="Calibri" w:hAnsi="Calibri"/>
                <w:noProof/>
              </w:rPr>
              <w:t>17 500</w:t>
            </w:r>
            <w:bookmarkEnd w:id="51"/>
          </w:p>
        </w:tc>
        <w:tc>
          <w:tcPr>
            <w:tcW w:w="914" w:type="pct"/>
            <w:shd w:val="clear" w:color="auto" w:fill="FFFFFF" w:themeFill="background1"/>
            <w:vAlign w:val="center"/>
          </w:tcPr>
          <w:p>
            <w:pPr>
              <w:spacing w:before="60" w:after="60" w:line="240" w:lineRule="auto"/>
              <w:jc w:val="both"/>
              <w:rPr>
                <w:rFonts w:ascii="Calibri" w:eastAsia="Times New Roman" w:hAnsi="Calibri" w:cs="Arial"/>
                <w:bCs/>
                <w:noProof/>
                <w:szCs w:val="20"/>
              </w:rPr>
            </w:pPr>
            <w:bookmarkStart w:id="52" w:name="_Toc476912732"/>
            <w:r>
              <w:rPr>
                <w:rFonts w:ascii="Calibri" w:hAnsi="Calibri"/>
                <w:noProof/>
              </w:rPr>
              <w:t>Agua dulce</w:t>
            </w:r>
            <w:bookmarkEnd w:id="52"/>
          </w:p>
        </w:tc>
      </w:tr>
      <w:tr>
        <w:trPr>
          <w:trHeight w:val="532"/>
          <w:jc w:val="center"/>
        </w:trPr>
        <w:tc>
          <w:tcPr>
            <w:tcW w:w="1396" w:type="pct"/>
            <w:shd w:val="clear" w:color="auto" w:fill="FFFFFF" w:themeFill="background1"/>
            <w:vAlign w:val="center"/>
          </w:tcPr>
          <w:p>
            <w:pPr>
              <w:spacing w:before="60" w:after="60" w:line="240" w:lineRule="auto"/>
              <w:jc w:val="both"/>
              <w:rPr>
                <w:rFonts w:ascii="Calibri" w:eastAsia="Times New Roman" w:hAnsi="Calibri" w:cs="Arial"/>
                <w:bCs/>
                <w:noProof/>
                <w:szCs w:val="20"/>
              </w:rPr>
            </w:pPr>
            <w:bookmarkStart w:id="53" w:name="_Toc476912733"/>
            <w:r>
              <w:rPr>
                <w:rFonts w:ascii="Calibri" w:hAnsi="Calibri"/>
                <w:noProof/>
              </w:rPr>
              <w:t>Lubina europea</w:t>
            </w:r>
            <w:bookmarkEnd w:id="53"/>
          </w:p>
          <w:p>
            <w:pPr>
              <w:spacing w:before="60" w:after="60" w:line="240" w:lineRule="auto"/>
              <w:jc w:val="both"/>
              <w:rPr>
                <w:rFonts w:ascii="Calibri" w:eastAsia="Times New Roman" w:hAnsi="Calibri" w:cs="Arial"/>
                <w:bCs/>
                <w:noProof/>
                <w:szCs w:val="20"/>
              </w:rPr>
            </w:pPr>
            <w:r>
              <w:rPr>
                <w:rFonts w:ascii="Calibri" w:eastAsia="Times New Roman" w:hAnsi="Calibri" w:cs="Arial"/>
                <w:bCs/>
                <w:noProof/>
                <w:szCs w:val="20"/>
                <w:lang w:val="en-US" w:eastAsia="en-US" w:bidi="ar-SA"/>
              </w:rPr>
              <w:drawing>
                <wp:inline distT="0" distB="0" distL="0" distR="0">
                  <wp:extent cx="1257300" cy="48895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57300" cy="488950"/>
                          </a:xfrm>
                          <a:prstGeom prst="rect">
                            <a:avLst/>
                          </a:prstGeom>
                          <a:noFill/>
                          <a:ln>
                            <a:noFill/>
                          </a:ln>
                        </pic:spPr>
                      </pic:pic>
                    </a:graphicData>
                  </a:graphic>
                </wp:inline>
              </w:drawing>
            </w:r>
          </w:p>
          <w:p>
            <w:pPr>
              <w:spacing w:before="60" w:after="60" w:line="240" w:lineRule="auto"/>
              <w:jc w:val="both"/>
              <w:rPr>
                <w:rFonts w:ascii="Calibri" w:eastAsia="Times New Roman" w:hAnsi="Calibri" w:cs="Arial"/>
                <w:bCs/>
                <w:noProof/>
                <w:szCs w:val="20"/>
              </w:rPr>
            </w:pPr>
          </w:p>
        </w:tc>
        <w:tc>
          <w:tcPr>
            <w:tcW w:w="1046" w:type="pct"/>
            <w:shd w:val="clear" w:color="auto" w:fill="FFFFFF" w:themeFill="background1"/>
            <w:vAlign w:val="center"/>
          </w:tcPr>
          <w:p>
            <w:pPr>
              <w:spacing w:before="60" w:after="60" w:line="240" w:lineRule="auto"/>
              <w:jc w:val="both"/>
              <w:rPr>
                <w:rFonts w:ascii="Calibri" w:eastAsia="Times New Roman" w:hAnsi="Calibri" w:cs="Arial"/>
                <w:bCs/>
                <w:noProof/>
                <w:szCs w:val="20"/>
              </w:rPr>
            </w:pPr>
            <w:bookmarkStart w:id="54" w:name="_Toc476912734"/>
            <w:r>
              <w:rPr>
                <w:rFonts w:ascii="Calibri" w:hAnsi="Calibri"/>
                <w:noProof/>
              </w:rPr>
              <w:t>Grecia</w:t>
            </w:r>
            <w:bookmarkEnd w:id="54"/>
            <w:r>
              <w:rPr>
                <w:rFonts w:ascii="Calibri" w:hAnsi="Calibri"/>
                <w:noProof/>
              </w:rPr>
              <w:t xml:space="preserve"> (GR)</w:t>
            </w:r>
          </w:p>
          <w:p>
            <w:pPr>
              <w:spacing w:before="60" w:after="60" w:line="240" w:lineRule="auto"/>
              <w:jc w:val="both"/>
              <w:rPr>
                <w:rFonts w:ascii="Calibri" w:eastAsia="Times New Roman" w:hAnsi="Calibri" w:cs="Arial"/>
                <w:bCs/>
                <w:noProof/>
                <w:szCs w:val="20"/>
              </w:rPr>
            </w:pPr>
            <w:bookmarkStart w:id="55" w:name="_Toc476912735"/>
            <w:r>
              <w:rPr>
                <w:rFonts w:ascii="Calibri" w:hAnsi="Calibri"/>
                <w:noProof/>
              </w:rPr>
              <w:t>España</w:t>
            </w:r>
            <w:bookmarkEnd w:id="55"/>
            <w:r>
              <w:rPr>
                <w:rFonts w:ascii="Calibri" w:hAnsi="Calibri"/>
                <w:noProof/>
              </w:rPr>
              <w:t xml:space="preserve"> (ES)</w:t>
            </w:r>
          </w:p>
          <w:p>
            <w:pPr>
              <w:spacing w:before="60" w:after="60" w:line="240" w:lineRule="auto"/>
              <w:jc w:val="both"/>
              <w:rPr>
                <w:rFonts w:ascii="Calibri" w:eastAsia="Times New Roman" w:hAnsi="Calibri" w:cs="Arial"/>
                <w:bCs/>
                <w:noProof/>
                <w:szCs w:val="20"/>
              </w:rPr>
            </w:pPr>
            <w:bookmarkStart w:id="56" w:name="_Toc476912736"/>
            <w:r>
              <w:rPr>
                <w:rFonts w:ascii="Calibri" w:hAnsi="Calibri"/>
                <w:noProof/>
              </w:rPr>
              <w:t>Italia</w:t>
            </w:r>
            <w:bookmarkEnd w:id="56"/>
          </w:p>
        </w:tc>
        <w:tc>
          <w:tcPr>
            <w:tcW w:w="817" w:type="pct"/>
            <w:shd w:val="clear" w:color="auto" w:fill="FFFFFF" w:themeFill="background1"/>
            <w:vAlign w:val="center"/>
          </w:tcPr>
          <w:p>
            <w:pPr>
              <w:spacing w:before="60" w:after="60" w:line="240" w:lineRule="auto"/>
              <w:jc w:val="both"/>
              <w:rPr>
                <w:rFonts w:ascii="Calibri" w:eastAsia="Times New Roman" w:hAnsi="Calibri" w:cs="Arial"/>
                <w:bCs/>
                <w:noProof/>
                <w:szCs w:val="20"/>
              </w:rPr>
            </w:pPr>
            <w:bookmarkStart w:id="57" w:name="_Toc476912737"/>
            <w:r>
              <w:rPr>
                <w:rFonts w:ascii="Calibri" w:hAnsi="Calibri"/>
                <w:noProof/>
              </w:rPr>
              <w:t>2</w:t>
            </w:r>
            <w:bookmarkEnd w:id="57"/>
          </w:p>
          <w:p>
            <w:pPr>
              <w:spacing w:before="60" w:after="60" w:line="240" w:lineRule="auto"/>
              <w:jc w:val="both"/>
              <w:rPr>
                <w:rFonts w:ascii="Calibri" w:eastAsia="Times New Roman" w:hAnsi="Calibri" w:cs="Arial"/>
                <w:bCs/>
                <w:noProof/>
                <w:szCs w:val="20"/>
              </w:rPr>
            </w:pPr>
            <w:bookmarkStart w:id="58" w:name="_Toc476912738"/>
            <w:r>
              <w:rPr>
                <w:rFonts w:ascii="Calibri" w:hAnsi="Calibri"/>
                <w:noProof/>
              </w:rPr>
              <w:t>3</w:t>
            </w:r>
            <w:bookmarkEnd w:id="58"/>
          </w:p>
          <w:p>
            <w:pPr>
              <w:spacing w:before="60" w:after="60" w:line="240" w:lineRule="auto"/>
              <w:jc w:val="both"/>
              <w:rPr>
                <w:rFonts w:ascii="Calibri" w:eastAsia="Times New Roman" w:hAnsi="Calibri" w:cs="Arial"/>
                <w:bCs/>
                <w:noProof/>
                <w:szCs w:val="20"/>
              </w:rPr>
            </w:pPr>
            <w:bookmarkStart w:id="59" w:name="_Toc476912739"/>
            <w:r>
              <w:rPr>
                <w:rFonts w:ascii="Calibri" w:hAnsi="Calibri"/>
                <w:noProof/>
              </w:rPr>
              <w:t>4</w:t>
            </w:r>
            <w:bookmarkEnd w:id="59"/>
          </w:p>
        </w:tc>
        <w:tc>
          <w:tcPr>
            <w:tcW w:w="827" w:type="pct"/>
            <w:shd w:val="clear" w:color="auto" w:fill="FFFFFF" w:themeFill="background1"/>
            <w:vAlign w:val="center"/>
          </w:tcPr>
          <w:p>
            <w:pPr>
              <w:spacing w:before="60" w:after="60" w:line="240" w:lineRule="auto"/>
              <w:ind w:right="272"/>
              <w:jc w:val="right"/>
              <w:rPr>
                <w:rFonts w:ascii="Calibri" w:eastAsia="Times New Roman" w:hAnsi="Calibri" w:cs="Arial"/>
                <w:bCs/>
                <w:noProof/>
                <w:szCs w:val="20"/>
              </w:rPr>
            </w:pPr>
            <w:bookmarkStart w:id="60" w:name="_Toc476912740"/>
            <w:r>
              <w:rPr>
                <w:rFonts w:ascii="Calibri" w:hAnsi="Calibri"/>
                <w:noProof/>
              </w:rPr>
              <w:t>42 000</w:t>
            </w:r>
            <w:bookmarkEnd w:id="60"/>
          </w:p>
          <w:p>
            <w:pPr>
              <w:spacing w:before="60" w:after="60" w:line="240" w:lineRule="auto"/>
              <w:ind w:right="272"/>
              <w:jc w:val="right"/>
              <w:rPr>
                <w:rFonts w:ascii="Calibri" w:eastAsia="Times New Roman" w:hAnsi="Calibri" w:cs="Arial"/>
                <w:bCs/>
                <w:noProof/>
                <w:szCs w:val="20"/>
              </w:rPr>
            </w:pPr>
            <w:bookmarkStart w:id="61" w:name="_Toc476912741"/>
            <w:r>
              <w:rPr>
                <w:rFonts w:ascii="Calibri" w:hAnsi="Calibri"/>
                <w:noProof/>
              </w:rPr>
              <w:t>17 376</w:t>
            </w:r>
            <w:bookmarkEnd w:id="61"/>
          </w:p>
          <w:p>
            <w:pPr>
              <w:spacing w:before="60" w:after="60" w:line="240" w:lineRule="auto"/>
              <w:ind w:right="272"/>
              <w:jc w:val="right"/>
              <w:rPr>
                <w:rFonts w:ascii="Calibri" w:eastAsia="Times New Roman" w:hAnsi="Calibri" w:cs="Arial"/>
                <w:bCs/>
                <w:noProof/>
                <w:szCs w:val="20"/>
              </w:rPr>
            </w:pPr>
            <w:bookmarkStart w:id="62" w:name="_Toc476912742"/>
            <w:r>
              <w:rPr>
                <w:rFonts w:ascii="Calibri" w:hAnsi="Calibri"/>
                <w:noProof/>
              </w:rPr>
              <w:t>6 500</w:t>
            </w:r>
            <w:bookmarkEnd w:id="62"/>
          </w:p>
        </w:tc>
        <w:tc>
          <w:tcPr>
            <w:tcW w:w="914" w:type="pct"/>
            <w:shd w:val="clear" w:color="auto" w:fill="FFFFFF" w:themeFill="background1"/>
            <w:vAlign w:val="center"/>
          </w:tcPr>
          <w:p>
            <w:pPr>
              <w:spacing w:before="60" w:after="60" w:line="240" w:lineRule="auto"/>
              <w:jc w:val="both"/>
              <w:rPr>
                <w:rFonts w:ascii="Calibri" w:eastAsia="Times New Roman" w:hAnsi="Calibri" w:cs="Arial"/>
                <w:bCs/>
                <w:noProof/>
                <w:szCs w:val="20"/>
              </w:rPr>
            </w:pPr>
            <w:bookmarkStart w:id="63" w:name="_Toc476912743"/>
            <w:r>
              <w:rPr>
                <w:rFonts w:ascii="Calibri" w:hAnsi="Calibri"/>
                <w:noProof/>
              </w:rPr>
              <w:t>Mediterráneo</w:t>
            </w:r>
            <w:bookmarkEnd w:id="63"/>
            <w:r>
              <w:rPr>
                <w:rFonts w:ascii="Calibri" w:hAnsi="Calibri"/>
                <w:noProof/>
              </w:rPr>
              <w:t xml:space="preserve"> (agua templada)</w:t>
            </w:r>
          </w:p>
        </w:tc>
      </w:tr>
      <w:tr>
        <w:trPr>
          <w:trHeight w:val="532"/>
          <w:jc w:val="center"/>
        </w:trPr>
        <w:tc>
          <w:tcPr>
            <w:tcW w:w="1396" w:type="pct"/>
            <w:shd w:val="clear" w:color="auto" w:fill="FFFFFF" w:themeFill="background1"/>
            <w:vAlign w:val="center"/>
          </w:tcPr>
          <w:p>
            <w:pPr>
              <w:spacing w:before="60" w:after="60" w:line="240" w:lineRule="auto"/>
              <w:jc w:val="both"/>
              <w:rPr>
                <w:rFonts w:ascii="Calibri" w:eastAsia="Times New Roman" w:hAnsi="Calibri" w:cs="Arial"/>
                <w:bCs/>
                <w:noProof/>
                <w:szCs w:val="20"/>
              </w:rPr>
            </w:pPr>
            <w:bookmarkStart w:id="64" w:name="_Toc476912744"/>
            <w:r>
              <w:rPr>
                <w:rFonts w:ascii="Calibri" w:hAnsi="Calibri"/>
                <w:noProof/>
              </w:rPr>
              <w:t>Dorada</w:t>
            </w:r>
            <w:bookmarkEnd w:id="64"/>
          </w:p>
          <w:p>
            <w:pPr>
              <w:spacing w:before="60" w:after="60" w:line="240" w:lineRule="auto"/>
              <w:jc w:val="both"/>
              <w:rPr>
                <w:rFonts w:ascii="Calibri" w:eastAsia="Times New Roman" w:hAnsi="Calibri" w:cs="Arial"/>
                <w:bCs/>
                <w:noProof/>
                <w:szCs w:val="20"/>
              </w:rPr>
            </w:pPr>
            <w:r>
              <w:rPr>
                <w:rFonts w:ascii="Calibri" w:eastAsia="Times New Roman" w:hAnsi="Calibri" w:cs="Arial"/>
                <w:bCs/>
                <w:noProof/>
                <w:szCs w:val="20"/>
                <w:lang w:val="en-US" w:eastAsia="en-US" w:bidi="ar-SA"/>
              </w:rPr>
              <w:drawing>
                <wp:inline distT="0" distB="0" distL="0" distR="0">
                  <wp:extent cx="1257300" cy="5715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57300" cy="571500"/>
                          </a:xfrm>
                          <a:prstGeom prst="rect">
                            <a:avLst/>
                          </a:prstGeom>
                          <a:noFill/>
                          <a:ln>
                            <a:noFill/>
                          </a:ln>
                        </pic:spPr>
                      </pic:pic>
                    </a:graphicData>
                  </a:graphic>
                </wp:inline>
              </w:drawing>
            </w:r>
          </w:p>
          <w:p>
            <w:pPr>
              <w:spacing w:before="60" w:after="60" w:line="240" w:lineRule="auto"/>
              <w:jc w:val="both"/>
              <w:rPr>
                <w:rFonts w:ascii="Calibri" w:eastAsia="Times New Roman" w:hAnsi="Calibri" w:cs="Arial"/>
                <w:bCs/>
                <w:noProof/>
                <w:szCs w:val="20"/>
              </w:rPr>
            </w:pPr>
          </w:p>
        </w:tc>
        <w:tc>
          <w:tcPr>
            <w:tcW w:w="1046" w:type="pct"/>
            <w:shd w:val="clear" w:color="auto" w:fill="FFFFFF" w:themeFill="background1"/>
            <w:vAlign w:val="center"/>
          </w:tcPr>
          <w:p>
            <w:pPr>
              <w:spacing w:before="60" w:after="60" w:line="240" w:lineRule="auto"/>
              <w:jc w:val="both"/>
              <w:rPr>
                <w:rFonts w:ascii="Calibri" w:eastAsia="Times New Roman" w:hAnsi="Calibri" w:cs="Arial"/>
                <w:bCs/>
                <w:noProof/>
                <w:szCs w:val="20"/>
              </w:rPr>
            </w:pPr>
            <w:bookmarkStart w:id="65" w:name="_Toc476912745"/>
            <w:r>
              <w:rPr>
                <w:rFonts w:ascii="Calibri" w:hAnsi="Calibri"/>
                <w:noProof/>
              </w:rPr>
              <w:t>Grecia</w:t>
            </w:r>
            <w:bookmarkEnd w:id="65"/>
          </w:p>
          <w:p>
            <w:pPr>
              <w:spacing w:before="60" w:after="60" w:line="240" w:lineRule="auto"/>
              <w:jc w:val="both"/>
              <w:rPr>
                <w:rFonts w:ascii="Calibri" w:eastAsia="Times New Roman" w:hAnsi="Calibri" w:cs="Arial"/>
                <w:bCs/>
                <w:noProof/>
                <w:szCs w:val="20"/>
              </w:rPr>
            </w:pPr>
            <w:bookmarkStart w:id="66" w:name="_Toc476912746"/>
            <w:r>
              <w:rPr>
                <w:rFonts w:ascii="Calibri" w:hAnsi="Calibri"/>
                <w:noProof/>
              </w:rPr>
              <w:t>España</w:t>
            </w:r>
            <w:bookmarkEnd w:id="66"/>
          </w:p>
          <w:p>
            <w:pPr>
              <w:spacing w:before="60" w:after="60" w:line="240" w:lineRule="auto"/>
              <w:jc w:val="both"/>
              <w:rPr>
                <w:rFonts w:ascii="Calibri" w:eastAsia="Times New Roman" w:hAnsi="Calibri" w:cs="Arial"/>
                <w:bCs/>
                <w:noProof/>
                <w:szCs w:val="20"/>
              </w:rPr>
            </w:pPr>
            <w:bookmarkStart w:id="67" w:name="_Toc476912747"/>
            <w:r>
              <w:rPr>
                <w:rFonts w:ascii="Calibri" w:hAnsi="Calibri"/>
                <w:noProof/>
              </w:rPr>
              <w:t>Italia</w:t>
            </w:r>
            <w:bookmarkEnd w:id="67"/>
          </w:p>
        </w:tc>
        <w:tc>
          <w:tcPr>
            <w:tcW w:w="817" w:type="pct"/>
            <w:shd w:val="clear" w:color="auto" w:fill="FFFFFF" w:themeFill="background1"/>
            <w:vAlign w:val="center"/>
          </w:tcPr>
          <w:p>
            <w:pPr>
              <w:spacing w:before="60" w:after="60" w:line="240" w:lineRule="auto"/>
              <w:jc w:val="both"/>
              <w:rPr>
                <w:rFonts w:ascii="Calibri" w:eastAsia="Times New Roman" w:hAnsi="Calibri" w:cs="Arial"/>
                <w:bCs/>
                <w:noProof/>
                <w:szCs w:val="20"/>
              </w:rPr>
            </w:pPr>
            <w:bookmarkStart w:id="68" w:name="_Toc476912748"/>
            <w:r>
              <w:rPr>
                <w:rFonts w:ascii="Calibri" w:hAnsi="Calibri"/>
                <w:noProof/>
              </w:rPr>
              <w:t>1</w:t>
            </w:r>
            <w:bookmarkEnd w:id="68"/>
          </w:p>
          <w:p>
            <w:pPr>
              <w:spacing w:before="60" w:after="60" w:line="240" w:lineRule="auto"/>
              <w:jc w:val="both"/>
              <w:rPr>
                <w:rFonts w:ascii="Calibri" w:eastAsia="Times New Roman" w:hAnsi="Calibri" w:cs="Arial"/>
                <w:bCs/>
                <w:noProof/>
                <w:szCs w:val="20"/>
              </w:rPr>
            </w:pPr>
            <w:bookmarkStart w:id="69" w:name="_Toc476912749"/>
            <w:r>
              <w:rPr>
                <w:rFonts w:ascii="Calibri" w:hAnsi="Calibri"/>
                <w:noProof/>
              </w:rPr>
              <w:t>3</w:t>
            </w:r>
            <w:bookmarkEnd w:id="69"/>
          </w:p>
          <w:p>
            <w:pPr>
              <w:spacing w:before="60" w:after="60" w:line="240" w:lineRule="auto"/>
              <w:jc w:val="both"/>
              <w:rPr>
                <w:rFonts w:ascii="Calibri" w:eastAsia="Times New Roman" w:hAnsi="Calibri" w:cs="Arial"/>
                <w:bCs/>
                <w:noProof/>
                <w:szCs w:val="20"/>
              </w:rPr>
            </w:pPr>
            <w:bookmarkStart w:id="70" w:name="_Toc476912750"/>
            <w:r>
              <w:rPr>
                <w:rFonts w:ascii="Calibri" w:hAnsi="Calibri"/>
                <w:noProof/>
              </w:rPr>
              <w:t>4</w:t>
            </w:r>
            <w:bookmarkEnd w:id="70"/>
          </w:p>
        </w:tc>
        <w:tc>
          <w:tcPr>
            <w:tcW w:w="827" w:type="pct"/>
            <w:shd w:val="clear" w:color="auto" w:fill="FFFFFF" w:themeFill="background1"/>
            <w:vAlign w:val="center"/>
          </w:tcPr>
          <w:p>
            <w:pPr>
              <w:spacing w:before="60" w:after="60" w:line="240" w:lineRule="auto"/>
              <w:ind w:right="272"/>
              <w:jc w:val="right"/>
              <w:rPr>
                <w:rFonts w:ascii="Calibri" w:eastAsia="Times New Roman" w:hAnsi="Calibri" w:cs="Arial"/>
                <w:bCs/>
                <w:noProof/>
                <w:szCs w:val="20"/>
              </w:rPr>
            </w:pPr>
            <w:bookmarkStart w:id="71" w:name="_Toc476912751"/>
            <w:r>
              <w:rPr>
                <w:rFonts w:ascii="Calibri" w:hAnsi="Calibri"/>
                <w:noProof/>
              </w:rPr>
              <w:t>71 000</w:t>
            </w:r>
            <w:bookmarkEnd w:id="71"/>
          </w:p>
          <w:p>
            <w:pPr>
              <w:spacing w:before="60" w:after="60" w:line="240" w:lineRule="auto"/>
              <w:ind w:right="272"/>
              <w:jc w:val="right"/>
              <w:rPr>
                <w:rFonts w:ascii="Calibri" w:eastAsia="Times New Roman" w:hAnsi="Calibri" w:cs="Arial"/>
                <w:bCs/>
                <w:noProof/>
                <w:szCs w:val="20"/>
              </w:rPr>
            </w:pPr>
            <w:bookmarkStart w:id="72" w:name="_Toc476912752"/>
            <w:r>
              <w:rPr>
                <w:rFonts w:ascii="Calibri" w:hAnsi="Calibri"/>
                <w:noProof/>
              </w:rPr>
              <w:t>16 230</w:t>
            </w:r>
            <w:bookmarkEnd w:id="72"/>
          </w:p>
          <w:p>
            <w:pPr>
              <w:spacing w:before="60" w:after="60" w:line="240" w:lineRule="auto"/>
              <w:ind w:right="272"/>
              <w:jc w:val="right"/>
              <w:rPr>
                <w:rFonts w:ascii="Calibri" w:eastAsia="Times New Roman" w:hAnsi="Calibri" w:cs="Arial"/>
                <w:bCs/>
                <w:noProof/>
                <w:szCs w:val="20"/>
              </w:rPr>
            </w:pPr>
            <w:bookmarkStart w:id="73" w:name="_Toc476912753"/>
            <w:r>
              <w:rPr>
                <w:rFonts w:ascii="Calibri" w:hAnsi="Calibri"/>
                <w:noProof/>
              </w:rPr>
              <w:t>8 200</w:t>
            </w:r>
            <w:bookmarkEnd w:id="73"/>
          </w:p>
        </w:tc>
        <w:tc>
          <w:tcPr>
            <w:tcW w:w="914" w:type="pct"/>
            <w:shd w:val="clear" w:color="auto" w:fill="FFFFFF" w:themeFill="background1"/>
            <w:vAlign w:val="center"/>
          </w:tcPr>
          <w:p>
            <w:pPr>
              <w:spacing w:before="60" w:after="60" w:line="240" w:lineRule="auto"/>
              <w:jc w:val="both"/>
              <w:rPr>
                <w:rFonts w:ascii="Calibri" w:eastAsia="Times New Roman" w:hAnsi="Calibri" w:cs="Arial"/>
                <w:bCs/>
                <w:noProof/>
                <w:szCs w:val="20"/>
              </w:rPr>
            </w:pPr>
            <w:bookmarkStart w:id="74" w:name="_Toc476912754"/>
            <w:r>
              <w:rPr>
                <w:rFonts w:ascii="Calibri" w:hAnsi="Calibri"/>
                <w:noProof/>
              </w:rPr>
              <w:t>Mediterráneo</w:t>
            </w:r>
            <w:bookmarkEnd w:id="74"/>
            <w:r>
              <w:rPr>
                <w:rFonts w:ascii="Calibri" w:hAnsi="Calibri"/>
                <w:noProof/>
              </w:rPr>
              <w:t xml:space="preserve"> (agua templada)</w:t>
            </w:r>
          </w:p>
        </w:tc>
      </w:tr>
    </w:tbl>
    <w:p>
      <w:pPr>
        <w:spacing w:before="120" w:after="120"/>
        <w:jc w:val="center"/>
        <w:rPr>
          <w:rFonts w:ascii="Times New Roman" w:eastAsia="Times New Roman" w:hAnsi="Times New Roman" w:cs="Times New Roman"/>
          <w:bCs/>
          <w:i/>
          <w:noProof/>
          <w:sz w:val="20"/>
          <w:szCs w:val="20"/>
        </w:rPr>
      </w:pPr>
      <w:bookmarkStart w:id="75" w:name="_Toc476912755"/>
      <w:r>
        <w:rPr>
          <w:rFonts w:ascii="Times New Roman" w:hAnsi="Times New Roman"/>
          <w:i/>
          <w:noProof/>
          <w:sz w:val="20"/>
        </w:rPr>
        <w:t>*Fuente: FEAP 2015</w:t>
      </w:r>
      <w:r>
        <w:rPr>
          <w:rFonts w:ascii="Times New Roman" w:hAnsi="Times New Roman"/>
          <w:i/>
          <w:noProof/>
          <w:sz w:val="20"/>
          <w:vertAlign w:val="superscript"/>
        </w:rPr>
        <w:footnoteReference w:id="11"/>
      </w:r>
      <w:bookmarkEnd w:id="75"/>
      <w:r>
        <w:rPr>
          <w:rFonts w:ascii="Times New Roman" w:hAnsi="Times New Roman"/>
          <w:i/>
          <w:noProof/>
          <w:sz w:val="20"/>
        </w:rPr>
        <w:t xml:space="preserve">; **Imágenes extraídas de: </w:t>
      </w:r>
      <w:hyperlink r:id="rId21">
        <w:r>
          <w:rPr>
            <w:rStyle w:val="Hyperlink"/>
            <w:rFonts w:ascii="Times New Roman" w:hAnsi="Times New Roman"/>
            <w:i/>
            <w:noProof/>
            <w:sz w:val="20"/>
          </w:rPr>
          <w:t>https://ec.europa.eu/fisheries/marine_species_es</w:t>
        </w:r>
      </w:hyperlink>
    </w:p>
    <w:p>
      <w:pPr>
        <w:pStyle w:val="Heading2"/>
        <w:numPr>
          <w:ilvl w:val="0"/>
          <w:numId w:val="18"/>
        </w:numPr>
        <w:spacing w:before="240" w:after="240"/>
        <w:ind w:hanging="720"/>
        <w:rPr>
          <w:rFonts w:ascii="Times New Roman" w:hAnsi="Times New Roman"/>
          <w:noProof/>
          <w:color w:val="auto"/>
          <w:sz w:val="28"/>
          <w:szCs w:val="24"/>
        </w:rPr>
      </w:pPr>
      <w:r>
        <w:rPr>
          <w:rFonts w:ascii="Times New Roman" w:hAnsi="Times New Roman"/>
          <w:noProof/>
          <w:color w:val="auto"/>
          <w:sz w:val="28"/>
        </w:rPr>
        <w:t>Principales conclusiones</w:t>
      </w:r>
    </w:p>
    <w:p>
      <w:pPr>
        <w:pStyle w:val="Heading2"/>
        <w:numPr>
          <w:ilvl w:val="1"/>
          <w:numId w:val="18"/>
        </w:numPr>
        <w:spacing w:before="240" w:after="240"/>
        <w:ind w:left="1418" w:hanging="709"/>
        <w:rPr>
          <w:rFonts w:ascii="Times New Roman" w:hAnsi="Times New Roman" w:cs="Times New Roman"/>
          <w:noProof/>
          <w:color w:val="auto"/>
          <w:sz w:val="24"/>
        </w:rPr>
      </w:pPr>
      <w:r>
        <w:rPr>
          <w:rFonts w:ascii="Times New Roman" w:hAnsi="Times New Roman"/>
          <w:noProof/>
          <w:color w:val="auto"/>
          <w:sz w:val="24"/>
        </w:rPr>
        <w:t>Prácticas en materia de bienestar en el momento del sacrificio</w:t>
      </w:r>
    </w:p>
    <w:p>
      <w:pPr>
        <w:jc w:val="both"/>
        <w:rPr>
          <w:rFonts w:ascii="Calibri" w:eastAsia="Times New Roman" w:hAnsi="Calibri" w:cs="Arial"/>
          <w:b/>
          <w:bCs/>
          <w:noProof/>
          <w:szCs w:val="20"/>
        </w:rPr>
      </w:pPr>
      <w:r>
        <w:rPr>
          <w:rFonts w:ascii="Times New Roman" w:hAnsi="Times New Roman"/>
          <w:noProof/>
          <w:sz w:val="24"/>
        </w:rPr>
        <w:t>El proceso de sacrificio incluye las siguientes fases: manejo, sujeción, aturdimiento y matanza final. El aturdimiento debe provocar la pérdida de consciencia y sensibilidad sin estrés, incomodidad o dolor evitables. En algunos métodos, también puede causar la muerte. Cuando el método de aturdimiento es reversible o no causa la muerte, debe ir seguido de un método de matanza. En el cuadro 2 siguiente se resumen los métodos utilizados para el aturdimiento, aturdimiento/matanza y matanza, así como sus respectivas ventajas e inconvenientes.</w:t>
      </w:r>
    </w:p>
    <w:p>
      <w:pPr>
        <w:spacing w:after="60"/>
        <w:jc w:val="center"/>
        <w:rPr>
          <w:rFonts w:ascii="Calibri" w:eastAsia="Times New Roman" w:hAnsi="Calibri" w:cs="Arial"/>
          <w:b/>
          <w:bCs/>
          <w:noProof/>
          <w:szCs w:val="20"/>
        </w:rPr>
      </w:pPr>
      <w:r>
        <w:rPr>
          <w:rFonts w:ascii="Calibri" w:hAnsi="Calibri"/>
          <w:b/>
          <w:noProof/>
        </w:rPr>
        <w:t xml:space="preserve">Cuadro 2. Resumen de métodos utilizados para el aturdimiento, aturdimiento/matanza y matanza, </w:t>
      </w:r>
      <w:r>
        <w:rPr>
          <w:rFonts w:ascii="Calibri" w:eastAsia="Times New Roman" w:hAnsi="Calibri" w:cs="Arial"/>
          <w:b/>
          <w:bCs/>
          <w:noProof/>
          <w:szCs w:val="20"/>
        </w:rPr>
        <w:br/>
      </w:r>
      <w:r>
        <w:rPr>
          <w:rFonts w:ascii="Calibri" w:hAnsi="Calibri"/>
          <w:b/>
          <w:noProof/>
        </w:rPr>
        <w:t>sus ventajas e inconvenientes</w:t>
      </w:r>
    </w:p>
    <w:tbl>
      <w:tblPr>
        <w:tblW w:w="5000" w:type="pct"/>
        <w:jc w:val="center"/>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307"/>
        <w:gridCol w:w="1368"/>
        <w:gridCol w:w="2498"/>
        <w:gridCol w:w="3116"/>
      </w:tblGrid>
      <w:tr>
        <w:trPr>
          <w:tblHeader/>
          <w:jc w:val="center"/>
        </w:trPr>
        <w:tc>
          <w:tcPr>
            <w:tcW w:w="879" w:type="pct"/>
            <w:tcBorders>
              <w:top w:val="single" w:sz="4" w:space="0" w:color="1F497D" w:themeColor="text2"/>
            </w:tcBorders>
            <w:shd w:val="clear" w:color="auto" w:fill="1F497D" w:themeFill="text2"/>
            <w:vAlign w:val="center"/>
          </w:tcPr>
          <w:p>
            <w:pPr>
              <w:spacing w:before="60" w:after="60" w:line="240" w:lineRule="auto"/>
              <w:jc w:val="center"/>
              <w:rPr>
                <w:rFonts w:ascii="Calibri" w:eastAsia="Times New Roman" w:hAnsi="Calibri" w:cs="Arial"/>
                <w:b/>
                <w:bCs/>
                <w:noProof/>
                <w:color w:val="FFFFFF" w:themeColor="background1"/>
                <w:szCs w:val="20"/>
              </w:rPr>
            </w:pPr>
            <w:bookmarkStart w:id="76" w:name="_Toc476912957"/>
            <w:r>
              <w:rPr>
                <w:rFonts w:ascii="Calibri" w:hAnsi="Calibri"/>
                <w:b/>
                <w:noProof/>
                <w:color w:val="FFFFFF" w:themeColor="background1"/>
              </w:rPr>
              <w:t>Aturdimiento o aturdimiento/matanza</w:t>
            </w:r>
            <w:bookmarkEnd w:id="76"/>
          </w:p>
        </w:tc>
        <w:tc>
          <w:tcPr>
            <w:tcW w:w="857" w:type="pct"/>
            <w:tcBorders>
              <w:top w:val="single" w:sz="4" w:space="0" w:color="1F497D" w:themeColor="text2"/>
            </w:tcBorders>
            <w:shd w:val="clear" w:color="auto" w:fill="1F497D" w:themeFill="text2"/>
            <w:vAlign w:val="center"/>
          </w:tcPr>
          <w:p>
            <w:pPr>
              <w:spacing w:before="60" w:after="60" w:line="240" w:lineRule="auto"/>
              <w:jc w:val="center"/>
              <w:rPr>
                <w:rFonts w:ascii="Calibri" w:eastAsia="Times New Roman" w:hAnsi="Calibri" w:cs="Arial"/>
                <w:b/>
                <w:bCs/>
                <w:noProof/>
                <w:color w:val="FFFFFF" w:themeColor="background1"/>
                <w:szCs w:val="20"/>
              </w:rPr>
            </w:pPr>
            <w:bookmarkStart w:id="77" w:name="_Toc476912958"/>
            <w:r>
              <w:rPr>
                <w:rFonts w:ascii="Calibri" w:hAnsi="Calibri"/>
                <w:b/>
                <w:noProof/>
                <w:color w:val="FFFFFF" w:themeColor="background1"/>
              </w:rPr>
              <w:t>Especies de peces</w:t>
            </w:r>
            <w:bookmarkEnd w:id="77"/>
          </w:p>
        </w:tc>
        <w:tc>
          <w:tcPr>
            <w:tcW w:w="1465" w:type="pct"/>
            <w:tcBorders>
              <w:top w:val="single" w:sz="4" w:space="0" w:color="1F497D" w:themeColor="text2"/>
            </w:tcBorders>
            <w:shd w:val="clear" w:color="auto" w:fill="1F497D" w:themeFill="text2"/>
            <w:vAlign w:val="center"/>
          </w:tcPr>
          <w:p>
            <w:pPr>
              <w:spacing w:before="60" w:after="60" w:line="240" w:lineRule="auto"/>
              <w:jc w:val="center"/>
              <w:rPr>
                <w:rFonts w:ascii="Calibri" w:eastAsia="Times New Roman" w:hAnsi="Calibri" w:cs="Arial"/>
                <w:b/>
                <w:bCs/>
                <w:noProof/>
                <w:color w:val="FFFFFF" w:themeColor="background1"/>
                <w:szCs w:val="20"/>
              </w:rPr>
            </w:pPr>
            <w:bookmarkStart w:id="78" w:name="_Toc476912959"/>
            <w:r>
              <w:rPr>
                <w:rFonts w:ascii="Calibri" w:hAnsi="Calibri"/>
                <w:b/>
                <w:noProof/>
                <w:color w:val="FFFFFF" w:themeColor="background1"/>
              </w:rPr>
              <w:t>Ventaja</w:t>
            </w:r>
            <w:bookmarkEnd w:id="78"/>
          </w:p>
        </w:tc>
        <w:tc>
          <w:tcPr>
            <w:tcW w:w="1798" w:type="pct"/>
            <w:tcBorders>
              <w:top w:val="single" w:sz="4" w:space="0" w:color="1F497D" w:themeColor="text2"/>
            </w:tcBorders>
            <w:shd w:val="clear" w:color="auto" w:fill="1F497D" w:themeFill="text2"/>
            <w:vAlign w:val="center"/>
          </w:tcPr>
          <w:p>
            <w:pPr>
              <w:spacing w:before="60" w:after="60" w:line="240" w:lineRule="auto"/>
              <w:jc w:val="center"/>
              <w:rPr>
                <w:rFonts w:ascii="Calibri" w:eastAsia="Times New Roman" w:hAnsi="Calibri" w:cs="Arial"/>
                <w:b/>
                <w:bCs/>
                <w:noProof/>
                <w:color w:val="FFFFFF" w:themeColor="background1"/>
                <w:szCs w:val="20"/>
              </w:rPr>
            </w:pPr>
            <w:bookmarkStart w:id="79" w:name="_Toc476912960"/>
            <w:r>
              <w:rPr>
                <w:rFonts w:ascii="Calibri" w:hAnsi="Calibri"/>
                <w:b/>
                <w:noProof/>
                <w:color w:val="FFFFFF" w:themeColor="background1"/>
              </w:rPr>
              <w:t>Inconveniente</w:t>
            </w:r>
            <w:bookmarkEnd w:id="79"/>
          </w:p>
        </w:tc>
      </w:tr>
      <w:tr>
        <w:trPr>
          <w:jc w:val="center"/>
        </w:trPr>
        <w:tc>
          <w:tcPr>
            <w:tcW w:w="879" w:type="pct"/>
            <w:tcBorders>
              <w:top w:val="single" w:sz="4" w:space="0" w:color="1F497D" w:themeColor="text2"/>
              <w:left w:val="single" w:sz="4" w:space="0" w:color="1F497D" w:themeColor="text2"/>
              <w:bottom w:val="single" w:sz="4" w:space="0" w:color="1F497D" w:themeColor="text2"/>
            </w:tcBorders>
            <w:vAlign w:val="center"/>
          </w:tcPr>
          <w:p>
            <w:pPr>
              <w:spacing w:before="60" w:after="60" w:line="240" w:lineRule="auto"/>
              <w:jc w:val="both"/>
              <w:rPr>
                <w:rFonts w:ascii="Calibri" w:eastAsia="Times New Roman" w:hAnsi="Calibri" w:cs="Arial"/>
                <w:bCs/>
                <w:noProof/>
                <w:szCs w:val="20"/>
              </w:rPr>
            </w:pPr>
            <w:r>
              <w:rPr>
                <w:rFonts w:ascii="Calibri" w:hAnsi="Calibri"/>
                <w:noProof/>
              </w:rPr>
              <w:t>Aturdimiento eléctrico</w:t>
            </w:r>
          </w:p>
        </w:tc>
        <w:tc>
          <w:tcPr>
            <w:tcW w:w="857" w:type="pct"/>
            <w:tcBorders>
              <w:top w:val="single" w:sz="4" w:space="0" w:color="1F497D" w:themeColor="text2"/>
              <w:bottom w:val="single" w:sz="4" w:space="0" w:color="1F497D" w:themeColor="text2"/>
            </w:tcBorders>
            <w:vAlign w:val="center"/>
          </w:tcPr>
          <w:p>
            <w:pPr>
              <w:spacing w:before="60" w:after="60" w:line="240" w:lineRule="auto"/>
              <w:jc w:val="both"/>
              <w:rPr>
                <w:rFonts w:ascii="Calibri" w:eastAsia="Times New Roman" w:hAnsi="Calibri" w:cs="Arial"/>
                <w:bCs/>
                <w:noProof/>
                <w:szCs w:val="20"/>
              </w:rPr>
            </w:pPr>
            <w:r>
              <w:rPr>
                <w:rFonts w:ascii="Calibri" w:hAnsi="Calibri"/>
                <w:noProof/>
              </w:rPr>
              <w:t>Salmón atlántico</w:t>
            </w:r>
          </w:p>
          <w:p>
            <w:pPr>
              <w:spacing w:before="60" w:after="60" w:line="240" w:lineRule="auto"/>
              <w:jc w:val="both"/>
              <w:rPr>
                <w:rFonts w:ascii="Calibri" w:eastAsia="Times New Roman" w:hAnsi="Calibri" w:cs="Arial"/>
                <w:bCs/>
                <w:noProof/>
                <w:szCs w:val="20"/>
              </w:rPr>
            </w:pPr>
            <w:r>
              <w:rPr>
                <w:rFonts w:ascii="Calibri" w:hAnsi="Calibri"/>
                <w:noProof/>
              </w:rPr>
              <w:t>Trucha arco iris</w:t>
            </w:r>
          </w:p>
          <w:p>
            <w:pPr>
              <w:spacing w:before="60" w:after="60" w:line="240" w:lineRule="auto"/>
              <w:jc w:val="both"/>
              <w:rPr>
                <w:rFonts w:ascii="Calibri" w:eastAsia="Times New Roman" w:hAnsi="Calibri" w:cs="Arial"/>
                <w:bCs/>
                <w:noProof/>
                <w:szCs w:val="20"/>
              </w:rPr>
            </w:pPr>
            <w:r>
              <w:rPr>
                <w:rFonts w:ascii="Calibri" w:hAnsi="Calibri"/>
                <w:noProof/>
              </w:rPr>
              <w:t>Carpa común</w:t>
            </w:r>
          </w:p>
        </w:tc>
        <w:tc>
          <w:tcPr>
            <w:tcW w:w="1465" w:type="pct"/>
            <w:tcBorders>
              <w:top w:val="single" w:sz="4" w:space="0" w:color="1F497D" w:themeColor="text2"/>
              <w:bottom w:val="single" w:sz="4" w:space="0" w:color="1F497D" w:themeColor="text2"/>
            </w:tcBorders>
          </w:tcPr>
          <w:p>
            <w:pPr>
              <w:tabs>
                <w:tab w:val="left" w:pos="175"/>
              </w:tabs>
              <w:spacing w:before="60" w:after="60" w:line="240" w:lineRule="auto"/>
              <w:ind w:left="175" w:hanging="175"/>
              <w:jc w:val="both"/>
              <w:rPr>
                <w:rFonts w:ascii="Calibri" w:eastAsia="Times New Roman" w:hAnsi="Calibri" w:cs="Arial"/>
                <w:bCs/>
                <w:noProof/>
                <w:szCs w:val="20"/>
              </w:rPr>
            </w:pPr>
            <w:r>
              <w:rPr>
                <w:rFonts w:ascii="Calibri" w:hAnsi="Calibri"/>
                <w:noProof/>
              </w:rPr>
              <w:t>- </w:t>
            </w:r>
            <w:r>
              <w:rPr>
                <w:noProof/>
              </w:rPr>
              <w:tab/>
            </w:r>
            <w:r>
              <w:rPr>
                <w:rFonts w:ascii="Calibri" w:hAnsi="Calibri"/>
                <w:noProof/>
              </w:rPr>
              <w:t xml:space="preserve">Se puede lograr el aturdimiento inmediato; </w:t>
            </w:r>
          </w:p>
          <w:p>
            <w:pPr>
              <w:tabs>
                <w:tab w:val="left" w:pos="175"/>
              </w:tabs>
              <w:spacing w:before="60" w:after="60" w:line="240" w:lineRule="auto"/>
              <w:ind w:left="175" w:hanging="175"/>
              <w:jc w:val="both"/>
              <w:rPr>
                <w:rFonts w:ascii="Calibri" w:eastAsia="Times New Roman" w:hAnsi="Calibri" w:cs="Arial"/>
                <w:bCs/>
                <w:noProof/>
                <w:szCs w:val="20"/>
              </w:rPr>
            </w:pPr>
            <w:r>
              <w:rPr>
                <w:rFonts w:ascii="Calibri" w:hAnsi="Calibri"/>
                <w:noProof/>
              </w:rPr>
              <w:t>-</w:t>
            </w:r>
            <w:r>
              <w:rPr>
                <w:noProof/>
              </w:rPr>
              <w:tab/>
            </w:r>
            <w:r>
              <w:rPr>
                <w:rFonts w:ascii="Calibri" w:hAnsi="Calibri"/>
                <w:noProof/>
              </w:rPr>
              <w:t xml:space="preserve">Permite el fileteado antes del </w:t>
            </w:r>
            <w:r>
              <w:rPr>
                <w:rFonts w:ascii="Calibri" w:hAnsi="Calibri"/>
                <w:i/>
                <w:noProof/>
              </w:rPr>
              <w:t>rigor mortis</w:t>
            </w:r>
            <w:r>
              <w:rPr>
                <w:rFonts w:ascii="Calibri" w:hAnsi="Calibri"/>
                <w:noProof/>
              </w:rPr>
              <w:t>.</w:t>
            </w:r>
          </w:p>
        </w:tc>
        <w:tc>
          <w:tcPr>
            <w:tcW w:w="1798" w:type="pct"/>
            <w:tcBorders>
              <w:top w:val="single" w:sz="4" w:space="0" w:color="1F497D" w:themeColor="text2"/>
              <w:bottom w:val="single" w:sz="4" w:space="0" w:color="1F497D" w:themeColor="text2"/>
              <w:right w:val="single" w:sz="4" w:space="0" w:color="1F497D" w:themeColor="text2"/>
            </w:tcBorders>
          </w:tcPr>
          <w:p>
            <w:pPr>
              <w:tabs>
                <w:tab w:val="left" w:pos="175"/>
              </w:tabs>
              <w:spacing w:before="60" w:after="60" w:line="240" w:lineRule="auto"/>
              <w:ind w:left="175" w:hanging="175"/>
              <w:jc w:val="both"/>
              <w:rPr>
                <w:rFonts w:ascii="Calibri" w:eastAsia="Times New Roman" w:hAnsi="Calibri" w:cs="Arial"/>
                <w:bCs/>
                <w:noProof/>
                <w:szCs w:val="20"/>
              </w:rPr>
            </w:pPr>
            <w:r>
              <w:rPr>
                <w:rFonts w:ascii="Calibri" w:hAnsi="Calibri"/>
                <w:noProof/>
              </w:rPr>
              <w:t>- </w:t>
            </w:r>
            <w:r>
              <w:rPr>
                <w:noProof/>
              </w:rPr>
              <w:tab/>
            </w:r>
            <w:r>
              <w:rPr>
                <w:rFonts w:ascii="Calibri" w:hAnsi="Calibri"/>
                <w:noProof/>
              </w:rPr>
              <w:t>Es necesario un método de matanza efectivo;</w:t>
            </w:r>
          </w:p>
          <w:p>
            <w:pPr>
              <w:tabs>
                <w:tab w:val="left" w:pos="175"/>
              </w:tabs>
              <w:spacing w:before="60" w:after="60" w:line="240" w:lineRule="auto"/>
              <w:ind w:left="175" w:hanging="175"/>
              <w:jc w:val="both"/>
              <w:rPr>
                <w:rFonts w:ascii="Calibri" w:eastAsia="Times New Roman" w:hAnsi="Calibri" w:cs="Arial"/>
                <w:bCs/>
                <w:noProof/>
                <w:szCs w:val="20"/>
              </w:rPr>
            </w:pPr>
            <w:r>
              <w:rPr>
                <w:rFonts w:ascii="Calibri" w:hAnsi="Calibri"/>
                <w:noProof/>
              </w:rPr>
              <w:t xml:space="preserve"> - </w:t>
            </w:r>
            <w:r>
              <w:rPr>
                <w:noProof/>
              </w:rPr>
              <w:tab/>
            </w:r>
            <w:r>
              <w:rPr>
                <w:rFonts w:ascii="Calibri" w:hAnsi="Calibri"/>
                <w:noProof/>
              </w:rPr>
              <w:t>Pueden producirse daños en el cuerpo;</w:t>
            </w:r>
          </w:p>
          <w:p>
            <w:pPr>
              <w:tabs>
                <w:tab w:val="left" w:pos="175"/>
              </w:tabs>
              <w:spacing w:before="60" w:after="60" w:line="240" w:lineRule="auto"/>
              <w:ind w:left="175" w:hanging="175"/>
              <w:jc w:val="both"/>
              <w:rPr>
                <w:rFonts w:ascii="Calibri" w:eastAsia="Times New Roman" w:hAnsi="Calibri" w:cs="Arial"/>
                <w:bCs/>
                <w:noProof/>
                <w:szCs w:val="20"/>
              </w:rPr>
            </w:pPr>
            <w:r>
              <w:rPr>
                <w:rFonts w:ascii="Calibri" w:hAnsi="Calibri"/>
                <w:noProof/>
              </w:rPr>
              <w:t>-</w:t>
            </w:r>
            <w:r>
              <w:rPr>
                <w:noProof/>
              </w:rPr>
              <w:tab/>
            </w:r>
            <w:r>
              <w:rPr>
                <w:rFonts w:ascii="Calibri" w:hAnsi="Calibri"/>
                <w:noProof/>
              </w:rPr>
              <w:t>Puede afectar a la calidad del producto, puede producirse un aturdimiento inadecuado* debido a la distinta resistencia en función de los peces;</w:t>
            </w:r>
          </w:p>
        </w:tc>
      </w:tr>
      <w:tr>
        <w:trPr>
          <w:jc w:val="center"/>
        </w:trPr>
        <w:tc>
          <w:tcPr>
            <w:tcW w:w="879" w:type="pct"/>
            <w:tcBorders>
              <w:top w:val="single" w:sz="4" w:space="0" w:color="1F497D" w:themeColor="text2"/>
              <w:bottom w:val="single" w:sz="4" w:space="0" w:color="1F497D" w:themeColor="text2"/>
              <w:right w:val="single" w:sz="4" w:space="0" w:color="A6A6A6" w:themeColor="background1" w:themeShade="A6"/>
            </w:tcBorders>
            <w:vAlign w:val="center"/>
          </w:tcPr>
          <w:p>
            <w:pPr>
              <w:spacing w:before="60" w:after="60" w:line="240" w:lineRule="auto"/>
              <w:jc w:val="both"/>
              <w:rPr>
                <w:rFonts w:ascii="Calibri" w:eastAsia="Times New Roman" w:hAnsi="Calibri" w:cs="Arial"/>
                <w:bCs/>
                <w:noProof/>
                <w:szCs w:val="20"/>
              </w:rPr>
            </w:pPr>
            <w:r>
              <w:rPr>
                <w:rFonts w:ascii="Calibri" w:hAnsi="Calibri"/>
                <w:noProof/>
              </w:rPr>
              <w:t>Aturdimiento con dióxido de carbono (CO</w:t>
            </w:r>
            <w:r>
              <w:rPr>
                <w:rFonts w:ascii="Calibri" w:hAnsi="Calibri"/>
                <w:noProof/>
                <w:vertAlign w:val="subscript"/>
              </w:rPr>
              <w:t>2</w:t>
            </w:r>
            <w:r>
              <w:rPr>
                <w:rFonts w:ascii="Calibri" w:hAnsi="Calibri"/>
                <w:noProof/>
              </w:rPr>
              <w:t>)</w:t>
            </w:r>
          </w:p>
        </w:tc>
        <w:tc>
          <w:tcPr>
            <w:tcW w:w="857" w:type="pct"/>
            <w:tcBorders>
              <w:top w:val="single" w:sz="4" w:space="0" w:color="1F497D" w:themeColor="text2"/>
              <w:left w:val="single" w:sz="4" w:space="0" w:color="A6A6A6" w:themeColor="background1" w:themeShade="A6"/>
              <w:bottom w:val="single" w:sz="4" w:space="0" w:color="1F497D" w:themeColor="text2"/>
              <w:right w:val="single" w:sz="4" w:space="0" w:color="A6A6A6" w:themeColor="background1" w:themeShade="A6"/>
            </w:tcBorders>
            <w:vAlign w:val="center"/>
          </w:tcPr>
          <w:p>
            <w:pPr>
              <w:spacing w:before="60" w:after="60" w:line="240" w:lineRule="auto"/>
              <w:jc w:val="both"/>
              <w:rPr>
                <w:rFonts w:ascii="Calibri" w:eastAsia="Times New Roman" w:hAnsi="Calibri" w:cs="Arial"/>
                <w:bCs/>
                <w:noProof/>
                <w:szCs w:val="20"/>
              </w:rPr>
            </w:pPr>
            <w:r>
              <w:rPr>
                <w:rFonts w:ascii="Calibri" w:hAnsi="Calibri"/>
                <w:noProof/>
              </w:rPr>
              <w:t>Trucha arco iris</w:t>
            </w:r>
          </w:p>
        </w:tc>
        <w:tc>
          <w:tcPr>
            <w:tcW w:w="1465" w:type="pct"/>
            <w:tcBorders>
              <w:top w:val="single" w:sz="4" w:space="0" w:color="1F497D" w:themeColor="text2"/>
              <w:left w:val="single" w:sz="4" w:space="0" w:color="A6A6A6" w:themeColor="background1" w:themeShade="A6"/>
              <w:bottom w:val="single" w:sz="4" w:space="0" w:color="1F497D" w:themeColor="text2"/>
              <w:right w:val="single" w:sz="4" w:space="0" w:color="A6A6A6" w:themeColor="background1" w:themeShade="A6"/>
            </w:tcBorders>
          </w:tcPr>
          <w:p>
            <w:pPr>
              <w:spacing w:before="60" w:after="60" w:line="240" w:lineRule="auto"/>
              <w:jc w:val="both"/>
              <w:rPr>
                <w:rFonts w:ascii="Calibri" w:eastAsia="Times New Roman" w:hAnsi="Calibri" w:cs="Arial"/>
                <w:bCs/>
                <w:noProof/>
                <w:szCs w:val="20"/>
              </w:rPr>
            </w:pPr>
          </w:p>
        </w:tc>
        <w:tc>
          <w:tcPr>
            <w:tcW w:w="1798" w:type="pct"/>
            <w:tcBorders>
              <w:top w:val="single" w:sz="4" w:space="0" w:color="1F497D" w:themeColor="text2"/>
              <w:left w:val="single" w:sz="4" w:space="0" w:color="A6A6A6" w:themeColor="background1" w:themeShade="A6"/>
              <w:bottom w:val="single" w:sz="4" w:space="0" w:color="1F497D" w:themeColor="text2"/>
            </w:tcBorders>
          </w:tcPr>
          <w:p>
            <w:pPr>
              <w:tabs>
                <w:tab w:val="left" w:pos="175"/>
              </w:tabs>
              <w:spacing w:before="60" w:after="60" w:line="240" w:lineRule="auto"/>
              <w:ind w:left="175" w:hanging="175"/>
              <w:jc w:val="both"/>
              <w:rPr>
                <w:rFonts w:ascii="Calibri" w:eastAsia="Times New Roman" w:hAnsi="Calibri" w:cs="Arial"/>
                <w:bCs/>
                <w:noProof/>
                <w:szCs w:val="20"/>
              </w:rPr>
            </w:pPr>
            <w:r>
              <w:rPr>
                <w:rFonts w:ascii="Calibri" w:hAnsi="Calibri"/>
                <w:noProof/>
              </w:rPr>
              <w:t>- </w:t>
            </w:r>
            <w:r>
              <w:rPr>
                <w:noProof/>
              </w:rPr>
              <w:tab/>
            </w:r>
            <w:r>
              <w:rPr>
                <w:rFonts w:ascii="Calibri" w:hAnsi="Calibri"/>
                <w:noProof/>
              </w:rPr>
              <w:t>Muy estresante</w:t>
            </w:r>
          </w:p>
        </w:tc>
      </w:tr>
      <w:tr>
        <w:trPr>
          <w:jc w:val="center"/>
        </w:trPr>
        <w:tc>
          <w:tcPr>
            <w:tcW w:w="879" w:type="pct"/>
            <w:vMerge w:val="restart"/>
            <w:tcBorders>
              <w:top w:val="single" w:sz="4" w:space="0" w:color="1F497D" w:themeColor="text2"/>
              <w:left w:val="single" w:sz="4" w:space="0" w:color="1F497D" w:themeColor="text2"/>
              <w:bottom w:val="single" w:sz="4" w:space="0" w:color="auto"/>
              <w:right w:val="single" w:sz="4" w:space="0" w:color="A6A6A6" w:themeColor="background1" w:themeShade="A6"/>
            </w:tcBorders>
            <w:vAlign w:val="center"/>
          </w:tcPr>
          <w:p>
            <w:pPr>
              <w:spacing w:before="60" w:after="60" w:line="240" w:lineRule="auto"/>
              <w:jc w:val="both"/>
              <w:rPr>
                <w:rFonts w:ascii="Calibri" w:eastAsia="Times New Roman" w:hAnsi="Calibri" w:cs="Arial"/>
                <w:bCs/>
                <w:noProof/>
                <w:szCs w:val="20"/>
              </w:rPr>
            </w:pPr>
            <w:bookmarkStart w:id="80" w:name="_Toc476912968"/>
            <w:r>
              <w:rPr>
                <w:rFonts w:ascii="Calibri" w:hAnsi="Calibri"/>
                <w:noProof/>
              </w:rPr>
              <w:t>Percusión</w:t>
            </w:r>
            <w:bookmarkEnd w:id="80"/>
          </w:p>
        </w:tc>
        <w:tc>
          <w:tcPr>
            <w:tcW w:w="857" w:type="pct"/>
            <w:tcBorders>
              <w:top w:val="single" w:sz="4" w:space="0" w:color="1F497D" w:themeColor="text2"/>
              <w:left w:val="single" w:sz="4" w:space="0" w:color="A6A6A6" w:themeColor="background1" w:themeShade="A6"/>
              <w:bottom w:val="single" w:sz="4" w:space="0" w:color="auto"/>
              <w:right w:val="single" w:sz="4" w:space="0" w:color="A6A6A6" w:themeColor="background1" w:themeShade="A6"/>
            </w:tcBorders>
            <w:vAlign w:val="center"/>
          </w:tcPr>
          <w:p>
            <w:pPr>
              <w:spacing w:before="60" w:after="60" w:line="240" w:lineRule="auto"/>
              <w:jc w:val="both"/>
              <w:rPr>
                <w:rFonts w:ascii="Calibri" w:eastAsia="Times New Roman" w:hAnsi="Calibri" w:cs="Arial"/>
                <w:bCs/>
                <w:noProof/>
                <w:szCs w:val="20"/>
              </w:rPr>
            </w:pPr>
            <w:bookmarkStart w:id="81" w:name="_Toc476912969"/>
            <w:r>
              <w:rPr>
                <w:rFonts w:ascii="Calibri" w:hAnsi="Calibri"/>
                <w:noProof/>
              </w:rPr>
              <w:t>Salmón atlántico</w:t>
            </w:r>
            <w:bookmarkEnd w:id="81"/>
          </w:p>
        </w:tc>
        <w:tc>
          <w:tcPr>
            <w:tcW w:w="1465" w:type="pct"/>
            <w:tcBorders>
              <w:top w:val="single" w:sz="4" w:space="0" w:color="1F497D" w:themeColor="text2"/>
              <w:left w:val="single" w:sz="4" w:space="0" w:color="A6A6A6" w:themeColor="background1" w:themeShade="A6"/>
              <w:bottom w:val="single" w:sz="4" w:space="0" w:color="A6A6A6" w:themeColor="background1" w:themeShade="A6"/>
              <w:right w:val="single" w:sz="4" w:space="0" w:color="A6A6A6" w:themeColor="background1" w:themeShade="A6"/>
            </w:tcBorders>
          </w:tcPr>
          <w:p>
            <w:pPr>
              <w:tabs>
                <w:tab w:val="left" w:pos="175"/>
              </w:tabs>
              <w:spacing w:before="60" w:after="60" w:line="240" w:lineRule="auto"/>
              <w:ind w:left="175" w:hanging="175"/>
              <w:jc w:val="both"/>
              <w:rPr>
                <w:rFonts w:ascii="Calibri" w:eastAsia="Times New Roman" w:hAnsi="Calibri" w:cs="Arial"/>
                <w:bCs/>
                <w:noProof/>
                <w:szCs w:val="20"/>
              </w:rPr>
            </w:pPr>
            <w:bookmarkStart w:id="82" w:name="_Toc476912970"/>
            <w:r>
              <w:rPr>
                <w:rFonts w:ascii="Calibri" w:hAnsi="Calibri"/>
                <w:noProof/>
              </w:rPr>
              <w:t>- </w:t>
            </w:r>
            <w:r>
              <w:rPr>
                <w:noProof/>
              </w:rPr>
              <w:tab/>
            </w:r>
            <w:r>
              <w:rPr>
                <w:rFonts w:ascii="Calibri" w:hAnsi="Calibri"/>
                <w:noProof/>
              </w:rPr>
              <w:t>Se puede lograr el aturdimiento inmediato</w:t>
            </w:r>
            <w:bookmarkEnd w:id="82"/>
            <w:r>
              <w:rPr>
                <w:rFonts w:ascii="Calibri" w:hAnsi="Calibri"/>
                <w:noProof/>
              </w:rPr>
              <w:t>;</w:t>
            </w:r>
          </w:p>
          <w:p>
            <w:pPr>
              <w:tabs>
                <w:tab w:val="left" w:pos="175"/>
              </w:tabs>
              <w:spacing w:before="60" w:after="60" w:line="240" w:lineRule="auto"/>
              <w:ind w:left="175" w:hanging="175"/>
              <w:jc w:val="both"/>
              <w:rPr>
                <w:rFonts w:ascii="Calibri" w:eastAsia="Times New Roman" w:hAnsi="Calibri" w:cs="Arial"/>
                <w:bCs/>
                <w:noProof/>
                <w:szCs w:val="20"/>
              </w:rPr>
            </w:pPr>
            <w:bookmarkStart w:id="83" w:name="_Toc476912971"/>
            <w:r>
              <w:rPr>
                <w:rFonts w:ascii="Calibri" w:hAnsi="Calibri"/>
                <w:noProof/>
              </w:rPr>
              <w:t>- </w:t>
            </w:r>
            <w:r>
              <w:rPr>
                <w:noProof/>
              </w:rPr>
              <w:tab/>
            </w:r>
            <w:r>
              <w:rPr>
                <w:rFonts w:ascii="Calibri" w:hAnsi="Calibri"/>
                <w:noProof/>
              </w:rPr>
              <w:t>Cuando se aplica correctamente, no existe posibilidad de recuperación</w:t>
            </w:r>
            <w:bookmarkEnd w:id="83"/>
            <w:r>
              <w:rPr>
                <w:rFonts w:ascii="Calibri" w:hAnsi="Calibri"/>
                <w:noProof/>
              </w:rPr>
              <w:t>;</w:t>
            </w:r>
          </w:p>
          <w:p>
            <w:pPr>
              <w:tabs>
                <w:tab w:val="left" w:pos="175"/>
              </w:tabs>
              <w:spacing w:before="60" w:after="60" w:line="240" w:lineRule="auto"/>
              <w:ind w:left="175" w:hanging="175"/>
              <w:jc w:val="both"/>
              <w:rPr>
                <w:rFonts w:ascii="Calibri" w:eastAsia="Times New Roman" w:hAnsi="Calibri" w:cs="Arial"/>
                <w:bCs/>
                <w:noProof/>
                <w:szCs w:val="20"/>
              </w:rPr>
            </w:pPr>
            <w:r>
              <w:rPr>
                <w:rFonts w:ascii="Calibri" w:hAnsi="Calibri"/>
                <w:noProof/>
              </w:rPr>
              <w:t xml:space="preserve">- </w:t>
            </w:r>
            <w:r>
              <w:rPr>
                <w:noProof/>
              </w:rPr>
              <w:tab/>
            </w:r>
            <w:r>
              <w:rPr>
                <w:rFonts w:ascii="Calibri" w:hAnsi="Calibri"/>
                <w:noProof/>
              </w:rPr>
              <w:t xml:space="preserve">Permite el fileteado antes del </w:t>
            </w:r>
            <w:r>
              <w:rPr>
                <w:rFonts w:ascii="Calibri" w:hAnsi="Calibri"/>
                <w:i/>
                <w:noProof/>
              </w:rPr>
              <w:t>rigor mortis</w:t>
            </w:r>
            <w:r>
              <w:rPr>
                <w:rFonts w:ascii="Calibri" w:hAnsi="Calibri"/>
                <w:noProof/>
              </w:rPr>
              <w:t>.</w:t>
            </w:r>
          </w:p>
        </w:tc>
        <w:tc>
          <w:tcPr>
            <w:tcW w:w="1798" w:type="pct"/>
            <w:tcBorders>
              <w:top w:val="single" w:sz="4" w:space="0" w:color="1F497D" w:themeColor="text2"/>
              <w:left w:val="single" w:sz="4" w:space="0" w:color="A6A6A6" w:themeColor="background1" w:themeShade="A6"/>
              <w:bottom w:val="single" w:sz="4" w:space="0" w:color="A6A6A6" w:themeColor="background1" w:themeShade="A6"/>
              <w:right w:val="single" w:sz="4" w:space="0" w:color="1F497D" w:themeColor="text2"/>
            </w:tcBorders>
          </w:tcPr>
          <w:p>
            <w:pPr>
              <w:tabs>
                <w:tab w:val="left" w:pos="175"/>
              </w:tabs>
              <w:spacing w:before="60" w:after="60" w:line="240" w:lineRule="auto"/>
              <w:ind w:left="175" w:hanging="175"/>
              <w:jc w:val="both"/>
              <w:rPr>
                <w:rFonts w:ascii="Calibri" w:eastAsia="Times New Roman" w:hAnsi="Calibri" w:cs="Arial"/>
                <w:bCs/>
                <w:noProof/>
                <w:szCs w:val="20"/>
              </w:rPr>
            </w:pPr>
            <w:bookmarkStart w:id="84" w:name="_Toc476912972"/>
            <w:r>
              <w:rPr>
                <w:rFonts w:ascii="Calibri" w:hAnsi="Calibri"/>
                <w:noProof/>
              </w:rPr>
              <w:t>- </w:t>
            </w:r>
            <w:r>
              <w:rPr>
                <w:noProof/>
              </w:rPr>
              <w:tab/>
            </w:r>
            <w:r>
              <w:rPr>
                <w:rFonts w:ascii="Calibri" w:hAnsi="Calibri"/>
                <w:noProof/>
              </w:rPr>
              <w:t>Puede producirse aturdimiento inadecuado debido a las diferencias de tamaño;</w:t>
            </w:r>
          </w:p>
          <w:p>
            <w:pPr>
              <w:tabs>
                <w:tab w:val="left" w:pos="175"/>
              </w:tabs>
              <w:spacing w:before="60" w:after="60" w:line="240" w:lineRule="auto"/>
              <w:ind w:left="175" w:hanging="175"/>
              <w:jc w:val="both"/>
              <w:rPr>
                <w:rFonts w:ascii="Calibri" w:eastAsia="Times New Roman" w:hAnsi="Calibri" w:cs="Arial"/>
                <w:bCs/>
                <w:noProof/>
                <w:szCs w:val="20"/>
              </w:rPr>
            </w:pPr>
            <w:r>
              <w:rPr>
                <w:rFonts w:ascii="Calibri" w:hAnsi="Calibri"/>
                <w:noProof/>
              </w:rPr>
              <w:t xml:space="preserve"> - </w:t>
            </w:r>
            <w:r>
              <w:rPr>
                <w:noProof/>
              </w:rPr>
              <w:tab/>
            </w:r>
            <w:r>
              <w:rPr>
                <w:rFonts w:ascii="Calibri" w:hAnsi="Calibri"/>
                <w:noProof/>
              </w:rPr>
              <w:t>Pueden producirse daños en la cabeza</w:t>
            </w:r>
            <w:bookmarkEnd w:id="84"/>
            <w:r>
              <w:rPr>
                <w:rFonts w:ascii="Calibri" w:hAnsi="Calibri"/>
                <w:noProof/>
              </w:rPr>
              <w:t>.</w:t>
            </w:r>
          </w:p>
        </w:tc>
      </w:tr>
      <w:tr>
        <w:trPr>
          <w:jc w:val="center"/>
        </w:trPr>
        <w:tc>
          <w:tcPr>
            <w:tcW w:w="879" w:type="pct"/>
            <w:vMerge/>
            <w:tcBorders>
              <w:top w:val="single" w:sz="4" w:space="0" w:color="auto"/>
              <w:left w:val="single" w:sz="4" w:space="0" w:color="1F497D" w:themeColor="text2"/>
              <w:bottom w:val="single" w:sz="4" w:space="0" w:color="auto"/>
              <w:right w:val="single" w:sz="4" w:space="0" w:color="A6A6A6" w:themeColor="background1" w:themeShade="A6"/>
            </w:tcBorders>
            <w:vAlign w:val="center"/>
          </w:tcPr>
          <w:p>
            <w:pPr>
              <w:spacing w:before="60" w:after="60" w:line="240" w:lineRule="auto"/>
              <w:jc w:val="both"/>
              <w:rPr>
                <w:rFonts w:ascii="Calibri" w:eastAsia="Times New Roman" w:hAnsi="Calibri" w:cs="Arial"/>
                <w:bCs/>
                <w:noProof/>
                <w:szCs w:val="20"/>
              </w:rPr>
            </w:pPr>
          </w:p>
        </w:tc>
        <w:tc>
          <w:tcPr>
            <w:tcW w:w="857" w:type="pct"/>
            <w:tcBorders>
              <w:top w:val="single" w:sz="4" w:space="0" w:color="auto"/>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pPr>
              <w:spacing w:before="60" w:after="60" w:line="240" w:lineRule="auto"/>
              <w:jc w:val="both"/>
              <w:rPr>
                <w:rFonts w:ascii="Calibri" w:eastAsia="Times New Roman" w:hAnsi="Calibri" w:cs="Arial"/>
                <w:bCs/>
                <w:noProof/>
                <w:szCs w:val="20"/>
              </w:rPr>
            </w:pPr>
            <w:bookmarkStart w:id="85" w:name="_Toc476912973"/>
            <w:r>
              <w:rPr>
                <w:rFonts w:ascii="Calibri" w:hAnsi="Calibri"/>
                <w:noProof/>
              </w:rPr>
              <w:t>Carpa común</w:t>
            </w:r>
            <w:bookmarkEnd w:id="85"/>
          </w:p>
        </w:tc>
        <w:tc>
          <w:tcPr>
            <w:tcW w:w="146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pPr>
              <w:tabs>
                <w:tab w:val="left" w:pos="175"/>
              </w:tabs>
              <w:spacing w:before="60" w:after="60" w:line="240" w:lineRule="auto"/>
              <w:ind w:left="175" w:hanging="175"/>
              <w:jc w:val="both"/>
              <w:rPr>
                <w:rFonts w:ascii="Calibri" w:eastAsia="Times New Roman" w:hAnsi="Calibri" w:cs="Arial"/>
                <w:bCs/>
                <w:noProof/>
                <w:szCs w:val="20"/>
              </w:rPr>
            </w:pPr>
            <w:bookmarkStart w:id="86" w:name="_Toc476912974"/>
            <w:r>
              <w:rPr>
                <w:rFonts w:ascii="Calibri" w:hAnsi="Calibri"/>
                <w:noProof/>
              </w:rPr>
              <w:t>- </w:t>
            </w:r>
            <w:r>
              <w:rPr>
                <w:noProof/>
              </w:rPr>
              <w:tab/>
            </w:r>
            <w:r>
              <w:rPr>
                <w:rFonts w:ascii="Calibri" w:hAnsi="Calibri"/>
                <w:noProof/>
              </w:rPr>
              <w:t>Cuando se aplica correctamente, no existe posibilidad de recuperación</w:t>
            </w:r>
            <w:bookmarkEnd w:id="86"/>
            <w:r>
              <w:rPr>
                <w:rFonts w:ascii="Calibri" w:hAnsi="Calibri"/>
                <w:noProof/>
              </w:rPr>
              <w:t>.</w:t>
            </w:r>
          </w:p>
        </w:tc>
        <w:tc>
          <w:tcPr>
            <w:tcW w:w="179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1F497D" w:themeColor="text2"/>
            </w:tcBorders>
          </w:tcPr>
          <w:p>
            <w:pPr>
              <w:tabs>
                <w:tab w:val="left" w:pos="175"/>
              </w:tabs>
              <w:spacing w:before="60" w:after="60" w:line="240" w:lineRule="auto"/>
              <w:ind w:left="175" w:hanging="175"/>
              <w:jc w:val="both"/>
              <w:rPr>
                <w:rFonts w:ascii="Calibri" w:eastAsia="Times New Roman" w:hAnsi="Calibri" w:cs="Arial"/>
                <w:bCs/>
                <w:noProof/>
                <w:szCs w:val="20"/>
              </w:rPr>
            </w:pPr>
            <w:bookmarkStart w:id="87" w:name="_Toc476912976"/>
            <w:r>
              <w:rPr>
                <w:rFonts w:ascii="Calibri" w:hAnsi="Calibri"/>
                <w:noProof/>
              </w:rPr>
              <w:t>- </w:t>
            </w:r>
            <w:r>
              <w:rPr>
                <w:noProof/>
              </w:rPr>
              <w:tab/>
            </w:r>
            <w:r>
              <w:rPr>
                <w:rFonts w:ascii="Calibri" w:hAnsi="Calibri"/>
                <w:noProof/>
              </w:rPr>
              <w:t xml:space="preserve">La aplicación manual puede producir aturdimiento inadecuado; </w:t>
            </w:r>
          </w:p>
          <w:p>
            <w:pPr>
              <w:tabs>
                <w:tab w:val="left" w:pos="175"/>
              </w:tabs>
              <w:spacing w:before="60" w:after="60" w:line="240" w:lineRule="auto"/>
              <w:ind w:left="175" w:hanging="175"/>
              <w:jc w:val="both"/>
              <w:rPr>
                <w:rFonts w:ascii="Calibri" w:eastAsia="Times New Roman" w:hAnsi="Calibri" w:cs="Arial"/>
                <w:bCs/>
                <w:noProof/>
                <w:szCs w:val="20"/>
              </w:rPr>
            </w:pPr>
            <w:r>
              <w:rPr>
                <w:rFonts w:ascii="Calibri" w:hAnsi="Calibri"/>
                <w:noProof/>
              </w:rPr>
              <w:t>- </w:t>
            </w:r>
            <w:r>
              <w:rPr>
                <w:noProof/>
              </w:rPr>
              <w:tab/>
            </w:r>
            <w:r>
              <w:rPr>
                <w:rFonts w:ascii="Calibri" w:hAnsi="Calibri"/>
                <w:noProof/>
              </w:rPr>
              <w:t>Pueden producirse daños en la cabeza</w:t>
            </w:r>
            <w:bookmarkEnd w:id="87"/>
            <w:r>
              <w:rPr>
                <w:rFonts w:ascii="Calibri" w:hAnsi="Calibri"/>
                <w:noProof/>
              </w:rPr>
              <w:t xml:space="preserve"> </w:t>
            </w:r>
          </w:p>
        </w:tc>
      </w:tr>
      <w:tr>
        <w:trPr>
          <w:trHeight w:val="567"/>
          <w:jc w:val="center"/>
        </w:trPr>
        <w:tc>
          <w:tcPr>
            <w:tcW w:w="879" w:type="pct"/>
            <w:vMerge/>
            <w:tcBorders>
              <w:top w:val="single" w:sz="4" w:space="0" w:color="auto"/>
              <w:left w:val="single" w:sz="4" w:space="0" w:color="1F497D" w:themeColor="text2"/>
              <w:bottom w:val="single" w:sz="4" w:space="0" w:color="1F497D" w:themeColor="text2"/>
              <w:right w:val="single" w:sz="4" w:space="0" w:color="A6A6A6" w:themeColor="background1" w:themeShade="A6"/>
            </w:tcBorders>
            <w:vAlign w:val="center"/>
          </w:tcPr>
          <w:p>
            <w:pPr>
              <w:spacing w:before="60" w:after="60" w:line="240" w:lineRule="auto"/>
              <w:jc w:val="both"/>
              <w:rPr>
                <w:rFonts w:ascii="Calibri" w:eastAsia="Times New Roman" w:hAnsi="Calibri" w:cs="Arial"/>
                <w:bCs/>
                <w:noProof/>
                <w:szCs w:val="20"/>
              </w:rPr>
            </w:pPr>
          </w:p>
        </w:tc>
        <w:tc>
          <w:tcPr>
            <w:tcW w:w="857" w:type="pct"/>
            <w:tcBorders>
              <w:top w:val="single" w:sz="4" w:space="0" w:color="A6A6A6" w:themeColor="background1" w:themeShade="A6"/>
              <w:left w:val="single" w:sz="4" w:space="0" w:color="A6A6A6" w:themeColor="background1" w:themeShade="A6"/>
              <w:bottom w:val="single" w:sz="4" w:space="0" w:color="1F497D" w:themeColor="text2"/>
              <w:right w:val="single" w:sz="4" w:space="0" w:color="A6A6A6" w:themeColor="background1" w:themeShade="A6"/>
            </w:tcBorders>
            <w:vAlign w:val="center"/>
          </w:tcPr>
          <w:p>
            <w:pPr>
              <w:spacing w:before="60" w:after="60" w:line="240" w:lineRule="auto"/>
              <w:jc w:val="both"/>
              <w:rPr>
                <w:rFonts w:ascii="Calibri" w:eastAsia="Times New Roman" w:hAnsi="Calibri" w:cs="Arial"/>
                <w:bCs/>
                <w:noProof/>
                <w:szCs w:val="20"/>
              </w:rPr>
            </w:pPr>
            <w:r>
              <w:rPr>
                <w:rFonts w:ascii="Calibri" w:hAnsi="Calibri"/>
                <w:noProof/>
              </w:rPr>
              <w:t>Trucha arco iris</w:t>
            </w:r>
          </w:p>
        </w:tc>
        <w:tc>
          <w:tcPr>
            <w:tcW w:w="1465" w:type="pct"/>
            <w:tcBorders>
              <w:top w:val="single" w:sz="4" w:space="0" w:color="A6A6A6" w:themeColor="background1" w:themeShade="A6"/>
              <w:left w:val="single" w:sz="4" w:space="0" w:color="A6A6A6" w:themeColor="background1" w:themeShade="A6"/>
              <w:bottom w:val="single" w:sz="4" w:space="0" w:color="1F497D" w:themeColor="text2"/>
              <w:right w:val="single" w:sz="4" w:space="0" w:color="A6A6A6" w:themeColor="background1" w:themeShade="A6"/>
            </w:tcBorders>
          </w:tcPr>
          <w:p>
            <w:pPr>
              <w:tabs>
                <w:tab w:val="left" w:pos="175"/>
              </w:tabs>
              <w:spacing w:before="60" w:after="60" w:line="240" w:lineRule="auto"/>
              <w:ind w:left="175" w:hanging="175"/>
              <w:jc w:val="both"/>
              <w:rPr>
                <w:rFonts w:ascii="Calibri" w:eastAsia="Times New Roman" w:hAnsi="Calibri" w:cs="Arial"/>
                <w:bCs/>
                <w:noProof/>
                <w:szCs w:val="20"/>
              </w:rPr>
            </w:pPr>
            <w:r>
              <w:rPr>
                <w:rFonts w:ascii="Calibri" w:hAnsi="Calibri"/>
                <w:noProof/>
              </w:rPr>
              <w:t>- </w:t>
            </w:r>
            <w:r>
              <w:rPr>
                <w:noProof/>
              </w:rPr>
              <w:tab/>
            </w:r>
            <w:r>
              <w:rPr>
                <w:rFonts w:ascii="Calibri" w:hAnsi="Calibri"/>
                <w:noProof/>
              </w:rPr>
              <w:t>Cuando se aplica correctamente, no existe posibilidad de recuperación.</w:t>
            </w:r>
          </w:p>
        </w:tc>
        <w:tc>
          <w:tcPr>
            <w:tcW w:w="1798" w:type="pct"/>
            <w:tcBorders>
              <w:top w:val="single" w:sz="4" w:space="0" w:color="A6A6A6" w:themeColor="background1" w:themeShade="A6"/>
              <w:left w:val="single" w:sz="4" w:space="0" w:color="A6A6A6" w:themeColor="background1" w:themeShade="A6"/>
              <w:bottom w:val="single" w:sz="4" w:space="0" w:color="1F497D" w:themeColor="text2"/>
              <w:right w:val="single" w:sz="4" w:space="0" w:color="1F497D" w:themeColor="text2"/>
            </w:tcBorders>
          </w:tcPr>
          <w:p>
            <w:pPr>
              <w:tabs>
                <w:tab w:val="left" w:pos="175"/>
              </w:tabs>
              <w:spacing w:before="60" w:after="60" w:line="240" w:lineRule="auto"/>
              <w:ind w:left="175" w:hanging="175"/>
              <w:jc w:val="both"/>
              <w:rPr>
                <w:rFonts w:ascii="Calibri" w:eastAsia="Times New Roman" w:hAnsi="Calibri" w:cs="Arial"/>
                <w:bCs/>
                <w:noProof/>
                <w:szCs w:val="20"/>
              </w:rPr>
            </w:pPr>
            <w:r>
              <w:rPr>
                <w:rFonts w:ascii="Calibri" w:hAnsi="Calibri"/>
                <w:noProof/>
              </w:rPr>
              <w:t>- </w:t>
            </w:r>
            <w:r>
              <w:rPr>
                <w:noProof/>
              </w:rPr>
              <w:tab/>
            </w:r>
            <w:r>
              <w:rPr>
                <w:rFonts w:ascii="Calibri" w:hAnsi="Calibri"/>
                <w:noProof/>
              </w:rPr>
              <w:t>La aplicación manual puede producir aturdimiento inadecuado.</w:t>
            </w:r>
          </w:p>
        </w:tc>
      </w:tr>
      <w:tr>
        <w:trPr>
          <w:trHeight w:val="567"/>
          <w:jc w:val="center"/>
        </w:trPr>
        <w:tc>
          <w:tcPr>
            <w:tcW w:w="879" w:type="pct"/>
            <w:tcBorders>
              <w:top w:val="single" w:sz="4" w:space="0" w:color="1F497D" w:themeColor="text2"/>
              <w:left w:val="single" w:sz="4" w:space="0" w:color="1F497D" w:themeColor="text2"/>
              <w:bottom w:val="single" w:sz="4" w:space="0" w:color="1F497D" w:themeColor="text2"/>
              <w:right w:val="single" w:sz="4" w:space="0" w:color="A6A6A6" w:themeColor="background1" w:themeShade="A6"/>
            </w:tcBorders>
            <w:vAlign w:val="center"/>
          </w:tcPr>
          <w:p>
            <w:pPr>
              <w:spacing w:before="60" w:after="60" w:line="240" w:lineRule="auto"/>
              <w:jc w:val="both"/>
              <w:rPr>
                <w:rFonts w:ascii="Calibri" w:eastAsia="Times New Roman" w:hAnsi="Calibri" w:cs="Arial"/>
                <w:bCs/>
                <w:noProof/>
                <w:szCs w:val="20"/>
              </w:rPr>
            </w:pPr>
            <w:bookmarkStart w:id="88" w:name="_Toc476912984"/>
            <w:r>
              <w:rPr>
                <w:rFonts w:ascii="Calibri" w:hAnsi="Calibri"/>
                <w:noProof/>
              </w:rPr>
              <w:t>Enfriamiento con CO</w:t>
            </w:r>
            <w:r>
              <w:rPr>
                <w:rFonts w:ascii="Calibri" w:hAnsi="Calibri"/>
                <w:noProof/>
                <w:vertAlign w:val="subscript"/>
              </w:rPr>
              <w:t>2</w:t>
            </w:r>
            <w:r>
              <w:rPr>
                <w:rFonts w:ascii="Calibri" w:hAnsi="Calibri"/>
                <w:noProof/>
              </w:rPr>
              <w:t xml:space="preserve"> en vivo</w:t>
            </w:r>
            <w:bookmarkEnd w:id="88"/>
          </w:p>
        </w:tc>
        <w:tc>
          <w:tcPr>
            <w:tcW w:w="857" w:type="pct"/>
            <w:tcBorders>
              <w:top w:val="single" w:sz="4" w:space="0" w:color="1F497D" w:themeColor="text2"/>
              <w:left w:val="single" w:sz="4" w:space="0" w:color="A6A6A6" w:themeColor="background1" w:themeShade="A6"/>
              <w:bottom w:val="single" w:sz="4" w:space="0" w:color="1F497D" w:themeColor="text2"/>
              <w:right w:val="single" w:sz="4" w:space="0" w:color="A6A6A6" w:themeColor="background1" w:themeShade="A6"/>
            </w:tcBorders>
            <w:vAlign w:val="center"/>
          </w:tcPr>
          <w:p>
            <w:pPr>
              <w:spacing w:before="60" w:after="60" w:line="240" w:lineRule="auto"/>
              <w:jc w:val="both"/>
              <w:rPr>
                <w:rFonts w:ascii="Calibri" w:eastAsia="Times New Roman" w:hAnsi="Calibri" w:cs="Arial"/>
                <w:bCs/>
                <w:noProof/>
                <w:szCs w:val="20"/>
              </w:rPr>
            </w:pPr>
            <w:bookmarkStart w:id="89" w:name="_Toc476912985"/>
            <w:r>
              <w:rPr>
                <w:rFonts w:ascii="Calibri" w:hAnsi="Calibri"/>
                <w:noProof/>
              </w:rPr>
              <w:t>Salmón atlántico</w:t>
            </w:r>
            <w:bookmarkEnd w:id="89"/>
          </w:p>
        </w:tc>
        <w:tc>
          <w:tcPr>
            <w:tcW w:w="1465" w:type="pct"/>
            <w:tcBorders>
              <w:top w:val="single" w:sz="4" w:space="0" w:color="1F497D" w:themeColor="text2"/>
              <w:left w:val="single" w:sz="4" w:space="0" w:color="A6A6A6" w:themeColor="background1" w:themeShade="A6"/>
              <w:bottom w:val="single" w:sz="4" w:space="0" w:color="1F497D" w:themeColor="text2"/>
              <w:right w:val="single" w:sz="4" w:space="0" w:color="A6A6A6" w:themeColor="background1" w:themeShade="A6"/>
            </w:tcBorders>
          </w:tcPr>
          <w:p>
            <w:pPr>
              <w:tabs>
                <w:tab w:val="left" w:pos="175"/>
              </w:tabs>
              <w:spacing w:before="60" w:after="60" w:line="240" w:lineRule="auto"/>
              <w:ind w:left="175" w:hanging="175"/>
              <w:jc w:val="both"/>
              <w:rPr>
                <w:rFonts w:ascii="Calibri" w:eastAsia="Times New Roman" w:hAnsi="Calibri" w:cs="Arial"/>
                <w:bCs/>
                <w:noProof/>
                <w:szCs w:val="20"/>
              </w:rPr>
            </w:pPr>
            <w:bookmarkStart w:id="90" w:name="_Toc476912986"/>
            <w:r>
              <w:rPr>
                <w:rFonts w:ascii="Calibri" w:hAnsi="Calibri"/>
                <w:noProof/>
              </w:rPr>
              <w:t>-</w:t>
            </w:r>
            <w:r>
              <w:rPr>
                <w:noProof/>
              </w:rPr>
              <w:tab/>
            </w:r>
            <w:r>
              <w:rPr>
                <w:rFonts w:ascii="Calibri" w:hAnsi="Calibri"/>
                <w:noProof/>
              </w:rPr>
              <w:t xml:space="preserve">La lenta aparición del </w:t>
            </w:r>
            <w:r>
              <w:rPr>
                <w:rFonts w:ascii="Calibri" w:hAnsi="Calibri"/>
                <w:i/>
                <w:noProof/>
              </w:rPr>
              <w:t>rigor mortis</w:t>
            </w:r>
            <w:r>
              <w:rPr>
                <w:rFonts w:ascii="Calibri" w:hAnsi="Calibri"/>
                <w:noProof/>
              </w:rPr>
              <w:t xml:space="preserve"> permite el fileteado antes de que ocurra</w:t>
            </w:r>
            <w:bookmarkEnd w:id="90"/>
            <w:r>
              <w:rPr>
                <w:rFonts w:ascii="Calibri" w:hAnsi="Calibri"/>
                <w:noProof/>
              </w:rPr>
              <w:t>.</w:t>
            </w:r>
          </w:p>
        </w:tc>
        <w:tc>
          <w:tcPr>
            <w:tcW w:w="1798" w:type="pct"/>
            <w:tcBorders>
              <w:top w:val="single" w:sz="4" w:space="0" w:color="1F497D" w:themeColor="text2"/>
              <w:left w:val="single" w:sz="4" w:space="0" w:color="A6A6A6" w:themeColor="background1" w:themeShade="A6"/>
              <w:bottom w:val="single" w:sz="4" w:space="0" w:color="1F497D" w:themeColor="text2"/>
              <w:right w:val="single" w:sz="4" w:space="0" w:color="1F497D" w:themeColor="text2"/>
            </w:tcBorders>
          </w:tcPr>
          <w:p>
            <w:pPr>
              <w:tabs>
                <w:tab w:val="left" w:pos="175"/>
              </w:tabs>
              <w:spacing w:before="60" w:after="60" w:line="240" w:lineRule="auto"/>
              <w:ind w:left="175" w:hanging="175"/>
              <w:jc w:val="both"/>
              <w:rPr>
                <w:rFonts w:ascii="Calibri" w:eastAsia="Times New Roman" w:hAnsi="Calibri" w:cs="Arial"/>
                <w:bCs/>
                <w:noProof/>
                <w:szCs w:val="20"/>
              </w:rPr>
            </w:pPr>
            <w:bookmarkStart w:id="91" w:name="_Toc476912987"/>
            <w:r>
              <w:rPr>
                <w:rFonts w:ascii="Calibri" w:hAnsi="Calibri"/>
                <w:noProof/>
              </w:rPr>
              <w:t>- </w:t>
            </w:r>
            <w:r>
              <w:rPr>
                <w:noProof/>
              </w:rPr>
              <w:tab/>
            </w:r>
            <w:r>
              <w:rPr>
                <w:rFonts w:ascii="Calibri" w:hAnsi="Calibri"/>
                <w:noProof/>
              </w:rPr>
              <w:t>Los peces no quedan aturdidos.</w:t>
            </w:r>
            <w:bookmarkEnd w:id="91"/>
            <w:r>
              <w:rPr>
                <w:rFonts w:ascii="Calibri" w:hAnsi="Calibri"/>
                <w:noProof/>
              </w:rPr>
              <w:t xml:space="preserve"> </w:t>
            </w:r>
          </w:p>
          <w:p>
            <w:pPr>
              <w:tabs>
                <w:tab w:val="left" w:pos="175"/>
              </w:tabs>
              <w:spacing w:before="60" w:after="60" w:line="240" w:lineRule="auto"/>
              <w:ind w:left="175" w:hanging="175"/>
              <w:jc w:val="both"/>
              <w:rPr>
                <w:rFonts w:ascii="Calibri" w:eastAsia="Times New Roman" w:hAnsi="Calibri" w:cs="Arial"/>
                <w:bCs/>
                <w:noProof/>
                <w:szCs w:val="20"/>
              </w:rPr>
            </w:pPr>
            <w:bookmarkStart w:id="92" w:name="_Toc476912988"/>
            <w:r>
              <w:rPr>
                <w:rFonts w:ascii="Calibri" w:hAnsi="Calibri"/>
                <w:noProof/>
              </w:rPr>
              <w:t>- </w:t>
            </w:r>
            <w:r>
              <w:rPr>
                <w:noProof/>
              </w:rPr>
              <w:tab/>
            </w:r>
            <w:r>
              <w:rPr>
                <w:rFonts w:ascii="Calibri" w:hAnsi="Calibri"/>
                <w:noProof/>
              </w:rPr>
              <w:t>El método es estresante.</w:t>
            </w:r>
            <w:bookmarkEnd w:id="92"/>
          </w:p>
        </w:tc>
      </w:tr>
      <w:tr>
        <w:trPr>
          <w:trHeight w:val="567"/>
          <w:jc w:val="center"/>
        </w:trPr>
        <w:tc>
          <w:tcPr>
            <w:tcW w:w="879" w:type="pct"/>
            <w:tcBorders>
              <w:top w:val="single" w:sz="4" w:space="0" w:color="1F497D" w:themeColor="text2"/>
              <w:bottom w:val="single" w:sz="4" w:space="0" w:color="1F497D" w:themeColor="text2"/>
            </w:tcBorders>
            <w:vAlign w:val="center"/>
          </w:tcPr>
          <w:p>
            <w:pPr>
              <w:spacing w:before="60" w:after="60" w:line="240" w:lineRule="auto"/>
              <w:jc w:val="both"/>
              <w:rPr>
                <w:rFonts w:ascii="Calibri" w:eastAsia="Times New Roman" w:hAnsi="Calibri" w:cs="Arial"/>
                <w:bCs/>
                <w:noProof/>
                <w:szCs w:val="20"/>
              </w:rPr>
            </w:pPr>
            <w:r>
              <w:rPr>
                <w:rFonts w:ascii="Calibri" w:hAnsi="Calibri"/>
                <w:noProof/>
              </w:rPr>
              <w:t>Asfixia en hielo o agua helada</w:t>
            </w:r>
          </w:p>
        </w:tc>
        <w:tc>
          <w:tcPr>
            <w:tcW w:w="857" w:type="pct"/>
            <w:tcBorders>
              <w:top w:val="single" w:sz="4" w:space="0" w:color="1F497D" w:themeColor="text2"/>
              <w:bottom w:val="single" w:sz="4" w:space="0" w:color="1F497D" w:themeColor="text2"/>
            </w:tcBorders>
            <w:vAlign w:val="center"/>
          </w:tcPr>
          <w:p>
            <w:pPr>
              <w:spacing w:before="60" w:after="60" w:line="240" w:lineRule="auto"/>
              <w:jc w:val="both"/>
              <w:rPr>
                <w:rFonts w:ascii="Calibri" w:eastAsia="Times New Roman" w:hAnsi="Calibri" w:cs="Arial"/>
                <w:bCs/>
                <w:noProof/>
                <w:szCs w:val="20"/>
              </w:rPr>
            </w:pPr>
            <w:r>
              <w:rPr>
                <w:rFonts w:ascii="Calibri" w:hAnsi="Calibri"/>
                <w:noProof/>
              </w:rPr>
              <w:t>Lubina</w:t>
            </w:r>
          </w:p>
          <w:p>
            <w:pPr>
              <w:spacing w:before="60" w:after="60" w:line="240" w:lineRule="auto"/>
              <w:jc w:val="both"/>
              <w:rPr>
                <w:rFonts w:ascii="Calibri" w:eastAsia="Times New Roman" w:hAnsi="Calibri" w:cs="Arial"/>
                <w:bCs/>
                <w:noProof/>
                <w:szCs w:val="20"/>
              </w:rPr>
            </w:pPr>
            <w:r>
              <w:rPr>
                <w:rFonts w:ascii="Calibri" w:hAnsi="Calibri"/>
                <w:noProof/>
              </w:rPr>
              <w:t>Dorada</w:t>
            </w:r>
          </w:p>
          <w:p>
            <w:pPr>
              <w:spacing w:before="60" w:after="60" w:line="240" w:lineRule="auto"/>
              <w:jc w:val="both"/>
              <w:rPr>
                <w:rFonts w:ascii="Calibri" w:eastAsia="Times New Roman" w:hAnsi="Calibri" w:cs="Arial"/>
                <w:bCs/>
                <w:noProof/>
                <w:szCs w:val="20"/>
              </w:rPr>
            </w:pPr>
            <w:r>
              <w:rPr>
                <w:rFonts w:ascii="Calibri" w:hAnsi="Calibri"/>
                <w:noProof/>
              </w:rPr>
              <w:t>Trucha arco iris</w:t>
            </w:r>
          </w:p>
        </w:tc>
        <w:tc>
          <w:tcPr>
            <w:tcW w:w="1465" w:type="pct"/>
            <w:tcBorders>
              <w:top w:val="single" w:sz="4" w:space="0" w:color="1F497D" w:themeColor="text2"/>
              <w:bottom w:val="single" w:sz="4" w:space="0" w:color="1F497D" w:themeColor="text2"/>
            </w:tcBorders>
          </w:tcPr>
          <w:p>
            <w:pPr>
              <w:tabs>
                <w:tab w:val="left" w:pos="175"/>
              </w:tabs>
              <w:spacing w:before="60" w:after="60" w:line="240" w:lineRule="auto"/>
              <w:ind w:left="175" w:hanging="175"/>
              <w:jc w:val="both"/>
              <w:rPr>
                <w:rFonts w:ascii="Calibri" w:eastAsia="Times New Roman" w:hAnsi="Calibri" w:cs="Arial"/>
                <w:bCs/>
                <w:noProof/>
                <w:szCs w:val="20"/>
              </w:rPr>
            </w:pPr>
            <w:r>
              <w:rPr>
                <w:rFonts w:ascii="Calibri" w:hAnsi="Calibri"/>
                <w:noProof/>
              </w:rPr>
              <w:t>- </w:t>
            </w:r>
            <w:r>
              <w:rPr>
                <w:noProof/>
              </w:rPr>
              <w:tab/>
            </w:r>
            <w:r>
              <w:rPr>
                <w:rFonts w:ascii="Calibri" w:hAnsi="Calibri"/>
                <w:noProof/>
              </w:rPr>
              <w:t>Fácil de utilizar;</w:t>
            </w:r>
          </w:p>
          <w:p>
            <w:pPr>
              <w:tabs>
                <w:tab w:val="left" w:pos="175"/>
              </w:tabs>
              <w:spacing w:before="60" w:after="60" w:line="240" w:lineRule="auto"/>
              <w:ind w:left="175" w:hanging="175"/>
              <w:jc w:val="both"/>
              <w:rPr>
                <w:rFonts w:ascii="Calibri" w:eastAsia="Times New Roman" w:hAnsi="Calibri" w:cs="Arial"/>
                <w:bCs/>
                <w:noProof/>
                <w:szCs w:val="20"/>
              </w:rPr>
            </w:pPr>
            <w:r>
              <w:rPr>
                <w:rFonts w:ascii="Calibri" w:hAnsi="Calibri"/>
                <w:noProof/>
              </w:rPr>
              <w:t>- </w:t>
            </w:r>
            <w:r>
              <w:rPr>
                <w:noProof/>
              </w:rPr>
              <w:tab/>
            </w:r>
            <w:r>
              <w:rPr>
                <w:rFonts w:ascii="Calibri" w:hAnsi="Calibri"/>
                <w:noProof/>
              </w:rPr>
              <w:t>Calidad y seguridad de los alimentos.</w:t>
            </w:r>
          </w:p>
        </w:tc>
        <w:tc>
          <w:tcPr>
            <w:tcW w:w="1798" w:type="pct"/>
            <w:tcBorders>
              <w:top w:val="single" w:sz="4" w:space="0" w:color="1F497D" w:themeColor="text2"/>
              <w:bottom w:val="single" w:sz="4" w:space="0" w:color="1F497D" w:themeColor="text2"/>
            </w:tcBorders>
          </w:tcPr>
          <w:p>
            <w:pPr>
              <w:tabs>
                <w:tab w:val="left" w:pos="175"/>
              </w:tabs>
              <w:spacing w:before="60" w:after="60" w:line="240" w:lineRule="auto"/>
              <w:ind w:left="175" w:hanging="175"/>
              <w:jc w:val="both"/>
              <w:rPr>
                <w:rFonts w:ascii="Calibri" w:eastAsia="Times New Roman" w:hAnsi="Calibri" w:cs="Arial"/>
                <w:bCs/>
                <w:noProof/>
                <w:szCs w:val="20"/>
              </w:rPr>
            </w:pPr>
            <w:r>
              <w:rPr>
                <w:rFonts w:ascii="Calibri" w:hAnsi="Calibri"/>
                <w:noProof/>
              </w:rPr>
              <w:t>- </w:t>
            </w:r>
            <w:r>
              <w:rPr>
                <w:noProof/>
              </w:rPr>
              <w:tab/>
            </w:r>
            <w:r>
              <w:rPr>
                <w:rFonts w:ascii="Calibri" w:hAnsi="Calibri"/>
                <w:noProof/>
              </w:rPr>
              <w:t>Estrés de los peces debido a la drástica caída de la temperatura.</w:t>
            </w:r>
          </w:p>
        </w:tc>
      </w:tr>
    </w:tbl>
    <w:p>
      <w:pPr>
        <w:spacing w:before="60" w:after="240" w:line="240" w:lineRule="auto"/>
        <w:ind w:left="284" w:hanging="284"/>
        <w:rPr>
          <w:rFonts w:ascii="Times New Roman" w:eastAsia="Times New Roman" w:hAnsi="Times New Roman" w:cs="Times New Roman"/>
          <w:bCs/>
          <w:noProof/>
          <w:sz w:val="20"/>
          <w:szCs w:val="20"/>
        </w:rPr>
      </w:pPr>
      <w:r>
        <w:rPr>
          <w:rFonts w:ascii="Times New Roman" w:hAnsi="Times New Roman"/>
          <w:noProof/>
          <w:sz w:val="20"/>
        </w:rPr>
        <w:t>*</w:t>
      </w:r>
      <w:r>
        <w:rPr>
          <w:noProof/>
        </w:rPr>
        <w:tab/>
      </w:r>
      <w:r>
        <w:rPr>
          <w:rFonts w:ascii="Times New Roman" w:hAnsi="Times New Roman"/>
          <w:noProof/>
          <w:sz w:val="20"/>
        </w:rPr>
        <w:t>Se produce un aturdimiento inadecuado cuando la aplicación del método de aturdimiento no es efectiva.  En el caso del aturdimiento eléctrico y por percusión, esto implica que no se pierde la consciencia de forma inmediata.</w:t>
      </w:r>
    </w:p>
    <w:p>
      <w:pPr>
        <w:pStyle w:val="Heading1"/>
        <w:framePr w:wrap="around" w:hAnchor="page" w:x="1228" w:y="185"/>
        <w:rPr>
          <w:noProof/>
        </w:rPr>
      </w:pPr>
    </w:p>
    <w:p>
      <w:pPr>
        <w:jc w:val="both"/>
        <w:rPr>
          <w:rFonts w:ascii="Times New Roman" w:hAnsi="Times New Roman"/>
          <w:bCs/>
          <w:noProof/>
          <w:sz w:val="24"/>
          <w:szCs w:val="24"/>
        </w:rPr>
      </w:pPr>
      <w:r>
        <w:rPr>
          <w:rFonts w:ascii="Times New Roman" w:hAnsi="Times New Roman"/>
          <w:noProof/>
          <w:sz w:val="24"/>
        </w:rPr>
        <w:t>La OIE recomienda el uso de métodos eléctricos o mecánicos (p. ej., aturdimiento por percusión) para la matanza de peces de piscifactoría. Otros métodos, incluido el enfriamiento con CO</w:t>
      </w:r>
      <w:r>
        <w:rPr>
          <w:rFonts w:ascii="Times New Roman" w:hAnsi="Times New Roman"/>
          <w:noProof/>
          <w:sz w:val="24"/>
          <w:vertAlign w:val="subscript"/>
        </w:rPr>
        <w:t>2</w:t>
      </w:r>
      <w:r>
        <w:rPr>
          <w:rFonts w:ascii="Times New Roman" w:hAnsi="Times New Roman"/>
          <w:noProof/>
          <w:sz w:val="24"/>
        </w:rPr>
        <w:t xml:space="preserve"> en vivo, el aturdimiento con CO</w:t>
      </w:r>
      <w:r>
        <w:rPr>
          <w:rFonts w:ascii="Times New Roman" w:hAnsi="Times New Roman"/>
          <w:noProof/>
          <w:sz w:val="24"/>
          <w:vertAlign w:val="subscript"/>
        </w:rPr>
        <w:t>2</w:t>
      </w:r>
      <w:r>
        <w:rPr>
          <w:rFonts w:ascii="Times New Roman" w:hAnsi="Times New Roman"/>
          <w:noProof/>
          <w:sz w:val="24"/>
        </w:rPr>
        <w:t xml:space="preserve">, el enfriamiento en agua helada seguido por el aturdimiento eléctrico, y la asfixia en hielo, no cumplen las normas de la OIE. El informe del estudio constató que el cumplimiento de las normas de la OIE en el momento del sacrificio dependía en gran medida de la especie y los métodos utilizados, como se describe a continuación. </w:t>
      </w:r>
    </w:p>
    <w:p>
      <w:pPr>
        <w:jc w:val="both"/>
        <w:rPr>
          <w:rFonts w:ascii="Times New Roman" w:hAnsi="Times New Roman"/>
          <w:bCs/>
          <w:noProof/>
          <w:sz w:val="24"/>
          <w:szCs w:val="24"/>
        </w:rPr>
      </w:pPr>
      <w:r>
        <w:rPr>
          <w:rFonts w:ascii="Times New Roman" w:hAnsi="Times New Roman"/>
          <w:noProof/>
          <w:sz w:val="24"/>
        </w:rPr>
        <w:t>En el caso del salmón atlántico, las normas de la OIE se cumplen cuando se utiliza la percusión en el sacrificio, siendo este el método de sacrificio principal en Noruega, el Reino Unido e Irlanda. Sin embargo, no se cumplen en el caso del aturdimiento eléctrico, en el que los peces a menudo no quedan bien colocados, lo que se traduce en un aturdimiento inadecuado. El enfriado con CO</w:t>
      </w:r>
      <w:r>
        <w:rPr>
          <w:rFonts w:ascii="Times New Roman" w:hAnsi="Times New Roman"/>
          <w:noProof/>
          <w:sz w:val="24"/>
          <w:vertAlign w:val="subscript"/>
        </w:rPr>
        <w:t>2</w:t>
      </w:r>
      <w:r>
        <w:rPr>
          <w:rFonts w:ascii="Times New Roman" w:hAnsi="Times New Roman"/>
          <w:noProof/>
          <w:sz w:val="24"/>
        </w:rPr>
        <w:t xml:space="preserve"> en vivo, que no cumple las normas de la OIE, se sigue utilizando en Noruega y en Irlanda aunque de forma muy limitada. Se ha notificado el abandono de su uso en 2018.</w:t>
      </w:r>
    </w:p>
    <w:p>
      <w:pPr>
        <w:jc w:val="both"/>
        <w:rPr>
          <w:rFonts w:ascii="Times New Roman" w:hAnsi="Times New Roman"/>
          <w:bCs/>
          <w:noProof/>
          <w:sz w:val="24"/>
          <w:szCs w:val="24"/>
        </w:rPr>
      </w:pPr>
      <w:r>
        <w:rPr>
          <w:rFonts w:ascii="Times New Roman" w:hAnsi="Times New Roman"/>
          <w:noProof/>
          <w:sz w:val="24"/>
        </w:rPr>
        <w:t>Las normas de la OIE se cumplen de forma parcial únicamente en el sacrificio de la carpa común en Polonia, Chequia y Alemania. El método más habitual es la percusión manual (golpe en la cabeza). No obstante, en Polonia las especies de carpa están expuestas al aire durante un máximo de 10 minutos, lo cual causa estrés. El aturdimiento eléctrico se utiliza también en Polonia, Chequia y Alemania, pero existe falta de información sobre la eficacia de los equipos para este método.</w:t>
      </w:r>
    </w:p>
    <w:p>
      <w:pPr>
        <w:jc w:val="both"/>
        <w:rPr>
          <w:rFonts w:ascii="Times New Roman" w:hAnsi="Times New Roman"/>
          <w:bCs/>
          <w:noProof/>
          <w:sz w:val="24"/>
          <w:szCs w:val="24"/>
        </w:rPr>
      </w:pPr>
      <w:r>
        <w:rPr>
          <w:rFonts w:ascii="Times New Roman" w:hAnsi="Times New Roman"/>
          <w:noProof/>
          <w:sz w:val="24"/>
        </w:rPr>
        <w:t>En el caso de la trucha arco iris, las normas de la OIE se cumplen parcialmente en Dinamarca, Francia e Italia, pero no así en Polonia. El aturdimiento eléctrico se utiliza en Dinamarca e Italia. Sin embargo, los datos sobre la construcción del equipo son escasos, por lo que se desconoce si se cumplen las normas de la OIE sobre aturdimiento eléctrico. La percusión manual de la trucha arco iris cumple las normas de la OIE, siempre que se lleve a cabo correctamente. La asfixia en hielo se utiliza en Dinamarca y Polonia, pero no cumple las normas de la OIE. En Francia, se utiliza el enfriamiento en agua helada seguido del aturdimiento eléctrico, y el aturdimiento con CO</w:t>
      </w:r>
      <w:r>
        <w:rPr>
          <w:rFonts w:ascii="Times New Roman" w:hAnsi="Times New Roman"/>
          <w:noProof/>
          <w:sz w:val="24"/>
          <w:vertAlign w:val="subscript"/>
        </w:rPr>
        <w:t>2</w:t>
      </w:r>
      <w:r>
        <w:rPr>
          <w:rFonts w:ascii="Times New Roman" w:hAnsi="Times New Roman"/>
          <w:noProof/>
          <w:sz w:val="24"/>
        </w:rPr>
        <w:t xml:space="preserve"> (en cierta medida), aunque ninguno de estos métodos cumple las normas de la OIE. </w:t>
      </w:r>
    </w:p>
    <w:p>
      <w:pPr>
        <w:jc w:val="both"/>
        <w:rPr>
          <w:rFonts w:ascii="Times New Roman" w:hAnsi="Times New Roman"/>
          <w:bCs/>
          <w:noProof/>
          <w:sz w:val="24"/>
          <w:szCs w:val="24"/>
        </w:rPr>
      </w:pPr>
      <w:r>
        <w:rPr>
          <w:rFonts w:ascii="Times New Roman" w:hAnsi="Times New Roman"/>
          <w:noProof/>
          <w:sz w:val="24"/>
        </w:rPr>
        <w:t xml:space="preserve">La asfixia en hielo de la lubina y la dorada sigue siendo la técnica de sacrificio más practicada en Grecia, España e Italia, aunque se está introduciendo el aturdimiento eléctrico en varias explotaciones de manera experimental. </w:t>
      </w:r>
    </w:p>
    <w:p>
      <w:pPr>
        <w:pStyle w:val="Heading1"/>
        <w:framePr w:wrap="around"/>
        <w:rPr>
          <w:noProof/>
        </w:rPr>
      </w:pPr>
    </w:p>
    <w:p>
      <w:pPr>
        <w:spacing w:after="60"/>
        <w:jc w:val="center"/>
        <w:rPr>
          <w:rFonts w:ascii="Calibri" w:eastAsia="Times New Roman" w:hAnsi="Calibri" w:cs="Arial"/>
          <w:b/>
          <w:bCs/>
          <w:noProof/>
          <w:szCs w:val="20"/>
        </w:rPr>
      </w:pPr>
      <w:r>
        <w:rPr>
          <w:rFonts w:ascii="Calibri" w:hAnsi="Calibri"/>
          <w:b/>
          <w:noProof/>
        </w:rPr>
        <w:t>Cuadro 3: Resumen de los métodos actuales de sacrificio y su cumplimiento de las normas de la OIE</w:t>
      </w:r>
    </w:p>
    <w:tbl>
      <w:tblPr>
        <w:tblW w:w="4748" w:type="pct"/>
        <w:jc w:val="center"/>
        <w:tblBorders>
          <w:top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CellMar>
          <w:left w:w="180" w:type="dxa"/>
          <w:right w:w="180" w:type="dxa"/>
        </w:tblCellMar>
        <w:tblLook w:val="0000" w:firstRow="0" w:lastRow="0" w:firstColumn="0" w:lastColumn="0" w:noHBand="0" w:noVBand="0"/>
      </w:tblPr>
      <w:tblGrid>
        <w:gridCol w:w="1377"/>
        <w:gridCol w:w="1182"/>
        <w:gridCol w:w="1286"/>
        <w:gridCol w:w="5113"/>
      </w:tblGrid>
      <w:tr>
        <w:trPr>
          <w:trHeight w:val="20"/>
          <w:tblHeader/>
          <w:jc w:val="center"/>
        </w:trPr>
        <w:tc>
          <w:tcPr>
            <w:tcW w:w="768" w:type="pct"/>
            <w:vMerge w:val="restart"/>
            <w:tcBorders>
              <w:top w:val="single" w:sz="4" w:space="0" w:color="auto"/>
              <w:left w:val="single" w:sz="4" w:space="0" w:color="auto"/>
              <w:bottom w:val="single" w:sz="4" w:space="0" w:color="auto"/>
              <w:right w:val="single" w:sz="4" w:space="0" w:color="auto"/>
            </w:tcBorders>
            <w:shd w:val="clear" w:color="auto" w:fill="1F497D" w:themeFill="text2"/>
            <w:vAlign w:val="center"/>
          </w:tcPr>
          <w:p>
            <w:pPr>
              <w:spacing w:before="60" w:after="60" w:line="240" w:lineRule="auto"/>
              <w:jc w:val="center"/>
              <w:rPr>
                <w:rFonts w:ascii="Calibri" w:eastAsia="Times New Roman" w:hAnsi="Calibri" w:cs="Arial"/>
                <w:b/>
                <w:bCs/>
                <w:noProof/>
                <w:color w:val="FFFFFF" w:themeColor="background1"/>
              </w:rPr>
            </w:pPr>
            <w:r>
              <w:rPr>
                <w:rFonts w:ascii="Calibri" w:hAnsi="Calibri"/>
                <w:b/>
                <w:noProof/>
                <w:color w:val="FFFFFF" w:themeColor="background1"/>
              </w:rPr>
              <w:t>Especies de peces</w:t>
            </w:r>
          </w:p>
        </w:tc>
        <w:tc>
          <w:tcPr>
            <w:tcW w:w="660" w:type="pct"/>
            <w:vMerge w:val="restart"/>
            <w:tcBorders>
              <w:left w:val="single" w:sz="4" w:space="0" w:color="auto"/>
              <w:right w:val="single" w:sz="4" w:space="0" w:color="FFFFFF" w:themeColor="background1"/>
            </w:tcBorders>
            <w:shd w:val="clear" w:color="auto" w:fill="1F497D" w:themeFill="text2"/>
            <w:vAlign w:val="center"/>
          </w:tcPr>
          <w:p>
            <w:pPr>
              <w:spacing w:before="60" w:after="60" w:line="240" w:lineRule="auto"/>
              <w:jc w:val="center"/>
              <w:rPr>
                <w:rFonts w:ascii="Calibri" w:eastAsia="Times New Roman" w:hAnsi="Calibri" w:cs="Arial"/>
                <w:b/>
                <w:bCs/>
                <w:noProof/>
                <w:color w:val="FFFFFF" w:themeColor="background1"/>
              </w:rPr>
            </w:pPr>
            <w:r>
              <w:rPr>
                <w:rFonts w:ascii="Calibri" w:hAnsi="Calibri"/>
                <w:b/>
                <w:noProof/>
                <w:color w:val="FFFFFF" w:themeColor="background1"/>
              </w:rPr>
              <w:t>País en el estudio</w:t>
            </w:r>
          </w:p>
        </w:tc>
        <w:tc>
          <w:tcPr>
            <w:tcW w:w="3573" w:type="pct"/>
            <w:gridSpan w:val="2"/>
            <w:tcBorders>
              <w:left w:val="single" w:sz="4" w:space="0" w:color="FFFFFF" w:themeColor="background1"/>
              <w:bottom w:val="single" w:sz="4" w:space="0" w:color="FFFFFF" w:themeColor="background1"/>
            </w:tcBorders>
            <w:shd w:val="clear" w:color="auto" w:fill="1F497D" w:themeFill="text2"/>
            <w:vAlign w:val="center"/>
          </w:tcPr>
          <w:p>
            <w:pPr>
              <w:spacing w:before="60" w:after="60" w:line="240" w:lineRule="auto"/>
              <w:jc w:val="center"/>
              <w:rPr>
                <w:rFonts w:ascii="Calibri" w:eastAsia="Times New Roman" w:hAnsi="Calibri" w:cs="Arial"/>
                <w:b/>
                <w:bCs/>
                <w:noProof/>
                <w:color w:val="FFFFFF" w:themeColor="background1"/>
              </w:rPr>
            </w:pPr>
            <w:r>
              <w:rPr>
                <w:rFonts w:ascii="Calibri" w:hAnsi="Calibri"/>
                <w:b/>
                <w:noProof/>
                <w:color w:val="FFFFFF" w:themeColor="background1"/>
              </w:rPr>
              <w:t>Sacrificio</w:t>
            </w:r>
          </w:p>
        </w:tc>
      </w:tr>
      <w:tr>
        <w:trPr>
          <w:trHeight w:val="20"/>
          <w:tblHeader/>
          <w:jc w:val="center"/>
        </w:trPr>
        <w:tc>
          <w:tcPr>
            <w:tcW w:w="768" w:type="pct"/>
            <w:vMerge/>
            <w:tcBorders>
              <w:top w:val="single" w:sz="4" w:space="0" w:color="auto"/>
              <w:left w:val="single" w:sz="4" w:space="0" w:color="auto"/>
              <w:bottom w:val="single" w:sz="4" w:space="0" w:color="auto"/>
              <w:right w:val="single" w:sz="4" w:space="0" w:color="auto"/>
            </w:tcBorders>
            <w:shd w:val="clear" w:color="auto" w:fill="1F497D" w:themeFill="text2"/>
            <w:vAlign w:val="center"/>
          </w:tcPr>
          <w:p>
            <w:pPr>
              <w:spacing w:before="60" w:after="60" w:line="240" w:lineRule="auto"/>
              <w:jc w:val="center"/>
              <w:rPr>
                <w:rFonts w:ascii="Calibri" w:eastAsia="Times New Roman" w:hAnsi="Calibri" w:cs="Arial"/>
                <w:b/>
                <w:bCs/>
                <w:noProof/>
                <w:color w:val="FFFFFF" w:themeColor="background1"/>
              </w:rPr>
            </w:pPr>
          </w:p>
        </w:tc>
        <w:tc>
          <w:tcPr>
            <w:tcW w:w="660" w:type="pct"/>
            <w:vMerge/>
            <w:tcBorders>
              <w:left w:val="single" w:sz="4" w:space="0" w:color="auto"/>
              <w:bottom w:val="single" w:sz="4" w:space="0" w:color="auto"/>
              <w:right w:val="single" w:sz="4" w:space="0" w:color="FFFFFF" w:themeColor="background1"/>
            </w:tcBorders>
            <w:shd w:val="clear" w:color="auto" w:fill="1F497D" w:themeFill="text2"/>
            <w:vAlign w:val="center"/>
          </w:tcPr>
          <w:p>
            <w:pPr>
              <w:spacing w:before="60" w:after="60" w:line="240" w:lineRule="auto"/>
              <w:jc w:val="center"/>
              <w:rPr>
                <w:rFonts w:ascii="Calibri" w:eastAsia="Times New Roman" w:hAnsi="Calibri" w:cs="Arial"/>
                <w:b/>
                <w:bCs/>
                <w:noProof/>
                <w:color w:val="FFFFFF" w:themeColor="background1"/>
              </w:rPr>
            </w:pPr>
          </w:p>
        </w:tc>
        <w:tc>
          <w:tcPr>
            <w:tcW w:w="718"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1F497D" w:themeFill="text2"/>
            <w:vAlign w:val="center"/>
          </w:tcPr>
          <w:p>
            <w:pPr>
              <w:spacing w:before="60" w:after="60" w:line="240" w:lineRule="auto"/>
              <w:jc w:val="center"/>
              <w:rPr>
                <w:rFonts w:ascii="Calibri" w:eastAsia="Times New Roman" w:hAnsi="Calibri" w:cs="Arial"/>
                <w:b/>
                <w:bCs/>
                <w:noProof/>
                <w:color w:val="FFFFFF" w:themeColor="background1"/>
              </w:rPr>
            </w:pPr>
            <w:r>
              <w:rPr>
                <w:rFonts w:ascii="Calibri" w:hAnsi="Calibri"/>
                <w:b/>
                <w:noProof/>
                <w:color w:val="FFFFFF" w:themeColor="background1"/>
              </w:rPr>
              <w:t>Resultado</w:t>
            </w:r>
          </w:p>
        </w:tc>
        <w:tc>
          <w:tcPr>
            <w:tcW w:w="2855" w:type="pct"/>
            <w:tcBorders>
              <w:top w:val="single" w:sz="4" w:space="0" w:color="FFFFFF" w:themeColor="background1"/>
              <w:left w:val="single" w:sz="4" w:space="0" w:color="FFFFFF" w:themeColor="background1"/>
              <w:bottom w:val="single" w:sz="4" w:space="0" w:color="auto"/>
            </w:tcBorders>
            <w:shd w:val="clear" w:color="auto" w:fill="1F497D" w:themeFill="text2"/>
            <w:vAlign w:val="center"/>
          </w:tcPr>
          <w:p>
            <w:pPr>
              <w:spacing w:before="60" w:after="60" w:line="240" w:lineRule="auto"/>
              <w:jc w:val="center"/>
              <w:rPr>
                <w:rFonts w:ascii="Calibri" w:eastAsia="Times New Roman" w:hAnsi="Calibri" w:cs="Arial"/>
                <w:b/>
                <w:bCs/>
                <w:noProof/>
                <w:color w:val="FFFFFF" w:themeColor="background1"/>
              </w:rPr>
            </w:pPr>
            <w:r>
              <w:rPr>
                <w:rFonts w:ascii="Calibri" w:hAnsi="Calibri"/>
                <w:b/>
                <w:noProof/>
                <w:color w:val="FFFFFF" w:themeColor="background1"/>
              </w:rPr>
              <w:t>Explicación</w:t>
            </w:r>
          </w:p>
        </w:tc>
      </w:tr>
      <w:tr>
        <w:trPr>
          <w:trHeight w:val="20"/>
          <w:jc w:val="center"/>
        </w:trPr>
        <w:tc>
          <w:tcPr>
            <w:tcW w:w="768"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60" w:after="60" w:line="240" w:lineRule="auto"/>
              <w:jc w:val="both"/>
              <w:rPr>
                <w:rFonts w:eastAsia="Times New Roman" w:cs="Arial"/>
                <w:b/>
                <w:bCs/>
                <w:noProof/>
              </w:rPr>
            </w:pPr>
            <w:r>
              <w:rPr>
                <w:b/>
                <w:noProof/>
              </w:rPr>
              <w:t>Salmón atlántico</w:t>
            </w:r>
          </w:p>
        </w:tc>
        <w:tc>
          <w:tcPr>
            <w:tcW w:w="6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60" w:after="60" w:line="240" w:lineRule="auto"/>
              <w:jc w:val="center"/>
              <w:rPr>
                <w:rFonts w:eastAsia="Times New Roman" w:cs="Arial"/>
                <w:bCs/>
                <w:noProof/>
              </w:rPr>
            </w:pPr>
            <w:r>
              <w:rPr>
                <w:noProof/>
              </w:rPr>
              <w:t>NO</w:t>
            </w:r>
          </w:p>
        </w:tc>
        <w:tc>
          <w:tcPr>
            <w:tcW w:w="71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60" w:after="60" w:line="240" w:lineRule="auto"/>
              <w:ind w:right="68"/>
              <w:jc w:val="center"/>
              <w:rPr>
                <w:rFonts w:eastAsia="Times New Roman" w:cs="Arial"/>
                <w:bCs/>
                <w:noProof/>
              </w:rPr>
            </w:pPr>
            <w:r>
              <w:rPr>
                <w:noProof/>
              </w:rPr>
              <w:t>+/-</w:t>
            </w:r>
          </w:p>
        </w:tc>
        <w:tc>
          <w:tcPr>
            <w:tcW w:w="28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60" w:after="60" w:line="240" w:lineRule="auto"/>
              <w:jc w:val="both"/>
              <w:rPr>
                <w:rFonts w:eastAsia="Times New Roman" w:cs="Arial"/>
                <w:bCs/>
                <w:noProof/>
                <w:sz w:val="20"/>
              </w:rPr>
            </w:pPr>
            <w:r>
              <w:rPr>
                <w:noProof/>
                <w:sz w:val="20"/>
              </w:rPr>
              <w:t>Percusión (se cumplen las normas).</w:t>
            </w:r>
          </w:p>
          <w:p>
            <w:pPr>
              <w:spacing w:before="60" w:after="60" w:line="240" w:lineRule="auto"/>
              <w:jc w:val="both"/>
              <w:rPr>
                <w:rFonts w:eastAsia="Times New Roman" w:cs="Arial"/>
                <w:bCs/>
                <w:noProof/>
                <w:sz w:val="20"/>
              </w:rPr>
            </w:pPr>
            <w:r>
              <w:rPr>
                <w:noProof/>
                <w:sz w:val="20"/>
              </w:rPr>
              <w:t xml:space="preserve">Aturdimiento eléctrico en seco: orientación del 25-30 % solamente, pero en ascenso (las normas se cumplen para el 25-30 %). </w:t>
            </w:r>
          </w:p>
          <w:p>
            <w:pPr>
              <w:spacing w:before="60" w:after="60" w:line="240" w:lineRule="auto"/>
              <w:jc w:val="both"/>
              <w:rPr>
                <w:rFonts w:eastAsia="Times New Roman" w:cs="Arial"/>
                <w:bCs/>
                <w:noProof/>
                <w:sz w:val="20"/>
              </w:rPr>
            </w:pPr>
            <w:r>
              <w:rPr>
                <w:noProof/>
                <w:sz w:val="20"/>
              </w:rPr>
              <w:t xml:space="preserve">Sacrificio con aturdimiento eléctrico seguido de corte de los arcos branquiales (no se cumplen las normas), o de percusión o decapitación (se cumplen las normas). </w:t>
            </w:r>
          </w:p>
          <w:p>
            <w:pPr>
              <w:spacing w:before="60" w:after="60" w:line="240" w:lineRule="auto"/>
              <w:jc w:val="both"/>
              <w:rPr>
                <w:rFonts w:eastAsia="Times New Roman" w:cs="Arial"/>
                <w:bCs/>
                <w:noProof/>
                <w:sz w:val="20"/>
              </w:rPr>
            </w:pPr>
            <w:r>
              <w:rPr>
                <w:noProof/>
                <w:sz w:val="20"/>
              </w:rPr>
              <w:t>Enfriamiento con CO</w:t>
            </w:r>
            <w:r>
              <w:rPr>
                <w:noProof/>
                <w:sz w:val="20"/>
                <w:vertAlign w:val="subscript"/>
              </w:rPr>
              <w:t>2</w:t>
            </w:r>
            <w:r>
              <w:rPr>
                <w:noProof/>
                <w:sz w:val="20"/>
              </w:rPr>
              <w:t xml:space="preserve"> en vivo (no se cumplen las normas).</w:t>
            </w:r>
          </w:p>
        </w:tc>
      </w:tr>
      <w:tr>
        <w:trPr>
          <w:trHeight w:val="20"/>
          <w:jc w:val="center"/>
        </w:trPr>
        <w:tc>
          <w:tcPr>
            <w:tcW w:w="768"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60" w:after="60" w:line="240" w:lineRule="auto"/>
              <w:jc w:val="both"/>
              <w:rPr>
                <w:rFonts w:eastAsia="Times New Roman" w:cs="Arial"/>
                <w:bCs/>
                <w:noProof/>
              </w:rPr>
            </w:pPr>
          </w:p>
        </w:tc>
        <w:tc>
          <w:tcPr>
            <w:tcW w:w="6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60" w:after="60" w:line="240" w:lineRule="auto"/>
              <w:jc w:val="center"/>
              <w:rPr>
                <w:rFonts w:eastAsia="Times New Roman" w:cs="Arial"/>
                <w:bCs/>
                <w:noProof/>
              </w:rPr>
            </w:pPr>
            <w:r>
              <w:rPr>
                <w:noProof/>
              </w:rPr>
              <w:t>UK</w:t>
            </w:r>
          </w:p>
        </w:tc>
        <w:tc>
          <w:tcPr>
            <w:tcW w:w="71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60" w:after="60" w:line="240" w:lineRule="auto"/>
              <w:ind w:right="68"/>
              <w:jc w:val="center"/>
              <w:rPr>
                <w:rFonts w:eastAsia="Times New Roman" w:cs="Arial"/>
                <w:bCs/>
                <w:noProof/>
              </w:rPr>
            </w:pPr>
            <w:r>
              <w:rPr>
                <w:rFonts w:eastAsia="Times New Roman" w:cs="Arial"/>
                <w:bCs/>
                <w:noProof/>
              </w:rPr>
              <w:sym w:font="Wingdings" w:char="F0FC"/>
            </w:r>
          </w:p>
        </w:tc>
        <w:tc>
          <w:tcPr>
            <w:tcW w:w="28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60" w:after="60" w:line="240" w:lineRule="auto"/>
              <w:jc w:val="both"/>
              <w:rPr>
                <w:rFonts w:eastAsia="Times New Roman" w:cs="Arial"/>
                <w:bCs/>
                <w:noProof/>
                <w:sz w:val="20"/>
              </w:rPr>
            </w:pPr>
            <w:r>
              <w:rPr>
                <w:noProof/>
                <w:sz w:val="20"/>
              </w:rPr>
              <w:t>Se cumplen las normas</w:t>
            </w:r>
          </w:p>
        </w:tc>
      </w:tr>
      <w:tr>
        <w:trPr>
          <w:trHeight w:val="20"/>
          <w:jc w:val="center"/>
        </w:trPr>
        <w:tc>
          <w:tcPr>
            <w:tcW w:w="768"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60" w:after="60" w:line="240" w:lineRule="auto"/>
              <w:jc w:val="both"/>
              <w:rPr>
                <w:rFonts w:eastAsia="Times New Roman" w:cs="Arial"/>
                <w:bCs/>
                <w:noProof/>
              </w:rPr>
            </w:pPr>
          </w:p>
        </w:tc>
        <w:tc>
          <w:tcPr>
            <w:tcW w:w="6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60" w:after="60" w:line="240" w:lineRule="auto"/>
              <w:jc w:val="center"/>
              <w:rPr>
                <w:rFonts w:eastAsia="Times New Roman" w:cs="Arial"/>
                <w:bCs/>
                <w:noProof/>
              </w:rPr>
            </w:pPr>
            <w:r>
              <w:rPr>
                <w:noProof/>
              </w:rPr>
              <w:t>IE</w:t>
            </w:r>
          </w:p>
        </w:tc>
        <w:tc>
          <w:tcPr>
            <w:tcW w:w="71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60" w:after="60" w:line="240" w:lineRule="auto"/>
              <w:ind w:right="68"/>
              <w:jc w:val="center"/>
              <w:rPr>
                <w:rFonts w:eastAsia="Times New Roman" w:cs="Arial"/>
                <w:bCs/>
                <w:noProof/>
              </w:rPr>
            </w:pPr>
            <w:r>
              <w:rPr>
                <w:noProof/>
              </w:rPr>
              <w:t>+/-</w:t>
            </w:r>
          </w:p>
        </w:tc>
        <w:tc>
          <w:tcPr>
            <w:tcW w:w="28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60" w:after="60" w:line="240" w:lineRule="auto"/>
              <w:jc w:val="both"/>
              <w:rPr>
                <w:rFonts w:eastAsia="Times New Roman" w:cs="Arial"/>
                <w:bCs/>
                <w:noProof/>
                <w:sz w:val="20"/>
              </w:rPr>
            </w:pPr>
            <w:r>
              <w:rPr>
                <w:noProof/>
                <w:sz w:val="20"/>
              </w:rPr>
              <w:t>Percusión. Aturdimiento con CO</w:t>
            </w:r>
            <w:r>
              <w:rPr>
                <w:noProof/>
                <w:sz w:val="20"/>
                <w:vertAlign w:val="subscript"/>
              </w:rPr>
              <w:t>2</w:t>
            </w:r>
            <w:r>
              <w:rPr>
                <w:noProof/>
                <w:sz w:val="20"/>
              </w:rPr>
              <w:t xml:space="preserve"> para el 7-8 % (no se cumplen las normas).</w:t>
            </w:r>
          </w:p>
        </w:tc>
      </w:tr>
      <w:tr>
        <w:trPr>
          <w:trHeight w:val="20"/>
          <w:jc w:val="center"/>
        </w:trPr>
        <w:tc>
          <w:tcPr>
            <w:tcW w:w="768"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60" w:after="60" w:line="240" w:lineRule="auto"/>
              <w:jc w:val="both"/>
              <w:rPr>
                <w:rFonts w:eastAsia="Times New Roman" w:cs="Arial"/>
                <w:b/>
                <w:bCs/>
                <w:noProof/>
              </w:rPr>
            </w:pPr>
            <w:r>
              <w:rPr>
                <w:b/>
                <w:noProof/>
              </w:rPr>
              <w:t>Carpa común</w:t>
            </w:r>
          </w:p>
        </w:tc>
        <w:tc>
          <w:tcPr>
            <w:tcW w:w="6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60" w:after="60" w:line="240" w:lineRule="auto"/>
              <w:jc w:val="center"/>
              <w:rPr>
                <w:rFonts w:eastAsia="Times New Roman" w:cs="Arial"/>
                <w:bCs/>
                <w:noProof/>
              </w:rPr>
            </w:pPr>
            <w:r>
              <w:rPr>
                <w:noProof/>
              </w:rPr>
              <w:t>PL</w:t>
            </w:r>
          </w:p>
        </w:tc>
        <w:tc>
          <w:tcPr>
            <w:tcW w:w="71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60" w:after="60" w:line="240" w:lineRule="auto"/>
              <w:ind w:right="68"/>
              <w:jc w:val="center"/>
              <w:rPr>
                <w:rFonts w:eastAsia="Times New Roman" w:cs="Arial"/>
                <w:bCs/>
                <w:noProof/>
              </w:rPr>
            </w:pPr>
            <w:r>
              <w:rPr>
                <w:noProof/>
              </w:rPr>
              <w:t>+/-</w:t>
            </w:r>
          </w:p>
        </w:tc>
        <w:tc>
          <w:tcPr>
            <w:tcW w:w="28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60" w:after="60" w:line="240" w:lineRule="auto"/>
              <w:jc w:val="both"/>
              <w:rPr>
                <w:rFonts w:eastAsia="Times New Roman" w:cs="Arial"/>
                <w:bCs/>
                <w:noProof/>
                <w:sz w:val="20"/>
              </w:rPr>
            </w:pPr>
            <w:r>
              <w:rPr>
                <w:noProof/>
                <w:sz w:val="20"/>
              </w:rPr>
              <w:t xml:space="preserve">Percusión manual. </w:t>
            </w:r>
          </w:p>
          <w:p>
            <w:pPr>
              <w:spacing w:before="60" w:after="60" w:line="240" w:lineRule="auto"/>
              <w:jc w:val="both"/>
              <w:rPr>
                <w:rFonts w:eastAsia="Times New Roman" w:cs="Arial"/>
                <w:bCs/>
                <w:noProof/>
                <w:sz w:val="20"/>
              </w:rPr>
            </w:pPr>
            <w:r>
              <w:rPr>
                <w:noProof/>
                <w:sz w:val="20"/>
              </w:rPr>
              <w:t>Aturdidor eléctrico no fabricado por un productor principal.</w:t>
            </w:r>
          </w:p>
        </w:tc>
      </w:tr>
      <w:tr>
        <w:trPr>
          <w:trHeight w:val="20"/>
          <w:jc w:val="center"/>
        </w:trPr>
        <w:tc>
          <w:tcPr>
            <w:tcW w:w="768"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60" w:after="60" w:line="240" w:lineRule="auto"/>
              <w:jc w:val="both"/>
              <w:rPr>
                <w:rFonts w:eastAsia="Times New Roman" w:cs="Arial"/>
                <w:b/>
                <w:bCs/>
                <w:noProof/>
              </w:rPr>
            </w:pPr>
          </w:p>
        </w:tc>
        <w:tc>
          <w:tcPr>
            <w:tcW w:w="6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60" w:after="60" w:line="240" w:lineRule="auto"/>
              <w:jc w:val="center"/>
              <w:rPr>
                <w:rFonts w:eastAsia="Times New Roman" w:cs="Arial"/>
                <w:bCs/>
                <w:noProof/>
              </w:rPr>
            </w:pPr>
            <w:r>
              <w:rPr>
                <w:noProof/>
              </w:rPr>
              <w:t>CZ</w:t>
            </w:r>
          </w:p>
        </w:tc>
        <w:tc>
          <w:tcPr>
            <w:tcW w:w="71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60" w:after="60" w:line="240" w:lineRule="auto"/>
              <w:ind w:right="68"/>
              <w:jc w:val="center"/>
              <w:rPr>
                <w:rFonts w:eastAsia="Times New Roman" w:cs="Arial"/>
                <w:bCs/>
                <w:noProof/>
              </w:rPr>
            </w:pPr>
            <w:r>
              <w:rPr>
                <w:noProof/>
              </w:rPr>
              <w:t>+/-</w:t>
            </w:r>
          </w:p>
        </w:tc>
        <w:tc>
          <w:tcPr>
            <w:tcW w:w="28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60" w:after="60" w:line="240" w:lineRule="auto"/>
              <w:jc w:val="both"/>
              <w:rPr>
                <w:rFonts w:eastAsia="Times New Roman" w:cs="Arial"/>
                <w:bCs/>
                <w:noProof/>
                <w:sz w:val="20"/>
              </w:rPr>
            </w:pPr>
            <w:r>
              <w:rPr>
                <w:noProof/>
                <w:sz w:val="20"/>
              </w:rPr>
              <w:t>Aturdidor eléctrico no fabricado por un productor principal y sin aplicación de método de matanza.</w:t>
            </w:r>
          </w:p>
        </w:tc>
      </w:tr>
      <w:tr>
        <w:trPr>
          <w:trHeight w:val="20"/>
          <w:jc w:val="center"/>
        </w:trPr>
        <w:tc>
          <w:tcPr>
            <w:tcW w:w="768"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60" w:after="60" w:line="240" w:lineRule="auto"/>
              <w:jc w:val="both"/>
              <w:rPr>
                <w:rFonts w:eastAsia="Times New Roman" w:cs="Arial"/>
                <w:b/>
                <w:bCs/>
                <w:noProof/>
              </w:rPr>
            </w:pPr>
          </w:p>
        </w:tc>
        <w:tc>
          <w:tcPr>
            <w:tcW w:w="6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60" w:after="60" w:line="240" w:lineRule="auto"/>
              <w:jc w:val="center"/>
              <w:rPr>
                <w:rFonts w:eastAsia="Times New Roman" w:cs="Arial"/>
                <w:bCs/>
                <w:noProof/>
              </w:rPr>
            </w:pPr>
            <w:r>
              <w:rPr>
                <w:noProof/>
              </w:rPr>
              <w:t>DE</w:t>
            </w:r>
          </w:p>
        </w:tc>
        <w:tc>
          <w:tcPr>
            <w:tcW w:w="71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60" w:after="60" w:line="240" w:lineRule="auto"/>
              <w:ind w:right="68"/>
              <w:jc w:val="center"/>
              <w:rPr>
                <w:rFonts w:eastAsia="Times New Roman" w:cs="Arial"/>
                <w:bCs/>
                <w:noProof/>
              </w:rPr>
            </w:pPr>
            <w:r>
              <w:rPr>
                <w:noProof/>
              </w:rPr>
              <w:t>+/-</w:t>
            </w:r>
          </w:p>
        </w:tc>
        <w:tc>
          <w:tcPr>
            <w:tcW w:w="28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60" w:after="60" w:line="240" w:lineRule="auto"/>
              <w:jc w:val="both"/>
              <w:rPr>
                <w:rFonts w:eastAsia="Times New Roman" w:cs="Arial"/>
                <w:bCs/>
                <w:noProof/>
                <w:sz w:val="20"/>
              </w:rPr>
            </w:pPr>
            <w:r>
              <w:rPr>
                <w:noProof/>
                <w:sz w:val="20"/>
              </w:rPr>
              <w:t xml:space="preserve">Percusión manual. </w:t>
            </w:r>
          </w:p>
          <w:p>
            <w:pPr>
              <w:spacing w:before="60" w:after="60" w:line="240" w:lineRule="auto"/>
              <w:jc w:val="both"/>
              <w:rPr>
                <w:rFonts w:eastAsia="Times New Roman" w:cs="Arial"/>
                <w:bCs/>
                <w:noProof/>
                <w:sz w:val="20"/>
              </w:rPr>
            </w:pPr>
            <w:r>
              <w:rPr>
                <w:noProof/>
                <w:sz w:val="20"/>
              </w:rPr>
              <w:t>Aturdidor eléctrico no fabricado por un productor principal.</w:t>
            </w:r>
          </w:p>
        </w:tc>
      </w:tr>
      <w:tr>
        <w:trPr>
          <w:trHeight w:val="20"/>
          <w:jc w:val="center"/>
        </w:trPr>
        <w:tc>
          <w:tcPr>
            <w:tcW w:w="768"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60" w:after="60" w:line="240" w:lineRule="auto"/>
              <w:jc w:val="both"/>
              <w:rPr>
                <w:rFonts w:eastAsia="Times New Roman" w:cs="Arial"/>
                <w:b/>
                <w:bCs/>
                <w:noProof/>
              </w:rPr>
            </w:pPr>
            <w:r>
              <w:rPr>
                <w:b/>
                <w:noProof/>
              </w:rPr>
              <w:t xml:space="preserve">Trucha arco iris </w:t>
            </w:r>
          </w:p>
        </w:tc>
        <w:tc>
          <w:tcPr>
            <w:tcW w:w="6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60" w:after="60" w:line="240" w:lineRule="auto"/>
              <w:jc w:val="center"/>
              <w:rPr>
                <w:rFonts w:eastAsia="Times New Roman" w:cs="Arial"/>
                <w:bCs/>
                <w:noProof/>
              </w:rPr>
            </w:pPr>
            <w:r>
              <w:rPr>
                <w:noProof/>
              </w:rPr>
              <w:t>DK</w:t>
            </w:r>
          </w:p>
        </w:tc>
        <w:tc>
          <w:tcPr>
            <w:tcW w:w="71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60" w:after="60" w:line="240" w:lineRule="auto"/>
              <w:ind w:right="68"/>
              <w:jc w:val="center"/>
              <w:rPr>
                <w:rFonts w:eastAsia="Times New Roman" w:cs="Arial"/>
                <w:bCs/>
                <w:noProof/>
              </w:rPr>
            </w:pPr>
            <w:r>
              <w:rPr>
                <w:noProof/>
              </w:rPr>
              <w:t>+/-</w:t>
            </w:r>
          </w:p>
        </w:tc>
        <w:tc>
          <w:tcPr>
            <w:tcW w:w="28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60" w:after="60" w:line="240" w:lineRule="auto"/>
              <w:jc w:val="both"/>
              <w:rPr>
                <w:rFonts w:eastAsia="Times New Roman" w:cs="Arial"/>
                <w:bCs/>
                <w:noProof/>
                <w:sz w:val="20"/>
              </w:rPr>
            </w:pPr>
            <w:r>
              <w:rPr>
                <w:noProof/>
                <w:sz w:val="20"/>
              </w:rPr>
              <w:t>Aturdidor eléctrico no fabricado por un productor principal.</w:t>
            </w:r>
          </w:p>
          <w:p>
            <w:pPr>
              <w:spacing w:before="60" w:after="60" w:line="240" w:lineRule="auto"/>
              <w:jc w:val="both"/>
              <w:rPr>
                <w:rFonts w:eastAsia="Times New Roman" w:cs="Arial"/>
                <w:bCs/>
                <w:noProof/>
                <w:sz w:val="20"/>
              </w:rPr>
            </w:pPr>
            <w:r>
              <w:rPr>
                <w:noProof/>
                <w:sz w:val="20"/>
              </w:rPr>
              <w:t>También asfixia en hielo</w:t>
            </w:r>
          </w:p>
        </w:tc>
      </w:tr>
      <w:tr>
        <w:trPr>
          <w:trHeight w:val="20"/>
          <w:jc w:val="center"/>
        </w:trPr>
        <w:tc>
          <w:tcPr>
            <w:tcW w:w="768"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60" w:after="60" w:line="240" w:lineRule="auto"/>
              <w:jc w:val="both"/>
              <w:rPr>
                <w:rFonts w:eastAsia="Times New Roman" w:cs="Arial"/>
                <w:b/>
                <w:bCs/>
                <w:noProof/>
              </w:rPr>
            </w:pPr>
          </w:p>
        </w:tc>
        <w:tc>
          <w:tcPr>
            <w:tcW w:w="6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60" w:after="60" w:line="240" w:lineRule="auto"/>
              <w:jc w:val="center"/>
              <w:rPr>
                <w:rFonts w:eastAsia="Times New Roman" w:cs="Arial"/>
                <w:bCs/>
                <w:noProof/>
              </w:rPr>
            </w:pPr>
            <w:r>
              <w:rPr>
                <w:noProof/>
              </w:rPr>
              <w:t>FR</w:t>
            </w:r>
          </w:p>
        </w:tc>
        <w:tc>
          <w:tcPr>
            <w:tcW w:w="71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60" w:after="60" w:line="240" w:lineRule="auto"/>
              <w:ind w:right="68"/>
              <w:jc w:val="center"/>
              <w:rPr>
                <w:rFonts w:eastAsia="Times New Roman" w:cs="Arial"/>
                <w:bCs/>
                <w:noProof/>
              </w:rPr>
            </w:pPr>
            <w:r>
              <w:rPr>
                <w:noProof/>
              </w:rPr>
              <w:t>+/-</w:t>
            </w:r>
          </w:p>
        </w:tc>
        <w:tc>
          <w:tcPr>
            <w:tcW w:w="28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60" w:after="60" w:line="240" w:lineRule="auto"/>
              <w:jc w:val="both"/>
              <w:rPr>
                <w:rFonts w:eastAsia="Times New Roman" w:cs="Arial"/>
                <w:bCs/>
                <w:noProof/>
                <w:sz w:val="20"/>
              </w:rPr>
            </w:pPr>
            <w:r>
              <w:rPr>
                <w:noProof/>
                <w:sz w:val="20"/>
              </w:rPr>
              <w:t>Percusión manual. No obstante, se utiliza también el aturdimiento con CO</w:t>
            </w:r>
            <w:r>
              <w:rPr>
                <w:noProof/>
                <w:sz w:val="20"/>
                <w:vertAlign w:val="subscript"/>
              </w:rPr>
              <w:t xml:space="preserve">2 </w:t>
            </w:r>
            <w:r>
              <w:rPr>
                <w:noProof/>
                <w:sz w:val="20"/>
              </w:rPr>
              <w:t xml:space="preserve"> y el enfriamiento en agua helada seguido de aturdimiento eléctrico.</w:t>
            </w:r>
          </w:p>
        </w:tc>
      </w:tr>
      <w:tr>
        <w:trPr>
          <w:trHeight w:val="20"/>
          <w:jc w:val="center"/>
        </w:trPr>
        <w:tc>
          <w:tcPr>
            <w:tcW w:w="768"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60" w:after="60" w:line="240" w:lineRule="auto"/>
              <w:jc w:val="both"/>
              <w:rPr>
                <w:rFonts w:eastAsia="Times New Roman" w:cs="Arial"/>
                <w:b/>
                <w:bCs/>
                <w:noProof/>
              </w:rPr>
            </w:pPr>
          </w:p>
        </w:tc>
        <w:tc>
          <w:tcPr>
            <w:tcW w:w="6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60" w:after="60" w:line="240" w:lineRule="auto"/>
              <w:jc w:val="center"/>
              <w:rPr>
                <w:rFonts w:eastAsia="Times New Roman" w:cs="Arial"/>
                <w:bCs/>
                <w:noProof/>
              </w:rPr>
            </w:pPr>
            <w:r>
              <w:rPr>
                <w:noProof/>
              </w:rPr>
              <w:t>IT</w:t>
            </w:r>
          </w:p>
        </w:tc>
        <w:tc>
          <w:tcPr>
            <w:tcW w:w="71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60" w:after="60" w:line="240" w:lineRule="auto"/>
              <w:ind w:right="68"/>
              <w:jc w:val="center"/>
              <w:rPr>
                <w:rFonts w:eastAsia="Times New Roman" w:cs="Arial"/>
                <w:bCs/>
                <w:noProof/>
              </w:rPr>
            </w:pPr>
            <w:r>
              <w:rPr>
                <w:noProof/>
              </w:rPr>
              <w:t>+/-</w:t>
            </w:r>
          </w:p>
        </w:tc>
        <w:tc>
          <w:tcPr>
            <w:tcW w:w="28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60" w:after="60" w:line="240" w:lineRule="auto"/>
              <w:jc w:val="both"/>
              <w:rPr>
                <w:rFonts w:eastAsia="Times New Roman" w:cs="Arial"/>
                <w:bCs/>
                <w:noProof/>
                <w:sz w:val="20"/>
              </w:rPr>
            </w:pPr>
            <w:r>
              <w:rPr>
                <w:noProof/>
                <w:sz w:val="20"/>
              </w:rPr>
              <w:t>Aturdidor eléctrico no fabricado por un productor principal.</w:t>
            </w:r>
          </w:p>
        </w:tc>
      </w:tr>
      <w:tr>
        <w:trPr>
          <w:trHeight w:val="20"/>
          <w:jc w:val="center"/>
        </w:trPr>
        <w:tc>
          <w:tcPr>
            <w:tcW w:w="768"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60" w:after="60" w:line="240" w:lineRule="auto"/>
              <w:jc w:val="both"/>
              <w:rPr>
                <w:rFonts w:eastAsia="Times New Roman" w:cs="Arial"/>
                <w:b/>
                <w:bCs/>
                <w:noProof/>
              </w:rPr>
            </w:pPr>
          </w:p>
        </w:tc>
        <w:tc>
          <w:tcPr>
            <w:tcW w:w="6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60" w:after="60" w:line="240" w:lineRule="auto"/>
              <w:jc w:val="center"/>
              <w:rPr>
                <w:rFonts w:eastAsia="Times New Roman" w:cs="Arial"/>
                <w:bCs/>
                <w:noProof/>
              </w:rPr>
            </w:pPr>
            <w:r>
              <w:rPr>
                <w:noProof/>
              </w:rPr>
              <w:t>PL</w:t>
            </w:r>
          </w:p>
        </w:tc>
        <w:tc>
          <w:tcPr>
            <w:tcW w:w="71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60" w:after="60" w:line="240" w:lineRule="auto"/>
              <w:ind w:right="68"/>
              <w:jc w:val="center"/>
              <w:rPr>
                <w:rFonts w:eastAsia="Times New Roman" w:cs="Arial"/>
                <w:bCs/>
                <w:noProof/>
              </w:rPr>
            </w:pPr>
            <w:r>
              <w:rPr>
                <w:rFonts w:eastAsia="Times New Roman" w:cs="Arial"/>
                <w:bCs/>
                <w:noProof/>
              </w:rPr>
              <w:sym w:font="Wingdings" w:char="F0FB"/>
            </w:r>
          </w:p>
        </w:tc>
        <w:tc>
          <w:tcPr>
            <w:tcW w:w="28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60" w:after="60" w:line="240" w:lineRule="auto"/>
              <w:jc w:val="both"/>
              <w:rPr>
                <w:rFonts w:eastAsia="Times New Roman" w:cs="Arial"/>
                <w:bCs/>
                <w:noProof/>
                <w:sz w:val="20"/>
              </w:rPr>
            </w:pPr>
            <w:r>
              <w:rPr>
                <w:noProof/>
                <w:sz w:val="20"/>
              </w:rPr>
              <w:t>Asfixia en agua con hielo en un camión o en una explotación o matadero</w:t>
            </w:r>
          </w:p>
        </w:tc>
      </w:tr>
      <w:tr>
        <w:trPr>
          <w:trHeight w:val="20"/>
          <w:jc w:val="center"/>
        </w:trPr>
        <w:tc>
          <w:tcPr>
            <w:tcW w:w="768"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60" w:after="60" w:line="240" w:lineRule="auto"/>
              <w:jc w:val="both"/>
              <w:rPr>
                <w:rFonts w:eastAsia="Times New Roman" w:cs="Arial"/>
                <w:b/>
                <w:bCs/>
                <w:noProof/>
              </w:rPr>
            </w:pPr>
            <w:r>
              <w:rPr>
                <w:b/>
                <w:noProof/>
              </w:rPr>
              <w:t>Lubina europea</w:t>
            </w:r>
          </w:p>
        </w:tc>
        <w:tc>
          <w:tcPr>
            <w:tcW w:w="6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60" w:after="60" w:line="240" w:lineRule="auto"/>
              <w:jc w:val="center"/>
              <w:rPr>
                <w:rFonts w:eastAsia="Times New Roman" w:cs="Arial"/>
                <w:bCs/>
                <w:noProof/>
              </w:rPr>
            </w:pPr>
            <w:r>
              <w:rPr>
                <w:noProof/>
              </w:rPr>
              <w:t>GR</w:t>
            </w:r>
          </w:p>
        </w:tc>
        <w:tc>
          <w:tcPr>
            <w:tcW w:w="718" w:type="pct"/>
            <w:tcBorders>
              <w:top w:val="single" w:sz="4" w:space="0" w:color="auto"/>
              <w:left w:val="single" w:sz="4" w:space="0" w:color="auto"/>
              <w:bottom w:val="single" w:sz="4" w:space="0" w:color="auto"/>
              <w:right w:val="single" w:sz="4" w:space="0" w:color="auto"/>
            </w:tcBorders>
            <w:shd w:val="clear" w:color="auto" w:fill="FFFFFF" w:themeFill="background1"/>
          </w:tcPr>
          <w:p>
            <w:pPr>
              <w:spacing w:before="60" w:after="60" w:line="240" w:lineRule="auto"/>
              <w:ind w:right="68"/>
              <w:jc w:val="center"/>
              <w:rPr>
                <w:rFonts w:eastAsia="Times New Roman" w:cs="Arial"/>
                <w:bCs/>
                <w:noProof/>
              </w:rPr>
            </w:pPr>
            <w:r>
              <w:rPr>
                <w:rFonts w:eastAsia="Times New Roman" w:cs="Arial"/>
                <w:bCs/>
                <w:noProof/>
              </w:rPr>
              <w:sym w:font="Wingdings" w:char="F0FB"/>
            </w:r>
          </w:p>
        </w:tc>
        <w:tc>
          <w:tcPr>
            <w:tcW w:w="28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60" w:after="60" w:line="240" w:lineRule="auto"/>
              <w:jc w:val="both"/>
              <w:rPr>
                <w:rFonts w:eastAsia="Times New Roman" w:cs="Arial"/>
                <w:bCs/>
                <w:noProof/>
                <w:sz w:val="20"/>
              </w:rPr>
            </w:pPr>
            <w:r>
              <w:rPr>
                <w:noProof/>
                <w:sz w:val="20"/>
              </w:rPr>
              <w:t>Asfixia en hielo o agua con hielo</w:t>
            </w:r>
          </w:p>
        </w:tc>
      </w:tr>
      <w:tr>
        <w:trPr>
          <w:trHeight w:val="20"/>
          <w:jc w:val="center"/>
        </w:trPr>
        <w:tc>
          <w:tcPr>
            <w:tcW w:w="768"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60" w:after="60" w:line="240" w:lineRule="auto"/>
              <w:jc w:val="both"/>
              <w:rPr>
                <w:rFonts w:eastAsia="Times New Roman" w:cs="Arial"/>
                <w:b/>
                <w:bCs/>
                <w:noProof/>
              </w:rPr>
            </w:pPr>
          </w:p>
        </w:tc>
        <w:tc>
          <w:tcPr>
            <w:tcW w:w="6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60" w:after="60" w:line="240" w:lineRule="auto"/>
              <w:jc w:val="center"/>
              <w:rPr>
                <w:rFonts w:eastAsia="Times New Roman" w:cs="Arial"/>
                <w:bCs/>
                <w:noProof/>
              </w:rPr>
            </w:pPr>
            <w:r>
              <w:rPr>
                <w:noProof/>
              </w:rPr>
              <w:t>ES</w:t>
            </w:r>
          </w:p>
        </w:tc>
        <w:tc>
          <w:tcPr>
            <w:tcW w:w="718" w:type="pct"/>
            <w:tcBorders>
              <w:top w:val="single" w:sz="4" w:space="0" w:color="auto"/>
              <w:left w:val="single" w:sz="4" w:space="0" w:color="auto"/>
              <w:bottom w:val="single" w:sz="4" w:space="0" w:color="auto"/>
              <w:right w:val="single" w:sz="4" w:space="0" w:color="auto"/>
            </w:tcBorders>
            <w:shd w:val="clear" w:color="auto" w:fill="FFFFFF" w:themeFill="background1"/>
          </w:tcPr>
          <w:p>
            <w:pPr>
              <w:spacing w:before="60" w:after="60" w:line="240" w:lineRule="auto"/>
              <w:ind w:right="68"/>
              <w:jc w:val="center"/>
              <w:rPr>
                <w:rFonts w:eastAsia="Times New Roman" w:cs="Arial"/>
                <w:bCs/>
                <w:noProof/>
              </w:rPr>
            </w:pPr>
            <w:r>
              <w:rPr>
                <w:rFonts w:eastAsia="Times New Roman" w:cs="Arial"/>
                <w:bCs/>
                <w:noProof/>
              </w:rPr>
              <w:sym w:font="Wingdings" w:char="F0FB"/>
            </w:r>
          </w:p>
        </w:tc>
        <w:tc>
          <w:tcPr>
            <w:tcW w:w="28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60" w:after="60" w:line="240" w:lineRule="auto"/>
              <w:jc w:val="both"/>
              <w:rPr>
                <w:rFonts w:eastAsia="Times New Roman" w:cs="Arial"/>
                <w:bCs/>
                <w:noProof/>
                <w:sz w:val="20"/>
              </w:rPr>
            </w:pPr>
            <w:r>
              <w:rPr>
                <w:noProof/>
                <w:sz w:val="20"/>
              </w:rPr>
              <w:t>Asfixia en hielo o agua con hielo</w:t>
            </w:r>
          </w:p>
        </w:tc>
      </w:tr>
      <w:tr>
        <w:trPr>
          <w:trHeight w:val="20"/>
          <w:jc w:val="center"/>
        </w:trPr>
        <w:tc>
          <w:tcPr>
            <w:tcW w:w="768"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60" w:after="60" w:line="240" w:lineRule="auto"/>
              <w:jc w:val="both"/>
              <w:rPr>
                <w:rFonts w:eastAsia="Times New Roman" w:cs="Arial"/>
                <w:b/>
                <w:bCs/>
                <w:noProof/>
              </w:rPr>
            </w:pPr>
          </w:p>
        </w:tc>
        <w:tc>
          <w:tcPr>
            <w:tcW w:w="6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60" w:after="60" w:line="240" w:lineRule="auto"/>
              <w:jc w:val="center"/>
              <w:rPr>
                <w:rFonts w:eastAsia="Times New Roman" w:cs="Arial"/>
                <w:bCs/>
                <w:noProof/>
              </w:rPr>
            </w:pPr>
            <w:r>
              <w:rPr>
                <w:noProof/>
              </w:rPr>
              <w:t>IT</w:t>
            </w:r>
          </w:p>
        </w:tc>
        <w:tc>
          <w:tcPr>
            <w:tcW w:w="718" w:type="pct"/>
            <w:tcBorders>
              <w:top w:val="single" w:sz="4" w:space="0" w:color="auto"/>
              <w:left w:val="single" w:sz="4" w:space="0" w:color="auto"/>
              <w:bottom w:val="single" w:sz="4" w:space="0" w:color="auto"/>
              <w:right w:val="single" w:sz="4" w:space="0" w:color="auto"/>
            </w:tcBorders>
            <w:shd w:val="clear" w:color="auto" w:fill="FFFFFF" w:themeFill="background1"/>
          </w:tcPr>
          <w:p>
            <w:pPr>
              <w:spacing w:before="60" w:after="60" w:line="240" w:lineRule="auto"/>
              <w:ind w:right="68"/>
              <w:jc w:val="center"/>
              <w:rPr>
                <w:rFonts w:eastAsia="Times New Roman" w:cs="Arial"/>
                <w:bCs/>
                <w:noProof/>
              </w:rPr>
            </w:pPr>
            <w:r>
              <w:rPr>
                <w:rFonts w:eastAsia="Times New Roman" w:cs="Arial"/>
                <w:bCs/>
                <w:noProof/>
              </w:rPr>
              <w:sym w:font="Wingdings" w:char="F0FB"/>
            </w:r>
          </w:p>
        </w:tc>
        <w:tc>
          <w:tcPr>
            <w:tcW w:w="28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60" w:after="60" w:line="240" w:lineRule="auto"/>
              <w:jc w:val="both"/>
              <w:rPr>
                <w:rFonts w:eastAsia="Times New Roman" w:cs="Arial"/>
                <w:bCs/>
                <w:noProof/>
                <w:sz w:val="20"/>
              </w:rPr>
            </w:pPr>
            <w:r>
              <w:rPr>
                <w:noProof/>
                <w:sz w:val="20"/>
              </w:rPr>
              <w:t>Asfixia en hielo o agua con hielo</w:t>
            </w:r>
          </w:p>
        </w:tc>
      </w:tr>
      <w:tr>
        <w:trPr>
          <w:trHeight w:val="20"/>
          <w:jc w:val="center"/>
        </w:trPr>
        <w:tc>
          <w:tcPr>
            <w:tcW w:w="768"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60" w:after="60" w:line="240" w:lineRule="auto"/>
              <w:jc w:val="both"/>
              <w:rPr>
                <w:rFonts w:eastAsia="Times New Roman" w:cs="Arial"/>
                <w:b/>
                <w:bCs/>
                <w:noProof/>
              </w:rPr>
            </w:pPr>
            <w:r>
              <w:rPr>
                <w:b/>
                <w:noProof/>
              </w:rPr>
              <w:t>Dorada</w:t>
            </w:r>
          </w:p>
        </w:tc>
        <w:tc>
          <w:tcPr>
            <w:tcW w:w="6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60" w:after="60" w:line="240" w:lineRule="auto"/>
              <w:jc w:val="center"/>
              <w:rPr>
                <w:rFonts w:eastAsia="Times New Roman" w:cs="Arial"/>
                <w:bCs/>
                <w:noProof/>
              </w:rPr>
            </w:pPr>
            <w:r>
              <w:rPr>
                <w:noProof/>
              </w:rPr>
              <w:t>GR</w:t>
            </w:r>
          </w:p>
        </w:tc>
        <w:tc>
          <w:tcPr>
            <w:tcW w:w="718" w:type="pct"/>
            <w:tcBorders>
              <w:top w:val="single" w:sz="4" w:space="0" w:color="auto"/>
              <w:left w:val="single" w:sz="4" w:space="0" w:color="auto"/>
              <w:bottom w:val="single" w:sz="4" w:space="0" w:color="auto"/>
              <w:right w:val="single" w:sz="4" w:space="0" w:color="auto"/>
            </w:tcBorders>
            <w:shd w:val="clear" w:color="auto" w:fill="FFFFFF" w:themeFill="background1"/>
          </w:tcPr>
          <w:p>
            <w:pPr>
              <w:spacing w:before="60" w:after="60" w:line="240" w:lineRule="auto"/>
              <w:ind w:right="68"/>
              <w:jc w:val="center"/>
              <w:rPr>
                <w:rFonts w:eastAsia="Times New Roman" w:cs="Arial"/>
                <w:bCs/>
                <w:noProof/>
              </w:rPr>
            </w:pPr>
            <w:r>
              <w:rPr>
                <w:rFonts w:eastAsia="Times New Roman" w:cs="Arial"/>
                <w:bCs/>
                <w:noProof/>
              </w:rPr>
              <w:sym w:font="Wingdings" w:char="F0FB"/>
            </w:r>
          </w:p>
        </w:tc>
        <w:tc>
          <w:tcPr>
            <w:tcW w:w="28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60" w:after="60" w:line="240" w:lineRule="auto"/>
              <w:jc w:val="both"/>
              <w:rPr>
                <w:rFonts w:eastAsia="Times New Roman" w:cs="Arial"/>
                <w:bCs/>
                <w:noProof/>
                <w:sz w:val="20"/>
              </w:rPr>
            </w:pPr>
            <w:r>
              <w:rPr>
                <w:noProof/>
                <w:sz w:val="20"/>
              </w:rPr>
              <w:t>Asfixia en hielo o agua con hielo</w:t>
            </w:r>
          </w:p>
        </w:tc>
      </w:tr>
      <w:tr>
        <w:trPr>
          <w:trHeight w:val="20"/>
          <w:jc w:val="center"/>
        </w:trPr>
        <w:tc>
          <w:tcPr>
            <w:tcW w:w="768"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60" w:after="60" w:line="240" w:lineRule="auto"/>
              <w:jc w:val="both"/>
              <w:rPr>
                <w:rFonts w:eastAsia="Times New Roman" w:cs="Arial"/>
                <w:bCs/>
                <w:noProof/>
              </w:rPr>
            </w:pPr>
          </w:p>
        </w:tc>
        <w:tc>
          <w:tcPr>
            <w:tcW w:w="6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60" w:after="60" w:line="240" w:lineRule="auto"/>
              <w:jc w:val="center"/>
              <w:rPr>
                <w:rFonts w:eastAsia="Times New Roman" w:cs="Arial"/>
                <w:bCs/>
                <w:noProof/>
              </w:rPr>
            </w:pPr>
            <w:r>
              <w:rPr>
                <w:noProof/>
              </w:rPr>
              <w:t>ES</w:t>
            </w:r>
          </w:p>
        </w:tc>
        <w:tc>
          <w:tcPr>
            <w:tcW w:w="718" w:type="pct"/>
            <w:tcBorders>
              <w:top w:val="single" w:sz="4" w:space="0" w:color="auto"/>
              <w:left w:val="single" w:sz="4" w:space="0" w:color="auto"/>
              <w:bottom w:val="single" w:sz="4" w:space="0" w:color="auto"/>
              <w:right w:val="single" w:sz="4" w:space="0" w:color="auto"/>
            </w:tcBorders>
            <w:shd w:val="clear" w:color="auto" w:fill="FFFFFF" w:themeFill="background1"/>
          </w:tcPr>
          <w:p>
            <w:pPr>
              <w:spacing w:before="60" w:after="60" w:line="240" w:lineRule="auto"/>
              <w:ind w:right="68"/>
              <w:jc w:val="center"/>
              <w:rPr>
                <w:rFonts w:eastAsia="Times New Roman" w:cs="Arial"/>
                <w:bCs/>
                <w:noProof/>
              </w:rPr>
            </w:pPr>
            <w:r>
              <w:rPr>
                <w:rFonts w:eastAsia="Times New Roman" w:cs="Arial"/>
                <w:bCs/>
                <w:noProof/>
              </w:rPr>
              <w:sym w:font="Wingdings" w:char="F0FB"/>
            </w:r>
          </w:p>
        </w:tc>
        <w:tc>
          <w:tcPr>
            <w:tcW w:w="28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60" w:after="60" w:line="240" w:lineRule="auto"/>
              <w:jc w:val="both"/>
              <w:rPr>
                <w:rFonts w:eastAsia="Times New Roman" w:cs="Arial"/>
                <w:bCs/>
                <w:noProof/>
                <w:sz w:val="20"/>
              </w:rPr>
            </w:pPr>
            <w:r>
              <w:rPr>
                <w:noProof/>
                <w:sz w:val="20"/>
              </w:rPr>
              <w:t>Asfixia en hielo o agua con hielo</w:t>
            </w:r>
          </w:p>
        </w:tc>
      </w:tr>
      <w:tr>
        <w:trPr>
          <w:trHeight w:val="20"/>
          <w:jc w:val="center"/>
        </w:trPr>
        <w:tc>
          <w:tcPr>
            <w:tcW w:w="768"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60" w:after="60" w:line="240" w:lineRule="auto"/>
              <w:jc w:val="both"/>
              <w:rPr>
                <w:rFonts w:eastAsia="Times New Roman" w:cs="Arial"/>
                <w:bCs/>
                <w:noProof/>
              </w:rPr>
            </w:pPr>
          </w:p>
        </w:tc>
        <w:tc>
          <w:tcPr>
            <w:tcW w:w="6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60" w:after="60" w:line="240" w:lineRule="auto"/>
              <w:jc w:val="center"/>
              <w:rPr>
                <w:rFonts w:eastAsia="Times New Roman" w:cs="Arial"/>
                <w:bCs/>
                <w:noProof/>
              </w:rPr>
            </w:pPr>
            <w:r>
              <w:rPr>
                <w:noProof/>
              </w:rPr>
              <w:t>IT</w:t>
            </w:r>
          </w:p>
        </w:tc>
        <w:tc>
          <w:tcPr>
            <w:tcW w:w="718" w:type="pct"/>
            <w:tcBorders>
              <w:top w:val="single" w:sz="4" w:space="0" w:color="auto"/>
              <w:left w:val="single" w:sz="4" w:space="0" w:color="auto"/>
              <w:bottom w:val="single" w:sz="4" w:space="0" w:color="auto"/>
              <w:right w:val="single" w:sz="4" w:space="0" w:color="auto"/>
            </w:tcBorders>
            <w:shd w:val="clear" w:color="auto" w:fill="FFFFFF" w:themeFill="background1"/>
          </w:tcPr>
          <w:p>
            <w:pPr>
              <w:spacing w:before="60" w:after="60" w:line="240" w:lineRule="auto"/>
              <w:ind w:right="68"/>
              <w:jc w:val="center"/>
              <w:rPr>
                <w:rFonts w:eastAsia="Times New Roman" w:cs="Arial"/>
                <w:bCs/>
                <w:noProof/>
              </w:rPr>
            </w:pPr>
            <w:r>
              <w:rPr>
                <w:rFonts w:eastAsia="Times New Roman" w:cs="Arial"/>
                <w:bCs/>
                <w:noProof/>
              </w:rPr>
              <w:sym w:font="Wingdings" w:char="F0FB"/>
            </w:r>
          </w:p>
        </w:tc>
        <w:tc>
          <w:tcPr>
            <w:tcW w:w="28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60" w:after="60" w:line="240" w:lineRule="auto"/>
              <w:jc w:val="both"/>
              <w:rPr>
                <w:rFonts w:eastAsia="Times New Roman" w:cs="Arial"/>
                <w:bCs/>
                <w:noProof/>
                <w:sz w:val="20"/>
              </w:rPr>
            </w:pPr>
            <w:r>
              <w:rPr>
                <w:noProof/>
                <w:sz w:val="20"/>
              </w:rPr>
              <w:t>Asfixia en hielo o agua con hielo</w:t>
            </w:r>
          </w:p>
        </w:tc>
      </w:tr>
    </w:tbl>
    <w:p>
      <w:pPr>
        <w:spacing w:before="60" w:after="40"/>
        <w:ind w:left="360"/>
        <w:jc w:val="both"/>
        <w:rPr>
          <w:rFonts w:ascii="Times New Roman" w:eastAsia="Times New Roman" w:hAnsi="Times New Roman" w:cs="Times New Roman"/>
          <w:bCs/>
          <w:noProof/>
          <w:sz w:val="20"/>
          <w:szCs w:val="20"/>
        </w:rPr>
      </w:pPr>
      <w:r>
        <w:rPr>
          <w:rFonts w:eastAsia="Times New Roman" w:cs="Arial"/>
          <w:bCs/>
          <w:noProof/>
        </w:rPr>
        <w:sym w:font="Wingdings" w:char="F0FC"/>
      </w:r>
      <w:r>
        <w:rPr>
          <w:noProof/>
        </w:rPr>
        <w:t xml:space="preserve"> </w:t>
      </w:r>
      <w:r>
        <w:rPr>
          <w:rFonts w:ascii="Times New Roman" w:hAnsi="Times New Roman"/>
          <w:noProof/>
          <w:sz w:val="20"/>
        </w:rPr>
        <w:t xml:space="preserve">OIE </w:t>
      </w:r>
      <w:r>
        <w:rPr>
          <w:noProof/>
        </w:rPr>
        <w:tab/>
      </w:r>
      <w:r>
        <w:rPr>
          <w:rFonts w:ascii="Times New Roman" w:hAnsi="Times New Roman"/>
          <w:noProof/>
          <w:sz w:val="20"/>
        </w:rPr>
        <w:t>- probabilidad de que se cumplan las normas de la OIE</w:t>
      </w:r>
    </w:p>
    <w:p>
      <w:pPr>
        <w:spacing w:after="40"/>
        <w:ind w:left="360"/>
        <w:jc w:val="both"/>
        <w:rPr>
          <w:rFonts w:ascii="Times New Roman" w:eastAsia="Times New Roman" w:hAnsi="Times New Roman" w:cs="Times New Roman"/>
          <w:bCs/>
          <w:noProof/>
          <w:sz w:val="20"/>
          <w:szCs w:val="20"/>
        </w:rPr>
      </w:pPr>
      <w:r>
        <w:rPr>
          <w:rFonts w:eastAsia="Times New Roman" w:cs="Arial"/>
          <w:bCs/>
          <w:noProof/>
        </w:rPr>
        <w:sym w:font="Wingdings" w:char="F0FB"/>
      </w:r>
      <w:r>
        <w:rPr>
          <w:noProof/>
        </w:rPr>
        <w:t xml:space="preserve"> </w:t>
      </w:r>
      <w:r>
        <w:rPr>
          <w:rFonts w:ascii="Times New Roman" w:hAnsi="Times New Roman"/>
          <w:noProof/>
          <w:sz w:val="20"/>
        </w:rPr>
        <w:t xml:space="preserve">OIE </w:t>
      </w:r>
      <w:r>
        <w:rPr>
          <w:noProof/>
        </w:rPr>
        <w:tab/>
      </w:r>
      <w:r>
        <w:rPr>
          <w:rFonts w:ascii="Times New Roman" w:hAnsi="Times New Roman"/>
          <w:noProof/>
          <w:sz w:val="20"/>
        </w:rPr>
        <w:t>- probabilidad de que no se cumplan las normas de la OIE</w:t>
      </w:r>
    </w:p>
    <w:p>
      <w:pPr>
        <w:spacing w:after="60"/>
        <w:ind w:left="360"/>
        <w:jc w:val="both"/>
        <w:rPr>
          <w:rFonts w:ascii="Times New Roman" w:eastAsia="Times New Roman" w:hAnsi="Times New Roman" w:cs="Times New Roman"/>
          <w:bCs/>
          <w:noProof/>
          <w:sz w:val="20"/>
          <w:szCs w:val="20"/>
        </w:rPr>
      </w:pPr>
      <w:r>
        <w:rPr>
          <w:rFonts w:ascii="Times New Roman" w:hAnsi="Times New Roman"/>
          <w:b/>
          <w:noProof/>
          <w:sz w:val="20"/>
        </w:rPr>
        <w:t>+/-</w:t>
      </w:r>
      <w:r>
        <w:rPr>
          <w:rFonts w:ascii="Times New Roman" w:hAnsi="Times New Roman"/>
          <w:noProof/>
          <w:sz w:val="20"/>
        </w:rPr>
        <w:t xml:space="preserve"> OIE </w:t>
      </w:r>
      <w:r>
        <w:rPr>
          <w:noProof/>
        </w:rPr>
        <w:tab/>
      </w:r>
      <w:r>
        <w:rPr>
          <w:rFonts w:ascii="Times New Roman" w:hAnsi="Times New Roman"/>
          <w:noProof/>
          <w:sz w:val="20"/>
        </w:rPr>
        <w:t>- pueden cumplirse las normas de la OIE, dependiendo del método y el equipo utilizados</w:t>
      </w:r>
    </w:p>
    <w:p>
      <w:pPr>
        <w:jc w:val="both"/>
        <w:rPr>
          <w:rFonts w:ascii="Times New Roman" w:hAnsi="Times New Roman"/>
          <w:bCs/>
          <w:noProof/>
          <w:sz w:val="24"/>
          <w:szCs w:val="24"/>
        </w:rPr>
      </w:pPr>
      <w:r>
        <w:rPr>
          <w:rFonts w:ascii="Times New Roman" w:hAnsi="Times New Roman"/>
          <w:noProof/>
          <w:sz w:val="24"/>
        </w:rPr>
        <w:t>Con respecto a las normas relativas a las técnicas de sacrificio para la producción acuícola ecológica certificada, las conclusiones del informe de la Comisión que se indican en la nota al pie n.º 9 confirman el cumplimiento del sistema de controles relacionados con el sacrificio, descritos en el artículo 25 </w:t>
      </w:r>
      <w:r>
        <w:rPr>
          <w:rFonts w:ascii="Times New Roman" w:hAnsi="Times New Roman"/>
          <w:i/>
          <w:noProof/>
          <w:sz w:val="24"/>
        </w:rPr>
        <w:t>nonies</w:t>
      </w:r>
      <w:r>
        <w:rPr>
          <w:rFonts w:ascii="Times New Roman" w:hAnsi="Times New Roman"/>
          <w:noProof/>
          <w:sz w:val="24"/>
        </w:rPr>
        <w:t>, apartado 5, del Reglamento (CE) n.º 889/2008.</w:t>
      </w:r>
    </w:p>
    <w:p>
      <w:pPr>
        <w:pStyle w:val="Heading2"/>
        <w:numPr>
          <w:ilvl w:val="1"/>
          <w:numId w:val="18"/>
        </w:numPr>
        <w:spacing w:before="240" w:after="240"/>
        <w:ind w:left="1418" w:hanging="709"/>
        <w:rPr>
          <w:rFonts w:ascii="Times New Roman" w:hAnsi="Times New Roman" w:cs="Times New Roman"/>
          <w:noProof/>
          <w:color w:val="auto"/>
          <w:sz w:val="24"/>
        </w:rPr>
      </w:pPr>
      <w:r>
        <w:rPr>
          <w:rFonts w:ascii="Times New Roman" w:hAnsi="Times New Roman"/>
          <w:noProof/>
          <w:color w:val="auto"/>
          <w:sz w:val="24"/>
        </w:rPr>
        <w:t>Legislación y directrices nacionales</w:t>
      </w:r>
    </w:p>
    <w:p>
      <w:pPr>
        <w:jc w:val="both"/>
        <w:rPr>
          <w:rFonts w:ascii="Times New Roman" w:hAnsi="Times New Roman"/>
          <w:noProof/>
          <w:sz w:val="24"/>
          <w:szCs w:val="24"/>
        </w:rPr>
      </w:pPr>
      <w:r>
        <w:rPr>
          <w:rFonts w:ascii="Times New Roman" w:hAnsi="Times New Roman"/>
          <w:noProof/>
          <w:sz w:val="24"/>
        </w:rPr>
        <w:t xml:space="preserve">El artículo 27, apartado 1, párrafo segundo, del Reglamento permite que los Estados miembros mantengan o adopten normas nacionales en relación con la protección de los peces en el momento del sacrificio o la matanza en ausencia de normas de la UE. El estudio constató que pese a la existencia de legislación y directrices nacionales en los Estados miembros y los países del EEE específicos, no estaban tan desarrolladas como las correspondientes a los animales de cría terrestres, aunque la situación está mejorando debido a la creciente sensibilización sobre el bienestar de los peces. </w:t>
      </w:r>
    </w:p>
    <w:p>
      <w:pPr>
        <w:jc w:val="both"/>
        <w:rPr>
          <w:rFonts w:ascii="Times New Roman" w:hAnsi="Times New Roman"/>
          <w:noProof/>
          <w:sz w:val="24"/>
          <w:szCs w:val="24"/>
        </w:rPr>
      </w:pPr>
      <w:r>
        <w:rPr>
          <w:rFonts w:ascii="Times New Roman" w:hAnsi="Times New Roman"/>
          <w:noProof/>
          <w:sz w:val="24"/>
        </w:rPr>
        <w:t>Para las cinco especies comprendidas en el estudio, se aplican normas privadas que tratan el bienestar durante el transporte y el sacrificio de forma predominante en el sector del salmón, en menor medida en el caso de la trucha arco iris y de forma limitada para la lubina y la dorada. En muy pocas explotaciones de carpa común se aplican normas de bienestar privadas. En el cuadro 4 se presenta a continuación un resumen completo de la legislación nacional, las directrices y las normas privadas en los países examinados.</w:t>
      </w:r>
      <w:bookmarkStart w:id="93" w:name="_Ref486526027"/>
      <w:bookmarkStart w:id="94" w:name="_Toc477203097"/>
      <w:bookmarkStart w:id="95" w:name="_Toc495328592"/>
    </w:p>
    <w:p>
      <w:pPr>
        <w:jc w:val="both"/>
        <w:rPr>
          <w:b/>
          <w:noProof/>
        </w:rPr>
      </w:pPr>
    </w:p>
    <w:p>
      <w:pPr>
        <w:spacing w:after="60" w:line="240" w:lineRule="auto"/>
        <w:jc w:val="center"/>
        <w:rPr>
          <w:rFonts w:eastAsia="Calibri"/>
          <w:b/>
          <w:noProof/>
        </w:rPr>
      </w:pPr>
      <w:r>
        <w:rPr>
          <w:b/>
          <w:noProof/>
        </w:rPr>
        <w:t>Cuadro</w:t>
      </w:r>
      <w:bookmarkEnd w:id="93"/>
      <w:r>
        <w:rPr>
          <w:b/>
          <w:noProof/>
        </w:rPr>
        <w:t xml:space="preserve"> 4: </w:t>
      </w:r>
      <w:r>
        <w:rPr>
          <w:rFonts w:ascii="Calibri" w:hAnsi="Calibri"/>
          <w:b/>
          <w:noProof/>
        </w:rPr>
        <w:t>Legislación</w:t>
      </w:r>
      <w:r>
        <w:rPr>
          <w:b/>
          <w:noProof/>
        </w:rPr>
        <w:t xml:space="preserve"> y directrices nacionales o códigos de práctica que regulan aspectos del bienestar en el momento del sacrificio de peces de piscifactoría</w:t>
      </w:r>
      <w:bookmarkEnd w:id="94"/>
      <w:bookmarkEnd w:id="9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1"/>
        <w:gridCol w:w="5181"/>
        <w:gridCol w:w="3097"/>
      </w:tblGrid>
      <w:tr>
        <w:trPr>
          <w:tblHeader/>
        </w:trPr>
        <w:tc>
          <w:tcPr>
            <w:tcW w:w="544" w:type="pct"/>
            <w:tcBorders>
              <w:left w:val="single" w:sz="4" w:space="0" w:color="1F497D" w:themeColor="text2"/>
              <w:bottom w:val="single" w:sz="4" w:space="0" w:color="auto"/>
              <w:right w:val="single" w:sz="4" w:space="0" w:color="FFFFFF" w:themeColor="background1"/>
            </w:tcBorders>
            <w:shd w:val="clear" w:color="auto" w:fill="1F497D" w:themeFill="text2"/>
            <w:vAlign w:val="center"/>
          </w:tcPr>
          <w:p>
            <w:pPr>
              <w:autoSpaceDE w:val="0"/>
              <w:autoSpaceDN w:val="0"/>
              <w:adjustRightInd w:val="0"/>
              <w:spacing w:before="60" w:after="60"/>
              <w:jc w:val="center"/>
              <w:rPr>
                <w:rFonts w:eastAsia="Calibri" w:cs="Times New Roman"/>
                <w:b/>
                <w:noProof/>
                <w:color w:val="FFFFFF" w:themeColor="background1"/>
                <w:sz w:val="21"/>
                <w:szCs w:val="21"/>
              </w:rPr>
            </w:pPr>
            <w:r>
              <w:rPr>
                <w:b/>
                <w:noProof/>
                <w:color w:val="FFFFFF" w:themeColor="background1"/>
                <w:sz w:val="21"/>
              </w:rPr>
              <w:t>País</w:t>
            </w:r>
          </w:p>
        </w:tc>
        <w:tc>
          <w:tcPr>
            <w:tcW w:w="2789" w:type="pct"/>
            <w:tcBorders>
              <w:left w:val="single" w:sz="4" w:space="0" w:color="FFFFFF" w:themeColor="background1"/>
              <w:right w:val="single" w:sz="4" w:space="0" w:color="FFFFFF" w:themeColor="background1"/>
            </w:tcBorders>
            <w:shd w:val="clear" w:color="auto" w:fill="1F497D" w:themeFill="text2"/>
            <w:vAlign w:val="center"/>
          </w:tcPr>
          <w:p>
            <w:pPr>
              <w:autoSpaceDE w:val="0"/>
              <w:autoSpaceDN w:val="0"/>
              <w:adjustRightInd w:val="0"/>
              <w:spacing w:before="60" w:after="60"/>
              <w:jc w:val="center"/>
              <w:rPr>
                <w:rFonts w:eastAsia="Calibri" w:cs="Times New Roman"/>
                <w:b/>
                <w:noProof/>
                <w:color w:val="FFFFFF" w:themeColor="background1"/>
                <w:sz w:val="21"/>
                <w:szCs w:val="21"/>
              </w:rPr>
            </w:pPr>
            <w:r>
              <w:rPr>
                <w:b/>
                <w:noProof/>
                <w:color w:val="FFFFFF" w:themeColor="background1"/>
                <w:sz w:val="21"/>
              </w:rPr>
              <w:t xml:space="preserve"> Legislación</w:t>
            </w:r>
          </w:p>
        </w:tc>
        <w:tc>
          <w:tcPr>
            <w:tcW w:w="1667" w:type="pct"/>
            <w:tcBorders>
              <w:left w:val="single" w:sz="4" w:space="0" w:color="FFFFFF" w:themeColor="background1"/>
            </w:tcBorders>
            <w:shd w:val="clear" w:color="auto" w:fill="1F497D" w:themeFill="text2"/>
            <w:vAlign w:val="center"/>
          </w:tcPr>
          <w:p>
            <w:pPr>
              <w:autoSpaceDE w:val="0"/>
              <w:autoSpaceDN w:val="0"/>
              <w:adjustRightInd w:val="0"/>
              <w:spacing w:before="60" w:after="60"/>
              <w:jc w:val="center"/>
              <w:rPr>
                <w:rFonts w:eastAsia="Calibri" w:cs="Times New Roman"/>
                <w:b/>
                <w:noProof/>
                <w:color w:val="FFFFFF" w:themeColor="background1"/>
                <w:sz w:val="21"/>
                <w:szCs w:val="21"/>
              </w:rPr>
            </w:pPr>
            <w:r>
              <w:rPr>
                <w:b/>
                <w:noProof/>
                <w:color w:val="FFFFFF" w:themeColor="background1"/>
                <w:sz w:val="21"/>
              </w:rPr>
              <w:t>Directrices nacionales o normas privadas</w:t>
            </w:r>
          </w:p>
        </w:tc>
      </w:tr>
      <w:tr>
        <w:tc>
          <w:tcPr>
            <w:tcW w:w="544" w:type="pct"/>
            <w:tcBorders>
              <w:left w:val="single" w:sz="4" w:space="0" w:color="1F497D" w:themeColor="text2"/>
            </w:tcBorders>
          </w:tcPr>
          <w:p>
            <w:pPr>
              <w:spacing w:before="60" w:after="60"/>
              <w:jc w:val="center"/>
              <w:rPr>
                <w:rFonts w:eastAsia="Calibri" w:cs="Times New Roman"/>
                <w:b/>
                <w:noProof/>
              </w:rPr>
            </w:pPr>
            <w:r>
              <w:rPr>
                <w:b/>
                <w:noProof/>
              </w:rPr>
              <w:t>NO</w:t>
            </w:r>
          </w:p>
        </w:tc>
        <w:tc>
          <w:tcPr>
            <w:tcW w:w="2789" w:type="pct"/>
          </w:tcPr>
          <w:p>
            <w:pPr>
              <w:pStyle w:val="ListParagraph"/>
              <w:numPr>
                <w:ilvl w:val="0"/>
                <w:numId w:val="11"/>
              </w:numPr>
              <w:autoSpaceDE w:val="0"/>
              <w:autoSpaceDN w:val="0"/>
              <w:adjustRightInd w:val="0"/>
              <w:spacing w:before="60" w:after="60"/>
              <w:contextualSpacing w:val="0"/>
              <w:rPr>
                <w:rFonts w:eastAsia="Calibri" w:cs="Times New Roman"/>
                <w:noProof/>
                <w:sz w:val="20"/>
                <w:szCs w:val="22"/>
              </w:rPr>
            </w:pPr>
            <w:r>
              <w:rPr>
                <w:rFonts w:eastAsiaTheme="minorHAnsi"/>
                <w:noProof/>
                <w:sz w:val="20"/>
              </w:rPr>
              <w:t>El Reglamento (CE) n.º 1099/2009 y el Reglamento noruego n.º 1250/2006 establecen normas relativas a los requisitos en materia de bienestar de los peces en general</w:t>
            </w:r>
          </w:p>
        </w:tc>
        <w:tc>
          <w:tcPr>
            <w:tcW w:w="1667" w:type="pct"/>
          </w:tcPr>
          <w:p>
            <w:pPr>
              <w:pStyle w:val="ListParagraph"/>
              <w:numPr>
                <w:ilvl w:val="0"/>
                <w:numId w:val="11"/>
              </w:numPr>
              <w:autoSpaceDE w:val="0"/>
              <w:autoSpaceDN w:val="0"/>
              <w:adjustRightInd w:val="0"/>
              <w:spacing w:before="60" w:after="60"/>
              <w:ind w:left="244" w:hanging="244"/>
              <w:contextualSpacing w:val="0"/>
              <w:rPr>
                <w:rFonts w:eastAsia="Calibri" w:cs="Times New Roman"/>
                <w:noProof/>
                <w:sz w:val="20"/>
                <w:szCs w:val="22"/>
              </w:rPr>
            </w:pPr>
            <w:r>
              <w:rPr>
                <w:rFonts w:eastAsiaTheme="minorHAnsi"/>
                <w:noProof/>
                <w:sz w:val="20"/>
              </w:rPr>
              <w:t>La Autoridad de Seguridad Alimentaria de Noruega (NFSA) ha elaborado un documento de orientación general para el sector en el que se incluyen los requisitos para el bienestar de los animales en la acuicultura durante el sacrificio</w:t>
            </w:r>
            <w:r>
              <w:rPr>
                <w:rStyle w:val="FootnoteReference"/>
                <w:rFonts w:eastAsiaTheme="minorHAnsi"/>
                <w:noProof/>
                <w:sz w:val="20"/>
              </w:rPr>
              <w:footnoteReference w:id="12"/>
            </w:r>
          </w:p>
        </w:tc>
      </w:tr>
      <w:tr>
        <w:tc>
          <w:tcPr>
            <w:tcW w:w="544" w:type="pct"/>
            <w:tcBorders>
              <w:left w:val="single" w:sz="4" w:space="0" w:color="1F497D" w:themeColor="text2"/>
            </w:tcBorders>
          </w:tcPr>
          <w:p>
            <w:pPr>
              <w:spacing w:before="60" w:after="60"/>
              <w:jc w:val="center"/>
              <w:rPr>
                <w:rFonts w:eastAsia="Calibri" w:cs="Times New Roman"/>
                <w:b/>
                <w:noProof/>
              </w:rPr>
            </w:pPr>
            <w:r>
              <w:rPr>
                <w:b/>
                <w:noProof/>
              </w:rPr>
              <w:t>UK</w:t>
            </w:r>
          </w:p>
        </w:tc>
        <w:tc>
          <w:tcPr>
            <w:tcW w:w="2789" w:type="pct"/>
          </w:tcPr>
          <w:p>
            <w:pPr>
              <w:pStyle w:val="ListParagraph"/>
              <w:numPr>
                <w:ilvl w:val="0"/>
                <w:numId w:val="11"/>
              </w:numPr>
              <w:autoSpaceDE w:val="0"/>
              <w:autoSpaceDN w:val="0"/>
              <w:adjustRightInd w:val="0"/>
              <w:spacing w:before="60" w:after="60"/>
              <w:ind w:left="244" w:hanging="244"/>
              <w:contextualSpacing w:val="0"/>
              <w:rPr>
                <w:rFonts w:eastAsia="Calibri" w:cs="Times New Roman"/>
                <w:noProof/>
                <w:sz w:val="20"/>
                <w:szCs w:val="22"/>
              </w:rPr>
            </w:pPr>
            <w:r>
              <w:rPr>
                <w:rFonts w:eastAsiaTheme="minorHAnsi"/>
                <w:noProof/>
                <w:sz w:val="20"/>
              </w:rPr>
              <w:t xml:space="preserve">Reglamento (CE) n.º 1099/2009 </w:t>
            </w:r>
          </w:p>
          <w:p>
            <w:pPr>
              <w:pStyle w:val="ListParagraph"/>
              <w:numPr>
                <w:ilvl w:val="0"/>
                <w:numId w:val="11"/>
              </w:numPr>
              <w:autoSpaceDE w:val="0"/>
              <w:autoSpaceDN w:val="0"/>
              <w:adjustRightInd w:val="0"/>
              <w:spacing w:before="60" w:after="60"/>
              <w:ind w:left="244" w:hanging="244"/>
              <w:contextualSpacing w:val="0"/>
              <w:rPr>
                <w:rFonts w:eastAsia="Calibri" w:cs="Times New Roman"/>
                <w:noProof/>
                <w:sz w:val="20"/>
                <w:szCs w:val="22"/>
              </w:rPr>
            </w:pPr>
            <w:r>
              <w:rPr>
                <w:noProof/>
                <w:sz w:val="20"/>
              </w:rPr>
              <w:t xml:space="preserve">Ley de 2006 de bienestar animal </w:t>
            </w:r>
          </w:p>
          <w:p>
            <w:pPr>
              <w:pStyle w:val="ListParagraph"/>
              <w:numPr>
                <w:ilvl w:val="0"/>
                <w:numId w:val="11"/>
              </w:numPr>
              <w:autoSpaceDE w:val="0"/>
              <w:autoSpaceDN w:val="0"/>
              <w:adjustRightInd w:val="0"/>
              <w:spacing w:before="60" w:after="60"/>
              <w:rPr>
                <w:rFonts w:cs="Times New Roman"/>
                <w:noProof/>
                <w:sz w:val="20"/>
                <w:szCs w:val="22"/>
              </w:rPr>
            </w:pPr>
            <w:r>
              <w:rPr>
                <w:noProof/>
                <w:sz w:val="20"/>
              </w:rPr>
              <w:t>Reglamento de 2012 relativo al bienestar de los animales en el momento de la matanza (Escocia). Instrumento jurídico n.º 321, de 2012.</w:t>
            </w:r>
          </w:p>
          <w:p>
            <w:pPr>
              <w:pStyle w:val="ListParagraph"/>
              <w:numPr>
                <w:ilvl w:val="0"/>
                <w:numId w:val="11"/>
              </w:numPr>
              <w:autoSpaceDE w:val="0"/>
              <w:autoSpaceDN w:val="0"/>
              <w:adjustRightInd w:val="0"/>
              <w:spacing w:before="60" w:after="60"/>
              <w:ind w:left="244" w:hanging="244"/>
              <w:contextualSpacing w:val="0"/>
              <w:rPr>
                <w:rFonts w:eastAsia="Calibri" w:cs="Times New Roman"/>
                <w:noProof/>
                <w:sz w:val="20"/>
                <w:szCs w:val="22"/>
              </w:rPr>
            </w:pPr>
            <w:r>
              <w:rPr>
                <w:noProof/>
                <w:sz w:val="20"/>
              </w:rPr>
              <w:t>Orden de 2006 sobre el bienestar de los animales (transporte) (Inglaterra) (y legislación equivalente en Escocia y Gales)</w:t>
            </w:r>
          </w:p>
        </w:tc>
        <w:tc>
          <w:tcPr>
            <w:tcW w:w="1667" w:type="pct"/>
          </w:tcPr>
          <w:p>
            <w:pPr>
              <w:pStyle w:val="ListParagraph"/>
              <w:numPr>
                <w:ilvl w:val="0"/>
                <w:numId w:val="11"/>
              </w:numPr>
              <w:autoSpaceDE w:val="0"/>
              <w:autoSpaceDN w:val="0"/>
              <w:adjustRightInd w:val="0"/>
              <w:spacing w:before="60" w:after="60"/>
              <w:ind w:left="244" w:hanging="244"/>
              <w:contextualSpacing w:val="0"/>
              <w:rPr>
                <w:rFonts w:eastAsia="Calibri" w:cs="Times New Roman"/>
                <w:noProof/>
                <w:sz w:val="20"/>
                <w:szCs w:val="22"/>
              </w:rPr>
            </w:pPr>
            <w:r>
              <w:rPr>
                <w:noProof/>
                <w:sz w:val="20"/>
              </w:rPr>
              <w:t>Dictamen sobre el bienestar de los peces de piscifactoría; Farm Animal Welfare Committee [Comité de Bienestar de los Animales en las Explotaciones]; 2014</w:t>
            </w:r>
          </w:p>
          <w:p>
            <w:pPr>
              <w:pStyle w:val="ListParagraph"/>
              <w:numPr>
                <w:ilvl w:val="0"/>
                <w:numId w:val="11"/>
              </w:numPr>
              <w:autoSpaceDE w:val="0"/>
              <w:autoSpaceDN w:val="0"/>
              <w:adjustRightInd w:val="0"/>
              <w:spacing w:before="60" w:after="60"/>
              <w:ind w:left="244" w:hanging="244"/>
              <w:contextualSpacing w:val="0"/>
              <w:rPr>
                <w:rFonts w:eastAsia="Calibri" w:cs="Times New Roman"/>
                <w:noProof/>
                <w:sz w:val="20"/>
                <w:szCs w:val="22"/>
              </w:rPr>
            </w:pPr>
            <w:r>
              <w:rPr>
                <w:noProof/>
                <w:sz w:val="20"/>
              </w:rPr>
              <w:t>Código de buenas prácticas</w:t>
            </w:r>
            <w:r>
              <w:rPr>
                <w:rStyle w:val="FootnoteReference"/>
                <w:noProof/>
                <w:sz w:val="20"/>
              </w:rPr>
              <w:footnoteReference w:id="13"/>
            </w:r>
          </w:p>
        </w:tc>
      </w:tr>
      <w:tr>
        <w:tc>
          <w:tcPr>
            <w:tcW w:w="544" w:type="pct"/>
            <w:tcBorders>
              <w:left w:val="single" w:sz="4" w:space="0" w:color="1F497D" w:themeColor="text2"/>
            </w:tcBorders>
          </w:tcPr>
          <w:p>
            <w:pPr>
              <w:spacing w:before="60" w:after="60"/>
              <w:jc w:val="center"/>
              <w:rPr>
                <w:rFonts w:eastAsia="Calibri" w:cs="Times New Roman"/>
                <w:b/>
                <w:noProof/>
              </w:rPr>
            </w:pPr>
            <w:r>
              <w:rPr>
                <w:b/>
                <w:noProof/>
              </w:rPr>
              <w:t>IE</w:t>
            </w:r>
          </w:p>
        </w:tc>
        <w:tc>
          <w:tcPr>
            <w:tcW w:w="2789" w:type="pct"/>
          </w:tcPr>
          <w:p>
            <w:pPr>
              <w:pStyle w:val="ListParagraph"/>
              <w:numPr>
                <w:ilvl w:val="0"/>
                <w:numId w:val="11"/>
              </w:numPr>
              <w:autoSpaceDE w:val="0"/>
              <w:autoSpaceDN w:val="0"/>
              <w:adjustRightInd w:val="0"/>
              <w:spacing w:before="60" w:after="60"/>
              <w:ind w:left="244" w:hanging="244"/>
              <w:contextualSpacing w:val="0"/>
              <w:rPr>
                <w:rFonts w:eastAsia="Calibri" w:cs="Times New Roman"/>
                <w:noProof/>
                <w:sz w:val="20"/>
                <w:szCs w:val="22"/>
              </w:rPr>
            </w:pPr>
            <w:r>
              <w:rPr>
                <w:noProof/>
                <w:sz w:val="20"/>
              </w:rPr>
              <w:t>Reglamento (CE) n.º 1099/2009</w:t>
            </w:r>
          </w:p>
          <w:p>
            <w:pPr>
              <w:pStyle w:val="ListParagraph"/>
              <w:numPr>
                <w:ilvl w:val="0"/>
                <w:numId w:val="11"/>
              </w:numPr>
              <w:autoSpaceDE w:val="0"/>
              <w:autoSpaceDN w:val="0"/>
              <w:adjustRightInd w:val="0"/>
              <w:spacing w:before="60" w:after="60"/>
              <w:ind w:left="244" w:hanging="244"/>
              <w:contextualSpacing w:val="0"/>
              <w:rPr>
                <w:rFonts w:eastAsia="Calibri" w:cs="Times New Roman"/>
                <w:noProof/>
                <w:sz w:val="20"/>
                <w:szCs w:val="22"/>
              </w:rPr>
            </w:pPr>
            <w:r>
              <w:rPr>
                <w:noProof/>
                <w:sz w:val="20"/>
              </w:rPr>
              <w:t xml:space="preserve"> Ley de salud y bienestar de los animales de 2012</w:t>
            </w:r>
          </w:p>
        </w:tc>
        <w:tc>
          <w:tcPr>
            <w:tcW w:w="1667" w:type="pct"/>
          </w:tcPr>
          <w:p>
            <w:pPr>
              <w:pStyle w:val="ListParagraph"/>
              <w:numPr>
                <w:ilvl w:val="0"/>
                <w:numId w:val="11"/>
              </w:numPr>
              <w:autoSpaceDE w:val="0"/>
              <w:autoSpaceDN w:val="0"/>
              <w:adjustRightInd w:val="0"/>
              <w:spacing w:before="60" w:after="60"/>
              <w:ind w:left="244" w:hanging="244"/>
              <w:contextualSpacing w:val="0"/>
              <w:rPr>
                <w:rFonts w:cs="Times New Roman"/>
                <w:noProof/>
                <w:sz w:val="20"/>
              </w:rPr>
            </w:pPr>
            <w:r>
              <w:rPr>
                <w:noProof/>
                <w:sz w:val="20"/>
              </w:rPr>
              <w:t>Código de prácticas de salud de los peces para la acuicultura del salmón en Irlanda (2014)</w:t>
            </w:r>
            <w:r>
              <w:rPr>
                <w:i/>
                <w:noProof/>
                <w:sz w:val="20"/>
              </w:rPr>
              <w:t xml:space="preserve"> </w:t>
            </w:r>
          </w:p>
          <w:p>
            <w:pPr>
              <w:pStyle w:val="ListParagraph"/>
              <w:numPr>
                <w:ilvl w:val="0"/>
                <w:numId w:val="11"/>
              </w:numPr>
              <w:autoSpaceDE w:val="0"/>
              <w:autoSpaceDN w:val="0"/>
              <w:adjustRightInd w:val="0"/>
              <w:spacing w:before="60" w:after="60"/>
              <w:ind w:left="244" w:hanging="244"/>
              <w:contextualSpacing w:val="0"/>
              <w:rPr>
                <w:rFonts w:eastAsia="Calibri" w:cs="Times New Roman"/>
                <w:noProof/>
                <w:sz w:val="20"/>
                <w:szCs w:val="22"/>
              </w:rPr>
            </w:pPr>
            <w:r>
              <w:rPr>
                <w:noProof/>
                <w:sz w:val="20"/>
              </w:rPr>
              <w:t>Manual de salud del salmón de cría (2011)</w:t>
            </w:r>
            <w:r>
              <w:rPr>
                <w:rStyle w:val="FootnoteReference"/>
                <w:rFonts w:eastAsiaTheme="majorEastAsia"/>
                <w:noProof/>
                <w:sz w:val="20"/>
              </w:rPr>
              <w:footnoteReference w:id="14"/>
            </w:r>
            <w:r>
              <w:rPr>
                <w:noProof/>
                <w:sz w:val="20"/>
              </w:rPr>
              <w:t xml:space="preserve"> </w:t>
            </w:r>
            <w:r>
              <w:rPr>
                <w:b/>
                <w:noProof/>
                <w:sz w:val="20"/>
              </w:rPr>
              <w:t xml:space="preserve"> </w:t>
            </w:r>
          </w:p>
        </w:tc>
      </w:tr>
      <w:tr>
        <w:tc>
          <w:tcPr>
            <w:tcW w:w="544" w:type="pct"/>
            <w:tcBorders>
              <w:left w:val="single" w:sz="4" w:space="0" w:color="1F497D" w:themeColor="text2"/>
            </w:tcBorders>
          </w:tcPr>
          <w:p>
            <w:pPr>
              <w:spacing w:before="60" w:after="60"/>
              <w:jc w:val="center"/>
              <w:rPr>
                <w:rFonts w:eastAsia="Calibri" w:cs="Times New Roman"/>
                <w:b/>
                <w:noProof/>
              </w:rPr>
            </w:pPr>
            <w:r>
              <w:rPr>
                <w:b/>
                <w:noProof/>
              </w:rPr>
              <w:t>PL</w:t>
            </w:r>
          </w:p>
        </w:tc>
        <w:tc>
          <w:tcPr>
            <w:tcW w:w="2789" w:type="pct"/>
          </w:tcPr>
          <w:p>
            <w:pPr>
              <w:pStyle w:val="ListParagraph"/>
              <w:numPr>
                <w:ilvl w:val="0"/>
                <w:numId w:val="11"/>
              </w:numPr>
              <w:autoSpaceDE w:val="0"/>
              <w:autoSpaceDN w:val="0"/>
              <w:adjustRightInd w:val="0"/>
              <w:spacing w:before="60" w:after="60"/>
              <w:ind w:left="244" w:hanging="244"/>
              <w:contextualSpacing w:val="0"/>
              <w:rPr>
                <w:rFonts w:eastAsia="Calibri" w:cs="Times New Roman"/>
                <w:noProof/>
                <w:sz w:val="20"/>
                <w:szCs w:val="22"/>
              </w:rPr>
            </w:pPr>
            <w:r>
              <w:rPr>
                <w:rFonts w:eastAsiaTheme="minorHAnsi"/>
                <w:noProof/>
                <w:sz w:val="20"/>
              </w:rPr>
              <w:t>Reglamento (CE) n.º 1099/2009; Ley de protección de los animales (n.º 111, punto 724; de 1998, n.º 106, punto 668)</w:t>
            </w:r>
          </w:p>
        </w:tc>
        <w:tc>
          <w:tcPr>
            <w:tcW w:w="1667" w:type="pct"/>
          </w:tcPr>
          <w:p>
            <w:pPr>
              <w:pStyle w:val="ListParagraph"/>
              <w:numPr>
                <w:ilvl w:val="0"/>
                <w:numId w:val="11"/>
              </w:numPr>
              <w:autoSpaceDE w:val="0"/>
              <w:autoSpaceDN w:val="0"/>
              <w:adjustRightInd w:val="0"/>
              <w:spacing w:before="60" w:after="60"/>
              <w:ind w:left="244" w:hanging="244"/>
              <w:contextualSpacing w:val="0"/>
              <w:rPr>
                <w:rFonts w:eastAsia="Calibri" w:cs="Times New Roman"/>
                <w:noProof/>
                <w:sz w:val="20"/>
              </w:rPr>
            </w:pPr>
            <w:r>
              <w:rPr>
                <w:noProof/>
                <w:sz w:val="20"/>
              </w:rPr>
              <w:t>CÓDIGO de buenas prácticas (Kodeks Dobrej Praktyki); 2014</w:t>
            </w:r>
          </w:p>
        </w:tc>
      </w:tr>
      <w:tr>
        <w:tc>
          <w:tcPr>
            <w:tcW w:w="544" w:type="pct"/>
            <w:tcBorders>
              <w:left w:val="single" w:sz="4" w:space="0" w:color="1F497D" w:themeColor="text2"/>
              <w:bottom w:val="single" w:sz="4" w:space="0" w:color="auto"/>
            </w:tcBorders>
          </w:tcPr>
          <w:p>
            <w:pPr>
              <w:keepNext/>
              <w:keepLines/>
              <w:spacing w:before="60" w:after="60"/>
              <w:jc w:val="center"/>
              <w:rPr>
                <w:rFonts w:eastAsia="Calibri" w:cs="Times New Roman"/>
                <w:b/>
                <w:noProof/>
              </w:rPr>
            </w:pPr>
            <w:r>
              <w:rPr>
                <w:b/>
                <w:noProof/>
              </w:rPr>
              <w:t>CZ</w:t>
            </w:r>
          </w:p>
        </w:tc>
        <w:tc>
          <w:tcPr>
            <w:tcW w:w="2789" w:type="pct"/>
          </w:tcPr>
          <w:p>
            <w:pPr>
              <w:pStyle w:val="ListParagraph"/>
              <w:keepNext/>
              <w:keepLines/>
              <w:numPr>
                <w:ilvl w:val="0"/>
                <w:numId w:val="11"/>
              </w:numPr>
              <w:autoSpaceDE w:val="0"/>
              <w:autoSpaceDN w:val="0"/>
              <w:adjustRightInd w:val="0"/>
              <w:spacing w:before="60" w:after="60"/>
              <w:ind w:left="244" w:hanging="244"/>
              <w:contextualSpacing w:val="0"/>
              <w:rPr>
                <w:rFonts w:eastAsia="Calibri" w:cs="Times New Roman"/>
                <w:noProof/>
                <w:sz w:val="20"/>
                <w:szCs w:val="22"/>
              </w:rPr>
            </w:pPr>
            <w:r>
              <w:rPr>
                <w:rFonts w:eastAsiaTheme="minorHAnsi"/>
                <w:noProof/>
                <w:sz w:val="20"/>
              </w:rPr>
              <w:t xml:space="preserve">Reglamento (CE) n.º 1099/2009 </w:t>
            </w:r>
          </w:p>
          <w:p>
            <w:pPr>
              <w:pStyle w:val="ListParagraph"/>
              <w:keepNext/>
              <w:keepLines/>
              <w:numPr>
                <w:ilvl w:val="0"/>
                <w:numId w:val="11"/>
              </w:numPr>
              <w:autoSpaceDE w:val="0"/>
              <w:autoSpaceDN w:val="0"/>
              <w:adjustRightInd w:val="0"/>
              <w:spacing w:before="60" w:after="60"/>
              <w:ind w:left="244" w:hanging="244"/>
              <w:contextualSpacing w:val="0"/>
              <w:rPr>
                <w:rFonts w:eastAsiaTheme="minorHAnsi" w:cs="Times New Roman"/>
                <w:noProof/>
                <w:sz w:val="20"/>
                <w:szCs w:val="22"/>
              </w:rPr>
            </w:pPr>
            <w:r>
              <w:rPr>
                <w:rFonts w:eastAsiaTheme="minorHAnsi"/>
                <w:noProof/>
                <w:sz w:val="20"/>
              </w:rPr>
              <w:t xml:space="preserve">Ley n.º 246/1992 Coll. y sus enmiendas posteriores sobre la protección de los animales contra la crueldad </w:t>
            </w:r>
          </w:p>
          <w:p>
            <w:pPr>
              <w:pStyle w:val="ListParagraph"/>
              <w:keepNext/>
              <w:keepLines/>
              <w:numPr>
                <w:ilvl w:val="0"/>
                <w:numId w:val="11"/>
              </w:numPr>
              <w:autoSpaceDE w:val="0"/>
              <w:autoSpaceDN w:val="0"/>
              <w:adjustRightInd w:val="0"/>
              <w:spacing w:before="60" w:after="60"/>
              <w:ind w:left="244" w:hanging="244"/>
              <w:contextualSpacing w:val="0"/>
              <w:rPr>
                <w:rFonts w:eastAsiaTheme="minorHAnsi" w:cs="Times New Roman"/>
                <w:noProof/>
                <w:sz w:val="20"/>
                <w:szCs w:val="22"/>
              </w:rPr>
            </w:pPr>
            <w:r>
              <w:rPr>
                <w:rFonts w:eastAsiaTheme="minorHAnsi"/>
                <w:noProof/>
                <w:sz w:val="20"/>
              </w:rPr>
              <w:t>Decreto n.º 245/1996 Coll. relativo a los métodos de aturdimiento/matanza</w:t>
            </w:r>
          </w:p>
          <w:p>
            <w:pPr>
              <w:pStyle w:val="ListParagraph"/>
              <w:keepNext/>
              <w:keepLines/>
              <w:numPr>
                <w:ilvl w:val="0"/>
                <w:numId w:val="11"/>
              </w:numPr>
              <w:autoSpaceDE w:val="0"/>
              <w:autoSpaceDN w:val="0"/>
              <w:adjustRightInd w:val="0"/>
              <w:spacing w:before="60" w:after="60"/>
              <w:ind w:left="244" w:hanging="244"/>
              <w:contextualSpacing w:val="0"/>
              <w:rPr>
                <w:rFonts w:eastAsiaTheme="minorHAnsi" w:cs="Times New Roman"/>
                <w:noProof/>
                <w:sz w:val="20"/>
                <w:szCs w:val="22"/>
              </w:rPr>
            </w:pPr>
            <w:r>
              <w:rPr>
                <w:rFonts w:eastAsiaTheme="minorHAnsi"/>
                <w:noProof/>
                <w:sz w:val="20"/>
              </w:rPr>
              <w:t>Decreto n.º 382/2004 Coll. relativo a los métodos de aturdimiento/matanza</w:t>
            </w:r>
          </w:p>
          <w:p>
            <w:pPr>
              <w:pStyle w:val="ListParagraph"/>
              <w:keepNext/>
              <w:keepLines/>
              <w:numPr>
                <w:ilvl w:val="0"/>
                <w:numId w:val="11"/>
              </w:numPr>
              <w:autoSpaceDE w:val="0"/>
              <w:autoSpaceDN w:val="0"/>
              <w:adjustRightInd w:val="0"/>
              <w:spacing w:before="60" w:after="60"/>
              <w:ind w:left="244" w:hanging="244"/>
              <w:contextualSpacing w:val="0"/>
              <w:rPr>
                <w:rFonts w:eastAsiaTheme="minorHAnsi" w:cs="Times New Roman"/>
                <w:noProof/>
                <w:sz w:val="20"/>
                <w:szCs w:val="22"/>
              </w:rPr>
            </w:pPr>
            <w:r>
              <w:rPr>
                <w:rFonts w:eastAsiaTheme="minorHAnsi"/>
                <w:noProof/>
                <w:sz w:val="20"/>
              </w:rPr>
              <w:t>Ley n.º 99/2004 sobre gestión de piscifactorías y para la cría de peces</w:t>
            </w:r>
          </w:p>
        </w:tc>
        <w:tc>
          <w:tcPr>
            <w:tcW w:w="1667" w:type="pct"/>
          </w:tcPr>
          <w:p>
            <w:pPr>
              <w:pStyle w:val="ListParagraph"/>
              <w:numPr>
                <w:ilvl w:val="0"/>
                <w:numId w:val="11"/>
              </w:numPr>
              <w:autoSpaceDE w:val="0"/>
              <w:autoSpaceDN w:val="0"/>
              <w:adjustRightInd w:val="0"/>
              <w:spacing w:before="60" w:after="60"/>
              <w:ind w:left="244" w:hanging="244"/>
              <w:contextualSpacing w:val="0"/>
              <w:rPr>
                <w:rFonts w:eastAsia="Calibri" w:cs="Times New Roman"/>
                <w:noProof/>
                <w:sz w:val="20"/>
                <w:szCs w:val="22"/>
              </w:rPr>
            </w:pPr>
            <w:r>
              <w:rPr>
                <w:rFonts w:eastAsiaTheme="minorHAnsi"/>
                <w:noProof/>
                <w:sz w:val="20"/>
              </w:rPr>
              <w:t>Directriz n.º 5/2015 sobre los lugares de venta / puestos de venta de pescado</w:t>
            </w:r>
          </w:p>
        </w:tc>
      </w:tr>
      <w:tr>
        <w:tc>
          <w:tcPr>
            <w:tcW w:w="544" w:type="pct"/>
            <w:tcBorders>
              <w:left w:val="single" w:sz="4" w:space="0" w:color="1F497D" w:themeColor="text2"/>
              <w:bottom w:val="single" w:sz="4" w:space="0" w:color="auto"/>
            </w:tcBorders>
          </w:tcPr>
          <w:p>
            <w:pPr>
              <w:autoSpaceDE w:val="0"/>
              <w:autoSpaceDN w:val="0"/>
              <w:adjustRightInd w:val="0"/>
              <w:spacing w:before="60" w:after="60"/>
              <w:jc w:val="center"/>
              <w:rPr>
                <w:rFonts w:cs="Times New Roman"/>
                <w:noProof/>
                <w:sz w:val="20"/>
              </w:rPr>
            </w:pPr>
            <w:r>
              <w:rPr>
                <w:b/>
                <w:noProof/>
                <w:sz w:val="20"/>
              </w:rPr>
              <w:t>DE</w:t>
            </w:r>
          </w:p>
        </w:tc>
        <w:tc>
          <w:tcPr>
            <w:tcW w:w="2789" w:type="pct"/>
          </w:tcPr>
          <w:p>
            <w:pPr>
              <w:pStyle w:val="ListParagraph"/>
              <w:numPr>
                <w:ilvl w:val="0"/>
                <w:numId w:val="11"/>
              </w:numPr>
              <w:autoSpaceDE w:val="0"/>
              <w:autoSpaceDN w:val="0"/>
              <w:adjustRightInd w:val="0"/>
              <w:spacing w:before="60" w:after="60"/>
              <w:ind w:left="244" w:hanging="244"/>
              <w:contextualSpacing w:val="0"/>
              <w:rPr>
                <w:rFonts w:eastAsiaTheme="minorHAnsi" w:cs="Times New Roman"/>
                <w:noProof/>
                <w:sz w:val="20"/>
                <w:szCs w:val="22"/>
              </w:rPr>
            </w:pPr>
            <w:r>
              <w:rPr>
                <w:rFonts w:eastAsiaTheme="minorHAnsi"/>
                <w:noProof/>
                <w:sz w:val="20"/>
              </w:rPr>
              <w:t xml:space="preserve">Reglamento (CE) n.º 1099/2009 </w:t>
            </w:r>
          </w:p>
          <w:p>
            <w:pPr>
              <w:pStyle w:val="ListParagraph"/>
              <w:numPr>
                <w:ilvl w:val="0"/>
                <w:numId w:val="11"/>
              </w:numPr>
              <w:autoSpaceDE w:val="0"/>
              <w:autoSpaceDN w:val="0"/>
              <w:adjustRightInd w:val="0"/>
              <w:spacing w:before="60" w:after="60"/>
              <w:ind w:left="244" w:hanging="244"/>
              <w:contextualSpacing w:val="0"/>
              <w:rPr>
                <w:rFonts w:eastAsiaTheme="minorHAnsi" w:cs="Times New Roman"/>
                <w:noProof/>
                <w:sz w:val="20"/>
                <w:szCs w:val="22"/>
              </w:rPr>
            </w:pPr>
            <w:r>
              <w:rPr>
                <w:rFonts w:eastAsiaTheme="minorHAnsi"/>
                <w:noProof/>
                <w:sz w:val="20"/>
              </w:rPr>
              <w:t>Legislación de protección de los animales en relación con la matanza y el sacrificio (Verordnung zum Schutz von Tieren im Zusammenhang mit der Schlachtung oder Tötung und zur Durchführung der Verordnung (EG) Nr 1099/2009 des Rates [Tierschutz-Schlachtverordnung -TierSchlV])</w:t>
            </w:r>
          </w:p>
        </w:tc>
        <w:tc>
          <w:tcPr>
            <w:tcW w:w="1667" w:type="pct"/>
          </w:tcPr>
          <w:p>
            <w:pPr>
              <w:pStyle w:val="ListParagraph"/>
              <w:numPr>
                <w:ilvl w:val="0"/>
                <w:numId w:val="11"/>
              </w:numPr>
              <w:autoSpaceDE w:val="0"/>
              <w:autoSpaceDN w:val="0"/>
              <w:adjustRightInd w:val="0"/>
              <w:spacing w:before="60" w:after="60"/>
              <w:ind w:left="244" w:hanging="244"/>
              <w:contextualSpacing w:val="0"/>
              <w:rPr>
                <w:rFonts w:eastAsiaTheme="minorHAnsi" w:cs="Times New Roman"/>
                <w:noProof/>
                <w:sz w:val="20"/>
                <w:szCs w:val="22"/>
                <w:lang w:val="de-DE"/>
              </w:rPr>
            </w:pPr>
            <w:r>
              <w:rPr>
                <w:rFonts w:eastAsiaTheme="minorHAnsi"/>
                <w:noProof/>
                <w:sz w:val="20"/>
                <w:lang w:val="de-DE"/>
              </w:rPr>
              <w:t>Buenas prácticas de higiene (1994) (Verordnung über die hygienischen Anforderungen un Fischereierzeugnisse)</w:t>
            </w:r>
          </w:p>
          <w:p>
            <w:pPr>
              <w:pStyle w:val="ListParagraph"/>
              <w:numPr>
                <w:ilvl w:val="0"/>
                <w:numId w:val="11"/>
              </w:numPr>
              <w:autoSpaceDE w:val="0"/>
              <w:autoSpaceDN w:val="0"/>
              <w:adjustRightInd w:val="0"/>
              <w:spacing w:before="60" w:after="60"/>
              <w:ind w:left="244" w:hanging="244"/>
              <w:contextualSpacing w:val="0"/>
              <w:rPr>
                <w:rFonts w:eastAsiaTheme="minorHAnsi" w:cs="Times New Roman"/>
                <w:noProof/>
                <w:sz w:val="20"/>
                <w:szCs w:val="22"/>
                <w:lang w:val="de-DE"/>
              </w:rPr>
            </w:pPr>
            <w:r>
              <w:rPr>
                <w:rFonts w:eastAsiaTheme="minorHAnsi"/>
                <w:noProof/>
                <w:sz w:val="20"/>
                <w:lang w:val="de-DE"/>
              </w:rPr>
              <w:t>Buenas prácticas en piscifactorías (carpa) (gute fachliche Praxis der Teichwirtschaft in Brandenburg)</w:t>
            </w:r>
          </w:p>
          <w:p>
            <w:pPr>
              <w:pStyle w:val="ListParagraph"/>
              <w:numPr>
                <w:ilvl w:val="0"/>
                <w:numId w:val="11"/>
              </w:numPr>
              <w:autoSpaceDE w:val="0"/>
              <w:autoSpaceDN w:val="0"/>
              <w:adjustRightInd w:val="0"/>
              <w:spacing w:before="60" w:after="60"/>
              <w:ind w:left="244" w:hanging="244"/>
              <w:contextualSpacing w:val="0"/>
              <w:rPr>
                <w:rFonts w:eastAsiaTheme="minorHAnsi" w:cs="Times New Roman"/>
                <w:noProof/>
                <w:sz w:val="20"/>
                <w:szCs w:val="22"/>
                <w:lang w:val="de-DE"/>
              </w:rPr>
            </w:pPr>
          </w:p>
        </w:tc>
      </w:tr>
      <w:tr>
        <w:tc>
          <w:tcPr>
            <w:tcW w:w="544" w:type="pct"/>
            <w:tcBorders>
              <w:left w:val="single" w:sz="4" w:space="0" w:color="1F497D" w:themeColor="text2"/>
            </w:tcBorders>
          </w:tcPr>
          <w:p>
            <w:pPr>
              <w:spacing w:before="60" w:after="60"/>
              <w:jc w:val="center"/>
              <w:rPr>
                <w:rFonts w:eastAsia="Calibri" w:cs="Times New Roman"/>
                <w:b/>
                <w:noProof/>
              </w:rPr>
            </w:pPr>
            <w:r>
              <w:rPr>
                <w:b/>
                <w:noProof/>
              </w:rPr>
              <w:t>DK</w:t>
            </w:r>
          </w:p>
        </w:tc>
        <w:tc>
          <w:tcPr>
            <w:tcW w:w="2789" w:type="pct"/>
          </w:tcPr>
          <w:p>
            <w:pPr>
              <w:pStyle w:val="ListParagraph"/>
              <w:numPr>
                <w:ilvl w:val="0"/>
                <w:numId w:val="11"/>
              </w:numPr>
              <w:autoSpaceDE w:val="0"/>
              <w:autoSpaceDN w:val="0"/>
              <w:adjustRightInd w:val="0"/>
              <w:spacing w:before="60" w:after="60"/>
              <w:ind w:left="244" w:hanging="244"/>
              <w:contextualSpacing w:val="0"/>
              <w:rPr>
                <w:rFonts w:eastAsiaTheme="minorHAnsi" w:cs="Times New Roman"/>
                <w:noProof/>
                <w:sz w:val="20"/>
                <w:szCs w:val="22"/>
              </w:rPr>
            </w:pPr>
            <w:r>
              <w:rPr>
                <w:rFonts w:eastAsiaTheme="minorHAnsi"/>
                <w:noProof/>
                <w:sz w:val="20"/>
              </w:rPr>
              <w:t xml:space="preserve">Reglamento (CE) n.º 1099/2009 </w:t>
            </w:r>
          </w:p>
          <w:p>
            <w:pPr>
              <w:pStyle w:val="ListParagraph"/>
              <w:numPr>
                <w:ilvl w:val="0"/>
                <w:numId w:val="11"/>
              </w:numPr>
              <w:autoSpaceDE w:val="0"/>
              <w:autoSpaceDN w:val="0"/>
              <w:adjustRightInd w:val="0"/>
              <w:spacing w:before="60" w:after="60"/>
              <w:ind w:left="244" w:hanging="244"/>
              <w:contextualSpacing w:val="0"/>
              <w:rPr>
                <w:rFonts w:eastAsia="Calibri" w:cs="Times New Roman"/>
                <w:noProof/>
                <w:sz w:val="20"/>
                <w:szCs w:val="22"/>
              </w:rPr>
            </w:pPr>
          </w:p>
        </w:tc>
        <w:tc>
          <w:tcPr>
            <w:tcW w:w="1667" w:type="pct"/>
          </w:tcPr>
          <w:p>
            <w:pPr>
              <w:pStyle w:val="ListParagraph"/>
              <w:numPr>
                <w:ilvl w:val="0"/>
                <w:numId w:val="11"/>
              </w:numPr>
              <w:autoSpaceDE w:val="0"/>
              <w:autoSpaceDN w:val="0"/>
              <w:adjustRightInd w:val="0"/>
              <w:spacing w:before="60" w:after="60"/>
              <w:ind w:left="244" w:hanging="244"/>
              <w:contextualSpacing w:val="0"/>
              <w:rPr>
                <w:rFonts w:eastAsia="Calibri" w:cs="Times New Roman"/>
                <w:noProof/>
                <w:sz w:val="20"/>
                <w:szCs w:val="22"/>
              </w:rPr>
            </w:pPr>
            <w:r>
              <w:rPr>
                <w:noProof/>
                <w:sz w:val="20"/>
              </w:rPr>
              <w:t>Ninguna (Estudio de la autoridad competente)</w:t>
            </w:r>
          </w:p>
        </w:tc>
      </w:tr>
      <w:tr>
        <w:tc>
          <w:tcPr>
            <w:tcW w:w="544" w:type="pct"/>
            <w:tcBorders>
              <w:left w:val="single" w:sz="4" w:space="0" w:color="1F497D" w:themeColor="text2"/>
            </w:tcBorders>
          </w:tcPr>
          <w:p>
            <w:pPr>
              <w:spacing w:before="60" w:after="60"/>
              <w:jc w:val="center"/>
              <w:rPr>
                <w:rFonts w:eastAsia="Calibri" w:cs="Times New Roman"/>
                <w:b/>
                <w:noProof/>
              </w:rPr>
            </w:pPr>
            <w:r>
              <w:rPr>
                <w:b/>
                <w:noProof/>
              </w:rPr>
              <w:t>FR</w:t>
            </w:r>
          </w:p>
        </w:tc>
        <w:tc>
          <w:tcPr>
            <w:tcW w:w="2789" w:type="pct"/>
          </w:tcPr>
          <w:p>
            <w:pPr>
              <w:pStyle w:val="ListParagraph"/>
              <w:numPr>
                <w:ilvl w:val="0"/>
                <w:numId w:val="11"/>
              </w:numPr>
              <w:autoSpaceDE w:val="0"/>
              <w:autoSpaceDN w:val="0"/>
              <w:adjustRightInd w:val="0"/>
              <w:spacing w:before="60" w:after="60"/>
              <w:ind w:left="244" w:hanging="244"/>
              <w:contextualSpacing w:val="0"/>
              <w:rPr>
                <w:rFonts w:eastAsiaTheme="minorHAnsi" w:cs="Times New Roman"/>
                <w:noProof/>
                <w:sz w:val="20"/>
                <w:szCs w:val="22"/>
              </w:rPr>
            </w:pPr>
            <w:r>
              <w:rPr>
                <w:rFonts w:eastAsiaTheme="minorHAnsi"/>
                <w:noProof/>
                <w:sz w:val="20"/>
              </w:rPr>
              <w:t>Reglamento (CE) n.º 1099/2009</w:t>
            </w:r>
          </w:p>
          <w:p>
            <w:pPr>
              <w:pStyle w:val="ListParagraph"/>
              <w:numPr>
                <w:ilvl w:val="0"/>
                <w:numId w:val="11"/>
              </w:numPr>
              <w:autoSpaceDE w:val="0"/>
              <w:autoSpaceDN w:val="0"/>
              <w:adjustRightInd w:val="0"/>
              <w:spacing w:before="60" w:after="60"/>
              <w:ind w:left="244" w:hanging="244"/>
              <w:contextualSpacing w:val="0"/>
              <w:rPr>
                <w:rFonts w:eastAsia="Calibri" w:cs="Times New Roman"/>
                <w:noProof/>
                <w:sz w:val="20"/>
                <w:szCs w:val="22"/>
              </w:rPr>
            </w:pPr>
            <w:r>
              <w:rPr>
                <w:rFonts w:eastAsiaTheme="minorHAnsi"/>
                <w:noProof/>
                <w:sz w:val="20"/>
              </w:rPr>
              <w:t xml:space="preserve"> Nota de servicio 2007-8016 de la DGAL, de 16 de enero de 2007 (DGAL/SDSPA/N2007-8192)</w:t>
            </w:r>
          </w:p>
        </w:tc>
        <w:tc>
          <w:tcPr>
            <w:tcW w:w="1667" w:type="pct"/>
          </w:tcPr>
          <w:p>
            <w:pPr>
              <w:pStyle w:val="ListParagraph"/>
              <w:numPr>
                <w:ilvl w:val="0"/>
                <w:numId w:val="11"/>
              </w:numPr>
              <w:autoSpaceDE w:val="0"/>
              <w:autoSpaceDN w:val="0"/>
              <w:adjustRightInd w:val="0"/>
              <w:spacing w:before="60" w:after="60"/>
              <w:ind w:left="244" w:hanging="244"/>
              <w:contextualSpacing w:val="0"/>
              <w:rPr>
                <w:rFonts w:eastAsia="Calibri" w:cs="Times New Roman"/>
                <w:noProof/>
                <w:sz w:val="20"/>
                <w:szCs w:val="22"/>
              </w:rPr>
            </w:pPr>
            <w:r>
              <w:rPr>
                <w:i/>
                <w:noProof/>
                <w:sz w:val="20"/>
              </w:rPr>
              <w:t>(no se ha recibido respuesta de la autoridad competente)</w:t>
            </w:r>
          </w:p>
        </w:tc>
      </w:tr>
      <w:tr>
        <w:tc>
          <w:tcPr>
            <w:tcW w:w="544" w:type="pct"/>
            <w:tcBorders>
              <w:left w:val="single" w:sz="4" w:space="0" w:color="1F497D" w:themeColor="text2"/>
            </w:tcBorders>
          </w:tcPr>
          <w:p>
            <w:pPr>
              <w:spacing w:before="60" w:after="60"/>
              <w:jc w:val="center"/>
              <w:rPr>
                <w:rFonts w:eastAsia="Calibri" w:cs="Times New Roman"/>
                <w:b/>
                <w:noProof/>
              </w:rPr>
            </w:pPr>
            <w:r>
              <w:rPr>
                <w:b/>
                <w:noProof/>
              </w:rPr>
              <w:t>IT</w:t>
            </w:r>
          </w:p>
        </w:tc>
        <w:tc>
          <w:tcPr>
            <w:tcW w:w="2789" w:type="pct"/>
          </w:tcPr>
          <w:p>
            <w:pPr>
              <w:pStyle w:val="ListParagraph"/>
              <w:numPr>
                <w:ilvl w:val="0"/>
                <w:numId w:val="11"/>
              </w:numPr>
              <w:autoSpaceDE w:val="0"/>
              <w:autoSpaceDN w:val="0"/>
              <w:adjustRightInd w:val="0"/>
              <w:spacing w:before="60" w:after="60"/>
              <w:ind w:left="244" w:hanging="244"/>
              <w:contextualSpacing w:val="0"/>
              <w:rPr>
                <w:rFonts w:eastAsia="Calibri" w:cs="Times New Roman"/>
                <w:noProof/>
                <w:sz w:val="20"/>
                <w:szCs w:val="22"/>
              </w:rPr>
            </w:pPr>
            <w:r>
              <w:rPr>
                <w:rFonts w:eastAsiaTheme="minorHAnsi"/>
                <w:noProof/>
                <w:sz w:val="20"/>
              </w:rPr>
              <w:t xml:space="preserve">Reglamento (CE) n.º 1099/2009 </w:t>
            </w:r>
          </w:p>
        </w:tc>
        <w:tc>
          <w:tcPr>
            <w:tcW w:w="1667" w:type="pct"/>
          </w:tcPr>
          <w:p>
            <w:pPr>
              <w:pStyle w:val="ListParagraph"/>
              <w:numPr>
                <w:ilvl w:val="0"/>
                <w:numId w:val="11"/>
              </w:numPr>
              <w:autoSpaceDE w:val="0"/>
              <w:autoSpaceDN w:val="0"/>
              <w:adjustRightInd w:val="0"/>
              <w:spacing w:before="60" w:after="60"/>
              <w:ind w:left="244" w:hanging="244"/>
              <w:contextualSpacing w:val="0"/>
              <w:rPr>
                <w:rFonts w:eastAsia="Calibri" w:cs="Times New Roman"/>
                <w:noProof/>
                <w:sz w:val="20"/>
                <w:szCs w:val="22"/>
              </w:rPr>
            </w:pPr>
            <w:r>
              <w:rPr>
                <w:noProof/>
                <w:sz w:val="20"/>
              </w:rPr>
              <w:t>Ninguna (Estudio de la autoridad competente)</w:t>
            </w:r>
          </w:p>
        </w:tc>
      </w:tr>
      <w:tr>
        <w:tc>
          <w:tcPr>
            <w:tcW w:w="544" w:type="pct"/>
            <w:tcBorders>
              <w:left w:val="single" w:sz="4" w:space="0" w:color="1F497D" w:themeColor="text2"/>
            </w:tcBorders>
          </w:tcPr>
          <w:p>
            <w:pPr>
              <w:spacing w:before="60" w:after="60"/>
              <w:jc w:val="center"/>
              <w:rPr>
                <w:rFonts w:eastAsia="Calibri" w:cs="Times New Roman"/>
                <w:b/>
                <w:noProof/>
              </w:rPr>
            </w:pPr>
            <w:r>
              <w:rPr>
                <w:b/>
                <w:noProof/>
              </w:rPr>
              <w:t>GR</w:t>
            </w:r>
          </w:p>
        </w:tc>
        <w:tc>
          <w:tcPr>
            <w:tcW w:w="2789" w:type="pct"/>
          </w:tcPr>
          <w:p>
            <w:pPr>
              <w:pStyle w:val="ListParagraph"/>
              <w:numPr>
                <w:ilvl w:val="0"/>
                <w:numId w:val="11"/>
              </w:numPr>
              <w:autoSpaceDE w:val="0"/>
              <w:autoSpaceDN w:val="0"/>
              <w:adjustRightInd w:val="0"/>
              <w:spacing w:before="60" w:after="60"/>
              <w:ind w:left="244" w:hanging="244"/>
              <w:contextualSpacing w:val="0"/>
              <w:rPr>
                <w:rFonts w:eastAsia="Calibri" w:cs="Times New Roman"/>
                <w:noProof/>
                <w:sz w:val="20"/>
                <w:szCs w:val="22"/>
              </w:rPr>
            </w:pPr>
            <w:r>
              <w:rPr>
                <w:rFonts w:eastAsiaTheme="minorHAnsi"/>
                <w:noProof/>
                <w:sz w:val="20"/>
              </w:rPr>
              <w:t xml:space="preserve">Reglamento (CE) n.º 1099/2009 </w:t>
            </w:r>
          </w:p>
        </w:tc>
        <w:tc>
          <w:tcPr>
            <w:tcW w:w="1667" w:type="pct"/>
          </w:tcPr>
          <w:p>
            <w:pPr>
              <w:pStyle w:val="ListParagraph"/>
              <w:numPr>
                <w:ilvl w:val="0"/>
                <w:numId w:val="11"/>
              </w:numPr>
              <w:autoSpaceDE w:val="0"/>
              <w:autoSpaceDN w:val="0"/>
              <w:adjustRightInd w:val="0"/>
              <w:spacing w:before="60" w:after="60"/>
              <w:ind w:left="244" w:hanging="244"/>
              <w:contextualSpacing w:val="0"/>
              <w:rPr>
                <w:rFonts w:eastAsia="Calibri" w:cs="Times New Roman"/>
                <w:noProof/>
                <w:sz w:val="20"/>
                <w:szCs w:val="22"/>
              </w:rPr>
            </w:pPr>
            <w:r>
              <w:rPr>
                <w:rFonts w:eastAsiaTheme="minorHAnsi"/>
                <w:noProof/>
                <w:sz w:val="20"/>
              </w:rPr>
              <w:t>2 circulares sobre el bienestar de los peces de piscifactoría (23.3.2015; 9.6.2015)</w:t>
            </w:r>
          </w:p>
        </w:tc>
      </w:tr>
      <w:tr>
        <w:tc>
          <w:tcPr>
            <w:tcW w:w="544" w:type="pct"/>
            <w:tcBorders>
              <w:left w:val="single" w:sz="4" w:space="0" w:color="1F497D" w:themeColor="text2"/>
            </w:tcBorders>
          </w:tcPr>
          <w:p>
            <w:pPr>
              <w:spacing w:before="60" w:after="60"/>
              <w:jc w:val="center"/>
              <w:rPr>
                <w:rFonts w:eastAsia="Calibri" w:cs="Times New Roman"/>
                <w:b/>
                <w:noProof/>
              </w:rPr>
            </w:pPr>
            <w:r>
              <w:rPr>
                <w:b/>
                <w:noProof/>
              </w:rPr>
              <w:t>ES</w:t>
            </w:r>
          </w:p>
        </w:tc>
        <w:tc>
          <w:tcPr>
            <w:tcW w:w="2789" w:type="pct"/>
          </w:tcPr>
          <w:p>
            <w:pPr>
              <w:pStyle w:val="ListParagraph"/>
              <w:numPr>
                <w:ilvl w:val="0"/>
                <w:numId w:val="11"/>
              </w:numPr>
              <w:autoSpaceDE w:val="0"/>
              <w:autoSpaceDN w:val="0"/>
              <w:adjustRightInd w:val="0"/>
              <w:spacing w:before="60" w:after="60"/>
              <w:ind w:left="244" w:hanging="244"/>
              <w:contextualSpacing w:val="0"/>
              <w:jc w:val="left"/>
              <w:rPr>
                <w:rFonts w:eastAsia="Calibri" w:cs="Times New Roman"/>
                <w:noProof/>
                <w:sz w:val="20"/>
                <w:szCs w:val="22"/>
              </w:rPr>
            </w:pPr>
            <w:r>
              <w:rPr>
                <w:rFonts w:eastAsiaTheme="minorHAnsi"/>
                <w:noProof/>
                <w:sz w:val="20"/>
              </w:rPr>
              <w:t xml:space="preserve">Reglamento (CE) n.º 1099/2009 </w:t>
            </w:r>
          </w:p>
          <w:p>
            <w:pPr>
              <w:pStyle w:val="ListParagraph"/>
              <w:numPr>
                <w:ilvl w:val="0"/>
                <w:numId w:val="11"/>
              </w:numPr>
              <w:autoSpaceDE w:val="0"/>
              <w:autoSpaceDN w:val="0"/>
              <w:adjustRightInd w:val="0"/>
              <w:spacing w:before="60" w:after="60"/>
              <w:ind w:left="244" w:hanging="244"/>
              <w:contextualSpacing w:val="0"/>
              <w:jc w:val="left"/>
              <w:rPr>
                <w:rFonts w:eastAsia="Calibri" w:cs="Times New Roman"/>
                <w:noProof/>
                <w:sz w:val="20"/>
                <w:szCs w:val="22"/>
              </w:rPr>
            </w:pPr>
            <w:r>
              <w:rPr>
                <w:noProof/>
                <w:sz w:val="20"/>
              </w:rPr>
              <w:t>)</w:t>
            </w:r>
          </w:p>
        </w:tc>
        <w:tc>
          <w:tcPr>
            <w:tcW w:w="1667" w:type="pct"/>
          </w:tcPr>
          <w:p>
            <w:pPr>
              <w:pStyle w:val="ListParagraph"/>
              <w:numPr>
                <w:ilvl w:val="0"/>
                <w:numId w:val="11"/>
              </w:numPr>
              <w:autoSpaceDE w:val="0"/>
              <w:autoSpaceDN w:val="0"/>
              <w:adjustRightInd w:val="0"/>
              <w:spacing w:before="60" w:after="60"/>
              <w:ind w:left="244" w:hanging="244"/>
              <w:contextualSpacing w:val="0"/>
              <w:jc w:val="left"/>
              <w:rPr>
                <w:rFonts w:eastAsia="Calibri" w:cs="Times New Roman"/>
                <w:noProof/>
                <w:sz w:val="20"/>
                <w:szCs w:val="22"/>
              </w:rPr>
            </w:pPr>
            <w:r>
              <w:rPr>
                <w:noProof/>
                <w:sz w:val="20"/>
              </w:rPr>
              <w:t>Piscicultura; Guía de prácticas correctas para el sacrificio; 2016; AENOR)</w:t>
            </w:r>
          </w:p>
        </w:tc>
      </w:tr>
    </w:tbl>
    <w:p>
      <w:pPr>
        <w:rPr>
          <w:noProof/>
        </w:rPr>
      </w:pPr>
    </w:p>
    <w:p>
      <w:pPr>
        <w:pStyle w:val="Heading2"/>
        <w:numPr>
          <w:ilvl w:val="0"/>
          <w:numId w:val="18"/>
        </w:numPr>
        <w:spacing w:before="240" w:after="240"/>
        <w:ind w:hanging="720"/>
        <w:rPr>
          <w:rFonts w:ascii="Times New Roman" w:hAnsi="Times New Roman"/>
          <w:noProof/>
          <w:color w:val="auto"/>
          <w:sz w:val="28"/>
          <w:szCs w:val="28"/>
        </w:rPr>
      </w:pPr>
      <w:r>
        <w:rPr>
          <w:rFonts w:ascii="Times New Roman" w:hAnsi="Times New Roman"/>
          <w:noProof/>
          <w:color w:val="auto"/>
          <w:sz w:val="28"/>
        </w:rPr>
        <w:t xml:space="preserve"> Resultados socioeconómicos</w:t>
      </w:r>
    </w:p>
    <w:p>
      <w:pPr>
        <w:jc w:val="both"/>
        <w:rPr>
          <w:rFonts w:ascii="Times New Roman" w:hAnsi="Times New Roman"/>
          <w:noProof/>
          <w:sz w:val="24"/>
          <w:szCs w:val="24"/>
        </w:rPr>
      </w:pPr>
      <w:r>
        <w:rPr>
          <w:rFonts w:ascii="Times New Roman" w:hAnsi="Times New Roman"/>
          <w:noProof/>
          <w:sz w:val="24"/>
        </w:rPr>
        <w:t xml:space="preserve">A continuación, se indica en el cuadro 5 la producción nacional de peces, crustáceos, moluscos y otros organismos acuáticos por medio de la acuicultura en los 19 principales Estados productores acuícolas del EEE durante los años 2009-2013, que representa el 99 % de la producción acuícola en el EEE. En el cuadro 6 se ofrece un resumen de la producción media de peces de piscifactoría total para los países contemplados en el estudio. </w:t>
      </w:r>
    </w:p>
    <w:p>
      <w:pPr>
        <w:pStyle w:val="Heading1"/>
        <w:framePr w:wrap="around"/>
        <w:rPr>
          <w:noProof/>
        </w:rPr>
      </w:pPr>
    </w:p>
    <w:p>
      <w:pPr>
        <w:keepNext/>
        <w:keepLines/>
        <w:spacing w:after="120" w:line="280" w:lineRule="atLeast"/>
        <w:ind w:left="357"/>
        <w:rPr>
          <w:rFonts w:ascii="Calibri" w:eastAsia="Times New Roman" w:hAnsi="Calibri" w:cs="Times New Roman"/>
          <w:b/>
          <w:bCs/>
          <w:noProof/>
        </w:rPr>
      </w:pPr>
      <w:bookmarkStart w:id="96" w:name="_Ref463969050"/>
      <w:bookmarkStart w:id="97" w:name="_Toc470118335"/>
      <w:bookmarkStart w:id="98" w:name="_Toc476913597"/>
      <w:bookmarkStart w:id="99" w:name="_Toc477203100"/>
      <w:bookmarkStart w:id="100" w:name="_Toc495328609"/>
      <w:r>
        <w:rPr>
          <w:rFonts w:ascii="Calibri" w:hAnsi="Calibri"/>
          <w:b/>
          <w:noProof/>
        </w:rPr>
        <w:t>Cuadro</w:t>
      </w:r>
      <w:bookmarkEnd w:id="96"/>
      <w:r>
        <w:rPr>
          <w:rFonts w:ascii="Calibri" w:hAnsi="Calibri"/>
          <w:b/>
          <w:noProof/>
        </w:rPr>
        <w:t> 5. Producción acuícola en 19 Estados del EEE, 2009-2013</w:t>
      </w:r>
      <w:bookmarkEnd w:id="97"/>
      <w:r>
        <w:rPr>
          <w:rFonts w:ascii="Calibri" w:hAnsi="Calibri"/>
          <w:b/>
          <w:noProof/>
        </w:rPr>
        <w:t xml:space="preserve"> (1 000 toneladas de peso vivo)</w:t>
      </w:r>
      <w:bookmarkEnd w:id="98"/>
      <w:bookmarkEnd w:id="99"/>
      <w:bookmarkEnd w:id="100"/>
    </w:p>
    <w:tbl>
      <w:tblPr>
        <w:tblW w:w="8509" w:type="dxa"/>
        <w:jc w:val="center"/>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701"/>
        <w:gridCol w:w="840"/>
        <w:gridCol w:w="840"/>
        <w:gridCol w:w="840"/>
        <w:gridCol w:w="840"/>
        <w:gridCol w:w="840"/>
        <w:gridCol w:w="1191"/>
        <w:gridCol w:w="1417"/>
      </w:tblGrid>
      <w:tr>
        <w:trPr>
          <w:trHeight w:val="600"/>
          <w:jc w:val="center"/>
        </w:trPr>
        <w:tc>
          <w:tcPr>
            <w:tcW w:w="1701" w:type="dxa"/>
            <w:tcBorders>
              <w:top w:val="single" w:sz="4" w:space="0" w:color="1F497D" w:themeColor="text2"/>
              <w:bottom w:val="single" w:sz="4" w:space="0" w:color="BFBFBF" w:themeColor="background1" w:themeShade="BF"/>
            </w:tcBorders>
            <w:shd w:val="clear" w:color="000000" w:fill="1F497D"/>
            <w:noWrap/>
            <w:vAlign w:val="center"/>
            <w:hideMark/>
          </w:tcPr>
          <w:p>
            <w:pPr>
              <w:keepNext/>
              <w:keepLines/>
              <w:spacing w:after="0" w:line="240" w:lineRule="auto"/>
              <w:rPr>
                <w:rFonts w:ascii="Calibri" w:eastAsia="Times New Roman" w:hAnsi="Calibri" w:cs="Arial"/>
                <w:b/>
                <w:bCs/>
                <w:noProof/>
                <w:color w:val="FFFFFF"/>
              </w:rPr>
            </w:pPr>
            <w:bookmarkStart w:id="101" w:name="_Toc476913598"/>
            <w:bookmarkStart w:id="102" w:name="_Hlk494368137"/>
            <w:r>
              <w:rPr>
                <w:rFonts w:ascii="Calibri" w:hAnsi="Calibri"/>
                <w:b/>
                <w:noProof/>
                <w:color w:val="FFFFFF"/>
              </w:rPr>
              <w:t>Estado del EEE</w:t>
            </w:r>
            <w:bookmarkEnd w:id="101"/>
          </w:p>
        </w:tc>
        <w:tc>
          <w:tcPr>
            <w:tcW w:w="840" w:type="dxa"/>
            <w:tcBorders>
              <w:top w:val="single" w:sz="4" w:space="0" w:color="1F497D" w:themeColor="text2"/>
              <w:bottom w:val="single" w:sz="4" w:space="0" w:color="BFBFBF" w:themeColor="background1" w:themeShade="BF"/>
            </w:tcBorders>
            <w:shd w:val="clear" w:color="000000" w:fill="1F497D"/>
            <w:noWrap/>
            <w:vAlign w:val="center"/>
            <w:hideMark/>
          </w:tcPr>
          <w:p>
            <w:pPr>
              <w:keepNext/>
              <w:keepLines/>
              <w:spacing w:after="0" w:line="240" w:lineRule="auto"/>
              <w:jc w:val="center"/>
              <w:rPr>
                <w:rFonts w:ascii="Calibri" w:eastAsia="Times New Roman" w:hAnsi="Calibri" w:cs="Arial"/>
                <w:b/>
                <w:bCs/>
                <w:noProof/>
                <w:color w:val="FFFFFF"/>
              </w:rPr>
            </w:pPr>
            <w:bookmarkStart w:id="103" w:name="_Toc476913599"/>
            <w:r>
              <w:rPr>
                <w:rFonts w:ascii="Calibri" w:hAnsi="Calibri"/>
                <w:b/>
                <w:noProof/>
                <w:color w:val="FFFFFF"/>
              </w:rPr>
              <w:t>2009</w:t>
            </w:r>
            <w:bookmarkEnd w:id="103"/>
          </w:p>
        </w:tc>
        <w:tc>
          <w:tcPr>
            <w:tcW w:w="840" w:type="dxa"/>
            <w:tcBorders>
              <w:top w:val="single" w:sz="4" w:space="0" w:color="1F497D" w:themeColor="text2"/>
              <w:bottom w:val="single" w:sz="4" w:space="0" w:color="BFBFBF" w:themeColor="background1" w:themeShade="BF"/>
            </w:tcBorders>
            <w:shd w:val="clear" w:color="000000" w:fill="1F497D"/>
            <w:noWrap/>
            <w:vAlign w:val="center"/>
            <w:hideMark/>
          </w:tcPr>
          <w:p>
            <w:pPr>
              <w:keepNext/>
              <w:keepLines/>
              <w:spacing w:after="0" w:line="240" w:lineRule="auto"/>
              <w:jc w:val="center"/>
              <w:rPr>
                <w:rFonts w:ascii="Calibri" w:eastAsia="Times New Roman" w:hAnsi="Calibri" w:cs="Arial"/>
                <w:b/>
                <w:bCs/>
                <w:noProof/>
                <w:color w:val="FFFFFF"/>
              </w:rPr>
            </w:pPr>
            <w:bookmarkStart w:id="104" w:name="_Toc476913600"/>
            <w:r>
              <w:rPr>
                <w:rFonts w:ascii="Calibri" w:hAnsi="Calibri"/>
                <w:b/>
                <w:noProof/>
                <w:color w:val="FFFFFF"/>
              </w:rPr>
              <w:t>2010</w:t>
            </w:r>
            <w:bookmarkEnd w:id="104"/>
          </w:p>
        </w:tc>
        <w:tc>
          <w:tcPr>
            <w:tcW w:w="840" w:type="dxa"/>
            <w:tcBorders>
              <w:top w:val="single" w:sz="4" w:space="0" w:color="1F497D" w:themeColor="text2"/>
              <w:bottom w:val="single" w:sz="4" w:space="0" w:color="BFBFBF" w:themeColor="background1" w:themeShade="BF"/>
            </w:tcBorders>
            <w:shd w:val="clear" w:color="000000" w:fill="1F497D"/>
            <w:noWrap/>
            <w:vAlign w:val="center"/>
            <w:hideMark/>
          </w:tcPr>
          <w:p>
            <w:pPr>
              <w:keepNext/>
              <w:keepLines/>
              <w:spacing w:after="0" w:line="240" w:lineRule="auto"/>
              <w:jc w:val="center"/>
              <w:rPr>
                <w:rFonts w:ascii="Calibri" w:eastAsia="Times New Roman" w:hAnsi="Calibri" w:cs="Arial"/>
                <w:b/>
                <w:bCs/>
                <w:noProof/>
                <w:color w:val="FFFFFF"/>
              </w:rPr>
            </w:pPr>
            <w:bookmarkStart w:id="105" w:name="_Toc476913601"/>
            <w:r>
              <w:rPr>
                <w:rFonts w:ascii="Calibri" w:hAnsi="Calibri"/>
                <w:b/>
                <w:noProof/>
                <w:color w:val="FFFFFF"/>
              </w:rPr>
              <w:t>2011</w:t>
            </w:r>
            <w:bookmarkEnd w:id="105"/>
          </w:p>
        </w:tc>
        <w:tc>
          <w:tcPr>
            <w:tcW w:w="840" w:type="dxa"/>
            <w:tcBorders>
              <w:top w:val="single" w:sz="4" w:space="0" w:color="1F497D" w:themeColor="text2"/>
              <w:bottom w:val="single" w:sz="4" w:space="0" w:color="BFBFBF" w:themeColor="background1" w:themeShade="BF"/>
            </w:tcBorders>
            <w:shd w:val="clear" w:color="000000" w:fill="1F497D"/>
            <w:noWrap/>
            <w:vAlign w:val="center"/>
            <w:hideMark/>
          </w:tcPr>
          <w:p>
            <w:pPr>
              <w:keepNext/>
              <w:keepLines/>
              <w:spacing w:after="0" w:line="240" w:lineRule="auto"/>
              <w:jc w:val="center"/>
              <w:rPr>
                <w:rFonts w:ascii="Calibri" w:eastAsia="Times New Roman" w:hAnsi="Calibri" w:cs="Arial"/>
                <w:b/>
                <w:bCs/>
                <w:noProof/>
                <w:color w:val="FFFFFF"/>
              </w:rPr>
            </w:pPr>
            <w:bookmarkStart w:id="106" w:name="_Toc476913602"/>
            <w:r>
              <w:rPr>
                <w:rFonts w:ascii="Calibri" w:hAnsi="Calibri"/>
                <w:b/>
                <w:noProof/>
                <w:color w:val="FFFFFF"/>
              </w:rPr>
              <w:t>2012</w:t>
            </w:r>
            <w:bookmarkEnd w:id="106"/>
          </w:p>
        </w:tc>
        <w:tc>
          <w:tcPr>
            <w:tcW w:w="840" w:type="dxa"/>
            <w:tcBorders>
              <w:top w:val="single" w:sz="4" w:space="0" w:color="1F497D" w:themeColor="text2"/>
              <w:bottom w:val="single" w:sz="4" w:space="0" w:color="BFBFBF" w:themeColor="background1" w:themeShade="BF"/>
            </w:tcBorders>
            <w:shd w:val="clear" w:color="000000" w:fill="1F497D"/>
            <w:noWrap/>
            <w:vAlign w:val="center"/>
            <w:hideMark/>
          </w:tcPr>
          <w:p>
            <w:pPr>
              <w:keepNext/>
              <w:keepLines/>
              <w:spacing w:after="0" w:line="240" w:lineRule="auto"/>
              <w:jc w:val="center"/>
              <w:rPr>
                <w:rFonts w:ascii="Calibri" w:eastAsia="Times New Roman" w:hAnsi="Calibri" w:cs="Arial"/>
                <w:b/>
                <w:bCs/>
                <w:noProof/>
                <w:color w:val="FFFFFF"/>
              </w:rPr>
            </w:pPr>
            <w:bookmarkStart w:id="107" w:name="_Toc476913603"/>
            <w:r>
              <w:rPr>
                <w:rFonts w:ascii="Calibri" w:hAnsi="Calibri"/>
                <w:b/>
                <w:noProof/>
                <w:color w:val="FFFFFF"/>
              </w:rPr>
              <w:t>2013</w:t>
            </w:r>
            <w:bookmarkEnd w:id="107"/>
          </w:p>
        </w:tc>
        <w:tc>
          <w:tcPr>
            <w:tcW w:w="1191" w:type="dxa"/>
            <w:tcBorders>
              <w:top w:val="single" w:sz="4" w:space="0" w:color="1F497D" w:themeColor="text2"/>
              <w:bottom w:val="single" w:sz="4" w:space="0" w:color="BFBFBF" w:themeColor="background1" w:themeShade="BF"/>
            </w:tcBorders>
            <w:shd w:val="clear" w:color="000000" w:fill="1F497D"/>
            <w:vAlign w:val="center"/>
            <w:hideMark/>
          </w:tcPr>
          <w:p>
            <w:pPr>
              <w:keepNext/>
              <w:keepLines/>
              <w:spacing w:after="0" w:line="240" w:lineRule="auto"/>
              <w:jc w:val="center"/>
              <w:rPr>
                <w:rFonts w:ascii="Calibri" w:eastAsia="Times New Roman" w:hAnsi="Calibri" w:cs="Arial"/>
                <w:b/>
                <w:bCs/>
                <w:noProof/>
                <w:color w:val="FFFFFF"/>
              </w:rPr>
            </w:pPr>
            <w:bookmarkStart w:id="108" w:name="_Toc476913604"/>
            <w:r>
              <w:rPr>
                <w:rFonts w:ascii="Calibri" w:hAnsi="Calibri"/>
                <w:b/>
                <w:noProof/>
                <w:color w:val="FFFFFF"/>
              </w:rPr>
              <w:t>Diferencia 2009-2013</w:t>
            </w:r>
            <w:bookmarkEnd w:id="108"/>
          </w:p>
        </w:tc>
        <w:tc>
          <w:tcPr>
            <w:tcW w:w="1417" w:type="dxa"/>
            <w:tcBorders>
              <w:top w:val="single" w:sz="4" w:space="0" w:color="1F497D" w:themeColor="text2"/>
              <w:bottom w:val="single" w:sz="4" w:space="0" w:color="BFBFBF" w:themeColor="background1" w:themeShade="BF"/>
            </w:tcBorders>
            <w:shd w:val="clear" w:color="000000" w:fill="1F497D"/>
            <w:vAlign w:val="center"/>
            <w:hideMark/>
          </w:tcPr>
          <w:p>
            <w:pPr>
              <w:keepNext/>
              <w:keepLines/>
              <w:spacing w:after="0" w:line="240" w:lineRule="auto"/>
              <w:jc w:val="center"/>
              <w:rPr>
                <w:rFonts w:ascii="Calibri" w:eastAsia="Times New Roman" w:hAnsi="Calibri" w:cs="Arial"/>
                <w:b/>
                <w:bCs/>
                <w:noProof/>
                <w:color w:val="FFFFFF"/>
              </w:rPr>
            </w:pPr>
            <w:bookmarkStart w:id="109" w:name="_Toc476913605"/>
            <w:r>
              <w:rPr>
                <w:rFonts w:ascii="Calibri" w:hAnsi="Calibri"/>
                <w:b/>
                <w:noProof/>
                <w:color w:val="FFFFFF"/>
              </w:rPr>
              <w:t>Porcentaje del total del EEE, 2013</w:t>
            </w:r>
            <w:bookmarkEnd w:id="109"/>
          </w:p>
        </w:tc>
      </w:tr>
      <w:tr>
        <w:trPr>
          <w:trHeight w:val="300"/>
          <w:jc w:val="center"/>
        </w:trPr>
        <w:tc>
          <w:tcPr>
            <w:tcW w:w="1701"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rPr>
                <w:rFonts w:ascii="Calibri" w:eastAsia="Times New Roman" w:hAnsi="Calibri" w:cs="Arial"/>
                <w:noProof/>
              </w:rPr>
            </w:pPr>
            <w:bookmarkStart w:id="110" w:name="_Toc476913606"/>
            <w:r>
              <w:rPr>
                <w:rFonts w:ascii="Calibri" w:hAnsi="Calibri"/>
                <w:noProof/>
              </w:rPr>
              <w:t>Noruega</w:t>
            </w:r>
            <w:bookmarkEnd w:id="110"/>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111" w:name="_Toc476913607"/>
            <w:r>
              <w:rPr>
                <w:rFonts w:ascii="Calibri" w:hAnsi="Calibri"/>
                <w:noProof/>
              </w:rPr>
              <w:t>962</w:t>
            </w:r>
            <w:bookmarkEnd w:id="111"/>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112" w:name="_Toc476913608"/>
            <w:r>
              <w:rPr>
                <w:rFonts w:ascii="Calibri" w:hAnsi="Calibri"/>
                <w:noProof/>
              </w:rPr>
              <w:t>1 020</w:t>
            </w:r>
            <w:bookmarkEnd w:id="112"/>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113" w:name="_Toc476913609"/>
            <w:r>
              <w:rPr>
                <w:rFonts w:ascii="Calibri" w:hAnsi="Calibri"/>
                <w:noProof/>
              </w:rPr>
              <w:t>1 144</w:t>
            </w:r>
            <w:bookmarkEnd w:id="113"/>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114" w:name="_Toc476913610"/>
            <w:r>
              <w:rPr>
                <w:rFonts w:ascii="Calibri" w:hAnsi="Calibri"/>
                <w:noProof/>
              </w:rPr>
              <w:t>1 321</w:t>
            </w:r>
            <w:bookmarkEnd w:id="114"/>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115" w:name="_Toc476913611"/>
            <w:r>
              <w:rPr>
                <w:rFonts w:ascii="Calibri" w:hAnsi="Calibri"/>
                <w:noProof/>
              </w:rPr>
              <w:t>1 248</w:t>
            </w:r>
            <w:bookmarkEnd w:id="115"/>
          </w:p>
        </w:tc>
        <w:tc>
          <w:tcPr>
            <w:tcW w:w="1191"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116" w:name="_Toc476913612"/>
            <w:r>
              <w:rPr>
                <w:rFonts w:ascii="Calibri" w:hAnsi="Calibri"/>
                <w:noProof/>
              </w:rPr>
              <w:t>29,7 %</w:t>
            </w:r>
            <w:bookmarkEnd w:id="116"/>
          </w:p>
        </w:tc>
        <w:tc>
          <w:tcPr>
            <w:tcW w:w="1417"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117" w:name="_Toc476913613"/>
            <w:r>
              <w:rPr>
                <w:rFonts w:ascii="Calibri" w:hAnsi="Calibri"/>
                <w:noProof/>
              </w:rPr>
              <w:t>50,5 %</w:t>
            </w:r>
            <w:bookmarkEnd w:id="117"/>
          </w:p>
        </w:tc>
      </w:tr>
      <w:tr>
        <w:trPr>
          <w:trHeight w:val="300"/>
          <w:jc w:val="center"/>
        </w:trPr>
        <w:tc>
          <w:tcPr>
            <w:tcW w:w="1701"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rPr>
                <w:rFonts w:ascii="Calibri" w:eastAsia="Times New Roman" w:hAnsi="Calibri" w:cs="Arial"/>
                <w:noProof/>
              </w:rPr>
            </w:pPr>
            <w:bookmarkStart w:id="118" w:name="_Toc476913614"/>
            <w:r>
              <w:rPr>
                <w:rFonts w:ascii="Calibri" w:hAnsi="Calibri"/>
                <w:noProof/>
              </w:rPr>
              <w:t>España</w:t>
            </w:r>
            <w:bookmarkEnd w:id="118"/>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119" w:name="_Toc476913615"/>
            <w:r>
              <w:rPr>
                <w:rFonts w:ascii="Calibri" w:hAnsi="Calibri"/>
                <w:noProof/>
              </w:rPr>
              <w:t>267</w:t>
            </w:r>
            <w:bookmarkEnd w:id="119"/>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120" w:name="_Toc476913616"/>
            <w:r>
              <w:rPr>
                <w:rFonts w:ascii="Calibri" w:hAnsi="Calibri"/>
                <w:noProof/>
              </w:rPr>
              <w:t>252</w:t>
            </w:r>
            <w:bookmarkEnd w:id="120"/>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121" w:name="_Toc476913617"/>
            <w:r>
              <w:rPr>
                <w:rFonts w:ascii="Calibri" w:hAnsi="Calibri"/>
                <w:noProof/>
              </w:rPr>
              <w:t>272</w:t>
            </w:r>
            <w:bookmarkEnd w:id="121"/>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122" w:name="_Toc476913618"/>
            <w:r>
              <w:rPr>
                <w:rFonts w:ascii="Calibri" w:hAnsi="Calibri"/>
                <w:noProof/>
              </w:rPr>
              <w:t>264</w:t>
            </w:r>
            <w:bookmarkEnd w:id="122"/>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123" w:name="_Toc476913619"/>
            <w:r>
              <w:rPr>
                <w:rFonts w:ascii="Calibri" w:hAnsi="Calibri"/>
                <w:noProof/>
              </w:rPr>
              <w:t>224</w:t>
            </w:r>
            <w:bookmarkEnd w:id="123"/>
          </w:p>
        </w:tc>
        <w:tc>
          <w:tcPr>
            <w:tcW w:w="1191"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124" w:name="_Toc476913620"/>
            <w:r>
              <w:rPr>
                <w:rFonts w:ascii="Calibri" w:hAnsi="Calibri"/>
                <w:noProof/>
              </w:rPr>
              <w:t>-16,1 %</w:t>
            </w:r>
            <w:bookmarkEnd w:id="124"/>
          </w:p>
        </w:tc>
        <w:tc>
          <w:tcPr>
            <w:tcW w:w="1417"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125" w:name="_Toc476913621"/>
            <w:r>
              <w:rPr>
                <w:rFonts w:ascii="Calibri" w:hAnsi="Calibri"/>
                <w:noProof/>
              </w:rPr>
              <w:t>9,0 %</w:t>
            </w:r>
            <w:bookmarkEnd w:id="125"/>
          </w:p>
        </w:tc>
      </w:tr>
      <w:tr>
        <w:trPr>
          <w:trHeight w:val="300"/>
          <w:jc w:val="center"/>
        </w:trPr>
        <w:tc>
          <w:tcPr>
            <w:tcW w:w="1701"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rPr>
                <w:rFonts w:ascii="Calibri" w:eastAsia="Times New Roman" w:hAnsi="Calibri" w:cs="Arial"/>
                <w:noProof/>
              </w:rPr>
            </w:pPr>
            <w:bookmarkStart w:id="126" w:name="_Toc476913622"/>
            <w:r>
              <w:rPr>
                <w:rFonts w:ascii="Calibri" w:hAnsi="Calibri"/>
                <w:noProof/>
              </w:rPr>
              <w:t>Reino Unido</w:t>
            </w:r>
            <w:bookmarkEnd w:id="126"/>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127" w:name="_Toc476913623"/>
            <w:r>
              <w:rPr>
                <w:rFonts w:ascii="Calibri" w:hAnsi="Calibri"/>
                <w:noProof/>
              </w:rPr>
              <w:t>197</w:t>
            </w:r>
            <w:bookmarkEnd w:id="127"/>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128" w:name="_Toc476913624"/>
            <w:r>
              <w:rPr>
                <w:rFonts w:ascii="Calibri" w:hAnsi="Calibri"/>
                <w:noProof/>
              </w:rPr>
              <w:t>201</w:t>
            </w:r>
            <w:bookmarkEnd w:id="128"/>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129" w:name="_Toc476913625"/>
            <w:r>
              <w:rPr>
                <w:rFonts w:ascii="Calibri" w:hAnsi="Calibri"/>
                <w:noProof/>
              </w:rPr>
              <w:t>199</w:t>
            </w:r>
            <w:bookmarkEnd w:id="129"/>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130" w:name="_Toc476913626"/>
            <w:r>
              <w:rPr>
                <w:rFonts w:ascii="Calibri" w:hAnsi="Calibri"/>
                <w:noProof/>
              </w:rPr>
              <w:t>206</w:t>
            </w:r>
            <w:bookmarkEnd w:id="130"/>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131" w:name="_Toc476913627"/>
            <w:r>
              <w:rPr>
                <w:rFonts w:ascii="Calibri" w:hAnsi="Calibri"/>
                <w:noProof/>
              </w:rPr>
              <w:t>203</w:t>
            </w:r>
            <w:bookmarkEnd w:id="131"/>
          </w:p>
        </w:tc>
        <w:tc>
          <w:tcPr>
            <w:tcW w:w="1191"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132" w:name="_Toc476913628"/>
            <w:r>
              <w:rPr>
                <w:rFonts w:ascii="Calibri" w:hAnsi="Calibri"/>
                <w:noProof/>
              </w:rPr>
              <w:t>3,4 %</w:t>
            </w:r>
            <w:bookmarkEnd w:id="132"/>
          </w:p>
        </w:tc>
        <w:tc>
          <w:tcPr>
            <w:tcW w:w="1417"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133" w:name="_Toc476913629"/>
            <w:r>
              <w:rPr>
                <w:rFonts w:ascii="Calibri" w:hAnsi="Calibri"/>
                <w:noProof/>
              </w:rPr>
              <w:t>8,2 %</w:t>
            </w:r>
            <w:bookmarkEnd w:id="133"/>
          </w:p>
        </w:tc>
      </w:tr>
      <w:tr>
        <w:trPr>
          <w:trHeight w:val="300"/>
          <w:jc w:val="center"/>
        </w:trPr>
        <w:tc>
          <w:tcPr>
            <w:tcW w:w="1701"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rPr>
                <w:rFonts w:ascii="Calibri" w:eastAsia="Times New Roman" w:hAnsi="Calibri" w:cs="Arial"/>
                <w:noProof/>
              </w:rPr>
            </w:pPr>
            <w:bookmarkStart w:id="134" w:name="_Toc476913630"/>
            <w:r>
              <w:rPr>
                <w:rFonts w:ascii="Calibri" w:hAnsi="Calibri"/>
                <w:noProof/>
              </w:rPr>
              <w:t>Francia</w:t>
            </w:r>
            <w:bookmarkEnd w:id="134"/>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135" w:name="_Toc476913631"/>
            <w:r>
              <w:rPr>
                <w:rFonts w:ascii="Calibri" w:hAnsi="Calibri"/>
                <w:noProof/>
              </w:rPr>
              <w:t>234</w:t>
            </w:r>
            <w:bookmarkEnd w:id="135"/>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i/>
                <w:iCs/>
                <w:noProof/>
              </w:rPr>
            </w:pPr>
            <w:bookmarkStart w:id="136" w:name="_Toc476913632"/>
            <w:r>
              <w:rPr>
                <w:rFonts w:ascii="Calibri" w:hAnsi="Calibri"/>
                <w:i/>
                <w:noProof/>
              </w:rPr>
              <w:t>225</w:t>
            </w:r>
            <w:bookmarkEnd w:id="136"/>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137" w:name="_Toc476913633"/>
            <w:r>
              <w:rPr>
                <w:rFonts w:ascii="Calibri" w:hAnsi="Calibri"/>
                <w:noProof/>
              </w:rPr>
              <w:t>207</w:t>
            </w:r>
            <w:bookmarkEnd w:id="137"/>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i/>
                <w:iCs/>
                <w:noProof/>
              </w:rPr>
            </w:pPr>
            <w:bookmarkStart w:id="138" w:name="_Toc476913634"/>
            <w:r>
              <w:rPr>
                <w:rFonts w:ascii="Calibri" w:hAnsi="Calibri"/>
                <w:i/>
                <w:noProof/>
              </w:rPr>
              <w:t>205</w:t>
            </w:r>
            <w:bookmarkEnd w:id="138"/>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139" w:name="_Toc476913635"/>
            <w:r>
              <w:rPr>
                <w:rFonts w:ascii="Calibri" w:hAnsi="Calibri"/>
                <w:noProof/>
              </w:rPr>
              <w:t>201</w:t>
            </w:r>
            <w:bookmarkEnd w:id="139"/>
          </w:p>
        </w:tc>
        <w:tc>
          <w:tcPr>
            <w:tcW w:w="1191"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140" w:name="_Toc476913636"/>
            <w:r>
              <w:rPr>
                <w:rFonts w:ascii="Calibri" w:hAnsi="Calibri"/>
                <w:noProof/>
              </w:rPr>
              <w:t>-14,2 %</w:t>
            </w:r>
            <w:bookmarkEnd w:id="140"/>
          </w:p>
        </w:tc>
        <w:tc>
          <w:tcPr>
            <w:tcW w:w="1417"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141" w:name="_Toc476913637"/>
            <w:r>
              <w:rPr>
                <w:rFonts w:ascii="Calibri" w:hAnsi="Calibri"/>
                <w:noProof/>
              </w:rPr>
              <w:t>8,1 %</w:t>
            </w:r>
            <w:bookmarkEnd w:id="141"/>
          </w:p>
        </w:tc>
      </w:tr>
      <w:tr>
        <w:trPr>
          <w:trHeight w:val="300"/>
          <w:jc w:val="center"/>
        </w:trPr>
        <w:tc>
          <w:tcPr>
            <w:tcW w:w="1701"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rPr>
                <w:rFonts w:ascii="Calibri" w:eastAsia="Times New Roman" w:hAnsi="Calibri" w:cs="Arial"/>
                <w:noProof/>
              </w:rPr>
            </w:pPr>
            <w:bookmarkStart w:id="142" w:name="_Toc476913638"/>
            <w:r>
              <w:rPr>
                <w:rFonts w:ascii="Calibri" w:hAnsi="Calibri"/>
                <w:noProof/>
              </w:rPr>
              <w:t>Italia</w:t>
            </w:r>
            <w:bookmarkEnd w:id="142"/>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143" w:name="_Toc476913639"/>
            <w:r>
              <w:rPr>
                <w:rFonts w:ascii="Calibri" w:hAnsi="Calibri"/>
                <w:noProof/>
              </w:rPr>
              <w:t>162</w:t>
            </w:r>
            <w:bookmarkEnd w:id="143"/>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144" w:name="_Toc476913640"/>
            <w:r>
              <w:rPr>
                <w:rFonts w:ascii="Calibri" w:hAnsi="Calibri"/>
                <w:noProof/>
              </w:rPr>
              <w:t>153</w:t>
            </w:r>
            <w:bookmarkEnd w:id="144"/>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145" w:name="_Toc476913641"/>
            <w:r>
              <w:rPr>
                <w:rFonts w:ascii="Calibri" w:hAnsi="Calibri"/>
                <w:noProof/>
              </w:rPr>
              <w:t>164</w:t>
            </w:r>
            <w:bookmarkEnd w:id="145"/>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i/>
                <w:iCs/>
                <w:noProof/>
              </w:rPr>
            </w:pPr>
            <w:bookmarkStart w:id="146" w:name="_Toc476913642"/>
            <w:r>
              <w:rPr>
                <w:rFonts w:ascii="Calibri" w:hAnsi="Calibri"/>
                <w:i/>
                <w:noProof/>
              </w:rPr>
              <w:t>163</w:t>
            </w:r>
            <w:bookmarkEnd w:id="146"/>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i/>
                <w:iCs/>
                <w:noProof/>
              </w:rPr>
            </w:pPr>
            <w:bookmarkStart w:id="147" w:name="_Toc476913643"/>
            <w:r>
              <w:rPr>
                <w:rFonts w:ascii="Calibri" w:hAnsi="Calibri"/>
                <w:i/>
                <w:noProof/>
              </w:rPr>
              <w:t>163</w:t>
            </w:r>
            <w:bookmarkEnd w:id="147"/>
          </w:p>
        </w:tc>
        <w:tc>
          <w:tcPr>
            <w:tcW w:w="1191"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148" w:name="_Toc476913644"/>
            <w:r>
              <w:rPr>
                <w:rFonts w:ascii="Calibri" w:hAnsi="Calibri"/>
                <w:noProof/>
              </w:rPr>
              <w:t>0,1 %</w:t>
            </w:r>
            <w:bookmarkEnd w:id="148"/>
          </w:p>
        </w:tc>
        <w:tc>
          <w:tcPr>
            <w:tcW w:w="1417"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149" w:name="_Toc476913645"/>
            <w:r>
              <w:rPr>
                <w:rFonts w:ascii="Calibri" w:hAnsi="Calibri"/>
                <w:noProof/>
              </w:rPr>
              <w:t>6,6 %</w:t>
            </w:r>
            <w:bookmarkEnd w:id="149"/>
          </w:p>
        </w:tc>
      </w:tr>
      <w:tr>
        <w:trPr>
          <w:trHeight w:val="300"/>
          <w:jc w:val="center"/>
        </w:trPr>
        <w:tc>
          <w:tcPr>
            <w:tcW w:w="1701"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rPr>
                <w:rFonts w:ascii="Calibri" w:eastAsia="Times New Roman" w:hAnsi="Calibri" w:cs="Arial"/>
                <w:noProof/>
              </w:rPr>
            </w:pPr>
            <w:bookmarkStart w:id="150" w:name="_Toc476913646"/>
            <w:r>
              <w:rPr>
                <w:rFonts w:ascii="Calibri" w:hAnsi="Calibri"/>
                <w:noProof/>
              </w:rPr>
              <w:t>Grecia</w:t>
            </w:r>
            <w:bookmarkEnd w:id="150"/>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151" w:name="_Toc476913647"/>
            <w:r>
              <w:rPr>
                <w:rFonts w:ascii="Calibri" w:hAnsi="Calibri"/>
                <w:noProof/>
              </w:rPr>
              <w:t>122</w:t>
            </w:r>
            <w:bookmarkEnd w:id="151"/>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152" w:name="_Toc476913648"/>
            <w:r>
              <w:rPr>
                <w:rFonts w:ascii="Calibri" w:hAnsi="Calibri"/>
                <w:noProof/>
              </w:rPr>
              <w:t>121</w:t>
            </w:r>
            <w:bookmarkEnd w:id="152"/>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153" w:name="_Toc476913649"/>
            <w:r>
              <w:rPr>
                <w:rFonts w:ascii="Calibri" w:hAnsi="Calibri"/>
                <w:noProof/>
              </w:rPr>
              <w:t>111</w:t>
            </w:r>
            <w:bookmarkEnd w:id="153"/>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154" w:name="_Toc476913650"/>
            <w:r>
              <w:rPr>
                <w:rFonts w:ascii="Calibri" w:hAnsi="Calibri"/>
                <w:noProof/>
              </w:rPr>
              <w:t>111</w:t>
            </w:r>
            <w:bookmarkEnd w:id="154"/>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155" w:name="_Toc476913651"/>
            <w:r>
              <w:rPr>
                <w:rFonts w:ascii="Calibri" w:hAnsi="Calibri"/>
                <w:noProof/>
              </w:rPr>
              <w:t>114</w:t>
            </w:r>
            <w:bookmarkEnd w:id="155"/>
          </w:p>
        </w:tc>
        <w:tc>
          <w:tcPr>
            <w:tcW w:w="1191"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156" w:name="_Toc476913652"/>
            <w:r>
              <w:rPr>
                <w:rFonts w:ascii="Calibri" w:hAnsi="Calibri"/>
                <w:noProof/>
              </w:rPr>
              <w:t>-6,6 %</w:t>
            </w:r>
            <w:bookmarkEnd w:id="156"/>
          </w:p>
        </w:tc>
        <w:tc>
          <w:tcPr>
            <w:tcW w:w="1417"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157" w:name="_Toc476913653"/>
            <w:r>
              <w:rPr>
                <w:rFonts w:ascii="Calibri" w:hAnsi="Calibri"/>
                <w:noProof/>
              </w:rPr>
              <w:t>4,6 %</w:t>
            </w:r>
            <w:bookmarkEnd w:id="157"/>
          </w:p>
        </w:tc>
      </w:tr>
      <w:tr>
        <w:trPr>
          <w:trHeight w:val="300"/>
          <w:jc w:val="center"/>
        </w:trPr>
        <w:tc>
          <w:tcPr>
            <w:tcW w:w="1701"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rPr>
                <w:rFonts w:ascii="Calibri" w:eastAsia="Times New Roman" w:hAnsi="Calibri" w:cs="Arial"/>
                <w:noProof/>
              </w:rPr>
            </w:pPr>
            <w:bookmarkStart w:id="158" w:name="_Toc476913654"/>
            <w:r>
              <w:rPr>
                <w:rFonts w:ascii="Calibri" w:hAnsi="Calibri"/>
                <w:noProof/>
              </w:rPr>
              <w:t>Países Bajos</w:t>
            </w:r>
            <w:bookmarkEnd w:id="158"/>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159" w:name="_Toc476913655"/>
            <w:r>
              <w:rPr>
                <w:rFonts w:ascii="Calibri" w:hAnsi="Calibri"/>
                <w:noProof/>
              </w:rPr>
              <w:t>56</w:t>
            </w:r>
            <w:bookmarkEnd w:id="159"/>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160" w:name="_Toc476913656"/>
            <w:r>
              <w:rPr>
                <w:rFonts w:ascii="Calibri" w:hAnsi="Calibri"/>
                <w:noProof/>
              </w:rPr>
              <w:t>67</w:t>
            </w:r>
            <w:bookmarkEnd w:id="160"/>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161" w:name="_Toc476913657"/>
            <w:r>
              <w:rPr>
                <w:rFonts w:ascii="Calibri" w:hAnsi="Calibri"/>
                <w:noProof/>
              </w:rPr>
              <w:t>44</w:t>
            </w:r>
            <w:bookmarkEnd w:id="161"/>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162" w:name="_Toc476913658"/>
            <w:r>
              <w:rPr>
                <w:rFonts w:ascii="Calibri" w:hAnsi="Calibri"/>
                <w:noProof/>
              </w:rPr>
              <w:t>46</w:t>
            </w:r>
            <w:bookmarkEnd w:id="162"/>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163" w:name="_Toc476913659"/>
            <w:r>
              <w:rPr>
                <w:rFonts w:ascii="Calibri" w:hAnsi="Calibri"/>
                <w:noProof/>
              </w:rPr>
              <w:t>60</w:t>
            </w:r>
            <w:bookmarkEnd w:id="163"/>
          </w:p>
        </w:tc>
        <w:tc>
          <w:tcPr>
            <w:tcW w:w="1191"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164" w:name="_Toc476913660"/>
            <w:r>
              <w:rPr>
                <w:rFonts w:ascii="Calibri" w:hAnsi="Calibri"/>
                <w:noProof/>
              </w:rPr>
              <w:t>8,5 %</w:t>
            </w:r>
            <w:bookmarkEnd w:id="164"/>
          </w:p>
        </w:tc>
        <w:tc>
          <w:tcPr>
            <w:tcW w:w="1417"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165" w:name="_Toc476913661"/>
            <w:r>
              <w:rPr>
                <w:rFonts w:ascii="Calibri" w:hAnsi="Calibri"/>
                <w:noProof/>
              </w:rPr>
              <w:t>2,4 %</w:t>
            </w:r>
            <w:bookmarkEnd w:id="165"/>
          </w:p>
        </w:tc>
      </w:tr>
      <w:tr>
        <w:trPr>
          <w:trHeight w:val="300"/>
          <w:jc w:val="center"/>
        </w:trPr>
        <w:tc>
          <w:tcPr>
            <w:tcW w:w="1701"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rPr>
                <w:rFonts w:ascii="Calibri" w:eastAsia="Times New Roman" w:hAnsi="Calibri" w:cs="Arial"/>
                <w:noProof/>
              </w:rPr>
            </w:pPr>
            <w:bookmarkStart w:id="166" w:name="_Toc476913662"/>
            <w:r>
              <w:rPr>
                <w:rFonts w:ascii="Calibri" w:hAnsi="Calibri"/>
                <w:noProof/>
              </w:rPr>
              <w:t>Dinamarca</w:t>
            </w:r>
            <w:bookmarkEnd w:id="166"/>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167" w:name="_Toc476913663"/>
            <w:r>
              <w:rPr>
                <w:rFonts w:ascii="Calibri" w:hAnsi="Calibri"/>
                <w:noProof/>
              </w:rPr>
              <w:t>35</w:t>
            </w:r>
            <w:bookmarkEnd w:id="167"/>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i/>
                <w:iCs/>
                <w:noProof/>
              </w:rPr>
            </w:pPr>
            <w:bookmarkStart w:id="168" w:name="_Toc476913664"/>
            <w:r>
              <w:rPr>
                <w:rFonts w:ascii="Calibri" w:hAnsi="Calibri"/>
                <w:i/>
                <w:noProof/>
              </w:rPr>
              <w:t>36</w:t>
            </w:r>
            <w:bookmarkEnd w:id="168"/>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i/>
                <w:iCs/>
                <w:noProof/>
              </w:rPr>
            </w:pPr>
            <w:bookmarkStart w:id="169" w:name="_Toc476913665"/>
            <w:r>
              <w:rPr>
                <w:rFonts w:ascii="Calibri" w:hAnsi="Calibri"/>
                <w:i/>
                <w:noProof/>
              </w:rPr>
              <w:t>36</w:t>
            </w:r>
            <w:bookmarkEnd w:id="169"/>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170" w:name="_Toc476913666"/>
            <w:r>
              <w:rPr>
                <w:rFonts w:ascii="Calibri" w:hAnsi="Calibri"/>
                <w:noProof/>
              </w:rPr>
              <w:t>35</w:t>
            </w:r>
            <w:bookmarkEnd w:id="170"/>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i/>
                <w:iCs/>
                <w:noProof/>
              </w:rPr>
            </w:pPr>
            <w:bookmarkStart w:id="171" w:name="_Toc476913667"/>
            <w:r>
              <w:rPr>
                <w:rFonts w:ascii="Calibri" w:hAnsi="Calibri"/>
                <w:i/>
                <w:noProof/>
              </w:rPr>
              <w:t>38</w:t>
            </w:r>
            <w:bookmarkEnd w:id="171"/>
          </w:p>
        </w:tc>
        <w:tc>
          <w:tcPr>
            <w:tcW w:w="1191"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172" w:name="_Toc476913668"/>
            <w:r>
              <w:rPr>
                <w:rFonts w:ascii="Calibri" w:hAnsi="Calibri"/>
                <w:noProof/>
              </w:rPr>
              <w:t>7,3 %</w:t>
            </w:r>
            <w:bookmarkEnd w:id="172"/>
          </w:p>
        </w:tc>
        <w:tc>
          <w:tcPr>
            <w:tcW w:w="1417"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173" w:name="_Toc476913669"/>
            <w:r>
              <w:rPr>
                <w:rFonts w:ascii="Calibri" w:hAnsi="Calibri"/>
                <w:noProof/>
              </w:rPr>
              <w:t>1,5 %</w:t>
            </w:r>
            <w:bookmarkEnd w:id="173"/>
          </w:p>
        </w:tc>
      </w:tr>
      <w:tr>
        <w:trPr>
          <w:trHeight w:val="300"/>
          <w:jc w:val="center"/>
        </w:trPr>
        <w:tc>
          <w:tcPr>
            <w:tcW w:w="1701"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rPr>
                <w:rFonts w:ascii="Calibri" w:eastAsia="Times New Roman" w:hAnsi="Calibri" w:cs="Arial"/>
                <w:noProof/>
              </w:rPr>
            </w:pPr>
            <w:bookmarkStart w:id="174" w:name="_Toc476913670"/>
            <w:r>
              <w:rPr>
                <w:rFonts w:ascii="Calibri" w:hAnsi="Calibri"/>
                <w:noProof/>
              </w:rPr>
              <w:t>Polonia</w:t>
            </w:r>
            <w:bookmarkEnd w:id="174"/>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175" w:name="_Toc476913671"/>
            <w:r>
              <w:rPr>
                <w:rFonts w:ascii="Calibri" w:hAnsi="Calibri"/>
                <w:noProof/>
              </w:rPr>
              <w:t>37</w:t>
            </w:r>
            <w:bookmarkEnd w:id="175"/>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176" w:name="_Toc476913672"/>
            <w:r>
              <w:rPr>
                <w:rFonts w:ascii="Calibri" w:hAnsi="Calibri"/>
                <w:noProof/>
              </w:rPr>
              <w:t>31</w:t>
            </w:r>
            <w:bookmarkEnd w:id="176"/>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177" w:name="_Toc476913673"/>
            <w:r>
              <w:rPr>
                <w:rFonts w:ascii="Calibri" w:hAnsi="Calibri"/>
                <w:noProof/>
              </w:rPr>
              <w:t>29</w:t>
            </w:r>
            <w:bookmarkEnd w:id="177"/>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178" w:name="_Toc476913674"/>
            <w:r>
              <w:rPr>
                <w:rFonts w:ascii="Calibri" w:hAnsi="Calibri"/>
                <w:noProof/>
              </w:rPr>
              <w:t>32</w:t>
            </w:r>
            <w:bookmarkEnd w:id="178"/>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179" w:name="_Toc476913675"/>
            <w:r>
              <w:rPr>
                <w:rFonts w:ascii="Calibri" w:hAnsi="Calibri"/>
                <w:noProof/>
              </w:rPr>
              <w:t>35</w:t>
            </w:r>
            <w:bookmarkEnd w:id="179"/>
          </w:p>
        </w:tc>
        <w:tc>
          <w:tcPr>
            <w:tcW w:w="1191"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180" w:name="_Toc476913676"/>
            <w:r>
              <w:rPr>
                <w:rFonts w:ascii="Calibri" w:hAnsi="Calibri"/>
                <w:noProof/>
              </w:rPr>
              <w:t>-3,6 %</w:t>
            </w:r>
            <w:bookmarkEnd w:id="180"/>
          </w:p>
        </w:tc>
        <w:tc>
          <w:tcPr>
            <w:tcW w:w="1417"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181" w:name="_Toc476913677"/>
            <w:r>
              <w:rPr>
                <w:rFonts w:ascii="Calibri" w:hAnsi="Calibri"/>
                <w:noProof/>
              </w:rPr>
              <w:t>1,4 %</w:t>
            </w:r>
            <w:bookmarkEnd w:id="181"/>
          </w:p>
        </w:tc>
      </w:tr>
      <w:tr>
        <w:trPr>
          <w:trHeight w:val="300"/>
          <w:jc w:val="center"/>
        </w:trPr>
        <w:tc>
          <w:tcPr>
            <w:tcW w:w="1701"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rPr>
                <w:rFonts w:ascii="Calibri" w:eastAsia="Times New Roman" w:hAnsi="Calibri" w:cs="Arial"/>
                <w:noProof/>
              </w:rPr>
            </w:pPr>
            <w:bookmarkStart w:id="182" w:name="_Toc476913678"/>
            <w:r>
              <w:rPr>
                <w:rFonts w:ascii="Calibri" w:hAnsi="Calibri"/>
                <w:noProof/>
              </w:rPr>
              <w:t>Irlanda</w:t>
            </w:r>
            <w:bookmarkEnd w:id="182"/>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183" w:name="_Toc476913679"/>
            <w:r>
              <w:rPr>
                <w:rFonts w:ascii="Calibri" w:hAnsi="Calibri"/>
                <w:noProof/>
              </w:rPr>
              <w:t>48</w:t>
            </w:r>
            <w:bookmarkEnd w:id="183"/>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184" w:name="_Toc476913680"/>
            <w:r>
              <w:rPr>
                <w:rFonts w:ascii="Calibri" w:hAnsi="Calibri"/>
                <w:noProof/>
              </w:rPr>
              <w:t>46</w:t>
            </w:r>
            <w:bookmarkEnd w:id="184"/>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185" w:name="_Toc476913681"/>
            <w:r>
              <w:rPr>
                <w:rFonts w:ascii="Calibri" w:hAnsi="Calibri"/>
                <w:noProof/>
              </w:rPr>
              <w:t>44</w:t>
            </w:r>
            <w:bookmarkEnd w:id="185"/>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186" w:name="_Toc476913682"/>
            <w:r>
              <w:rPr>
                <w:rFonts w:ascii="Calibri" w:hAnsi="Calibri"/>
                <w:noProof/>
              </w:rPr>
              <w:t>36</w:t>
            </w:r>
            <w:bookmarkEnd w:id="186"/>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187" w:name="_Toc476913683"/>
            <w:r>
              <w:rPr>
                <w:rFonts w:ascii="Calibri" w:hAnsi="Calibri"/>
                <w:noProof/>
              </w:rPr>
              <w:t>34</w:t>
            </w:r>
            <w:bookmarkEnd w:id="187"/>
          </w:p>
        </w:tc>
        <w:tc>
          <w:tcPr>
            <w:tcW w:w="1191"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188" w:name="_Toc476913684"/>
            <w:r>
              <w:rPr>
                <w:rFonts w:ascii="Calibri" w:hAnsi="Calibri"/>
                <w:noProof/>
              </w:rPr>
              <w:t>-28,0 %</w:t>
            </w:r>
            <w:bookmarkEnd w:id="188"/>
          </w:p>
        </w:tc>
        <w:tc>
          <w:tcPr>
            <w:tcW w:w="1417"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189" w:name="_Toc476913685"/>
            <w:r>
              <w:rPr>
                <w:rFonts w:ascii="Calibri" w:hAnsi="Calibri"/>
                <w:noProof/>
              </w:rPr>
              <w:t>1,4 %</w:t>
            </w:r>
            <w:bookmarkEnd w:id="189"/>
          </w:p>
        </w:tc>
      </w:tr>
      <w:tr>
        <w:trPr>
          <w:trHeight w:val="300"/>
          <w:jc w:val="center"/>
        </w:trPr>
        <w:tc>
          <w:tcPr>
            <w:tcW w:w="1701"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rPr>
                <w:rFonts w:ascii="Calibri" w:eastAsia="Times New Roman" w:hAnsi="Calibri" w:cs="Arial"/>
                <w:noProof/>
              </w:rPr>
            </w:pPr>
            <w:bookmarkStart w:id="190" w:name="_Toc476913686"/>
            <w:r>
              <w:rPr>
                <w:rFonts w:ascii="Calibri" w:hAnsi="Calibri"/>
                <w:noProof/>
              </w:rPr>
              <w:t>Alemania</w:t>
            </w:r>
            <w:bookmarkEnd w:id="190"/>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191" w:name="_Toc476913687"/>
            <w:r>
              <w:rPr>
                <w:rFonts w:ascii="Calibri" w:hAnsi="Calibri"/>
                <w:noProof/>
              </w:rPr>
              <w:t>39</w:t>
            </w:r>
            <w:bookmarkEnd w:id="191"/>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192" w:name="_Toc476913688"/>
            <w:r>
              <w:rPr>
                <w:rFonts w:ascii="Calibri" w:hAnsi="Calibri"/>
                <w:noProof/>
              </w:rPr>
              <w:t>41</w:t>
            </w:r>
            <w:bookmarkEnd w:id="192"/>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193" w:name="_Toc476913689"/>
            <w:r>
              <w:rPr>
                <w:rFonts w:ascii="Calibri" w:hAnsi="Calibri"/>
                <w:noProof/>
              </w:rPr>
              <w:t>39</w:t>
            </w:r>
            <w:bookmarkEnd w:id="193"/>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194" w:name="_Toc476913690"/>
            <w:r>
              <w:rPr>
                <w:rFonts w:ascii="Calibri" w:hAnsi="Calibri"/>
                <w:noProof/>
              </w:rPr>
              <w:t>26</w:t>
            </w:r>
            <w:bookmarkEnd w:id="194"/>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195" w:name="_Toc476913691"/>
            <w:r>
              <w:rPr>
                <w:rFonts w:ascii="Calibri" w:hAnsi="Calibri"/>
                <w:noProof/>
              </w:rPr>
              <w:t>25</w:t>
            </w:r>
            <w:bookmarkEnd w:id="195"/>
          </w:p>
        </w:tc>
        <w:tc>
          <w:tcPr>
            <w:tcW w:w="1191"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196" w:name="_Toc476913692"/>
            <w:r>
              <w:rPr>
                <w:rFonts w:ascii="Calibri" w:hAnsi="Calibri"/>
                <w:noProof/>
              </w:rPr>
              <w:t>-35,0 %</w:t>
            </w:r>
            <w:bookmarkEnd w:id="196"/>
          </w:p>
        </w:tc>
        <w:tc>
          <w:tcPr>
            <w:tcW w:w="1417"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197" w:name="_Toc476913693"/>
            <w:r>
              <w:rPr>
                <w:rFonts w:ascii="Calibri" w:hAnsi="Calibri"/>
                <w:noProof/>
              </w:rPr>
              <w:t>1,0 %</w:t>
            </w:r>
            <w:bookmarkEnd w:id="197"/>
          </w:p>
        </w:tc>
      </w:tr>
      <w:tr>
        <w:trPr>
          <w:trHeight w:val="300"/>
          <w:jc w:val="center"/>
        </w:trPr>
        <w:tc>
          <w:tcPr>
            <w:tcW w:w="1701"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rPr>
                <w:rFonts w:ascii="Calibri" w:eastAsia="Times New Roman" w:hAnsi="Calibri" w:cs="Arial"/>
                <w:noProof/>
              </w:rPr>
            </w:pPr>
            <w:bookmarkStart w:id="198" w:name="_Toc476913694"/>
            <w:r>
              <w:rPr>
                <w:rFonts w:ascii="Calibri" w:hAnsi="Calibri"/>
                <w:noProof/>
              </w:rPr>
              <w:t>Chequia</w:t>
            </w:r>
            <w:bookmarkEnd w:id="198"/>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199" w:name="_Toc476913695"/>
            <w:r>
              <w:rPr>
                <w:rFonts w:ascii="Calibri" w:hAnsi="Calibri"/>
                <w:noProof/>
              </w:rPr>
              <w:t>20</w:t>
            </w:r>
            <w:bookmarkEnd w:id="199"/>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200" w:name="_Toc476913696"/>
            <w:r>
              <w:rPr>
                <w:rFonts w:ascii="Calibri" w:hAnsi="Calibri"/>
                <w:noProof/>
              </w:rPr>
              <w:t>20</w:t>
            </w:r>
            <w:bookmarkEnd w:id="200"/>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201" w:name="_Toc476913697"/>
            <w:r>
              <w:rPr>
                <w:rFonts w:ascii="Calibri" w:hAnsi="Calibri"/>
                <w:noProof/>
              </w:rPr>
              <w:t>21</w:t>
            </w:r>
            <w:bookmarkEnd w:id="201"/>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202" w:name="_Toc476913698"/>
            <w:r>
              <w:rPr>
                <w:rFonts w:ascii="Calibri" w:hAnsi="Calibri"/>
                <w:noProof/>
              </w:rPr>
              <w:t>21</w:t>
            </w:r>
            <w:bookmarkEnd w:id="202"/>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203" w:name="_Toc476913699"/>
            <w:r>
              <w:rPr>
                <w:rFonts w:ascii="Calibri" w:hAnsi="Calibri"/>
                <w:noProof/>
              </w:rPr>
              <w:t>19</w:t>
            </w:r>
            <w:bookmarkEnd w:id="203"/>
          </w:p>
        </w:tc>
        <w:tc>
          <w:tcPr>
            <w:tcW w:w="1191"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204" w:name="_Toc476913700"/>
            <w:r>
              <w:rPr>
                <w:rFonts w:ascii="Calibri" w:hAnsi="Calibri"/>
                <w:noProof/>
              </w:rPr>
              <w:t>-3,6 %</w:t>
            </w:r>
            <w:bookmarkEnd w:id="204"/>
          </w:p>
        </w:tc>
        <w:tc>
          <w:tcPr>
            <w:tcW w:w="1417"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205" w:name="_Toc476913701"/>
            <w:r>
              <w:rPr>
                <w:rFonts w:ascii="Calibri" w:hAnsi="Calibri"/>
                <w:noProof/>
              </w:rPr>
              <w:t>0,8 %</w:t>
            </w:r>
            <w:bookmarkEnd w:id="205"/>
          </w:p>
        </w:tc>
      </w:tr>
      <w:tr>
        <w:trPr>
          <w:trHeight w:val="300"/>
          <w:jc w:val="center"/>
        </w:trPr>
        <w:tc>
          <w:tcPr>
            <w:tcW w:w="1701"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rPr>
                <w:rFonts w:ascii="Calibri" w:eastAsia="Times New Roman" w:hAnsi="Calibri" w:cs="Arial"/>
                <w:noProof/>
              </w:rPr>
            </w:pPr>
            <w:bookmarkStart w:id="206" w:name="_Toc476913702"/>
            <w:r>
              <w:rPr>
                <w:rFonts w:ascii="Calibri" w:hAnsi="Calibri"/>
                <w:noProof/>
              </w:rPr>
              <w:t>Hungría</w:t>
            </w:r>
            <w:bookmarkEnd w:id="206"/>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207" w:name="_Toc476913703"/>
            <w:r>
              <w:rPr>
                <w:rFonts w:ascii="Calibri" w:hAnsi="Calibri"/>
                <w:noProof/>
              </w:rPr>
              <w:t>15</w:t>
            </w:r>
            <w:bookmarkEnd w:id="207"/>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208" w:name="_Toc476913704"/>
            <w:r>
              <w:rPr>
                <w:rFonts w:ascii="Calibri" w:hAnsi="Calibri"/>
                <w:noProof/>
              </w:rPr>
              <w:t>14</w:t>
            </w:r>
            <w:bookmarkEnd w:id="208"/>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209" w:name="_Toc476913705"/>
            <w:r>
              <w:rPr>
                <w:rFonts w:ascii="Calibri" w:hAnsi="Calibri"/>
                <w:noProof/>
              </w:rPr>
              <w:t>16</w:t>
            </w:r>
            <w:bookmarkEnd w:id="209"/>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210" w:name="_Toc476913706"/>
            <w:r>
              <w:rPr>
                <w:rFonts w:ascii="Calibri" w:hAnsi="Calibri"/>
                <w:noProof/>
              </w:rPr>
              <w:t>15</w:t>
            </w:r>
            <w:bookmarkEnd w:id="210"/>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211" w:name="_Toc476913707"/>
            <w:r>
              <w:rPr>
                <w:rFonts w:ascii="Calibri" w:hAnsi="Calibri"/>
                <w:noProof/>
              </w:rPr>
              <w:t>15</w:t>
            </w:r>
            <w:bookmarkEnd w:id="211"/>
          </w:p>
        </w:tc>
        <w:tc>
          <w:tcPr>
            <w:tcW w:w="1191"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212" w:name="_Toc476913708"/>
            <w:r>
              <w:rPr>
                <w:rFonts w:ascii="Calibri" w:hAnsi="Calibri"/>
                <w:noProof/>
              </w:rPr>
              <w:t>0,6 %</w:t>
            </w:r>
            <w:bookmarkEnd w:id="212"/>
          </w:p>
        </w:tc>
        <w:tc>
          <w:tcPr>
            <w:tcW w:w="1417"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213" w:name="_Toc476913709"/>
            <w:r>
              <w:rPr>
                <w:rFonts w:ascii="Calibri" w:hAnsi="Calibri"/>
                <w:noProof/>
              </w:rPr>
              <w:t>0,6 %</w:t>
            </w:r>
            <w:bookmarkEnd w:id="213"/>
          </w:p>
        </w:tc>
      </w:tr>
      <w:tr>
        <w:trPr>
          <w:trHeight w:val="300"/>
          <w:jc w:val="center"/>
        </w:trPr>
        <w:tc>
          <w:tcPr>
            <w:tcW w:w="1701"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rPr>
                <w:rFonts w:ascii="Calibri" w:eastAsia="Times New Roman" w:hAnsi="Calibri" w:cs="Arial"/>
                <w:noProof/>
              </w:rPr>
            </w:pPr>
            <w:bookmarkStart w:id="214" w:name="_Toc476913710"/>
            <w:r>
              <w:rPr>
                <w:rFonts w:ascii="Calibri" w:hAnsi="Calibri"/>
                <w:noProof/>
              </w:rPr>
              <w:t>Finlandia</w:t>
            </w:r>
            <w:bookmarkEnd w:id="214"/>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215" w:name="_Toc476913711"/>
            <w:r>
              <w:rPr>
                <w:rFonts w:ascii="Calibri" w:hAnsi="Calibri"/>
                <w:noProof/>
              </w:rPr>
              <w:t>14</w:t>
            </w:r>
            <w:bookmarkEnd w:id="215"/>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216" w:name="_Toc476913712"/>
            <w:r>
              <w:rPr>
                <w:rFonts w:ascii="Calibri" w:hAnsi="Calibri"/>
                <w:noProof/>
              </w:rPr>
              <w:t>12</w:t>
            </w:r>
            <w:bookmarkEnd w:id="216"/>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217" w:name="_Toc476913713"/>
            <w:r>
              <w:rPr>
                <w:rFonts w:ascii="Calibri" w:hAnsi="Calibri"/>
                <w:noProof/>
              </w:rPr>
              <w:t>11</w:t>
            </w:r>
            <w:bookmarkEnd w:id="217"/>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218" w:name="_Toc476913714"/>
            <w:r>
              <w:rPr>
                <w:rFonts w:ascii="Calibri" w:hAnsi="Calibri"/>
                <w:noProof/>
              </w:rPr>
              <w:t>13</w:t>
            </w:r>
            <w:bookmarkEnd w:id="218"/>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219" w:name="_Toc476913715"/>
            <w:r>
              <w:rPr>
                <w:rFonts w:ascii="Calibri" w:hAnsi="Calibri"/>
                <w:noProof/>
              </w:rPr>
              <w:t>14</w:t>
            </w:r>
            <w:bookmarkEnd w:id="219"/>
          </w:p>
        </w:tc>
        <w:tc>
          <w:tcPr>
            <w:tcW w:w="1191"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220" w:name="_Toc476913716"/>
            <w:r>
              <w:rPr>
                <w:rFonts w:ascii="Calibri" w:hAnsi="Calibri"/>
                <w:noProof/>
              </w:rPr>
              <w:t>-0,1 %</w:t>
            </w:r>
            <w:bookmarkEnd w:id="220"/>
          </w:p>
        </w:tc>
        <w:tc>
          <w:tcPr>
            <w:tcW w:w="1417"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221" w:name="_Toc476913717"/>
            <w:r>
              <w:rPr>
                <w:rFonts w:ascii="Calibri" w:hAnsi="Calibri"/>
                <w:noProof/>
              </w:rPr>
              <w:t>0,6 %</w:t>
            </w:r>
            <w:bookmarkEnd w:id="221"/>
          </w:p>
        </w:tc>
      </w:tr>
      <w:tr>
        <w:trPr>
          <w:trHeight w:val="300"/>
          <w:jc w:val="center"/>
        </w:trPr>
        <w:tc>
          <w:tcPr>
            <w:tcW w:w="1701"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rPr>
                <w:rFonts w:ascii="Calibri" w:eastAsia="Times New Roman" w:hAnsi="Calibri" w:cs="Arial"/>
                <w:noProof/>
              </w:rPr>
            </w:pPr>
            <w:bookmarkStart w:id="222" w:name="_Toc476913718"/>
            <w:r>
              <w:rPr>
                <w:rFonts w:ascii="Calibri" w:hAnsi="Calibri"/>
                <w:noProof/>
              </w:rPr>
              <w:t>Suecia</w:t>
            </w:r>
            <w:bookmarkEnd w:id="222"/>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223" w:name="_Toc476913719"/>
            <w:r>
              <w:rPr>
                <w:rFonts w:ascii="Calibri" w:hAnsi="Calibri"/>
                <w:noProof/>
              </w:rPr>
              <w:t>9</w:t>
            </w:r>
            <w:bookmarkEnd w:id="223"/>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224" w:name="_Toc476913720"/>
            <w:r>
              <w:rPr>
                <w:rFonts w:ascii="Calibri" w:hAnsi="Calibri"/>
                <w:noProof/>
              </w:rPr>
              <w:t>11</w:t>
            </w:r>
            <w:bookmarkEnd w:id="224"/>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225" w:name="_Toc476913721"/>
            <w:r>
              <w:rPr>
                <w:rFonts w:ascii="Calibri" w:hAnsi="Calibri"/>
                <w:noProof/>
              </w:rPr>
              <w:t>13</w:t>
            </w:r>
            <w:bookmarkEnd w:id="225"/>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226" w:name="_Toc476913722"/>
            <w:r>
              <w:rPr>
                <w:rFonts w:ascii="Calibri" w:hAnsi="Calibri"/>
                <w:noProof/>
              </w:rPr>
              <w:t>14</w:t>
            </w:r>
            <w:bookmarkEnd w:id="226"/>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227" w:name="_Toc476913723"/>
            <w:r>
              <w:rPr>
                <w:rFonts w:ascii="Calibri" w:hAnsi="Calibri"/>
                <w:noProof/>
              </w:rPr>
              <w:t>13</w:t>
            </w:r>
            <w:bookmarkEnd w:id="227"/>
          </w:p>
        </w:tc>
        <w:tc>
          <w:tcPr>
            <w:tcW w:w="1191"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228" w:name="_Toc476913724"/>
            <w:r>
              <w:rPr>
                <w:rFonts w:ascii="Calibri" w:hAnsi="Calibri"/>
                <w:noProof/>
              </w:rPr>
              <w:t>56,5 %</w:t>
            </w:r>
            <w:bookmarkEnd w:id="228"/>
          </w:p>
        </w:tc>
        <w:tc>
          <w:tcPr>
            <w:tcW w:w="1417"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229" w:name="_Toc476913725"/>
            <w:r>
              <w:rPr>
                <w:rFonts w:ascii="Calibri" w:hAnsi="Calibri"/>
                <w:noProof/>
              </w:rPr>
              <w:t>0,5 %</w:t>
            </w:r>
            <w:bookmarkEnd w:id="229"/>
          </w:p>
        </w:tc>
      </w:tr>
      <w:tr>
        <w:trPr>
          <w:trHeight w:val="300"/>
          <w:jc w:val="center"/>
        </w:trPr>
        <w:tc>
          <w:tcPr>
            <w:tcW w:w="1701"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rPr>
                <w:rFonts w:ascii="Calibri" w:eastAsia="Times New Roman" w:hAnsi="Calibri" w:cs="Arial"/>
                <w:noProof/>
              </w:rPr>
            </w:pPr>
            <w:bookmarkStart w:id="230" w:name="_Toc476913726"/>
            <w:r>
              <w:rPr>
                <w:rFonts w:ascii="Calibri" w:hAnsi="Calibri"/>
                <w:noProof/>
              </w:rPr>
              <w:t>Bulgaria</w:t>
            </w:r>
            <w:bookmarkEnd w:id="230"/>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231" w:name="_Toc476913727"/>
            <w:r>
              <w:rPr>
                <w:rFonts w:ascii="Calibri" w:hAnsi="Calibri"/>
                <w:noProof/>
              </w:rPr>
              <w:t>7</w:t>
            </w:r>
            <w:bookmarkEnd w:id="231"/>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232" w:name="_Toc476913728"/>
            <w:r>
              <w:rPr>
                <w:rFonts w:ascii="Calibri" w:hAnsi="Calibri"/>
                <w:noProof/>
              </w:rPr>
              <w:t>8</w:t>
            </w:r>
            <w:bookmarkEnd w:id="232"/>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233" w:name="_Toc476913729"/>
            <w:r>
              <w:rPr>
                <w:rFonts w:ascii="Calibri" w:hAnsi="Calibri"/>
                <w:noProof/>
              </w:rPr>
              <w:t>6</w:t>
            </w:r>
            <w:bookmarkEnd w:id="233"/>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234" w:name="_Toc476913730"/>
            <w:r>
              <w:rPr>
                <w:rFonts w:ascii="Calibri" w:hAnsi="Calibri"/>
                <w:noProof/>
              </w:rPr>
              <w:t>6</w:t>
            </w:r>
            <w:bookmarkEnd w:id="234"/>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235" w:name="_Toc476913731"/>
            <w:r>
              <w:rPr>
                <w:rFonts w:ascii="Calibri" w:hAnsi="Calibri"/>
                <w:noProof/>
              </w:rPr>
              <w:t>12</w:t>
            </w:r>
            <w:bookmarkEnd w:id="235"/>
          </w:p>
        </w:tc>
        <w:tc>
          <w:tcPr>
            <w:tcW w:w="1191"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236" w:name="_Toc476913732"/>
            <w:r>
              <w:rPr>
                <w:rFonts w:ascii="Calibri" w:hAnsi="Calibri"/>
                <w:noProof/>
              </w:rPr>
              <w:t>80,8 %</w:t>
            </w:r>
            <w:bookmarkEnd w:id="236"/>
          </w:p>
        </w:tc>
        <w:tc>
          <w:tcPr>
            <w:tcW w:w="1417"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237" w:name="_Toc476913733"/>
            <w:r>
              <w:rPr>
                <w:rFonts w:ascii="Calibri" w:hAnsi="Calibri"/>
                <w:noProof/>
              </w:rPr>
              <w:t>0,5 %</w:t>
            </w:r>
            <w:bookmarkEnd w:id="237"/>
          </w:p>
        </w:tc>
      </w:tr>
      <w:tr>
        <w:trPr>
          <w:trHeight w:val="300"/>
          <w:jc w:val="center"/>
        </w:trPr>
        <w:tc>
          <w:tcPr>
            <w:tcW w:w="1701"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rPr>
                <w:rFonts w:ascii="Calibri" w:eastAsia="Times New Roman" w:hAnsi="Calibri" w:cs="Arial"/>
                <w:noProof/>
              </w:rPr>
            </w:pPr>
            <w:bookmarkStart w:id="238" w:name="_Toc476913734"/>
            <w:r>
              <w:rPr>
                <w:rFonts w:ascii="Calibri" w:hAnsi="Calibri"/>
                <w:noProof/>
              </w:rPr>
              <w:t>Croacia</w:t>
            </w:r>
            <w:bookmarkEnd w:id="238"/>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239" w:name="_Toc476913735"/>
            <w:r>
              <w:rPr>
                <w:rFonts w:ascii="Calibri" w:hAnsi="Calibri"/>
                <w:noProof/>
              </w:rPr>
              <w:t>14</w:t>
            </w:r>
            <w:bookmarkEnd w:id="239"/>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240" w:name="_Toc476913736"/>
            <w:r>
              <w:rPr>
                <w:rFonts w:ascii="Calibri" w:hAnsi="Calibri"/>
                <w:noProof/>
              </w:rPr>
              <w:t>14</w:t>
            </w:r>
            <w:bookmarkEnd w:id="240"/>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241" w:name="_Toc476913737"/>
            <w:r>
              <w:rPr>
                <w:rFonts w:ascii="Calibri" w:hAnsi="Calibri"/>
                <w:noProof/>
              </w:rPr>
              <w:t>13</w:t>
            </w:r>
            <w:bookmarkEnd w:id="241"/>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242" w:name="_Toc476913738"/>
            <w:r>
              <w:rPr>
                <w:rFonts w:ascii="Calibri" w:hAnsi="Calibri"/>
                <w:noProof/>
              </w:rPr>
              <w:t>10</w:t>
            </w:r>
            <w:bookmarkEnd w:id="242"/>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243" w:name="_Toc476913739"/>
            <w:r>
              <w:rPr>
                <w:rFonts w:ascii="Calibri" w:hAnsi="Calibri"/>
                <w:noProof/>
              </w:rPr>
              <w:t>12</w:t>
            </w:r>
            <w:bookmarkEnd w:id="243"/>
          </w:p>
        </w:tc>
        <w:tc>
          <w:tcPr>
            <w:tcW w:w="1191"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244" w:name="_Toc476913740"/>
            <w:r>
              <w:rPr>
                <w:rFonts w:ascii="Calibri" w:hAnsi="Calibri"/>
                <w:noProof/>
              </w:rPr>
              <w:t>-15,5 %</w:t>
            </w:r>
            <w:bookmarkEnd w:id="244"/>
          </w:p>
        </w:tc>
        <w:tc>
          <w:tcPr>
            <w:tcW w:w="1417"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245" w:name="_Toc476913741"/>
            <w:r>
              <w:rPr>
                <w:rFonts w:ascii="Calibri" w:hAnsi="Calibri"/>
                <w:noProof/>
              </w:rPr>
              <w:t>0,5 %</w:t>
            </w:r>
            <w:bookmarkEnd w:id="245"/>
          </w:p>
        </w:tc>
      </w:tr>
      <w:tr>
        <w:trPr>
          <w:trHeight w:val="300"/>
          <w:jc w:val="center"/>
        </w:trPr>
        <w:tc>
          <w:tcPr>
            <w:tcW w:w="1701"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rPr>
                <w:rFonts w:ascii="Calibri" w:eastAsia="Times New Roman" w:hAnsi="Calibri" w:cs="Arial"/>
                <w:noProof/>
              </w:rPr>
            </w:pPr>
            <w:bookmarkStart w:id="246" w:name="_Toc476913742"/>
            <w:r>
              <w:rPr>
                <w:rFonts w:ascii="Calibri" w:hAnsi="Calibri"/>
                <w:noProof/>
              </w:rPr>
              <w:t>Rumanía</w:t>
            </w:r>
            <w:bookmarkEnd w:id="246"/>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247" w:name="_Toc476913743"/>
            <w:r>
              <w:rPr>
                <w:rFonts w:ascii="Calibri" w:hAnsi="Calibri"/>
                <w:noProof/>
              </w:rPr>
              <w:t>13</w:t>
            </w:r>
            <w:bookmarkEnd w:id="247"/>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248" w:name="_Toc476913744"/>
            <w:r>
              <w:rPr>
                <w:rFonts w:ascii="Calibri" w:hAnsi="Calibri"/>
                <w:noProof/>
              </w:rPr>
              <w:t>9</w:t>
            </w:r>
            <w:bookmarkEnd w:id="248"/>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249" w:name="_Toc476913745"/>
            <w:r>
              <w:rPr>
                <w:rFonts w:ascii="Calibri" w:hAnsi="Calibri"/>
                <w:noProof/>
              </w:rPr>
              <w:t>8</w:t>
            </w:r>
            <w:bookmarkEnd w:id="249"/>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i/>
                <w:iCs/>
                <w:noProof/>
              </w:rPr>
            </w:pPr>
            <w:bookmarkStart w:id="250" w:name="_Toc476913746"/>
            <w:r>
              <w:rPr>
                <w:rFonts w:ascii="Calibri" w:hAnsi="Calibri"/>
                <w:i/>
                <w:noProof/>
              </w:rPr>
              <w:t>10</w:t>
            </w:r>
            <w:bookmarkEnd w:id="250"/>
          </w:p>
        </w:tc>
        <w:tc>
          <w:tcPr>
            <w:tcW w:w="840"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i/>
                <w:iCs/>
                <w:noProof/>
              </w:rPr>
            </w:pPr>
            <w:bookmarkStart w:id="251" w:name="_Toc476913747"/>
            <w:r>
              <w:rPr>
                <w:rFonts w:ascii="Calibri" w:hAnsi="Calibri"/>
                <w:i/>
                <w:noProof/>
              </w:rPr>
              <w:t>11</w:t>
            </w:r>
            <w:bookmarkEnd w:id="251"/>
          </w:p>
        </w:tc>
        <w:tc>
          <w:tcPr>
            <w:tcW w:w="1191"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252" w:name="_Toc476913748"/>
            <w:r>
              <w:rPr>
                <w:rFonts w:ascii="Calibri" w:hAnsi="Calibri"/>
                <w:noProof/>
              </w:rPr>
              <w:t>-16,2 %</w:t>
            </w:r>
            <w:bookmarkEnd w:id="252"/>
          </w:p>
        </w:tc>
        <w:tc>
          <w:tcPr>
            <w:tcW w:w="1417" w:type="dxa"/>
            <w:tcBorders>
              <w:top w:val="single" w:sz="4" w:space="0" w:color="BFBFBF" w:themeColor="background1" w:themeShade="BF"/>
              <w:bottom w:val="single" w:sz="4" w:space="0" w:color="BFBFBF" w:themeColor="background1" w:themeShade="BF"/>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253" w:name="_Toc476913749"/>
            <w:r>
              <w:rPr>
                <w:rFonts w:ascii="Calibri" w:hAnsi="Calibri"/>
                <w:noProof/>
              </w:rPr>
              <w:t>0,4 %</w:t>
            </w:r>
            <w:bookmarkEnd w:id="253"/>
          </w:p>
        </w:tc>
      </w:tr>
      <w:tr>
        <w:trPr>
          <w:trHeight w:val="300"/>
          <w:jc w:val="center"/>
        </w:trPr>
        <w:tc>
          <w:tcPr>
            <w:tcW w:w="1701" w:type="dxa"/>
            <w:tcBorders>
              <w:top w:val="single" w:sz="4" w:space="0" w:color="BFBFBF" w:themeColor="background1" w:themeShade="BF"/>
              <w:bottom w:val="single" w:sz="4" w:space="0" w:color="1F497D" w:themeColor="text2"/>
            </w:tcBorders>
            <w:shd w:val="clear" w:color="auto" w:fill="auto"/>
            <w:noWrap/>
            <w:vAlign w:val="bottom"/>
            <w:hideMark/>
          </w:tcPr>
          <w:p>
            <w:pPr>
              <w:keepNext/>
              <w:keepLines/>
              <w:spacing w:after="0" w:line="240" w:lineRule="auto"/>
              <w:rPr>
                <w:rFonts w:ascii="Calibri" w:eastAsia="Times New Roman" w:hAnsi="Calibri" w:cs="Arial"/>
                <w:noProof/>
              </w:rPr>
            </w:pPr>
            <w:bookmarkStart w:id="254" w:name="_Toc476913750"/>
            <w:r>
              <w:rPr>
                <w:rFonts w:ascii="Calibri" w:hAnsi="Calibri"/>
                <w:noProof/>
              </w:rPr>
              <w:t>Portugal</w:t>
            </w:r>
            <w:bookmarkEnd w:id="254"/>
          </w:p>
        </w:tc>
        <w:tc>
          <w:tcPr>
            <w:tcW w:w="840" w:type="dxa"/>
            <w:tcBorders>
              <w:top w:val="single" w:sz="4" w:space="0" w:color="BFBFBF" w:themeColor="background1" w:themeShade="BF"/>
              <w:bottom w:val="single" w:sz="4" w:space="0" w:color="1F497D" w:themeColor="text2"/>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255" w:name="_Toc476913751"/>
            <w:r>
              <w:rPr>
                <w:rFonts w:ascii="Calibri" w:hAnsi="Calibri"/>
                <w:noProof/>
              </w:rPr>
              <w:t>7</w:t>
            </w:r>
            <w:bookmarkEnd w:id="255"/>
          </w:p>
        </w:tc>
        <w:tc>
          <w:tcPr>
            <w:tcW w:w="840" w:type="dxa"/>
            <w:tcBorders>
              <w:top w:val="single" w:sz="4" w:space="0" w:color="BFBFBF" w:themeColor="background1" w:themeShade="BF"/>
              <w:bottom w:val="single" w:sz="4" w:space="0" w:color="1F497D" w:themeColor="text2"/>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256" w:name="_Toc476913752"/>
            <w:r>
              <w:rPr>
                <w:rFonts w:ascii="Calibri" w:hAnsi="Calibri"/>
                <w:noProof/>
              </w:rPr>
              <w:t>8</w:t>
            </w:r>
            <w:bookmarkEnd w:id="256"/>
          </w:p>
        </w:tc>
        <w:tc>
          <w:tcPr>
            <w:tcW w:w="840" w:type="dxa"/>
            <w:tcBorders>
              <w:top w:val="single" w:sz="4" w:space="0" w:color="BFBFBF" w:themeColor="background1" w:themeShade="BF"/>
              <w:bottom w:val="single" w:sz="4" w:space="0" w:color="1F497D" w:themeColor="text2"/>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257" w:name="_Toc476913753"/>
            <w:r>
              <w:rPr>
                <w:rFonts w:ascii="Calibri" w:hAnsi="Calibri"/>
                <w:noProof/>
              </w:rPr>
              <w:t>9</w:t>
            </w:r>
            <w:bookmarkEnd w:id="257"/>
          </w:p>
        </w:tc>
        <w:tc>
          <w:tcPr>
            <w:tcW w:w="840" w:type="dxa"/>
            <w:tcBorders>
              <w:top w:val="single" w:sz="4" w:space="0" w:color="BFBFBF" w:themeColor="background1" w:themeShade="BF"/>
              <w:bottom w:val="single" w:sz="4" w:space="0" w:color="1F497D" w:themeColor="text2"/>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258" w:name="_Toc476913754"/>
            <w:r>
              <w:rPr>
                <w:rFonts w:ascii="Calibri" w:hAnsi="Calibri"/>
                <w:noProof/>
              </w:rPr>
              <w:t>10</w:t>
            </w:r>
            <w:bookmarkEnd w:id="258"/>
          </w:p>
        </w:tc>
        <w:tc>
          <w:tcPr>
            <w:tcW w:w="840" w:type="dxa"/>
            <w:tcBorders>
              <w:top w:val="single" w:sz="4" w:space="0" w:color="BFBFBF" w:themeColor="background1" w:themeShade="BF"/>
              <w:bottom w:val="single" w:sz="4" w:space="0" w:color="1F497D" w:themeColor="text2"/>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259" w:name="_Toc476913755"/>
            <w:r>
              <w:rPr>
                <w:rFonts w:ascii="Calibri" w:hAnsi="Calibri"/>
                <w:noProof/>
              </w:rPr>
              <w:t>10</w:t>
            </w:r>
            <w:bookmarkEnd w:id="259"/>
          </w:p>
        </w:tc>
        <w:tc>
          <w:tcPr>
            <w:tcW w:w="1191" w:type="dxa"/>
            <w:tcBorders>
              <w:top w:val="single" w:sz="4" w:space="0" w:color="BFBFBF" w:themeColor="background1" w:themeShade="BF"/>
              <w:bottom w:val="single" w:sz="4" w:space="0" w:color="1F497D" w:themeColor="text2"/>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260" w:name="_Toc476913756"/>
            <w:r>
              <w:rPr>
                <w:rFonts w:ascii="Calibri" w:hAnsi="Calibri"/>
                <w:noProof/>
              </w:rPr>
              <w:t>49,6 %</w:t>
            </w:r>
            <w:bookmarkEnd w:id="260"/>
          </w:p>
        </w:tc>
        <w:tc>
          <w:tcPr>
            <w:tcW w:w="1417" w:type="dxa"/>
            <w:tcBorders>
              <w:top w:val="single" w:sz="4" w:space="0" w:color="BFBFBF" w:themeColor="background1" w:themeShade="BF"/>
              <w:bottom w:val="single" w:sz="4" w:space="0" w:color="1F497D" w:themeColor="text2"/>
            </w:tcBorders>
            <w:shd w:val="clear" w:color="auto" w:fill="auto"/>
            <w:noWrap/>
            <w:vAlign w:val="bottom"/>
            <w:hideMark/>
          </w:tcPr>
          <w:p>
            <w:pPr>
              <w:keepNext/>
              <w:keepLines/>
              <w:spacing w:after="0" w:line="240" w:lineRule="auto"/>
              <w:jc w:val="right"/>
              <w:rPr>
                <w:rFonts w:ascii="Calibri" w:eastAsia="Times New Roman" w:hAnsi="Calibri" w:cs="Arial"/>
                <w:noProof/>
              </w:rPr>
            </w:pPr>
            <w:bookmarkStart w:id="261" w:name="_Toc476913757"/>
            <w:r>
              <w:rPr>
                <w:rFonts w:ascii="Calibri" w:hAnsi="Calibri"/>
                <w:noProof/>
              </w:rPr>
              <w:t>0,4 %</w:t>
            </w:r>
            <w:bookmarkEnd w:id="261"/>
          </w:p>
        </w:tc>
      </w:tr>
      <w:tr>
        <w:trPr>
          <w:trHeight w:val="300"/>
          <w:jc w:val="center"/>
        </w:trPr>
        <w:tc>
          <w:tcPr>
            <w:tcW w:w="1701" w:type="dxa"/>
            <w:tcBorders>
              <w:top w:val="single" w:sz="4" w:space="0" w:color="1F497D" w:themeColor="text2"/>
            </w:tcBorders>
            <w:shd w:val="clear" w:color="auto" w:fill="auto"/>
            <w:noWrap/>
            <w:vAlign w:val="bottom"/>
          </w:tcPr>
          <w:p>
            <w:pPr>
              <w:keepNext/>
              <w:keepLines/>
              <w:spacing w:after="0" w:line="240" w:lineRule="auto"/>
              <w:rPr>
                <w:rFonts w:ascii="Calibri" w:eastAsia="Times New Roman" w:hAnsi="Calibri" w:cs="Arial"/>
                <w:b/>
                <w:bCs/>
                <w:noProof/>
              </w:rPr>
            </w:pPr>
            <w:bookmarkStart w:id="262" w:name="_Toc476913758"/>
            <w:r>
              <w:rPr>
                <w:rFonts w:ascii="Calibri" w:hAnsi="Calibri"/>
                <w:b/>
                <w:noProof/>
              </w:rPr>
              <w:t>Total de 19 Estados</w:t>
            </w:r>
            <w:bookmarkEnd w:id="262"/>
          </w:p>
        </w:tc>
        <w:tc>
          <w:tcPr>
            <w:tcW w:w="840" w:type="dxa"/>
            <w:tcBorders>
              <w:top w:val="single" w:sz="4" w:space="0" w:color="1F497D" w:themeColor="text2"/>
            </w:tcBorders>
            <w:shd w:val="clear" w:color="auto" w:fill="auto"/>
            <w:noWrap/>
            <w:vAlign w:val="bottom"/>
          </w:tcPr>
          <w:p>
            <w:pPr>
              <w:keepNext/>
              <w:keepLines/>
              <w:spacing w:after="0" w:line="240" w:lineRule="auto"/>
              <w:jc w:val="right"/>
              <w:rPr>
                <w:rFonts w:ascii="Calibri" w:eastAsia="Times New Roman" w:hAnsi="Calibri" w:cs="Arial"/>
                <w:b/>
                <w:bCs/>
                <w:noProof/>
              </w:rPr>
            </w:pPr>
            <w:bookmarkStart w:id="263" w:name="_Toc476913759"/>
            <w:r>
              <w:rPr>
                <w:rFonts w:ascii="Calibri" w:hAnsi="Calibri"/>
                <w:b/>
                <w:noProof/>
              </w:rPr>
              <w:t>2 255</w:t>
            </w:r>
            <w:bookmarkEnd w:id="263"/>
          </w:p>
        </w:tc>
        <w:tc>
          <w:tcPr>
            <w:tcW w:w="840" w:type="dxa"/>
            <w:tcBorders>
              <w:top w:val="single" w:sz="4" w:space="0" w:color="1F497D" w:themeColor="text2"/>
            </w:tcBorders>
            <w:shd w:val="clear" w:color="auto" w:fill="auto"/>
            <w:noWrap/>
            <w:vAlign w:val="bottom"/>
          </w:tcPr>
          <w:p>
            <w:pPr>
              <w:keepNext/>
              <w:keepLines/>
              <w:spacing w:after="0" w:line="240" w:lineRule="auto"/>
              <w:jc w:val="right"/>
              <w:rPr>
                <w:rFonts w:ascii="Calibri" w:eastAsia="Times New Roman" w:hAnsi="Calibri" w:cs="Arial"/>
                <w:b/>
                <w:bCs/>
                <w:noProof/>
              </w:rPr>
            </w:pPr>
            <w:bookmarkStart w:id="264" w:name="_Toc476913760"/>
            <w:r>
              <w:rPr>
                <w:rFonts w:ascii="Calibri" w:hAnsi="Calibri"/>
                <w:b/>
                <w:noProof/>
              </w:rPr>
              <w:t>2 290</w:t>
            </w:r>
            <w:bookmarkEnd w:id="264"/>
          </w:p>
        </w:tc>
        <w:tc>
          <w:tcPr>
            <w:tcW w:w="840" w:type="dxa"/>
            <w:tcBorders>
              <w:top w:val="single" w:sz="4" w:space="0" w:color="1F497D" w:themeColor="text2"/>
            </w:tcBorders>
            <w:shd w:val="clear" w:color="auto" w:fill="auto"/>
            <w:noWrap/>
            <w:vAlign w:val="bottom"/>
          </w:tcPr>
          <w:p>
            <w:pPr>
              <w:keepNext/>
              <w:keepLines/>
              <w:spacing w:after="0" w:line="240" w:lineRule="auto"/>
              <w:jc w:val="right"/>
              <w:rPr>
                <w:rFonts w:ascii="Calibri" w:eastAsia="Times New Roman" w:hAnsi="Calibri" w:cs="Arial"/>
                <w:b/>
                <w:bCs/>
                <w:noProof/>
              </w:rPr>
            </w:pPr>
            <w:bookmarkStart w:id="265" w:name="_Toc476913761"/>
            <w:r>
              <w:rPr>
                <w:rFonts w:ascii="Calibri" w:hAnsi="Calibri"/>
                <w:b/>
                <w:noProof/>
              </w:rPr>
              <w:t>2 386</w:t>
            </w:r>
            <w:bookmarkEnd w:id="265"/>
          </w:p>
        </w:tc>
        <w:tc>
          <w:tcPr>
            <w:tcW w:w="840" w:type="dxa"/>
            <w:tcBorders>
              <w:top w:val="single" w:sz="4" w:space="0" w:color="1F497D" w:themeColor="text2"/>
            </w:tcBorders>
            <w:shd w:val="clear" w:color="auto" w:fill="auto"/>
            <w:noWrap/>
            <w:vAlign w:val="bottom"/>
          </w:tcPr>
          <w:p>
            <w:pPr>
              <w:keepNext/>
              <w:keepLines/>
              <w:spacing w:after="0" w:line="240" w:lineRule="auto"/>
              <w:jc w:val="right"/>
              <w:rPr>
                <w:rFonts w:ascii="Calibri" w:eastAsia="Times New Roman" w:hAnsi="Calibri" w:cs="Arial"/>
                <w:b/>
                <w:bCs/>
                <w:noProof/>
              </w:rPr>
            </w:pPr>
            <w:bookmarkStart w:id="266" w:name="_Toc476913762"/>
            <w:r>
              <w:rPr>
                <w:rFonts w:ascii="Calibri" w:hAnsi="Calibri"/>
                <w:b/>
                <w:noProof/>
              </w:rPr>
              <w:t>2 544</w:t>
            </w:r>
            <w:bookmarkEnd w:id="266"/>
          </w:p>
        </w:tc>
        <w:tc>
          <w:tcPr>
            <w:tcW w:w="840" w:type="dxa"/>
            <w:tcBorders>
              <w:top w:val="single" w:sz="4" w:space="0" w:color="1F497D" w:themeColor="text2"/>
            </w:tcBorders>
            <w:shd w:val="clear" w:color="auto" w:fill="auto"/>
            <w:noWrap/>
            <w:vAlign w:val="bottom"/>
          </w:tcPr>
          <w:p>
            <w:pPr>
              <w:keepNext/>
              <w:keepLines/>
              <w:spacing w:after="0" w:line="240" w:lineRule="auto"/>
              <w:jc w:val="right"/>
              <w:rPr>
                <w:rFonts w:ascii="Calibri" w:eastAsia="Times New Roman" w:hAnsi="Calibri" w:cs="Arial"/>
                <w:b/>
                <w:bCs/>
                <w:noProof/>
              </w:rPr>
            </w:pPr>
            <w:bookmarkStart w:id="267" w:name="_Toc476913763"/>
            <w:r>
              <w:rPr>
                <w:rFonts w:ascii="Calibri" w:hAnsi="Calibri"/>
                <w:b/>
                <w:noProof/>
              </w:rPr>
              <w:t>2 451</w:t>
            </w:r>
            <w:bookmarkEnd w:id="267"/>
          </w:p>
        </w:tc>
        <w:tc>
          <w:tcPr>
            <w:tcW w:w="1191" w:type="dxa"/>
            <w:tcBorders>
              <w:top w:val="single" w:sz="4" w:space="0" w:color="1F497D" w:themeColor="text2"/>
            </w:tcBorders>
            <w:shd w:val="clear" w:color="auto" w:fill="auto"/>
            <w:noWrap/>
            <w:vAlign w:val="bottom"/>
          </w:tcPr>
          <w:p>
            <w:pPr>
              <w:keepNext/>
              <w:keepLines/>
              <w:spacing w:after="0" w:line="240" w:lineRule="auto"/>
              <w:jc w:val="right"/>
              <w:rPr>
                <w:rFonts w:ascii="Calibri" w:eastAsia="Times New Roman" w:hAnsi="Calibri" w:cs="Arial"/>
                <w:b/>
                <w:bCs/>
                <w:noProof/>
              </w:rPr>
            </w:pPr>
            <w:bookmarkStart w:id="268" w:name="_Toc476913764"/>
            <w:r>
              <w:rPr>
                <w:rFonts w:ascii="Calibri" w:hAnsi="Calibri"/>
                <w:b/>
                <w:noProof/>
              </w:rPr>
              <w:t>8,7 %</w:t>
            </w:r>
            <w:bookmarkEnd w:id="268"/>
          </w:p>
        </w:tc>
        <w:tc>
          <w:tcPr>
            <w:tcW w:w="1417" w:type="dxa"/>
            <w:tcBorders>
              <w:top w:val="single" w:sz="4" w:space="0" w:color="1F497D" w:themeColor="text2"/>
            </w:tcBorders>
            <w:shd w:val="clear" w:color="auto" w:fill="auto"/>
            <w:noWrap/>
            <w:vAlign w:val="bottom"/>
          </w:tcPr>
          <w:p>
            <w:pPr>
              <w:keepNext/>
              <w:keepLines/>
              <w:spacing w:after="0" w:line="240" w:lineRule="auto"/>
              <w:jc w:val="right"/>
              <w:rPr>
                <w:rFonts w:ascii="Calibri" w:eastAsia="Times New Roman" w:hAnsi="Calibri" w:cs="Arial"/>
                <w:b/>
                <w:bCs/>
                <w:noProof/>
              </w:rPr>
            </w:pPr>
            <w:bookmarkStart w:id="269" w:name="_Toc476913765"/>
            <w:r>
              <w:rPr>
                <w:rFonts w:ascii="Calibri" w:hAnsi="Calibri"/>
                <w:b/>
                <w:noProof/>
              </w:rPr>
              <w:t>99,1 %</w:t>
            </w:r>
            <w:bookmarkEnd w:id="269"/>
          </w:p>
        </w:tc>
      </w:tr>
      <w:tr>
        <w:trPr>
          <w:trHeight w:val="300"/>
          <w:jc w:val="center"/>
        </w:trPr>
        <w:tc>
          <w:tcPr>
            <w:tcW w:w="1701" w:type="dxa"/>
            <w:shd w:val="clear" w:color="auto" w:fill="auto"/>
            <w:noWrap/>
            <w:vAlign w:val="bottom"/>
            <w:hideMark/>
          </w:tcPr>
          <w:p>
            <w:pPr>
              <w:keepNext/>
              <w:keepLines/>
              <w:spacing w:after="0" w:line="240" w:lineRule="auto"/>
              <w:rPr>
                <w:rFonts w:ascii="Calibri" w:eastAsia="Times New Roman" w:hAnsi="Calibri" w:cs="Arial"/>
                <w:b/>
                <w:bCs/>
                <w:noProof/>
              </w:rPr>
            </w:pPr>
            <w:bookmarkStart w:id="270" w:name="_Toc476913766"/>
            <w:r>
              <w:rPr>
                <w:rFonts w:ascii="Calibri" w:hAnsi="Calibri"/>
                <w:b/>
                <w:noProof/>
              </w:rPr>
              <w:t>Total del EEE</w:t>
            </w:r>
            <w:bookmarkEnd w:id="270"/>
          </w:p>
        </w:tc>
        <w:tc>
          <w:tcPr>
            <w:tcW w:w="840" w:type="dxa"/>
            <w:shd w:val="clear" w:color="auto" w:fill="auto"/>
            <w:noWrap/>
            <w:vAlign w:val="bottom"/>
            <w:hideMark/>
          </w:tcPr>
          <w:p>
            <w:pPr>
              <w:keepNext/>
              <w:keepLines/>
              <w:spacing w:after="0" w:line="240" w:lineRule="auto"/>
              <w:jc w:val="right"/>
              <w:rPr>
                <w:rFonts w:ascii="Calibri" w:eastAsia="Times New Roman" w:hAnsi="Calibri" w:cs="Arial"/>
                <w:b/>
                <w:bCs/>
                <w:noProof/>
              </w:rPr>
            </w:pPr>
            <w:bookmarkStart w:id="271" w:name="_Toc476913767"/>
            <w:r>
              <w:rPr>
                <w:rFonts w:ascii="Calibri" w:hAnsi="Calibri"/>
                <w:b/>
                <w:noProof/>
              </w:rPr>
              <w:t>2 271</w:t>
            </w:r>
            <w:bookmarkEnd w:id="271"/>
          </w:p>
        </w:tc>
        <w:tc>
          <w:tcPr>
            <w:tcW w:w="840" w:type="dxa"/>
            <w:shd w:val="clear" w:color="auto" w:fill="auto"/>
            <w:noWrap/>
            <w:vAlign w:val="bottom"/>
            <w:hideMark/>
          </w:tcPr>
          <w:p>
            <w:pPr>
              <w:keepNext/>
              <w:keepLines/>
              <w:spacing w:after="0" w:line="240" w:lineRule="auto"/>
              <w:jc w:val="right"/>
              <w:rPr>
                <w:rFonts w:ascii="Calibri" w:eastAsia="Times New Roman" w:hAnsi="Calibri" w:cs="Arial"/>
                <w:b/>
                <w:bCs/>
                <w:noProof/>
              </w:rPr>
            </w:pPr>
            <w:bookmarkStart w:id="272" w:name="_Toc476913768"/>
            <w:r>
              <w:rPr>
                <w:rFonts w:ascii="Calibri" w:hAnsi="Calibri"/>
                <w:b/>
                <w:noProof/>
              </w:rPr>
              <w:t>2 306</w:t>
            </w:r>
            <w:bookmarkEnd w:id="272"/>
          </w:p>
        </w:tc>
        <w:tc>
          <w:tcPr>
            <w:tcW w:w="840" w:type="dxa"/>
            <w:shd w:val="clear" w:color="auto" w:fill="auto"/>
            <w:noWrap/>
            <w:vAlign w:val="bottom"/>
            <w:hideMark/>
          </w:tcPr>
          <w:p>
            <w:pPr>
              <w:keepNext/>
              <w:keepLines/>
              <w:spacing w:after="0" w:line="240" w:lineRule="auto"/>
              <w:jc w:val="right"/>
              <w:rPr>
                <w:rFonts w:ascii="Calibri" w:eastAsia="Times New Roman" w:hAnsi="Calibri" w:cs="Arial"/>
                <w:b/>
                <w:bCs/>
                <w:noProof/>
              </w:rPr>
            </w:pPr>
            <w:bookmarkStart w:id="273" w:name="_Toc476913769"/>
            <w:r>
              <w:rPr>
                <w:rFonts w:ascii="Calibri" w:hAnsi="Calibri"/>
                <w:b/>
                <w:noProof/>
              </w:rPr>
              <w:t>2 403</w:t>
            </w:r>
            <w:bookmarkEnd w:id="273"/>
          </w:p>
        </w:tc>
        <w:tc>
          <w:tcPr>
            <w:tcW w:w="840" w:type="dxa"/>
            <w:shd w:val="clear" w:color="auto" w:fill="auto"/>
            <w:noWrap/>
            <w:vAlign w:val="bottom"/>
            <w:hideMark/>
          </w:tcPr>
          <w:p>
            <w:pPr>
              <w:keepNext/>
              <w:keepLines/>
              <w:spacing w:after="0" w:line="240" w:lineRule="auto"/>
              <w:jc w:val="right"/>
              <w:rPr>
                <w:rFonts w:ascii="Calibri" w:eastAsia="Times New Roman" w:hAnsi="Calibri" w:cs="Arial"/>
                <w:b/>
                <w:bCs/>
                <w:noProof/>
              </w:rPr>
            </w:pPr>
            <w:bookmarkStart w:id="274" w:name="_Toc476913770"/>
            <w:r>
              <w:rPr>
                <w:rFonts w:ascii="Calibri" w:hAnsi="Calibri"/>
                <w:b/>
                <w:noProof/>
              </w:rPr>
              <w:t>2 563</w:t>
            </w:r>
            <w:bookmarkEnd w:id="274"/>
          </w:p>
        </w:tc>
        <w:tc>
          <w:tcPr>
            <w:tcW w:w="840" w:type="dxa"/>
            <w:shd w:val="clear" w:color="auto" w:fill="auto"/>
            <w:noWrap/>
            <w:vAlign w:val="bottom"/>
            <w:hideMark/>
          </w:tcPr>
          <w:p>
            <w:pPr>
              <w:keepNext/>
              <w:keepLines/>
              <w:spacing w:after="0" w:line="240" w:lineRule="auto"/>
              <w:jc w:val="right"/>
              <w:rPr>
                <w:rFonts w:ascii="Calibri" w:eastAsia="Times New Roman" w:hAnsi="Calibri" w:cs="Arial"/>
                <w:b/>
                <w:bCs/>
                <w:noProof/>
              </w:rPr>
            </w:pPr>
            <w:bookmarkStart w:id="275" w:name="_Toc476913771"/>
            <w:r>
              <w:rPr>
                <w:rFonts w:ascii="Calibri" w:hAnsi="Calibri"/>
                <w:b/>
                <w:noProof/>
              </w:rPr>
              <w:t>2 473</w:t>
            </w:r>
            <w:bookmarkEnd w:id="275"/>
          </w:p>
        </w:tc>
        <w:tc>
          <w:tcPr>
            <w:tcW w:w="1191" w:type="dxa"/>
            <w:shd w:val="clear" w:color="auto" w:fill="auto"/>
            <w:noWrap/>
            <w:vAlign w:val="bottom"/>
            <w:hideMark/>
          </w:tcPr>
          <w:p>
            <w:pPr>
              <w:keepNext/>
              <w:keepLines/>
              <w:spacing w:after="0" w:line="240" w:lineRule="auto"/>
              <w:jc w:val="right"/>
              <w:rPr>
                <w:rFonts w:ascii="Calibri" w:eastAsia="Times New Roman" w:hAnsi="Calibri" w:cs="Arial"/>
                <w:b/>
                <w:bCs/>
                <w:noProof/>
              </w:rPr>
            </w:pPr>
            <w:bookmarkStart w:id="276" w:name="_Toc476913772"/>
            <w:r>
              <w:rPr>
                <w:rFonts w:ascii="Calibri" w:hAnsi="Calibri"/>
                <w:b/>
                <w:noProof/>
              </w:rPr>
              <w:t>8,9 %</w:t>
            </w:r>
            <w:bookmarkEnd w:id="276"/>
          </w:p>
        </w:tc>
        <w:tc>
          <w:tcPr>
            <w:tcW w:w="1417" w:type="dxa"/>
            <w:shd w:val="clear" w:color="auto" w:fill="auto"/>
            <w:noWrap/>
            <w:vAlign w:val="bottom"/>
            <w:hideMark/>
          </w:tcPr>
          <w:p>
            <w:pPr>
              <w:keepNext/>
              <w:keepLines/>
              <w:spacing w:after="0" w:line="240" w:lineRule="auto"/>
              <w:jc w:val="right"/>
              <w:rPr>
                <w:rFonts w:ascii="Calibri" w:eastAsia="Times New Roman" w:hAnsi="Calibri" w:cs="Arial"/>
                <w:b/>
                <w:bCs/>
                <w:noProof/>
              </w:rPr>
            </w:pPr>
            <w:bookmarkStart w:id="277" w:name="_Toc476913773"/>
            <w:r>
              <w:rPr>
                <w:rFonts w:ascii="Calibri" w:hAnsi="Calibri"/>
                <w:b/>
                <w:noProof/>
              </w:rPr>
              <w:t>100,0 %</w:t>
            </w:r>
            <w:bookmarkEnd w:id="277"/>
          </w:p>
        </w:tc>
      </w:tr>
    </w:tbl>
    <w:p>
      <w:pPr>
        <w:keepNext/>
        <w:keepLines/>
        <w:spacing w:after="0" w:line="240" w:lineRule="auto"/>
        <w:ind w:left="284"/>
        <w:jc w:val="both"/>
        <w:rPr>
          <w:rFonts w:ascii="Calibri" w:eastAsia="Calibri" w:hAnsi="Calibri" w:cs="Arial"/>
          <w:i/>
          <w:noProof/>
          <w:sz w:val="20"/>
          <w:szCs w:val="20"/>
        </w:rPr>
      </w:pPr>
      <w:bookmarkStart w:id="278" w:name="_Toc476913774"/>
      <w:bookmarkEnd w:id="102"/>
      <w:r>
        <w:rPr>
          <w:rFonts w:ascii="Calibri" w:hAnsi="Calibri"/>
          <w:i/>
          <w:noProof/>
          <w:sz w:val="20"/>
        </w:rPr>
        <w:t>Fuente: Estadísticas mundiales sobre acuicultura y pesca de la FAO, versión 2016.1.2</w:t>
      </w:r>
      <w:bookmarkEnd w:id="278"/>
      <w:r>
        <w:rPr>
          <w:rFonts w:ascii="Calibri" w:hAnsi="Calibri"/>
          <w:i/>
          <w:noProof/>
          <w:sz w:val="20"/>
        </w:rPr>
        <w:t xml:space="preserve">. </w:t>
      </w:r>
      <w:bookmarkStart w:id="279" w:name="_Toc476913775"/>
      <w:r>
        <w:rPr>
          <w:rFonts w:ascii="Calibri" w:hAnsi="Calibri"/>
          <w:i/>
          <w:noProof/>
          <w:sz w:val="20"/>
        </w:rPr>
        <w:t>Las cifras en cursiva son previsiones</w:t>
      </w:r>
      <w:bookmarkEnd w:id="279"/>
    </w:p>
    <w:p>
      <w:pPr>
        <w:ind w:firstLine="720"/>
        <w:rPr>
          <w:rFonts w:ascii="Calibri" w:eastAsia="Times New Roman" w:hAnsi="Calibri" w:cs="Arial"/>
          <w:b/>
          <w:bCs/>
          <w:noProof/>
          <w:szCs w:val="20"/>
        </w:rPr>
      </w:pPr>
    </w:p>
    <w:p>
      <w:pPr>
        <w:ind w:firstLine="720"/>
        <w:rPr>
          <w:rFonts w:ascii="Calibri" w:eastAsia="Times New Roman" w:hAnsi="Calibri" w:cs="Arial"/>
          <w:b/>
          <w:bCs/>
          <w:noProof/>
          <w:szCs w:val="20"/>
        </w:rPr>
      </w:pPr>
      <w:r>
        <w:rPr>
          <w:rFonts w:ascii="Calibri" w:hAnsi="Calibri"/>
          <w:b/>
          <w:noProof/>
        </w:rPr>
        <w:t xml:space="preserve">Cuadro 6: Producción media de peces por empresa en los Estados miembros de la UE seleccionados </w:t>
      </w:r>
    </w:p>
    <w:tbl>
      <w:tblPr>
        <w:tblW w:w="8107" w:type="dxa"/>
        <w:jc w:val="center"/>
        <w:tblBorders>
          <w:top w:val="single" w:sz="4" w:space="0" w:color="auto"/>
          <w:left w:val="single" w:sz="4" w:space="0" w:color="auto"/>
          <w:bottom w:val="single" w:sz="4" w:space="0" w:color="auto"/>
          <w:right w:val="single" w:sz="4" w:space="0" w:color="auto"/>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408"/>
        <w:gridCol w:w="1816"/>
        <w:gridCol w:w="1873"/>
        <w:gridCol w:w="2010"/>
      </w:tblGrid>
      <w:tr>
        <w:trPr>
          <w:trHeight w:val="288"/>
          <w:tblHeader/>
          <w:jc w:val="center"/>
        </w:trPr>
        <w:tc>
          <w:tcPr>
            <w:tcW w:w="2408" w:type="dxa"/>
            <w:tcBorders>
              <w:bottom w:val="single" w:sz="4" w:space="0" w:color="1F497D" w:themeColor="text2"/>
            </w:tcBorders>
            <w:shd w:val="clear" w:color="auto" w:fill="1F497D" w:themeFill="text2"/>
            <w:noWrap/>
            <w:hideMark/>
          </w:tcPr>
          <w:p>
            <w:pPr>
              <w:jc w:val="both"/>
              <w:rPr>
                <w:rFonts w:ascii="Calibri" w:eastAsia="Times New Roman" w:hAnsi="Calibri" w:cs="Arial"/>
                <w:b/>
                <w:noProof/>
                <w:szCs w:val="20"/>
              </w:rPr>
            </w:pPr>
          </w:p>
        </w:tc>
        <w:tc>
          <w:tcPr>
            <w:tcW w:w="1816" w:type="dxa"/>
            <w:tcBorders>
              <w:bottom w:val="single" w:sz="4" w:space="0" w:color="1F497D" w:themeColor="text2"/>
            </w:tcBorders>
            <w:shd w:val="clear" w:color="auto" w:fill="1F497D" w:themeFill="text2"/>
            <w:noWrap/>
            <w:vAlign w:val="center"/>
            <w:hideMark/>
          </w:tcPr>
          <w:p>
            <w:pPr>
              <w:spacing w:before="60" w:after="60" w:line="240" w:lineRule="auto"/>
              <w:jc w:val="center"/>
              <w:rPr>
                <w:rFonts w:ascii="Calibri" w:eastAsia="Times New Roman" w:hAnsi="Calibri" w:cs="Arial"/>
                <w:b/>
                <w:noProof/>
                <w:color w:val="FFFFFF" w:themeColor="background1"/>
                <w:szCs w:val="20"/>
              </w:rPr>
            </w:pPr>
            <w:r>
              <w:rPr>
                <w:rFonts w:ascii="Calibri" w:hAnsi="Calibri"/>
                <w:b/>
                <w:noProof/>
                <w:color w:val="FFFFFF" w:themeColor="background1"/>
              </w:rPr>
              <w:t>Volumen de ventas nacional (toneladas)</w:t>
            </w:r>
          </w:p>
        </w:tc>
        <w:tc>
          <w:tcPr>
            <w:tcW w:w="1873" w:type="dxa"/>
            <w:tcBorders>
              <w:bottom w:val="single" w:sz="4" w:space="0" w:color="1F497D" w:themeColor="text2"/>
            </w:tcBorders>
            <w:shd w:val="clear" w:color="auto" w:fill="1F497D" w:themeFill="text2"/>
            <w:noWrap/>
            <w:vAlign w:val="center"/>
            <w:hideMark/>
          </w:tcPr>
          <w:p>
            <w:pPr>
              <w:spacing w:before="60" w:after="60" w:line="240" w:lineRule="auto"/>
              <w:jc w:val="center"/>
              <w:rPr>
                <w:rFonts w:ascii="Calibri" w:eastAsia="Times New Roman" w:hAnsi="Calibri" w:cs="Arial"/>
                <w:b/>
                <w:noProof/>
                <w:color w:val="FFFFFF" w:themeColor="background1"/>
                <w:szCs w:val="20"/>
              </w:rPr>
            </w:pPr>
            <w:r>
              <w:rPr>
                <w:rFonts w:ascii="Calibri" w:hAnsi="Calibri"/>
                <w:b/>
                <w:noProof/>
                <w:color w:val="FFFFFF" w:themeColor="background1"/>
              </w:rPr>
              <w:t>Número de empresas</w:t>
            </w:r>
          </w:p>
        </w:tc>
        <w:tc>
          <w:tcPr>
            <w:tcW w:w="2010" w:type="dxa"/>
            <w:tcBorders>
              <w:bottom w:val="single" w:sz="4" w:space="0" w:color="1F497D" w:themeColor="text2"/>
            </w:tcBorders>
            <w:shd w:val="clear" w:color="auto" w:fill="1F497D" w:themeFill="text2"/>
            <w:noWrap/>
            <w:vAlign w:val="center"/>
            <w:hideMark/>
          </w:tcPr>
          <w:p>
            <w:pPr>
              <w:spacing w:before="60" w:after="60" w:line="240" w:lineRule="auto"/>
              <w:jc w:val="center"/>
              <w:rPr>
                <w:rFonts w:ascii="Calibri" w:eastAsia="Times New Roman" w:hAnsi="Calibri" w:cs="Arial"/>
                <w:b/>
                <w:noProof/>
                <w:color w:val="FFFFFF" w:themeColor="background1"/>
                <w:szCs w:val="20"/>
              </w:rPr>
            </w:pPr>
            <w:r>
              <w:rPr>
                <w:rFonts w:ascii="Calibri" w:hAnsi="Calibri"/>
                <w:b/>
                <w:noProof/>
                <w:color w:val="FFFFFF" w:themeColor="background1"/>
              </w:rPr>
              <w:t>Producción media por empresa (toneladas)</w:t>
            </w:r>
          </w:p>
        </w:tc>
      </w:tr>
      <w:tr>
        <w:trPr>
          <w:trHeight w:val="288"/>
          <w:jc w:val="center"/>
        </w:trPr>
        <w:tc>
          <w:tcPr>
            <w:tcW w:w="2408" w:type="dxa"/>
            <w:tcBorders>
              <w:top w:val="single" w:sz="4" w:space="0" w:color="1F497D" w:themeColor="text2"/>
              <w:left w:val="single" w:sz="4" w:space="0" w:color="1F497D" w:themeColor="text2"/>
              <w:bottom w:val="single" w:sz="4" w:space="0" w:color="BFBFBF" w:themeColor="background1" w:themeShade="BF"/>
            </w:tcBorders>
            <w:noWrap/>
            <w:hideMark/>
          </w:tcPr>
          <w:p>
            <w:pPr>
              <w:spacing w:before="60" w:after="60"/>
              <w:jc w:val="center"/>
              <w:rPr>
                <w:rFonts w:ascii="Calibri" w:eastAsia="Times New Roman" w:hAnsi="Calibri" w:cs="Arial"/>
                <w:b/>
                <w:noProof/>
                <w:szCs w:val="20"/>
              </w:rPr>
            </w:pPr>
            <w:r>
              <w:rPr>
                <w:rFonts w:ascii="Calibri" w:hAnsi="Calibri"/>
                <w:b/>
                <w:noProof/>
              </w:rPr>
              <w:t>GR (2014)</w:t>
            </w:r>
          </w:p>
        </w:tc>
        <w:tc>
          <w:tcPr>
            <w:tcW w:w="1816" w:type="dxa"/>
            <w:tcBorders>
              <w:top w:val="single" w:sz="4" w:space="0" w:color="1F497D" w:themeColor="text2"/>
              <w:bottom w:val="single" w:sz="4" w:space="0" w:color="BFBFBF" w:themeColor="background1" w:themeShade="BF"/>
            </w:tcBorders>
            <w:noWrap/>
            <w:hideMark/>
          </w:tcPr>
          <w:p>
            <w:pPr>
              <w:spacing w:before="60" w:after="60"/>
              <w:ind w:right="575"/>
              <w:jc w:val="right"/>
              <w:rPr>
                <w:rFonts w:ascii="Calibri" w:eastAsia="Times New Roman" w:hAnsi="Calibri" w:cs="Arial"/>
                <w:noProof/>
                <w:szCs w:val="20"/>
              </w:rPr>
            </w:pPr>
            <w:r>
              <w:rPr>
                <w:rFonts w:ascii="Calibri" w:hAnsi="Calibri"/>
                <w:noProof/>
              </w:rPr>
              <w:t>118 080</w:t>
            </w:r>
          </w:p>
        </w:tc>
        <w:tc>
          <w:tcPr>
            <w:tcW w:w="1873" w:type="dxa"/>
            <w:tcBorders>
              <w:top w:val="single" w:sz="4" w:space="0" w:color="1F497D" w:themeColor="text2"/>
              <w:bottom w:val="single" w:sz="4" w:space="0" w:color="BFBFBF" w:themeColor="background1" w:themeShade="BF"/>
            </w:tcBorders>
            <w:noWrap/>
            <w:hideMark/>
          </w:tcPr>
          <w:p>
            <w:pPr>
              <w:spacing w:before="60" w:after="60"/>
              <w:ind w:right="575"/>
              <w:jc w:val="right"/>
              <w:rPr>
                <w:rFonts w:ascii="Calibri" w:eastAsia="Times New Roman" w:hAnsi="Calibri" w:cs="Arial"/>
                <w:noProof/>
                <w:szCs w:val="20"/>
              </w:rPr>
            </w:pPr>
            <w:r>
              <w:rPr>
                <w:rFonts w:ascii="Calibri" w:hAnsi="Calibri"/>
                <w:noProof/>
              </w:rPr>
              <w:t>248</w:t>
            </w:r>
          </w:p>
        </w:tc>
        <w:tc>
          <w:tcPr>
            <w:tcW w:w="2010" w:type="dxa"/>
            <w:tcBorders>
              <w:top w:val="single" w:sz="4" w:space="0" w:color="1F497D" w:themeColor="text2"/>
              <w:bottom w:val="single" w:sz="4" w:space="0" w:color="BFBFBF" w:themeColor="background1" w:themeShade="BF"/>
              <w:right w:val="single" w:sz="4" w:space="0" w:color="1F497D" w:themeColor="text2"/>
            </w:tcBorders>
            <w:noWrap/>
            <w:hideMark/>
          </w:tcPr>
          <w:p>
            <w:pPr>
              <w:spacing w:before="60" w:after="60"/>
              <w:ind w:right="593"/>
              <w:jc w:val="right"/>
              <w:rPr>
                <w:rFonts w:ascii="Calibri" w:eastAsia="Times New Roman" w:hAnsi="Calibri" w:cs="Arial"/>
                <w:noProof/>
                <w:szCs w:val="20"/>
              </w:rPr>
            </w:pPr>
            <w:r>
              <w:rPr>
                <w:rFonts w:ascii="Calibri" w:hAnsi="Calibri"/>
                <w:noProof/>
              </w:rPr>
              <w:t>476,1</w:t>
            </w:r>
          </w:p>
        </w:tc>
      </w:tr>
      <w:tr>
        <w:trPr>
          <w:trHeight w:val="288"/>
          <w:jc w:val="center"/>
        </w:trPr>
        <w:tc>
          <w:tcPr>
            <w:tcW w:w="2408" w:type="dxa"/>
            <w:tcBorders>
              <w:top w:val="single" w:sz="4" w:space="0" w:color="BFBFBF" w:themeColor="background1" w:themeShade="BF"/>
              <w:left w:val="single" w:sz="4" w:space="0" w:color="1F497D" w:themeColor="text2"/>
              <w:bottom w:val="single" w:sz="4" w:space="0" w:color="BFBFBF" w:themeColor="background1" w:themeShade="BF"/>
            </w:tcBorders>
            <w:noWrap/>
            <w:hideMark/>
          </w:tcPr>
          <w:p>
            <w:pPr>
              <w:spacing w:before="60" w:after="60"/>
              <w:jc w:val="center"/>
              <w:rPr>
                <w:rFonts w:ascii="Calibri" w:eastAsia="Times New Roman" w:hAnsi="Calibri" w:cs="Arial"/>
                <w:b/>
                <w:noProof/>
                <w:szCs w:val="20"/>
              </w:rPr>
            </w:pPr>
            <w:r>
              <w:rPr>
                <w:rFonts w:ascii="Calibri" w:hAnsi="Calibri"/>
                <w:b/>
                <w:noProof/>
              </w:rPr>
              <w:t>UK (2013)</w:t>
            </w:r>
          </w:p>
        </w:tc>
        <w:tc>
          <w:tcPr>
            <w:tcW w:w="1816" w:type="dxa"/>
            <w:tcBorders>
              <w:top w:val="single" w:sz="4" w:space="0" w:color="BFBFBF" w:themeColor="background1" w:themeShade="BF"/>
              <w:bottom w:val="single" w:sz="4" w:space="0" w:color="BFBFBF" w:themeColor="background1" w:themeShade="BF"/>
            </w:tcBorders>
            <w:noWrap/>
            <w:hideMark/>
          </w:tcPr>
          <w:p>
            <w:pPr>
              <w:spacing w:before="60" w:after="60"/>
              <w:ind w:right="575"/>
              <w:jc w:val="right"/>
              <w:rPr>
                <w:rFonts w:ascii="Calibri" w:eastAsia="Times New Roman" w:hAnsi="Calibri" w:cs="Arial"/>
                <w:noProof/>
                <w:szCs w:val="20"/>
              </w:rPr>
            </w:pPr>
            <w:r>
              <w:rPr>
                <w:rFonts w:ascii="Calibri" w:hAnsi="Calibri"/>
                <w:noProof/>
              </w:rPr>
              <w:t>203 263</w:t>
            </w:r>
          </w:p>
        </w:tc>
        <w:tc>
          <w:tcPr>
            <w:tcW w:w="1873" w:type="dxa"/>
            <w:tcBorders>
              <w:top w:val="single" w:sz="4" w:space="0" w:color="BFBFBF" w:themeColor="background1" w:themeShade="BF"/>
              <w:bottom w:val="single" w:sz="4" w:space="0" w:color="BFBFBF" w:themeColor="background1" w:themeShade="BF"/>
            </w:tcBorders>
            <w:noWrap/>
            <w:hideMark/>
          </w:tcPr>
          <w:p>
            <w:pPr>
              <w:spacing w:before="60" w:after="60"/>
              <w:ind w:right="575"/>
              <w:jc w:val="right"/>
              <w:rPr>
                <w:rFonts w:ascii="Calibri" w:eastAsia="Times New Roman" w:hAnsi="Calibri" w:cs="Arial"/>
                <w:noProof/>
                <w:szCs w:val="20"/>
              </w:rPr>
            </w:pPr>
            <w:r>
              <w:rPr>
                <w:rFonts w:ascii="Calibri" w:hAnsi="Calibri"/>
                <w:noProof/>
              </w:rPr>
              <w:t>548</w:t>
            </w:r>
          </w:p>
        </w:tc>
        <w:tc>
          <w:tcPr>
            <w:tcW w:w="2010" w:type="dxa"/>
            <w:tcBorders>
              <w:top w:val="single" w:sz="4" w:space="0" w:color="BFBFBF" w:themeColor="background1" w:themeShade="BF"/>
              <w:bottom w:val="single" w:sz="4" w:space="0" w:color="BFBFBF" w:themeColor="background1" w:themeShade="BF"/>
              <w:right w:val="single" w:sz="4" w:space="0" w:color="1F497D" w:themeColor="text2"/>
            </w:tcBorders>
            <w:noWrap/>
            <w:hideMark/>
          </w:tcPr>
          <w:p>
            <w:pPr>
              <w:spacing w:before="60" w:after="60"/>
              <w:ind w:right="593"/>
              <w:jc w:val="right"/>
              <w:rPr>
                <w:rFonts w:ascii="Calibri" w:eastAsia="Times New Roman" w:hAnsi="Calibri" w:cs="Arial"/>
                <w:noProof/>
                <w:szCs w:val="20"/>
              </w:rPr>
            </w:pPr>
            <w:r>
              <w:rPr>
                <w:rFonts w:ascii="Calibri" w:hAnsi="Calibri"/>
                <w:noProof/>
              </w:rPr>
              <w:t>370,9</w:t>
            </w:r>
          </w:p>
        </w:tc>
      </w:tr>
      <w:tr>
        <w:trPr>
          <w:trHeight w:val="288"/>
          <w:jc w:val="center"/>
        </w:trPr>
        <w:tc>
          <w:tcPr>
            <w:tcW w:w="2408" w:type="dxa"/>
            <w:tcBorders>
              <w:top w:val="single" w:sz="4" w:space="0" w:color="BFBFBF" w:themeColor="background1" w:themeShade="BF"/>
              <w:left w:val="single" w:sz="4" w:space="0" w:color="1F497D" w:themeColor="text2"/>
              <w:bottom w:val="single" w:sz="4" w:space="0" w:color="BFBFBF" w:themeColor="background1" w:themeShade="BF"/>
            </w:tcBorders>
            <w:noWrap/>
            <w:hideMark/>
          </w:tcPr>
          <w:p>
            <w:pPr>
              <w:spacing w:before="60" w:after="60"/>
              <w:jc w:val="center"/>
              <w:rPr>
                <w:rFonts w:ascii="Calibri" w:eastAsia="Times New Roman" w:hAnsi="Calibri" w:cs="Arial"/>
                <w:b/>
                <w:noProof/>
                <w:szCs w:val="20"/>
              </w:rPr>
            </w:pPr>
            <w:r>
              <w:rPr>
                <w:rFonts w:ascii="Calibri" w:hAnsi="Calibri"/>
                <w:b/>
                <w:noProof/>
              </w:rPr>
              <w:t>DK (2013)</w:t>
            </w:r>
          </w:p>
        </w:tc>
        <w:tc>
          <w:tcPr>
            <w:tcW w:w="1816" w:type="dxa"/>
            <w:tcBorders>
              <w:top w:val="single" w:sz="4" w:space="0" w:color="BFBFBF" w:themeColor="background1" w:themeShade="BF"/>
              <w:bottom w:val="single" w:sz="4" w:space="0" w:color="BFBFBF" w:themeColor="background1" w:themeShade="BF"/>
            </w:tcBorders>
            <w:noWrap/>
            <w:hideMark/>
          </w:tcPr>
          <w:p>
            <w:pPr>
              <w:spacing w:before="60" w:after="60"/>
              <w:ind w:right="575"/>
              <w:jc w:val="right"/>
              <w:rPr>
                <w:rFonts w:ascii="Calibri" w:eastAsia="Times New Roman" w:hAnsi="Calibri" w:cs="Arial"/>
                <w:noProof/>
                <w:szCs w:val="20"/>
              </w:rPr>
            </w:pPr>
            <w:r>
              <w:rPr>
                <w:rFonts w:ascii="Calibri" w:hAnsi="Calibri"/>
                <w:noProof/>
              </w:rPr>
              <w:t>46 297</w:t>
            </w:r>
          </w:p>
        </w:tc>
        <w:tc>
          <w:tcPr>
            <w:tcW w:w="1873" w:type="dxa"/>
            <w:tcBorders>
              <w:top w:val="single" w:sz="4" w:space="0" w:color="BFBFBF" w:themeColor="background1" w:themeShade="BF"/>
              <w:bottom w:val="single" w:sz="4" w:space="0" w:color="BFBFBF" w:themeColor="background1" w:themeShade="BF"/>
            </w:tcBorders>
            <w:noWrap/>
            <w:hideMark/>
          </w:tcPr>
          <w:p>
            <w:pPr>
              <w:spacing w:before="60" w:after="60"/>
              <w:ind w:right="575"/>
              <w:jc w:val="right"/>
              <w:rPr>
                <w:rFonts w:ascii="Calibri" w:eastAsia="Times New Roman" w:hAnsi="Calibri" w:cs="Arial"/>
                <w:noProof/>
                <w:szCs w:val="20"/>
              </w:rPr>
            </w:pPr>
            <w:r>
              <w:rPr>
                <w:rFonts w:ascii="Calibri" w:hAnsi="Calibri"/>
                <w:noProof/>
              </w:rPr>
              <w:t>130</w:t>
            </w:r>
          </w:p>
        </w:tc>
        <w:tc>
          <w:tcPr>
            <w:tcW w:w="2010" w:type="dxa"/>
            <w:tcBorders>
              <w:top w:val="single" w:sz="4" w:space="0" w:color="BFBFBF" w:themeColor="background1" w:themeShade="BF"/>
              <w:bottom w:val="single" w:sz="4" w:space="0" w:color="BFBFBF" w:themeColor="background1" w:themeShade="BF"/>
              <w:right w:val="single" w:sz="4" w:space="0" w:color="1F497D" w:themeColor="text2"/>
            </w:tcBorders>
            <w:noWrap/>
            <w:hideMark/>
          </w:tcPr>
          <w:p>
            <w:pPr>
              <w:spacing w:before="60" w:after="60"/>
              <w:ind w:right="593"/>
              <w:jc w:val="right"/>
              <w:rPr>
                <w:rFonts w:ascii="Calibri" w:eastAsia="Times New Roman" w:hAnsi="Calibri" w:cs="Arial"/>
                <w:noProof/>
                <w:szCs w:val="20"/>
              </w:rPr>
            </w:pPr>
            <w:r>
              <w:rPr>
                <w:rFonts w:ascii="Calibri" w:hAnsi="Calibri"/>
                <w:noProof/>
              </w:rPr>
              <w:t>356,1</w:t>
            </w:r>
          </w:p>
        </w:tc>
      </w:tr>
      <w:tr>
        <w:trPr>
          <w:trHeight w:val="288"/>
          <w:jc w:val="center"/>
        </w:trPr>
        <w:tc>
          <w:tcPr>
            <w:tcW w:w="2408" w:type="dxa"/>
            <w:tcBorders>
              <w:top w:val="single" w:sz="4" w:space="0" w:color="BFBFBF" w:themeColor="background1" w:themeShade="BF"/>
              <w:left w:val="single" w:sz="4" w:space="0" w:color="1F497D" w:themeColor="text2"/>
              <w:bottom w:val="single" w:sz="4" w:space="0" w:color="BFBFBF" w:themeColor="background1" w:themeShade="BF"/>
            </w:tcBorders>
            <w:noWrap/>
            <w:hideMark/>
          </w:tcPr>
          <w:p>
            <w:pPr>
              <w:spacing w:before="60" w:after="60"/>
              <w:jc w:val="center"/>
              <w:rPr>
                <w:rFonts w:ascii="Calibri" w:eastAsia="Times New Roman" w:hAnsi="Calibri" w:cs="Arial"/>
                <w:b/>
                <w:noProof/>
                <w:szCs w:val="20"/>
              </w:rPr>
            </w:pPr>
            <w:r>
              <w:rPr>
                <w:rFonts w:ascii="Calibri" w:hAnsi="Calibri"/>
                <w:b/>
                <w:noProof/>
              </w:rPr>
              <w:t>IT (2013)</w:t>
            </w:r>
          </w:p>
        </w:tc>
        <w:tc>
          <w:tcPr>
            <w:tcW w:w="1816" w:type="dxa"/>
            <w:tcBorders>
              <w:top w:val="single" w:sz="4" w:space="0" w:color="BFBFBF" w:themeColor="background1" w:themeShade="BF"/>
              <w:bottom w:val="single" w:sz="4" w:space="0" w:color="BFBFBF" w:themeColor="background1" w:themeShade="BF"/>
            </w:tcBorders>
            <w:noWrap/>
            <w:hideMark/>
          </w:tcPr>
          <w:p>
            <w:pPr>
              <w:spacing w:before="60" w:after="60"/>
              <w:ind w:right="575"/>
              <w:jc w:val="right"/>
              <w:rPr>
                <w:rFonts w:ascii="Calibri" w:eastAsia="Times New Roman" w:hAnsi="Calibri" w:cs="Arial"/>
                <w:noProof/>
                <w:szCs w:val="20"/>
              </w:rPr>
            </w:pPr>
            <w:r>
              <w:rPr>
                <w:rFonts w:ascii="Calibri" w:hAnsi="Calibri"/>
                <w:noProof/>
              </w:rPr>
              <w:t>153 944</w:t>
            </w:r>
          </w:p>
        </w:tc>
        <w:tc>
          <w:tcPr>
            <w:tcW w:w="1873" w:type="dxa"/>
            <w:tcBorders>
              <w:top w:val="single" w:sz="4" w:space="0" w:color="BFBFBF" w:themeColor="background1" w:themeShade="BF"/>
              <w:bottom w:val="single" w:sz="4" w:space="0" w:color="BFBFBF" w:themeColor="background1" w:themeShade="BF"/>
            </w:tcBorders>
            <w:noWrap/>
            <w:hideMark/>
          </w:tcPr>
          <w:p>
            <w:pPr>
              <w:spacing w:before="60" w:after="60"/>
              <w:ind w:right="575"/>
              <w:jc w:val="right"/>
              <w:rPr>
                <w:rFonts w:ascii="Calibri" w:eastAsia="Times New Roman" w:hAnsi="Calibri" w:cs="Arial"/>
                <w:noProof/>
                <w:szCs w:val="20"/>
              </w:rPr>
            </w:pPr>
            <w:r>
              <w:rPr>
                <w:rFonts w:ascii="Calibri" w:hAnsi="Calibri"/>
                <w:noProof/>
              </w:rPr>
              <w:t>587</w:t>
            </w:r>
          </w:p>
        </w:tc>
        <w:tc>
          <w:tcPr>
            <w:tcW w:w="2010" w:type="dxa"/>
            <w:tcBorders>
              <w:top w:val="single" w:sz="4" w:space="0" w:color="BFBFBF" w:themeColor="background1" w:themeShade="BF"/>
              <w:bottom w:val="single" w:sz="4" w:space="0" w:color="BFBFBF" w:themeColor="background1" w:themeShade="BF"/>
              <w:right w:val="single" w:sz="4" w:space="0" w:color="1F497D" w:themeColor="text2"/>
            </w:tcBorders>
            <w:noWrap/>
            <w:hideMark/>
          </w:tcPr>
          <w:p>
            <w:pPr>
              <w:spacing w:before="60" w:after="60"/>
              <w:ind w:right="593"/>
              <w:jc w:val="right"/>
              <w:rPr>
                <w:rFonts w:ascii="Calibri" w:eastAsia="Times New Roman" w:hAnsi="Calibri" w:cs="Arial"/>
                <w:noProof/>
                <w:szCs w:val="20"/>
              </w:rPr>
            </w:pPr>
            <w:r>
              <w:rPr>
                <w:rFonts w:ascii="Calibri" w:hAnsi="Calibri"/>
                <w:noProof/>
              </w:rPr>
              <w:t>262,3</w:t>
            </w:r>
          </w:p>
        </w:tc>
      </w:tr>
      <w:tr>
        <w:trPr>
          <w:trHeight w:val="288"/>
          <w:jc w:val="center"/>
        </w:trPr>
        <w:tc>
          <w:tcPr>
            <w:tcW w:w="2408" w:type="dxa"/>
            <w:tcBorders>
              <w:top w:val="single" w:sz="4" w:space="0" w:color="BFBFBF" w:themeColor="background1" w:themeShade="BF"/>
              <w:left w:val="single" w:sz="4" w:space="0" w:color="1F497D" w:themeColor="text2"/>
              <w:bottom w:val="single" w:sz="4" w:space="0" w:color="BFBFBF" w:themeColor="background1" w:themeShade="BF"/>
            </w:tcBorders>
            <w:noWrap/>
            <w:hideMark/>
          </w:tcPr>
          <w:p>
            <w:pPr>
              <w:spacing w:before="60" w:after="60"/>
              <w:jc w:val="center"/>
              <w:rPr>
                <w:rFonts w:ascii="Calibri" w:eastAsia="Times New Roman" w:hAnsi="Calibri" w:cs="Arial"/>
                <w:b/>
                <w:noProof/>
                <w:szCs w:val="20"/>
              </w:rPr>
            </w:pPr>
            <w:r>
              <w:rPr>
                <w:rFonts w:ascii="Calibri" w:hAnsi="Calibri"/>
                <w:b/>
                <w:noProof/>
              </w:rPr>
              <w:t>IE (2013)</w:t>
            </w:r>
          </w:p>
        </w:tc>
        <w:tc>
          <w:tcPr>
            <w:tcW w:w="1816" w:type="dxa"/>
            <w:tcBorders>
              <w:top w:val="single" w:sz="4" w:space="0" w:color="BFBFBF" w:themeColor="background1" w:themeShade="BF"/>
              <w:bottom w:val="single" w:sz="4" w:space="0" w:color="BFBFBF" w:themeColor="background1" w:themeShade="BF"/>
            </w:tcBorders>
            <w:noWrap/>
            <w:hideMark/>
          </w:tcPr>
          <w:p>
            <w:pPr>
              <w:spacing w:before="60" w:after="60"/>
              <w:ind w:right="575"/>
              <w:jc w:val="right"/>
              <w:rPr>
                <w:rFonts w:ascii="Calibri" w:eastAsia="Times New Roman" w:hAnsi="Calibri" w:cs="Arial"/>
                <w:noProof/>
                <w:szCs w:val="20"/>
              </w:rPr>
            </w:pPr>
            <w:r>
              <w:rPr>
                <w:rFonts w:ascii="Calibri" w:hAnsi="Calibri"/>
                <w:noProof/>
              </w:rPr>
              <w:t>34 667</w:t>
            </w:r>
          </w:p>
        </w:tc>
        <w:tc>
          <w:tcPr>
            <w:tcW w:w="1873" w:type="dxa"/>
            <w:tcBorders>
              <w:top w:val="single" w:sz="4" w:space="0" w:color="BFBFBF" w:themeColor="background1" w:themeShade="BF"/>
              <w:bottom w:val="single" w:sz="4" w:space="0" w:color="BFBFBF" w:themeColor="background1" w:themeShade="BF"/>
            </w:tcBorders>
            <w:noWrap/>
            <w:hideMark/>
          </w:tcPr>
          <w:p>
            <w:pPr>
              <w:spacing w:before="60" w:after="60"/>
              <w:ind w:right="575"/>
              <w:jc w:val="right"/>
              <w:rPr>
                <w:rFonts w:ascii="Calibri" w:eastAsia="Times New Roman" w:hAnsi="Calibri" w:cs="Arial"/>
                <w:noProof/>
                <w:szCs w:val="20"/>
              </w:rPr>
            </w:pPr>
            <w:r>
              <w:rPr>
                <w:rFonts w:ascii="Calibri" w:hAnsi="Calibri"/>
                <w:noProof/>
              </w:rPr>
              <w:t>283</w:t>
            </w:r>
          </w:p>
        </w:tc>
        <w:tc>
          <w:tcPr>
            <w:tcW w:w="2010" w:type="dxa"/>
            <w:tcBorders>
              <w:top w:val="single" w:sz="4" w:space="0" w:color="BFBFBF" w:themeColor="background1" w:themeShade="BF"/>
              <w:bottom w:val="single" w:sz="4" w:space="0" w:color="BFBFBF" w:themeColor="background1" w:themeShade="BF"/>
              <w:right w:val="single" w:sz="4" w:space="0" w:color="1F497D" w:themeColor="text2"/>
            </w:tcBorders>
            <w:noWrap/>
            <w:hideMark/>
          </w:tcPr>
          <w:p>
            <w:pPr>
              <w:spacing w:before="60" w:after="60"/>
              <w:ind w:right="593"/>
              <w:jc w:val="right"/>
              <w:rPr>
                <w:rFonts w:ascii="Calibri" w:eastAsia="Times New Roman" w:hAnsi="Calibri" w:cs="Arial"/>
                <w:noProof/>
                <w:szCs w:val="20"/>
              </w:rPr>
            </w:pPr>
            <w:r>
              <w:rPr>
                <w:rFonts w:ascii="Calibri" w:hAnsi="Calibri"/>
                <w:noProof/>
              </w:rPr>
              <w:t>122,5</w:t>
            </w:r>
          </w:p>
        </w:tc>
      </w:tr>
      <w:tr>
        <w:trPr>
          <w:trHeight w:val="288"/>
          <w:jc w:val="center"/>
        </w:trPr>
        <w:tc>
          <w:tcPr>
            <w:tcW w:w="2408" w:type="dxa"/>
            <w:tcBorders>
              <w:top w:val="single" w:sz="4" w:space="0" w:color="BFBFBF" w:themeColor="background1" w:themeShade="BF"/>
              <w:left w:val="single" w:sz="4" w:space="0" w:color="1F497D" w:themeColor="text2"/>
              <w:bottom w:val="single" w:sz="4" w:space="0" w:color="BFBFBF" w:themeColor="background1" w:themeShade="BF"/>
            </w:tcBorders>
            <w:noWrap/>
            <w:hideMark/>
          </w:tcPr>
          <w:p>
            <w:pPr>
              <w:spacing w:before="60" w:after="60"/>
              <w:jc w:val="center"/>
              <w:rPr>
                <w:rFonts w:ascii="Calibri" w:eastAsia="Times New Roman" w:hAnsi="Calibri" w:cs="Arial"/>
                <w:b/>
                <w:noProof/>
                <w:szCs w:val="20"/>
              </w:rPr>
            </w:pPr>
            <w:r>
              <w:rPr>
                <w:rFonts w:ascii="Calibri" w:hAnsi="Calibri"/>
                <w:b/>
                <w:noProof/>
              </w:rPr>
              <w:t>ES (2013)</w:t>
            </w:r>
          </w:p>
        </w:tc>
        <w:tc>
          <w:tcPr>
            <w:tcW w:w="1816" w:type="dxa"/>
            <w:tcBorders>
              <w:top w:val="single" w:sz="4" w:space="0" w:color="BFBFBF" w:themeColor="background1" w:themeShade="BF"/>
              <w:bottom w:val="single" w:sz="4" w:space="0" w:color="BFBFBF" w:themeColor="background1" w:themeShade="BF"/>
            </w:tcBorders>
            <w:noWrap/>
            <w:hideMark/>
          </w:tcPr>
          <w:p>
            <w:pPr>
              <w:spacing w:before="60" w:after="60"/>
              <w:ind w:right="575"/>
              <w:jc w:val="right"/>
              <w:rPr>
                <w:rFonts w:ascii="Calibri" w:eastAsia="Times New Roman" w:hAnsi="Calibri" w:cs="Arial"/>
                <w:noProof/>
                <w:szCs w:val="20"/>
              </w:rPr>
            </w:pPr>
            <w:r>
              <w:rPr>
                <w:rFonts w:ascii="Calibri" w:hAnsi="Calibri"/>
                <w:noProof/>
              </w:rPr>
              <w:t>231 738</w:t>
            </w:r>
          </w:p>
        </w:tc>
        <w:tc>
          <w:tcPr>
            <w:tcW w:w="1873" w:type="dxa"/>
            <w:tcBorders>
              <w:top w:val="single" w:sz="4" w:space="0" w:color="BFBFBF" w:themeColor="background1" w:themeShade="BF"/>
              <w:bottom w:val="single" w:sz="4" w:space="0" w:color="BFBFBF" w:themeColor="background1" w:themeShade="BF"/>
            </w:tcBorders>
            <w:noWrap/>
            <w:hideMark/>
          </w:tcPr>
          <w:p>
            <w:pPr>
              <w:spacing w:before="60" w:after="60"/>
              <w:ind w:right="575"/>
              <w:jc w:val="right"/>
              <w:rPr>
                <w:rFonts w:ascii="Calibri" w:eastAsia="Times New Roman" w:hAnsi="Calibri" w:cs="Arial"/>
                <w:noProof/>
                <w:szCs w:val="20"/>
              </w:rPr>
            </w:pPr>
            <w:r>
              <w:rPr>
                <w:rFonts w:ascii="Calibri" w:hAnsi="Calibri"/>
                <w:noProof/>
              </w:rPr>
              <w:t>3 023</w:t>
            </w:r>
          </w:p>
        </w:tc>
        <w:tc>
          <w:tcPr>
            <w:tcW w:w="2010" w:type="dxa"/>
            <w:tcBorders>
              <w:top w:val="single" w:sz="4" w:space="0" w:color="BFBFBF" w:themeColor="background1" w:themeShade="BF"/>
              <w:bottom w:val="single" w:sz="4" w:space="0" w:color="BFBFBF" w:themeColor="background1" w:themeShade="BF"/>
              <w:right w:val="single" w:sz="4" w:space="0" w:color="1F497D" w:themeColor="text2"/>
            </w:tcBorders>
            <w:noWrap/>
            <w:hideMark/>
          </w:tcPr>
          <w:p>
            <w:pPr>
              <w:spacing w:before="60" w:after="60"/>
              <w:ind w:right="593"/>
              <w:jc w:val="right"/>
              <w:rPr>
                <w:rFonts w:ascii="Calibri" w:eastAsia="Times New Roman" w:hAnsi="Calibri" w:cs="Arial"/>
                <w:noProof/>
                <w:szCs w:val="20"/>
              </w:rPr>
            </w:pPr>
            <w:r>
              <w:rPr>
                <w:rFonts w:ascii="Calibri" w:hAnsi="Calibri"/>
                <w:noProof/>
              </w:rPr>
              <w:t>76,7</w:t>
            </w:r>
          </w:p>
        </w:tc>
      </w:tr>
      <w:tr>
        <w:trPr>
          <w:trHeight w:val="288"/>
          <w:jc w:val="center"/>
        </w:trPr>
        <w:tc>
          <w:tcPr>
            <w:tcW w:w="2408" w:type="dxa"/>
            <w:tcBorders>
              <w:top w:val="single" w:sz="4" w:space="0" w:color="BFBFBF" w:themeColor="background1" w:themeShade="BF"/>
              <w:left w:val="single" w:sz="4" w:space="0" w:color="1F497D" w:themeColor="text2"/>
              <w:bottom w:val="single" w:sz="4" w:space="0" w:color="BFBFBF" w:themeColor="background1" w:themeShade="BF"/>
            </w:tcBorders>
            <w:noWrap/>
            <w:hideMark/>
          </w:tcPr>
          <w:p>
            <w:pPr>
              <w:spacing w:before="60" w:after="60"/>
              <w:jc w:val="center"/>
              <w:rPr>
                <w:rFonts w:ascii="Calibri" w:eastAsia="Times New Roman" w:hAnsi="Calibri" w:cs="Arial"/>
                <w:b/>
                <w:noProof/>
                <w:szCs w:val="20"/>
              </w:rPr>
            </w:pPr>
            <w:r>
              <w:rPr>
                <w:rFonts w:ascii="Calibri" w:hAnsi="Calibri"/>
                <w:b/>
                <w:noProof/>
              </w:rPr>
              <w:t>FR (2013)</w:t>
            </w:r>
          </w:p>
        </w:tc>
        <w:tc>
          <w:tcPr>
            <w:tcW w:w="1816" w:type="dxa"/>
            <w:tcBorders>
              <w:top w:val="single" w:sz="4" w:space="0" w:color="BFBFBF" w:themeColor="background1" w:themeShade="BF"/>
              <w:bottom w:val="single" w:sz="4" w:space="0" w:color="BFBFBF" w:themeColor="background1" w:themeShade="BF"/>
            </w:tcBorders>
            <w:noWrap/>
            <w:hideMark/>
          </w:tcPr>
          <w:p>
            <w:pPr>
              <w:spacing w:before="60" w:after="60"/>
              <w:ind w:right="575"/>
              <w:jc w:val="right"/>
              <w:rPr>
                <w:rFonts w:ascii="Calibri" w:eastAsia="Times New Roman" w:hAnsi="Calibri" w:cs="Arial"/>
                <w:noProof/>
                <w:szCs w:val="20"/>
              </w:rPr>
            </w:pPr>
            <w:r>
              <w:rPr>
                <w:rFonts w:ascii="Calibri" w:hAnsi="Calibri"/>
                <w:noProof/>
              </w:rPr>
              <w:t>227 601</w:t>
            </w:r>
          </w:p>
        </w:tc>
        <w:tc>
          <w:tcPr>
            <w:tcW w:w="1873" w:type="dxa"/>
            <w:tcBorders>
              <w:top w:val="single" w:sz="4" w:space="0" w:color="BFBFBF" w:themeColor="background1" w:themeShade="BF"/>
              <w:bottom w:val="single" w:sz="4" w:space="0" w:color="BFBFBF" w:themeColor="background1" w:themeShade="BF"/>
            </w:tcBorders>
            <w:noWrap/>
            <w:hideMark/>
          </w:tcPr>
          <w:p>
            <w:pPr>
              <w:spacing w:before="60" w:after="60"/>
              <w:ind w:right="575"/>
              <w:jc w:val="right"/>
              <w:rPr>
                <w:rFonts w:ascii="Calibri" w:eastAsia="Times New Roman" w:hAnsi="Calibri" w:cs="Arial"/>
                <w:noProof/>
                <w:szCs w:val="20"/>
              </w:rPr>
            </w:pPr>
            <w:r>
              <w:rPr>
                <w:rFonts w:ascii="Calibri" w:hAnsi="Calibri"/>
                <w:noProof/>
              </w:rPr>
              <w:t>2 988</w:t>
            </w:r>
          </w:p>
        </w:tc>
        <w:tc>
          <w:tcPr>
            <w:tcW w:w="2010" w:type="dxa"/>
            <w:tcBorders>
              <w:top w:val="single" w:sz="4" w:space="0" w:color="BFBFBF" w:themeColor="background1" w:themeShade="BF"/>
              <w:bottom w:val="single" w:sz="4" w:space="0" w:color="BFBFBF" w:themeColor="background1" w:themeShade="BF"/>
              <w:right w:val="single" w:sz="4" w:space="0" w:color="1F497D" w:themeColor="text2"/>
            </w:tcBorders>
            <w:noWrap/>
            <w:hideMark/>
          </w:tcPr>
          <w:p>
            <w:pPr>
              <w:spacing w:before="60" w:after="60"/>
              <w:ind w:right="593"/>
              <w:jc w:val="right"/>
              <w:rPr>
                <w:rFonts w:ascii="Calibri" w:eastAsia="Times New Roman" w:hAnsi="Calibri" w:cs="Arial"/>
                <w:noProof/>
                <w:szCs w:val="20"/>
              </w:rPr>
            </w:pPr>
            <w:r>
              <w:rPr>
                <w:rFonts w:ascii="Calibri" w:hAnsi="Calibri"/>
                <w:noProof/>
              </w:rPr>
              <w:t>76,2</w:t>
            </w:r>
          </w:p>
        </w:tc>
      </w:tr>
      <w:tr>
        <w:trPr>
          <w:trHeight w:val="288"/>
          <w:jc w:val="center"/>
        </w:trPr>
        <w:tc>
          <w:tcPr>
            <w:tcW w:w="2408" w:type="dxa"/>
            <w:tcBorders>
              <w:top w:val="single" w:sz="4" w:space="0" w:color="BFBFBF" w:themeColor="background1" w:themeShade="BF"/>
              <w:left w:val="single" w:sz="4" w:space="0" w:color="1F497D" w:themeColor="text2"/>
              <w:bottom w:val="single" w:sz="4" w:space="0" w:color="BFBFBF" w:themeColor="background1" w:themeShade="BF"/>
            </w:tcBorders>
            <w:noWrap/>
            <w:hideMark/>
          </w:tcPr>
          <w:p>
            <w:pPr>
              <w:spacing w:before="60" w:after="60"/>
              <w:jc w:val="center"/>
              <w:rPr>
                <w:rFonts w:ascii="Calibri" w:eastAsia="Times New Roman" w:hAnsi="Calibri" w:cs="Arial"/>
                <w:b/>
                <w:noProof/>
                <w:szCs w:val="20"/>
              </w:rPr>
            </w:pPr>
            <w:r>
              <w:rPr>
                <w:rFonts w:ascii="Calibri" w:hAnsi="Calibri"/>
                <w:b/>
                <w:noProof/>
              </w:rPr>
              <w:t>PL (2013)</w:t>
            </w:r>
          </w:p>
        </w:tc>
        <w:tc>
          <w:tcPr>
            <w:tcW w:w="1816" w:type="dxa"/>
            <w:tcBorders>
              <w:top w:val="single" w:sz="4" w:space="0" w:color="BFBFBF" w:themeColor="background1" w:themeShade="BF"/>
              <w:bottom w:val="single" w:sz="4" w:space="0" w:color="BFBFBF" w:themeColor="background1" w:themeShade="BF"/>
            </w:tcBorders>
            <w:noWrap/>
            <w:hideMark/>
          </w:tcPr>
          <w:p>
            <w:pPr>
              <w:spacing w:before="60" w:after="60"/>
              <w:ind w:right="575"/>
              <w:jc w:val="right"/>
              <w:rPr>
                <w:rFonts w:ascii="Calibri" w:eastAsia="Times New Roman" w:hAnsi="Calibri" w:cs="Arial"/>
                <w:noProof/>
                <w:szCs w:val="20"/>
              </w:rPr>
            </w:pPr>
            <w:r>
              <w:rPr>
                <w:rFonts w:ascii="Calibri" w:hAnsi="Calibri"/>
                <w:noProof/>
              </w:rPr>
              <w:t>31 267</w:t>
            </w:r>
          </w:p>
        </w:tc>
        <w:tc>
          <w:tcPr>
            <w:tcW w:w="1873" w:type="dxa"/>
            <w:tcBorders>
              <w:top w:val="single" w:sz="4" w:space="0" w:color="BFBFBF" w:themeColor="background1" w:themeShade="BF"/>
              <w:bottom w:val="single" w:sz="4" w:space="0" w:color="BFBFBF" w:themeColor="background1" w:themeShade="BF"/>
            </w:tcBorders>
            <w:noWrap/>
            <w:hideMark/>
          </w:tcPr>
          <w:p>
            <w:pPr>
              <w:spacing w:before="60" w:after="60"/>
              <w:ind w:right="575"/>
              <w:jc w:val="right"/>
              <w:rPr>
                <w:rFonts w:ascii="Calibri" w:eastAsia="Times New Roman" w:hAnsi="Calibri" w:cs="Arial"/>
                <w:noProof/>
                <w:szCs w:val="20"/>
              </w:rPr>
            </w:pPr>
            <w:r>
              <w:rPr>
                <w:rFonts w:ascii="Calibri" w:hAnsi="Calibri"/>
                <w:noProof/>
              </w:rPr>
              <w:t>846</w:t>
            </w:r>
          </w:p>
        </w:tc>
        <w:tc>
          <w:tcPr>
            <w:tcW w:w="2010" w:type="dxa"/>
            <w:tcBorders>
              <w:top w:val="single" w:sz="4" w:space="0" w:color="BFBFBF" w:themeColor="background1" w:themeShade="BF"/>
              <w:bottom w:val="single" w:sz="4" w:space="0" w:color="BFBFBF" w:themeColor="background1" w:themeShade="BF"/>
              <w:right w:val="single" w:sz="4" w:space="0" w:color="1F497D" w:themeColor="text2"/>
            </w:tcBorders>
            <w:noWrap/>
            <w:hideMark/>
          </w:tcPr>
          <w:p>
            <w:pPr>
              <w:spacing w:before="60" w:after="60"/>
              <w:ind w:right="593"/>
              <w:jc w:val="right"/>
              <w:rPr>
                <w:rFonts w:ascii="Calibri" w:eastAsia="Times New Roman" w:hAnsi="Calibri" w:cs="Arial"/>
                <w:noProof/>
                <w:szCs w:val="20"/>
              </w:rPr>
            </w:pPr>
            <w:r>
              <w:rPr>
                <w:rFonts w:ascii="Calibri" w:hAnsi="Calibri"/>
                <w:noProof/>
              </w:rPr>
              <w:t>37,0</w:t>
            </w:r>
          </w:p>
        </w:tc>
      </w:tr>
      <w:tr>
        <w:trPr>
          <w:trHeight w:val="288"/>
          <w:jc w:val="center"/>
        </w:trPr>
        <w:tc>
          <w:tcPr>
            <w:tcW w:w="2408" w:type="dxa"/>
            <w:tcBorders>
              <w:top w:val="single" w:sz="4" w:space="0" w:color="BFBFBF" w:themeColor="background1" w:themeShade="BF"/>
              <w:left w:val="single" w:sz="4" w:space="0" w:color="1F497D" w:themeColor="text2"/>
              <w:bottom w:val="single" w:sz="4" w:space="0" w:color="1F497D" w:themeColor="text2"/>
            </w:tcBorders>
            <w:noWrap/>
            <w:hideMark/>
          </w:tcPr>
          <w:p>
            <w:pPr>
              <w:spacing w:before="60" w:after="60"/>
              <w:jc w:val="center"/>
              <w:rPr>
                <w:rFonts w:ascii="Calibri" w:eastAsia="Times New Roman" w:hAnsi="Calibri" w:cs="Arial"/>
                <w:b/>
                <w:noProof/>
                <w:szCs w:val="20"/>
              </w:rPr>
            </w:pPr>
            <w:r>
              <w:rPr>
                <w:rFonts w:ascii="Calibri" w:hAnsi="Calibri"/>
                <w:b/>
                <w:noProof/>
              </w:rPr>
              <w:t>DE (2016)</w:t>
            </w:r>
          </w:p>
        </w:tc>
        <w:tc>
          <w:tcPr>
            <w:tcW w:w="1816" w:type="dxa"/>
            <w:tcBorders>
              <w:top w:val="single" w:sz="4" w:space="0" w:color="BFBFBF" w:themeColor="background1" w:themeShade="BF"/>
              <w:bottom w:val="single" w:sz="4" w:space="0" w:color="1F497D" w:themeColor="text2"/>
            </w:tcBorders>
            <w:noWrap/>
            <w:hideMark/>
          </w:tcPr>
          <w:p>
            <w:pPr>
              <w:spacing w:before="60" w:after="60"/>
              <w:ind w:right="575"/>
              <w:jc w:val="right"/>
              <w:rPr>
                <w:rFonts w:ascii="Calibri" w:eastAsia="Times New Roman" w:hAnsi="Calibri" w:cs="Arial"/>
                <w:noProof/>
                <w:szCs w:val="20"/>
              </w:rPr>
            </w:pPr>
            <w:r>
              <w:rPr>
                <w:rFonts w:ascii="Calibri" w:hAnsi="Calibri"/>
                <w:noProof/>
              </w:rPr>
              <w:t>20 936</w:t>
            </w:r>
          </w:p>
        </w:tc>
        <w:tc>
          <w:tcPr>
            <w:tcW w:w="1873" w:type="dxa"/>
            <w:tcBorders>
              <w:top w:val="single" w:sz="4" w:space="0" w:color="BFBFBF" w:themeColor="background1" w:themeShade="BF"/>
              <w:bottom w:val="single" w:sz="4" w:space="0" w:color="1F497D" w:themeColor="text2"/>
            </w:tcBorders>
            <w:noWrap/>
            <w:hideMark/>
          </w:tcPr>
          <w:p>
            <w:pPr>
              <w:spacing w:before="60" w:after="60"/>
              <w:ind w:right="575"/>
              <w:jc w:val="right"/>
              <w:rPr>
                <w:rFonts w:ascii="Calibri" w:eastAsia="Times New Roman" w:hAnsi="Calibri" w:cs="Arial"/>
                <w:noProof/>
                <w:szCs w:val="20"/>
              </w:rPr>
            </w:pPr>
            <w:r>
              <w:rPr>
                <w:rFonts w:ascii="Calibri" w:hAnsi="Calibri"/>
                <w:noProof/>
              </w:rPr>
              <w:t>5 952</w:t>
            </w:r>
          </w:p>
        </w:tc>
        <w:tc>
          <w:tcPr>
            <w:tcW w:w="2010" w:type="dxa"/>
            <w:tcBorders>
              <w:top w:val="single" w:sz="4" w:space="0" w:color="BFBFBF" w:themeColor="background1" w:themeShade="BF"/>
              <w:bottom w:val="single" w:sz="4" w:space="0" w:color="1F497D" w:themeColor="text2"/>
              <w:right w:val="single" w:sz="4" w:space="0" w:color="1F497D" w:themeColor="text2"/>
            </w:tcBorders>
            <w:noWrap/>
            <w:hideMark/>
          </w:tcPr>
          <w:p>
            <w:pPr>
              <w:spacing w:before="60" w:after="60"/>
              <w:ind w:right="593"/>
              <w:jc w:val="right"/>
              <w:rPr>
                <w:rFonts w:ascii="Calibri" w:eastAsia="Times New Roman" w:hAnsi="Calibri" w:cs="Arial"/>
                <w:noProof/>
                <w:szCs w:val="20"/>
              </w:rPr>
            </w:pPr>
            <w:r>
              <w:rPr>
                <w:rFonts w:ascii="Calibri" w:hAnsi="Calibri"/>
                <w:noProof/>
              </w:rPr>
              <w:t>3,5</w:t>
            </w:r>
          </w:p>
        </w:tc>
      </w:tr>
    </w:tbl>
    <w:p>
      <w:pPr>
        <w:spacing w:before="60" w:after="120"/>
        <w:jc w:val="center"/>
        <w:rPr>
          <w:rFonts w:ascii="Times New Roman" w:eastAsia="Times New Roman" w:hAnsi="Times New Roman" w:cs="Times New Roman"/>
          <w:noProof/>
          <w:sz w:val="20"/>
          <w:szCs w:val="20"/>
        </w:rPr>
      </w:pPr>
      <w:r>
        <w:rPr>
          <w:rFonts w:ascii="Times New Roman" w:hAnsi="Times New Roman"/>
          <w:noProof/>
          <w:sz w:val="20"/>
        </w:rPr>
        <w:t>Fuente: Base de datos del CCTEP, excepto Alemania (Oficina Federal de Estadística de Alemania)</w:t>
      </w:r>
    </w:p>
    <w:p>
      <w:pPr>
        <w:pStyle w:val="Heading1"/>
        <w:framePr w:wrap="around"/>
        <w:rPr>
          <w:noProof/>
        </w:rPr>
      </w:pPr>
    </w:p>
    <w:p>
      <w:pPr>
        <w:pStyle w:val="Heading2"/>
        <w:numPr>
          <w:ilvl w:val="1"/>
          <w:numId w:val="18"/>
        </w:numPr>
        <w:spacing w:before="240" w:after="240"/>
        <w:ind w:left="1418" w:hanging="709"/>
        <w:rPr>
          <w:rFonts w:ascii="Times New Roman" w:hAnsi="Times New Roman" w:cs="Times New Roman"/>
          <w:noProof/>
          <w:color w:val="auto"/>
          <w:sz w:val="24"/>
        </w:rPr>
      </w:pPr>
      <w:r>
        <w:rPr>
          <w:rFonts w:ascii="Times New Roman" w:hAnsi="Times New Roman"/>
          <w:noProof/>
          <w:color w:val="auto"/>
          <w:sz w:val="24"/>
        </w:rPr>
        <w:t>Análisis económico de las prácticas de sacrificio</w:t>
      </w:r>
    </w:p>
    <w:p>
      <w:pPr>
        <w:autoSpaceDE w:val="0"/>
        <w:autoSpaceDN w:val="0"/>
        <w:adjustRightInd w:val="0"/>
        <w:spacing w:after="120"/>
        <w:jc w:val="both"/>
        <w:rPr>
          <w:rFonts w:ascii="Times New Roman" w:hAnsi="Times New Roman"/>
          <w:noProof/>
          <w:sz w:val="24"/>
          <w:szCs w:val="24"/>
        </w:rPr>
      </w:pPr>
      <w:r>
        <w:rPr>
          <w:rFonts w:ascii="Times New Roman" w:hAnsi="Times New Roman"/>
          <w:noProof/>
          <w:sz w:val="24"/>
        </w:rPr>
        <w:t>El análisis socioeconómico del informe del estudio tuvo en consideración las diferencias entre las cinco especies estudiadas y entre los entornos (marino de agua fría, marino mediterráneo y agua dulce). La variación en términos de tamaño de las empresas y los métodos de producción se tuvo asimismo en cuenta en este análisis al ser factores relevantes para evaluar el bienestar. Otros factores de coste, que no se tuvieron en consideración en el informe del estudio, como los costes de alimentación, mano de obra y explotación, son responsables de la mayor parte de las grandes variaciones entre empresas y países</w:t>
      </w:r>
      <w:r>
        <w:rPr>
          <w:rStyle w:val="FootnoteReference"/>
          <w:rFonts w:ascii="Times New Roman" w:hAnsi="Times New Roman"/>
          <w:noProof/>
          <w:sz w:val="24"/>
        </w:rPr>
        <w:footnoteReference w:id="15"/>
      </w:r>
      <w:r>
        <w:rPr>
          <w:rFonts w:ascii="Times New Roman" w:hAnsi="Times New Roman"/>
          <w:noProof/>
          <w:sz w:val="24"/>
        </w:rPr>
        <w:t>.</w:t>
      </w:r>
    </w:p>
    <w:p>
      <w:pPr>
        <w:autoSpaceDE w:val="0"/>
        <w:autoSpaceDN w:val="0"/>
        <w:adjustRightInd w:val="0"/>
        <w:spacing w:after="120"/>
        <w:jc w:val="both"/>
        <w:rPr>
          <w:rFonts w:ascii="Times New Roman" w:hAnsi="Times New Roman"/>
          <w:noProof/>
          <w:sz w:val="24"/>
          <w:szCs w:val="24"/>
        </w:rPr>
      </w:pPr>
      <w:r>
        <w:rPr>
          <w:rFonts w:ascii="Times New Roman" w:hAnsi="Times New Roman"/>
          <w:noProof/>
          <w:sz w:val="24"/>
        </w:rPr>
        <w:t xml:space="preserve">Para cada una de las especies investigadas en cada país estudiado, se calcularon las inversiones adicionales y los costes anuales de aplicación de prácticas de mejora del bienestar animal desde 2009 relativos a la explotación acuícola media de la especie en estudio. Entre estos costes se encuentra el coste adicional relacionado con la mejora del bienestar durante el aturdimiento, la matanza y al sacrificio. En el cálculo de los costes relacionados adicionales se parte del supuesto de que cada explotación acuícola necesita disponer de su propia transformación primaria y que la empresa promedio no ha incorporado prácticas de bienestar. </w:t>
      </w:r>
    </w:p>
    <w:p>
      <w:pPr>
        <w:autoSpaceDE w:val="0"/>
        <w:autoSpaceDN w:val="0"/>
        <w:adjustRightInd w:val="0"/>
        <w:spacing w:after="120"/>
        <w:jc w:val="both"/>
        <w:rPr>
          <w:rFonts w:ascii="Times New Roman" w:hAnsi="Times New Roman"/>
          <w:noProof/>
          <w:sz w:val="24"/>
          <w:szCs w:val="24"/>
          <w:u w:val="single"/>
        </w:rPr>
      </w:pPr>
      <w:r>
        <w:rPr>
          <w:rFonts w:ascii="Times New Roman" w:hAnsi="Times New Roman"/>
          <w:noProof/>
          <w:sz w:val="24"/>
          <w:u w:val="single"/>
        </w:rPr>
        <w:t>Salmón atlántico</w:t>
      </w:r>
    </w:p>
    <w:p>
      <w:pPr>
        <w:jc w:val="both"/>
        <w:rPr>
          <w:rFonts w:ascii="Times New Roman" w:hAnsi="Times New Roman"/>
          <w:noProof/>
          <w:sz w:val="24"/>
          <w:szCs w:val="24"/>
        </w:rPr>
      </w:pPr>
      <w:r>
        <w:rPr>
          <w:rFonts w:ascii="Times New Roman" w:hAnsi="Times New Roman"/>
          <w:noProof/>
          <w:sz w:val="24"/>
        </w:rPr>
        <w:t>A fin de cumplir las normas de la OIE (véase la sección 2.1 del presente informe) el estudio partió de la base de que cada piscifactoría está obligada a satisfacer los costes de inversión de un aturdidor eléctrico o un aturdidor mecánico, además de un robot de decapitación, y constató que los costes adicionales de la adopción de prácticas de mejora del bienestar son relativamente pequeños en función del tamaño promedio de las explotaciones. De acuerdo con el estudio, el coste adicional más bajo ascendería a 0,02 EUR/kg o el 0,5 % del precio de venta en el Reino Unido, y el más elevado alcanzaría los 0,09 EUR/kg o menos del 1,5 % del precio de venta en Irlanda. En los mataderos de alto rendimiento y con elevados costes laborales, la inversión podría incluso traducirse en un ahorro de costes. No obstante, como ya existe un elevado nivel de introducción de prácticas de bienestar de los peces en el sector del salmón en los Estados miembros y en los Estados del EEE, serían relativamente pocas las empresas que tendrían que invertir para cumplir las normas de la OIE, por lo que es probable que el impacto sobre la competitividad sea pequeño.</w:t>
      </w:r>
    </w:p>
    <w:p>
      <w:pPr>
        <w:rPr>
          <w:rFonts w:ascii="Times New Roman" w:hAnsi="Times New Roman"/>
          <w:noProof/>
          <w:sz w:val="24"/>
          <w:u w:val="single"/>
        </w:rPr>
      </w:pPr>
      <w:r>
        <w:rPr>
          <w:rFonts w:ascii="Times New Roman" w:hAnsi="Times New Roman"/>
          <w:noProof/>
          <w:sz w:val="24"/>
          <w:u w:val="single"/>
        </w:rPr>
        <w:br w:type="page"/>
      </w:r>
    </w:p>
    <w:p>
      <w:pPr>
        <w:autoSpaceDE w:val="0"/>
        <w:autoSpaceDN w:val="0"/>
        <w:adjustRightInd w:val="0"/>
        <w:spacing w:after="120"/>
        <w:jc w:val="both"/>
        <w:rPr>
          <w:rFonts w:ascii="Times New Roman" w:hAnsi="Times New Roman"/>
          <w:noProof/>
          <w:sz w:val="24"/>
          <w:szCs w:val="24"/>
          <w:u w:val="single"/>
        </w:rPr>
      </w:pPr>
      <w:r>
        <w:rPr>
          <w:rFonts w:ascii="Times New Roman" w:hAnsi="Times New Roman"/>
          <w:noProof/>
          <w:sz w:val="24"/>
          <w:u w:val="single"/>
        </w:rPr>
        <w:t>Carpa común</w:t>
      </w:r>
    </w:p>
    <w:p>
      <w:pPr>
        <w:jc w:val="both"/>
        <w:rPr>
          <w:rFonts w:ascii="Times New Roman" w:hAnsi="Times New Roman"/>
          <w:noProof/>
          <w:sz w:val="24"/>
          <w:szCs w:val="24"/>
        </w:rPr>
      </w:pPr>
      <w:r>
        <w:rPr>
          <w:rFonts w:ascii="Times New Roman" w:hAnsi="Times New Roman"/>
          <w:noProof/>
          <w:sz w:val="24"/>
        </w:rPr>
        <w:t>Las economías de escala en el volumen de sacrificio tienen un efecto sustancial sobre el coste de las medidas de bienestar. Este hecho se evidencia al evaluar el aturdimiento eléctrico seguido de la decapitación para mejorar el bienestar durante el sacrificio de las carpas, cuyas cifras de volumen de sacrificio son mucho menores que en el caso de las empresas típicas que trabajan con salmón. Los costes adicionales variaron considerablemente entre los países del estudio, siendo los más bajos los 0,06 EUR/kg de Polonia, comparados con hasta 0,41 EUR/kg en Rumanía y los 0,58 EUR/kg en Alemania.</w:t>
      </w:r>
    </w:p>
    <w:p>
      <w:pPr>
        <w:jc w:val="both"/>
        <w:rPr>
          <w:rFonts w:ascii="Times New Roman" w:hAnsi="Times New Roman"/>
          <w:noProof/>
          <w:sz w:val="24"/>
          <w:szCs w:val="24"/>
        </w:rPr>
      </w:pPr>
      <w:r>
        <w:rPr>
          <w:rFonts w:ascii="Times New Roman" w:hAnsi="Times New Roman"/>
          <w:noProof/>
          <w:sz w:val="24"/>
        </w:rPr>
        <w:t>La carpa común se consumió principalmente en el país de producción y, por lo general, no fue rentable sin subsidios entre 2009 y 2013 en sistemas de producción ordinarios. Las pequeñas explotaciones pueden tener más dificultades a la hora de invertir para mejorar el bienestar de los animales y pueden sufrir una desventaja competitiva. Como la exportación (incluida la reexportación) representa solo una proporción muy pequeña de la producción mundial de carpas, se prevé que los efectos de las medidas de bienestar sobre la competitividad internacional sean limitados (aunque el impacto en los precios de coste puede ser considerable, como se muestra en la figura 1).</w:t>
      </w:r>
    </w:p>
    <w:p>
      <w:pPr>
        <w:keepNext/>
        <w:keepLines/>
        <w:autoSpaceDE w:val="0"/>
        <w:autoSpaceDN w:val="0"/>
        <w:adjustRightInd w:val="0"/>
        <w:spacing w:after="120"/>
        <w:jc w:val="both"/>
        <w:rPr>
          <w:rFonts w:ascii="Times New Roman" w:hAnsi="Times New Roman"/>
          <w:noProof/>
          <w:sz w:val="24"/>
          <w:szCs w:val="24"/>
          <w:u w:val="single"/>
        </w:rPr>
      </w:pPr>
      <w:r>
        <w:rPr>
          <w:rFonts w:ascii="Times New Roman" w:hAnsi="Times New Roman"/>
          <w:noProof/>
          <w:sz w:val="24"/>
          <w:u w:val="single"/>
        </w:rPr>
        <w:t>Trucha arco iris</w:t>
      </w:r>
    </w:p>
    <w:p>
      <w:pPr>
        <w:keepNext/>
        <w:keepLines/>
        <w:jc w:val="both"/>
        <w:rPr>
          <w:rFonts w:ascii="Times New Roman" w:hAnsi="Times New Roman"/>
          <w:noProof/>
          <w:sz w:val="24"/>
          <w:szCs w:val="24"/>
        </w:rPr>
      </w:pPr>
      <w:r>
        <w:rPr>
          <w:rFonts w:ascii="Times New Roman" w:hAnsi="Times New Roman"/>
          <w:noProof/>
          <w:sz w:val="24"/>
        </w:rPr>
        <w:t>Con respecto a los requisitos de inversión para cumplir las normas de la OIE para el sacrificio de trucha arco iris, el informe del estudio partió de la siguiente base: 1) aturdimiento eléctrico antes de la extracción del agua, y; 2) aturdimiento por percusión después de la extracción del agua, ambos seguidos por el corte manual de los arcos branquiales. Como en el caso de la carpa, el impacto de los costes adicionales varió significativamente en función de las economías de escala, oscilando estos costes desde apenas 0,04EUR/kg en Dinamarca hasta 0,24EUR/kg en Francia. En Italia, donde los mataderos tienen un elevado rendimiento y elevados costes laborales, se notificaron ahorros de 0,06EUR/kg. El aturdimiento por percusión es una opción más cara y el impacto del coste será mayor, especialmente en las explotaciones de pequeña escala, como en Francia.</w:t>
      </w:r>
    </w:p>
    <w:p>
      <w:pPr>
        <w:autoSpaceDE w:val="0"/>
        <w:autoSpaceDN w:val="0"/>
        <w:adjustRightInd w:val="0"/>
        <w:spacing w:after="120"/>
        <w:jc w:val="both"/>
        <w:rPr>
          <w:rFonts w:ascii="Times New Roman" w:hAnsi="Times New Roman"/>
          <w:noProof/>
          <w:sz w:val="24"/>
          <w:szCs w:val="24"/>
          <w:u w:val="single"/>
        </w:rPr>
      </w:pPr>
      <w:r>
        <w:rPr>
          <w:rFonts w:ascii="Times New Roman" w:hAnsi="Times New Roman"/>
          <w:noProof/>
          <w:sz w:val="24"/>
          <w:u w:val="single"/>
        </w:rPr>
        <w:t>Lubina europea y dorada</w:t>
      </w:r>
    </w:p>
    <w:p>
      <w:pPr>
        <w:jc w:val="both"/>
        <w:rPr>
          <w:rFonts w:ascii="Times New Roman" w:hAnsi="Times New Roman"/>
          <w:noProof/>
          <w:sz w:val="24"/>
          <w:szCs w:val="24"/>
        </w:rPr>
      </w:pPr>
      <w:r>
        <w:rPr>
          <w:rFonts w:ascii="Times New Roman" w:hAnsi="Times New Roman"/>
          <w:noProof/>
          <w:sz w:val="24"/>
        </w:rPr>
        <w:t xml:space="preserve">Las inversiones que se han considerado para mejorar el bienestar en el momento del sacrificio para la lubina y la dorada son: 1) aturdimiento eléctrico antes de la extracción del agua, y; 2) aturdimiento eléctrico después de la extracción del agua, ambos seguidos de enfriamiento en agua de mar con hielo. </w:t>
      </w:r>
    </w:p>
    <w:p>
      <w:pPr>
        <w:jc w:val="both"/>
        <w:rPr>
          <w:rFonts w:ascii="Times New Roman" w:hAnsi="Times New Roman"/>
          <w:noProof/>
          <w:sz w:val="24"/>
          <w:szCs w:val="24"/>
        </w:rPr>
      </w:pPr>
      <w:r>
        <w:rPr>
          <w:rFonts w:ascii="Times New Roman" w:hAnsi="Times New Roman"/>
          <w:noProof/>
          <w:sz w:val="24"/>
        </w:rPr>
        <w:t xml:space="preserve">El coste por unidad adicional varía ligeramente entre los métodos, pero lo hace en mayor medida entre países en función del tamaño de las empresas. En España ―donde las empresas son de mayor tamaño― el coste por unidad adicional era de 0,04 EUR/kg en ambos métodos. En Grecia, era de 0,05-0,06 EUR/kg dependiendo del método, y en Italia ―donde las empresas son las de menor tamaño― era de 0,11-0,13 EUR/kg. Aunque el aumento de coste es bastante modesto, incluso para productores con un volumen relativamente bajo, como en Italia, los márgenes de beneficio en la mayoría de estas explotaciones podrían impedir que los productores invirtieran. </w:t>
      </w:r>
    </w:p>
    <w:p>
      <w:pPr>
        <w:jc w:val="both"/>
        <w:rPr>
          <w:rFonts w:ascii="Times New Roman" w:hAnsi="Times New Roman"/>
          <w:noProof/>
          <w:sz w:val="24"/>
          <w:szCs w:val="24"/>
        </w:rPr>
      </w:pPr>
      <w:r>
        <w:rPr>
          <w:rFonts w:ascii="Times New Roman" w:hAnsi="Times New Roman"/>
          <w:noProof/>
          <w:sz w:val="24"/>
        </w:rPr>
        <w:t xml:space="preserve">En general, el informe del estudio constató que la producción de dorada y lubina tampoco fue rentable sin las subvenciones durante el período comprendido entre 2009 y 2013 en los principales Estados miembros productores. Por tanto, puede ser difícil para los productores realizar las inversiones necesarias para mejorar el bienestar de los animales. </w:t>
      </w:r>
    </w:p>
    <w:p>
      <w:pPr>
        <w:jc w:val="both"/>
        <w:rPr>
          <w:rFonts w:ascii="Times New Roman" w:hAnsi="Times New Roman"/>
          <w:noProof/>
          <w:sz w:val="24"/>
          <w:szCs w:val="24"/>
        </w:rPr>
      </w:pPr>
      <w:r>
        <w:rPr>
          <w:rFonts w:ascii="Times New Roman" w:hAnsi="Times New Roman"/>
          <w:noProof/>
          <w:sz w:val="24"/>
        </w:rPr>
        <w:t>En la figura 1 se resume el impacto derivado de aplicar unas prácticas de mejora del bienestar animal sobre el precio de coste de los peces de piscifactoría en los países estudiados (EUR/kg).</w:t>
      </w:r>
      <w:bookmarkStart w:id="280" w:name="_Ref486324703"/>
      <w:bookmarkStart w:id="281" w:name="_Toc495328668"/>
    </w:p>
    <w:p>
      <w:pPr>
        <w:widowControl w:val="0"/>
        <w:spacing w:after="120" w:line="240" w:lineRule="auto"/>
        <w:rPr>
          <w:rFonts w:ascii="Calibri" w:hAnsi="Calibri"/>
          <w:b/>
          <w:noProof/>
        </w:rPr>
      </w:pPr>
    </w:p>
    <w:p>
      <w:pPr>
        <w:widowControl w:val="0"/>
        <w:spacing w:after="120" w:line="240" w:lineRule="auto"/>
        <w:jc w:val="center"/>
        <w:rPr>
          <w:rFonts w:ascii="Calibri" w:eastAsia="Times New Roman" w:hAnsi="Calibri" w:cs="Arial"/>
          <w:b/>
          <w:bCs/>
          <w:noProof/>
          <w:szCs w:val="20"/>
        </w:rPr>
      </w:pPr>
      <w:r>
        <w:rPr>
          <w:rFonts w:ascii="Calibri" w:hAnsi="Calibri"/>
          <w:b/>
          <w:noProof/>
        </w:rPr>
        <w:t>Figura 1</w:t>
      </w:r>
      <w:bookmarkEnd w:id="280"/>
      <w:r>
        <w:rPr>
          <w:rFonts w:ascii="Calibri" w:hAnsi="Calibri"/>
          <w:b/>
          <w:noProof/>
        </w:rPr>
        <w:t>: Impacto derivado de aplicar unas prácticas de mejora del bienestar animal</w:t>
      </w:r>
      <w:r>
        <w:rPr>
          <w:rFonts w:ascii="Calibri" w:eastAsia="Times New Roman" w:hAnsi="Calibri" w:cs="Arial"/>
          <w:b/>
          <w:bCs/>
          <w:noProof/>
          <w:szCs w:val="20"/>
        </w:rPr>
        <w:br/>
      </w:r>
      <w:r>
        <w:rPr>
          <w:rFonts w:ascii="Calibri" w:hAnsi="Calibri"/>
          <w:b/>
          <w:noProof/>
        </w:rPr>
        <w:t>sobre el precio de coste de los peces de piscifactoría en los países estudiados (EUR/kg)</w:t>
      </w:r>
      <w:bookmarkEnd w:id="281"/>
    </w:p>
    <w:p>
      <w:pPr>
        <w:spacing w:after="120" w:line="240" w:lineRule="auto"/>
        <w:jc w:val="center"/>
        <w:rPr>
          <w:noProof/>
        </w:rPr>
      </w:pPr>
      <w:r>
        <w:rPr>
          <w:noProof/>
          <w:lang w:val="en-US" w:eastAsia="en-US" w:bidi="ar-SA"/>
        </w:rPr>
        <w:drawing>
          <wp:inline distT="0" distB="0" distL="0" distR="0">
            <wp:extent cx="4206240" cy="3085031"/>
            <wp:effectExtent l="0" t="0" r="381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216458" cy="3092526"/>
                    </a:xfrm>
                    <a:prstGeom prst="rect">
                      <a:avLst/>
                    </a:prstGeom>
                    <a:noFill/>
                  </pic:spPr>
                </pic:pic>
              </a:graphicData>
            </a:graphic>
          </wp:inline>
        </w:drawing>
      </w:r>
    </w:p>
    <w:p>
      <w:pPr>
        <w:pStyle w:val="Heading1"/>
        <w:framePr w:wrap="around"/>
        <w:rPr>
          <w:noProof/>
        </w:rPr>
      </w:pPr>
    </w:p>
    <w:p>
      <w:pPr>
        <w:jc w:val="center"/>
        <w:rPr>
          <w:noProof/>
        </w:rPr>
      </w:pPr>
    </w:p>
    <w:p>
      <w:pPr>
        <w:pStyle w:val="Heading2"/>
        <w:numPr>
          <w:ilvl w:val="0"/>
          <w:numId w:val="18"/>
        </w:numPr>
        <w:spacing w:before="240" w:after="240"/>
        <w:ind w:hanging="720"/>
        <w:rPr>
          <w:rFonts w:ascii="Times New Roman" w:hAnsi="Times New Roman"/>
          <w:noProof/>
          <w:color w:val="auto"/>
          <w:sz w:val="24"/>
          <w:szCs w:val="24"/>
        </w:rPr>
      </w:pPr>
      <w:r>
        <w:rPr>
          <w:rFonts w:ascii="Times New Roman" w:hAnsi="Times New Roman"/>
          <w:noProof/>
          <w:color w:val="auto"/>
          <w:sz w:val="28"/>
        </w:rPr>
        <w:t>Limitaciones de las conclusiones</w:t>
      </w:r>
    </w:p>
    <w:p>
      <w:pPr>
        <w:jc w:val="both"/>
        <w:rPr>
          <w:rFonts w:ascii="Times New Roman" w:hAnsi="Times New Roman"/>
          <w:noProof/>
          <w:sz w:val="24"/>
          <w:szCs w:val="24"/>
        </w:rPr>
      </w:pPr>
      <w:r>
        <w:rPr>
          <w:rFonts w:ascii="Times New Roman" w:hAnsi="Times New Roman"/>
          <w:noProof/>
          <w:sz w:val="24"/>
        </w:rPr>
        <w:t xml:space="preserve">El análisis económico realizado en el informe de estudio encargado hizo uso de la limitada información disponible relativa al coste del equipo necesario para mejorar el bienestar en el momento del sacrificio. El análisis se basa en la empresa promedio para cada especie en cada uno de los países estudiados. Sin embargo, se considera que las empresas con alto rendimiento logran economías de escala. La rentabilidad de las inversiones variará también de forma sustancial en función de la especie. </w:t>
      </w:r>
    </w:p>
    <w:p>
      <w:pPr>
        <w:jc w:val="both"/>
        <w:rPr>
          <w:rFonts w:ascii="Times New Roman" w:hAnsi="Times New Roman"/>
          <w:noProof/>
          <w:sz w:val="24"/>
          <w:szCs w:val="24"/>
        </w:rPr>
      </w:pPr>
      <w:r>
        <w:rPr>
          <w:rFonts w:ascii="Times New Roman" w:hAnsi="Times New Roman"/>
          <w:noProof/>
          <w:sz w:val="24"/>
        </w:rPr>
        <w:t xml:space="preserve">Para las empresas con bajos volúmenes de producción anual, los costes de inversión son sustancialmente más elevados que en el caso de las operaciones a mayor escala. La capacidad del equipo identificado es tal que puede quedar sin utilizar durante períodos de tiempo considerables. Puede suceder que existan equipos alternativos, a un menor coste, a disposición de las instalaciones de pequeña escala, pero no se dispuso de información sobre dichas alternativas en el momento del estudio. </w:t>
      </w:r>
    </w:p>
    <w:p>
      <w:pPr>
        <w:jc w:val="both"/>
        <w:rPr>
          <w:rFonts w:ascii="Times New Roman" w:hAnsi="Times New Roman"/>
          <w:noProof/>
          <w:sz w:val="24"/>
          <w:szCs w:val="24"/>
        </w:rPr>
      </w:pPr>
      <w:r>
        <w:rPr>
          <w:rFonts w:ascii="Times New Roman" w:hAnsi="Times New Roman"/>
          <w:noProof/>
          <w:sz w:val="24"/>
        </w:rPr>
        <w:t>Otra limitación adicional de las conclusiones se refiere a la calidad de los datos obtenidos durante el estudio de los costes reales para el aturdimiento y la matanza, en especial la información financiera y comercial de naturaleza confidencial. El principal motivo fue la baja respuesta del sector o el hecho de que en sus prácticas contables no se desglosan estos costes. En aquellos casos en los que la información sobre costes procedente del sector era insuficiente, se recabaron datos de los fabricantes de equipos, aunque es posible que no reflejen los verdaderos costes de explotación. Cabe señalar también que el estudio se centró en un período de referencia específico, de 2009 a 2013, lo cual quizás no refleje tendencias a largo plazo o a partir de ese periodo.</w:t>
      </w:r>
    </w:p>
    <w:p>
      <w:pPr>
        <w:pStyle w:val="Heading2"/>
        <w:numPr>
          <w:ilvl w:val="0"/>
          <w:numId w:val="18"/>
        </w:numPr>
        <w:spacing w:before="240" w:after="240"/>
        <w:ind w:hanging="720"/>
        <w:rPr>
          <w:rFonts w:ascii="Times New Roman" w:hAnsi="Times New Roman"/>
          <w:noProof/>
          <w:color w:val="auto"/>
          <w:sz w:val="28"/>
          <w:szCs w:val="24"/>
        </w:rPr>
      </w:pPr>
      <w:r>
        <w:rPr>
          <w:rFonts w:ascii="Times New Roman" w:hAnsi="Times New Roman"/>
          <w:noProof/>
          <w:color w:val="auto"/>
          <w:sz w:val="28"/>
        </w:rPr>
        <w:t>Conclusiones</w:t>
      </w:r>
    </w:p>
    <w:p>
      <w:pPr>
        <w:jc w:val="both"/>
        <w:rPr>
          <w:rFonts w:ascii="Times New Roman" w:hAnsi="Times New Roman"/>
          <w:b/>
          <w:noProof/>
          <w:sz w:val="24"/>
          <w:szCs w:val="24"/>
        </w:rPr>
      </w:pPr>
      <w:r>
        <w:rPr>
          <w:rFonts w:ascii="Times New Roman" w:hAnsi="Times New Roman"/>
          <w:noProof/>
          <w:sz w:val="24"/>
        </w:rPr>
        <w:t>Los requisitos generales contemplados en el Reglamento (CE) n.º 1099/2009 aplicables al bienestar de los peces en el momento del sacrificio han contribuido al desarrollo de un marco en materia de legislación y directrices nacionales con relación al bienestar de los peces de piscifactoría en la UE, en especial para el salmón atlántico.</w:t>
      </w:r>
    </w:p>
    <w:p>
      <w:pPr>
        <w:jc w:val="both"/>
        <w:rPr>
          <w:rFonts w:ascii="Times New Roman" w:hAnsi="Times New Roman"/>
          <w:noProof/>
          <w:sz w:val="24"/>
          <w:szCs w:val="24"/>
        </w:rPr>
      </w:pPr>
      <w:r>
        <w:rPr>
          <w:rFonts w:ascii="Times New Roman" w:hAnsi="Times New Roman"/>
          <w:noProof/>
          <w:sz w:val="24"/>
        </w:rPr>
        <w:t>El nivel de cumplimiento de las normas de la OIE en el momento del sacrificio varía en función de la especie en cuestión. Para el salmón atlántico, las buenas prácticas se cumplían de forma mayoritaria, con algunas excepciones, en los países del estudio. En el caso de la carpa común y la trucha arco iris, el nivel de cumplimiento varía según los métodos empleados. Con respecto a la lubina europea y la dorada, no se cumplen las normas de la OIE en los países del estudio.</w:t>
      </w:r>
    </w:p>
    <w:p>
      <w:pPr>
        <w:jc w:val="both"/>
        <w:rPr>
          <w:rFonts w:ascii="Times New Roman" w:hAnsi="Times New Roman"/>
          <w:noProof/>
          <w:sz w:val="24"/>
          <w:szCs w:val="24"/>
        </w:rPr>
      </w:pPr>
      <w:r>
        <w:rPr>
          <w:rFonts w:ascii="Times New Roman" w:hAnsi="Times New Roman"/>
          <w:noProof/>
          <w:sz w:val="24"/>
        </w:rPr>
        <w:t>El análisis económico muestra que las diferencias en los costes de producción se deben principalmente a la estructura del sector, con ventajas especiales en las economías de escala. Cuando existen tales economías de escala, las prácticas de mejora del bienestar pueden tener un impacto reducido sobre el precio de coste, mientras que en el caso de las explotaciones más pequeñas, el impacto probablemente sea mucho mayor. Otros factores, como los costes de alimentación, mano de obra y explotación, son responsables de la mayor parte de las grandes variaciones entre empresas y países.</w:t>
      </w:r>
    </w:p>
    <w:p>
      <w:pPr>
        <w:jc w:val="both"/>
        <w:rPr>
          <w:rFonts w:ascii="Times New Roman" w:hAnsi="Times New Roman"/>
          <w:noProof/>
          <w:sz w:val="24"/>
          <w:szCs w:val="24"/>
        </w:rPr>
      </w:pPr>
      <w:r>
        <w:rPr>
          <w:rFonts w:ascii="Times New Roman" w:hAnsi="Times New Roman"/>
          <w:noProof/>
          <w:sz w:val="24"/>
        </w:rPr>
        <w:t>En el caso concreto del salmón atlántico y la trucha arco iris, se constató que la inversión necesaria para mejorar el bienestar podría traducirse en un ahorro de mano de obra, y podría compensar el coste de la inversión.</w:t>
      </w:r>
    </w:p>
    <w:p>
      <w:pPr>
        <w:jc w:val="both"/>
        <w:rPr>
          <w:rFonts w:ascii="Times New Roman" w:hAnsi="Times New Roman"/>
          <w:noProof/>
          <w:sz w:val="24"/>
          <w:szCs w:val="24"/>
        </w:rPr>
      </w:pPr>
      <w:r>
        <w:rPr>
          <w:rFonts w:ascii="Times New Roman" w:hAnsi="Times New Roman"/>
          <w:noProof/>
          <w:sz w:val="24"/>
        </w:rPr>
        <w:t>Las conclusiones del informe de estudio encargado demuestran asimismo que el sector en general se mueve de forma gradual pero continua hacia la mejora del bienestar de los peces, tal como pone de relieve el creciente uso de métodos más humanitarios, como el aturdimiento eléctrico, o el abandono de otros como el aturdimiento con CO</w:t>
      </w:r>
      <w:r>
        <w:rPr>
          <w:rFonts w:ascii="Times New Roman" w:hAnsi="Times New Roman"/>
          <w:noProof/>
          <w:sz w:val="24"/>
          <w:vertAlign w:val="subscript"/>
        </w:rPr>
        <w:t>2</w:t>
      </w:r>
      <w:r>
        <w:rPr>
          <w:rStyle w:val="FootnoteReference"/>
          <w:rFonts w:ascii="Times New Roman" w:hAnsi="Times New Roman"/>
          <w:noProof/>
          <w:sz w:val="24"/>
        </w:rPr>
        <w:footnoteReference w:id="16"/>
      </w:r>
      <w:r>
        <w:rPr>
          <w:rFonts w:ascii="Times New Roman" w:hAnsi="Times New Roman"/>
          <w:noProof/>
          <w:sz w:val="24"/>
        </w:rPr>
        <w:t>, y la adopción de normas privadas. No obstante, siguen siendo necesarias mejoras para que aumente el bienestar de algunas especies de peces, como la lubina y la dorada. Las conclusiones del estudio están respaldadas asimismo por el informe general de la Comisión, llevado a cabo durante el periodo 2014-2015</w:t>
      </w:r>
      <w:r>
        <w:rPr>
          <w:rStyle w:val="FootnoteReference"/>
          <w:rFonts w:ascii="Times New Roman" w:hAnsi="Times New Roman"/>
          <w:noProof/>
          <w:sz w:val="24"/>
        </w:rPr>
        <w:footnoteReference w:id="17"/>
      </w:r>
      <w:r>
        <w:rPr>
          <w:rFonts w:ascii="Times New Roman" w:hAnsi="Times New Roman"/>
          <w:noProof/>
          <w:sz w:val="24"/>
        </w:rPr>
        <w:t>.</w:t>
      </w:r>
    </w:p>
    <w:p>
      <w:pPr>
        <w:jc w:val="both"/>
        <w:rPr>
          <w:rFonts w:ascii="Times New Roman" w:hAnsi="Times New Roman"/>
          <w:noProof/>
          <w:sz w:val="24"/>
          <w:szCs w:val="24"/>
        </w:rPr>
      </w:pPr>
      <w:r>
        <w:rPr>
          <w:rFonts w:ascii="Times New Roman" w:hAnsi="Times New Roman"/>
          <w:noProof/>
          <w:sz w:val="24"/>
        </w:rPr>
        <w:t>En esta fase, la Comisión considera que las pruebas sugieren que no es apropiado proponer requisitos específicos sobre la protección de los peces en el momento de la matanza, teniendo en cuenta que los objetivos del Reglamento podrán lograrse de igual modo mediante medidas voluntarias, tal como evidencian las mejoras introducidas en el sector en los últimos años. También es importante señalar que este es un sector muy heterogéneo y relativamente nuevo en comparación con otros sistemas de producción de animales de cría tradicionales, así como que la tecnología para mejorar el bienestar está avanzando actualmente. A la vista de estas novedades, la Comisión llega a la conclusión de que de precisarse orientaciones adicionales, estas serían más eficaces a escala de los Estados miembros. En cualquier caso, la Comisión permanecerá atenta a los avances en este ámbito.</w:t>
      </w:r>
    </w:p>
    <w:p>
      <w:pPr>
        <w:jc w:val="both"/>
        <w:rPr>
          <w:rFonts w:ascii="Times New Roman" w:hAnsi="Times New Roman"/>
          <w:noProof/>
          <w:sz w:val="24"/>
          <w:szCs w:val="24"/>
        </w:rPr>
      </w:pPr>
      <w:r>
        <w:rPr>
          <w:rFonts w:ascii="Times New Roman" w:hAnsi="Times New Roman"/>
          <w:noProof/>
          <w:sz w:val="24"/>
        </w:rPr>
        <w:t>No obstante, debe reconocerse asimismo que es necesario desarrollar más la investigación destinada a adaptar sistemas específicos para dichas especies de peces en las que es necesario poner a punto técnicas más eficaces.</w:t>
      </w:r>
    </w:p>
    <w:p>
      <w:pPr>
        <w:jc w:val="both"/>
        <w:rPr>
          <w:rFonts w:ascii="Times New Roman" w:hAnsi="Times New Roman"/>
          <w:noProof/>
          <w:sz w:val="24"/>
          <w:szCs w:val="24"/>
        </w:rPr>
      </w:pPr>
      <w:r>
        <w:rPr>
          <w:rFonts w:ascii="Times New Roman" w:hAnsi="Times New Roman"/>
          <w:noProof/>
          <w:sz w:val="24"/>
        </w:rPr>
        <w:t>Por tanto, la Comisión considera esencial seguir desarrollando el diálogo entre las partes interesadas a fin de favorecer iniciativas concretas y proyectos en este ámbito que podrían ser mutuamente beneficiosos, tanto desde un punto de vista económico como desde el punto de vista del bienestar de los animales. En este contexto, la Comisión ha establecido un formato más sistemático y visible para este diálogo a través de la Plataforma sobre bienestar animal</w:t>
      </w:r>
      <w:r>
        <w:rPr>
          <w:rStyle w:val="FootnoteReference"/>
          <w:rFonts w:ascii="Times New Roman" w:hAnsi="Times New Roman"/>
          <w:noProof/>
          <w:sz w:val="24"/>
        </w:rPr>
        <w:footnoteReference w:id="18"/>
      </w:r>
      <w:r>
        <w:rPr>
          <w:rFonts w:ascii="Times New Roman" w:hAnsi="Times New Roman"/>
          <w:noProof/>
          <w:sz w:val="24"/>
        </w:rPr>
        <w:t xml:space="preserve"> de la UE. El objetivo principal de esta plataforma es conceder a las partes interesadas (organizaciones protectoras de animales, científicos, veterinarios, ganaderos, empresas transformadoras de alimentos, minoristas de alimentación, etc.) la oportunidad de expresar sus preocupaciones y de compartir conocimientos y recursos para desarrollar actividades comunes.</w:t>
      </w:r>
      <w:bookmarkStart w:id="282" w:name="_Ref472969305"/>
      <w:bookmarkStart w:id="283" w:name="_Toc476912956"/>
      <w:bookmarkStart w:id="284" w:name="_Toc477203074"/>
      <w:bookmarkStart w:id="285" w:name="_Toc495328591"/>
      <w:bookmarkStart w:id="286" w:name="_Toc495328606"/>
      <w:bookmarkStart w:id="287" w:name="_Ref493091167"/>
      <w:bookmarkStart w:id="288" w:name="_Toc495328607"/>
      <w:bookmarkStart w:id="289" w:name="_Ref492938698"/>
      <w:bookmarkStart w:id="290" w:name="_Toc495328608"/>
      <w:bookmarkStart w:id="291" w:name="_Toc495328613"/>
      <w:bookmarkStart w:id="292" w:name="_Ref486523293"/>
      <w:bookmarkStart w:id="293" w:name="_Ref486523287"/>
      <w:bookmarkStart w:id="294" w:name="_Toc495328614"/>
      <w:bookmarkEnd w:id="282"/>
      <w:bookmarkEnd w:id="283"/>
      <w:bookmarkEnd w:id="284"/>
      <w:bookmarkEnd w:id="285"/>
      <w:bookmarkEnd w:id="286"/>
      <w:bookmarkEnd w:id="287"/>
      <w:bookmarkEnd w:id="288"/>
      <w:bookmarkEnd w:id="289"/>
      <w:bookmarkEnd w:id="290"/>
      <w:bookmarkEnd w:id="291"/>
      <w:bookmarkEnd w:id="292"/>
      <w:bookmarkEnd w:id="293"/>
      <w:bookmarkEnd w:id="294"/>
    </w:p>
    <w:sectPr>
      <w:headerReference w:type="even" r:id="rId23"/>
      <w:headerReference w:type="default" r:id="rId24"/>
      <w:footerReference w:type="even" r:id="rId25"/>
      <w:footerReference w:type="default" r:id="rId26"/>
      <w:headerReference w:type="first" r:id="rId27"/>
      <w:footerReference w:type="first" r:id="rId28"/>
      <w:pgSz w:w="11906" w:h="16838"/>
      <w:pgMar w:top="1417" w:right="1416"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ES</w:t>
    </w:r>
    <w:r>
      <w:rPr>
        <w:rFonts w:ascii="Arial" w:hAnsi="Arial" w:cs="Arial"/>
        <w:b/>
        <w:sz w:val="48"/>
      </w:rPr>
      <w:tab/>
    </w:r>
    <w:r>
      <w:rPr>
        <w:rFonts w:ascii="Arial" w:hAnsi="Arial" w:cs="Arial"/>
        <w:b/>
        <w:sz w:val="48"/>
      </w:rPr>
      <w:tab/>
    </w:r>
    <w:r>
      <w:tab/>
    </w:r>
    <w:r>
      <w:rPr>
        <w:rFonts w:ascii="Arial" w:hAnsi="Arial" w:cs="Arial"/>
        <w:b/>
        <w:sz w:val="48"/>
      </w:rPr>
      <w:t>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w:t>
    </w:r>
    <w: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spacing w:after="0" w:line="240" w:lineRule="auto"/>
        <w:ind w:left="567" w:hanging="567"/>
        <w:rPr>
          <w:rFonts w:ascii="Times New Roman" w:hAnsi="Times New Roman"/>
        </w:rPr>
      </w:pPr>
      <w:r>
        <w:rPr>
          <w:rStyle w:val="FootnoteReference"/>
          <w:rFonts w:ascii="Times New Roman" w:hAnsi="Times New Roman"/>
        </w:rPr>
        <w:footnoteRef/>
      </w:r>
      <w:r>
        <w:tab/>
      </w:r>
      <w:r>
        <w:rPr>
          <w:rFonts w:ascii="Times New Roman" w:hAnsi="Times New Roman"/>
        </w:rPr>
        <w:t>DO L 303 de 18.11.2009, p. 1.</w:t>
      </w:r>
    </w:p>
  </w:footnote>
  <w:footnote w:id="2">
    <w:p>
      <w:pPr>
        <w:pStyle w:val="FootnoteText"/>
        <w:spacing w:after="0" w:line="240" w:lineRule="auto"/>
        <w:ind w:left="567" w:hanging="567"/>
        <w:rPr>
          <w:rFonts w:ascii="Times New Roman" w:hAnsi="Times New Roman"/>
        </w:rPr>
      </w:pPr>
      <w:r>
        <w:rPr>
          <w:rStyle w:val="FootnoteReference"/>
          <w:rFonts w:ascii="Times New Roman" w:hAnsi="Times New Roman"/>
        </w:rPr>
        <w:footnoteRef/>
      </w:r>
      <w:r>
        <w:tab/>
      </w:r>
      <w:r>
        <w:rPr>
          <w:rFonts w:ascii="Times New Roman" w:hAnsi="Times New Roman"/>
        </w:rPr>
        <w:t xml:space="preserve">En términos más generales, el impacto medioambiental de la producción acuícola es importante, por lo que se ha identificado como uno de los cuatro ámbitos prioritarios en las Directrices estratégicas de la Comisión para el desarrollo sostenible de la acuicultura de la UE:  </w:t>
      </w:r>
      <w:hyperlink r:id="rId1">
        <w:r>
          <w:rPr>
            <w:rStyle w:val="Hyperlink"/>
            <w:rFonts w:ascii="Times New Roman" w:hAnsi="Times New Roman"/>
          </w:rPr>
          <w:t>https://ec.europa.eu/fisheries/cfp/aquaculture_es</w:t>
        </w:r>
      </w:hyperlink>
      <w:r>
        <w:rPr>
          <w:rFonts w:ascii="Times New Roman" w:hAnsi="Times New Roman"/>
        </w:rPr>
        <w:t xml:space="preserve"> </w:t>
      </w:r>
    </w:p>
  </w:footnote>
  <w:footnote w:id="3">
    <w:p>
      <w:pPr>
        <w:pStyle w:val="FootnoteText"/>
        <w:spacing w:after="0" w:line="240" w:lineRule="auto"/>
        <w:ind w:left="567" w:hanging="567"/>
        <w:jc w:val="both"/>
        <w:rPr>
          <w:rFonts w:ascii="Times New Roman" w:hAnsi="Times New Roman"/>
        </w:rPr>
      </w:pPr>
      <w:r>
        <w:rPr>
          <w:rStyle w:val="FootnoteReference"/>
          <w:rFonts w:ascii="Times New Roman" w:hAnsi="Times New Roman"/>
        </w:rPr>
        <w:footnoteRef/>
      </w:r>
      <w:r>
        <w:tab/>
      </w:r>
      <w:r>
        <w:rPr>
          <w:rFonts w:ascii="Times New Roman" w:hAnsi="Times New Roman"/>
        </w:rPr>
        <w:t xml:space="preserve">Comunicación de la Comisión al Parlamento Europeo, al Consejo y al Comité Económico y Social Europeo relativa a la estrategia de la Unión Europea para la protección y el bienestar de los animales 2012-2015, COM(2012) 6 final/2. </w:t>
      </w:r>
    </w:p>
  </w:footnote>
  <w:footnote w:id="4">
    <w:p>
      <w:pPr>
        <w:pStyle w:val="FootnoteText"/>
        <w:spacing w:after="0" w:line="240" w:lineRule="auto"/>
        <w:ind w:left="567" w:hanging="567"/>
        <w:jc w:val="both"/>
        <w:rPr>
          <w:rFonts w:ascii="Times New Roman" w:hAnsi="Times New Roman"/>
        </w:rPr>
      </w:pPr>
      <w:r>
        <w:rPr>
          <w:rStyle w:val="FootnoteReference"/>
          <w:rFonts w:ascii="Times New Roman" w:hAnsi="Times New Roman"/>
        </w:rPr>
        <w:footnoteRef/>
      </w:r>
      <w:r>
        <w:tab/>
      </w:r>
      <w:r>
        <w:rPr>
          <w:rFonts w:ascii="Times New Roman" w:hAnsi="Times New Roman"/>
        </w:rPr>
        <w:t xml:space="preserve">Código Sanitario para los Animales Acuáticos, Capítulo 7.3. Aspectos relativos al bienestar en el aturdimiento y el sacrificio de peces de cultivo para consumo humano. </w:t>
      </w:r>
      <w:hyperlink r:id="rId2">
        <w:r>
          <w:rPr>
            <w:rStyle w:val="Hyperlink"/>
            <w:rFonts w:ascii="Times New Roman" w:hAnsi="Times New Roman"/>
          </w:rPr>
          <w:t>http://www.oie.int/es/normas-internacionales/codigo-acuatico/acceso-en-linea/?htmfile=chapitre_welfare_stunning_killing.htm</w:t>
        </w:r>
      </w:hyperlink>
      <w:r>
        <w:rPr>
          <w:rFonts w:ascii="Times New Roman" w:hAnsi="Times New Roman"/>
        </w:rPr>
        <w:t xml:space="preserve"> </w:t>
      </w:r>
    </w:p>
  </w:footnote>
  <w:footnote w:id="5">
    <w:p>
      <w:pPr>
        <w:pStyle w:val="FootnoteText"/>
        <w:spacing w:after="0" w:line="240" w:lineRule="auto"/>
        <w:ind w:left="567" w:hanging="567"/>
        <w:jc w:val="both"/>
        <w:rPr>
          <w:rFonts w:ascii="Times New Roman" w:hAnsi="Times New Roman"/>
        </w:rPr>
      </w:pPr>
      <w:r>
        <w:rPr>
          <w:rStyle w:val="FootnoteReference"/>
          <w:rFonts w:ascii="Times New Roman" w:hAnsi="Times New Roman"/>
        </w:rPr>
        <w:footnoteRef/>
      </w:r>
      <w:r>
        <w:tab/>
      </w:r>
      <w:r>
        <w:rPr>
          <w:rFonts w:ascii="Times New Roman" w:hAnsi="Times New Roman"/>
        </w:rPr>
        <w:t>Dictámenes científicos de la Comisión Técnica Científica de Salud y Bienestar de los Animales, a petición de la Comisión Europea sobre aspectos de bienestar específicos por especie de los principales sistemas de aturdimiento y matanza de peces de piscifactoría.</w:t>
      </w:r>
    </w:p>
    <w:p>
      <w:pPr>
        <w:pStyle w:val="FootnoteText"/>
        <w:spacing w:after="0" w:line="240" w:lineRule="auto"/>
        <w:ind w:left="567"/>
        <w:jc w:val="both"/>
        <w:rPr>
          <w:rFonts w:ascii="Times New Roman" w:hAnsi="Times New Roman"/>
        </w:rPr>
      </w:pPr>
      <w:r>
        <w:rPr>
          <w:rFonts w:ascii="Times New Roman" w:hAnsi="Times New Roman"/>
        </w:rPr>
        <w:t xml:space="preserve">Carpa de piscifactoría </w:t>
      </w:r>
      <w:hyperlink r:id="rId3">
        <w:r>
          <w:rPr>
            <w:rStyle w:val="Hyperlink"/>
            <w:rFonts w:ascii="Times New Roman" w:hAnsi="Times New Roman"/>
          </w:rPr>
          <w:t>http://www.efsa.europa.eu/en/efsajournal/pub/1013</w:t>
        </w:r>
      </w:hyperlink>
    </w:p>
    <w:p>
      <w:pPr>
        <w:pStyle w:val="FootnoteText"/>
        <w:spacing w:after="0" w:line="240" w:lineRule="auto"/>
        <w:ind w:left="567"/>
        <w:jc w:val="both"/>
        <w:rPr>
          <w:rFonts w:ascii="Times New Roman" w:hAnsi="Times New Roman"/>
        </w:rPr>
      </w:pPr>
      <w:r>
        <w:rPr>
          <w:rFonts w:ascii="Times New Roman" w:hAnsi="Times New Roman"/>
        </w:rPr>
        <w:t xml:space="preserve">Trucha arco iris de piscifactoría </w:t>
      </w:r>
      <w:hyperlink r:id="rId4">
        <w:r>
          <w:rPr>
            <w:rStyle w:val="Hyperlink"/>
            <w:rFonts w:ascii="Times New Roman" w:hAnsi="Times New Roman"/>
          </w:rPr>
          <w:t>http://www.efsa.europa.eu/en/efsajournal/pub/1012</w:t>
        </w:r>
      </w:hyperlink>
    </w:p>
    <w:p>
      <w:pPr>
        <w:pStyle w:val="FootnoteText"/>
        <w:spacing w:after="0" w:line="240" w:lineRule="auto"/>
        <w:ind w:left="567"/>
        <w:jc w:val="both"/>
        <w:rPr>
          <w:rFonts w:ascii="Times New Roman" w:hAnsi="Times New Roman"/>
        </w:rPr>
      </w:pPr>
      <w:r>
        <w:rPr>
          <w:rFonts w:ascii="Times New Roman" w:hAnsi="Times New Roman"/>
        </w:rPr>
        <w:t xml:space="preserve">Lubina y dorada de piscifactoría </w:t>
      </w:r>
      <w:hyperlink r:id="rId5">
        <w:r>
          <w:rPr>
            <w:rStyle w:val="Hyperlink"/>
            <w:rFonts w:ascii="Times New Roman" w:hAnsi="Times New Roman"/>
          </w:rPr>
          <w:t>http://www.efsa.europa.eu/en/efsajournal/pub/1010</w:t>
        </w:r>
      </w:hyperlink>
    </w:p>
    <w:p>
      <w:pPr>
        <w:pStyle w:val="FootnoteText"/>
        <w:spacing w:after="0" w:line="240" w:lineRule="auto"/>
        <w:ind w:left="567"/>
        <w:jc w:val="both"/>
        <w:rPr>
          <w:rFonts w:ascii="Times New Roman" w:hAnsi="Times New Roman"/>
        </w:rPr>
      </w:pPr>
      <w:r>
        <w:rPr>
          <w:rFonts w:ascii="Times New Roman" w:hAnsi="Times New Roman"/>
        </w:rPr>
        <w:t xml:space="preserve">Salmón atlántico de piscifactoría </w:t>
      </w:r>
      <w:hyperlink r:id="rId6">
        <w:r>
          <w:rPr>
            <w:rStyle w:val="Hyperlink"/>
            <w:rFonts w:ascii="Times New Roman" w:hAnsi="Times New Roman"/>
          </w:rPr>
          <w:t>http://www.efsa.europa.eu/en/efsajournal/pub/1011</w:t>
        </w:r>
      </w:hyperlink>
    </w:p>
  </w:footnote>
  <w:footnote w:id="6">
    <w:p>
      <w:pPr>
        <w:pStyle w:val="FootnoteText"/>
        <w:spacing w:after="0" w:line="240" w:lineRule="auto"/>
        <w:ind w:left="567" w:hanging="567"/>
        <w:rPr>
          <w:rFonts w:ascii="Times New Roman" w:hAnsi="Times New Roman"/>
          <w:lang w:val="en-GB"/>
        </w:rPr>
      </w:pPr>
      <w:r>
        <w:rPr>
          <w:rStyle w:val="FootnoteReference"/>
          <w:rFonts w:ascii="Times New Roman" w:hAnsi="Times New Roman"/>
        </w:rPr>
        <w:footnoteRef/>
      </w:r>
      <w:r>
        <w:rPr>
          <w:lang w:val="en-GB"/>
        </w:rPr>
        <w:tab/>
      </w:r>
      <w:r>
        <w:rPr>
          <w:rFonts w:ascii="Times New Roman" w:hAnsi="Times New Roman"/>
          <w:lang w:val="en-GB"/>
        </w:rPr>
        <w:t>Welfare of farmed fish: Common practices during transport and at slaughter final (2017)</w:t>
      </w:r>
      <w:r>
        <w:rPr>
          <w:rFonts w:ascii="Times New Roman" w:hAnsi="Times New Roman"/>
          <w:color w:val="1F497D"/>
          <w:lang w:val="en-GB"/>
        </w:rPr>
        <w:t xml:space="preserve"> </w:t>
      </w:r>
      <w:hyperlink r:id="rId7">
        <w:r>
          <w:rPr>
            <w:rStyle w:val="Hyperlink"/>
            <w:rFonts w:ascii="Times New Roman" w:hAnsi="Times New Roman"/>
            <w:lang w:val="en-GB"/>
          </w:rPr>
          <w:t>https://publications.europa.eu/en/publication-detail/-/publication/facddd32-cda6-11e7-a5d5-01aa75ed71a1/language-en/format-PDF/source-49981830</w:t>
        </w:r>
      </w:hyperlink>
    </w:p>
  </w:footnote>
  <w:footnote w:id="7">
    <w:p>
      <w:pPr>
        <w:pStyle w:val="FootnoteText"/>
        <w:spacing w:after="0" w:line="240" w:lineRule="auto"/>
        <w:ind w:left="567" w:hanging="567"/>
        <w:jc w:val="both"/>
        <w:rPr>
          <w:rFonts w:ascii="Times New Roman" w:hAnsi="Times New Roman"/>
        </w:rPr>
      </w:pPr>
      <w:r>
        <w:rPr>
          <w:rStyle w:val="FootnoteReference"/>
          <w:rFonts w:ascii="Times New Roman" w:hAnsi="Times New Roman"/>
        </w:rPr>
        <w:footnoteRef/>
      </w:r>
      <w:r>
        <w:tab/>
      </w:r>
      <w:r>
        <w:rPr>
          <w:rFonts w:ascii="Times New Roman" w:hAnsi="Times New Roman"/>
        </w:rPr>
        <w:t>Estos son los años más recientes para los que existen cifras disponibles de Eurostat y el CCTEP (Comité Científico, Técnico y Económico de  Pesca) sobre producción y rendimiento económico del sector.</w:t>
      </w:r>
    </w:p>
  </w:footnote>
  <w:footnote w:id="8">
    <w:p>
      <w:pPr>
        <w:pStyle w:val="FootnoteText"/>
        <w:spacing w:after="0" w:line="240" w:lineRule="auto"/>
        <w:ind w:left="567" w:hanging="567"/>
        <w:jc w:val="both"/>
        <w:rPr>
          <w:rFonts w:ascii="Times New Roman" w:hAnsi="Times New Roman"/>
        </w:rPr>
      </w:pPr>
      <w:r>
        <w:rPr>
          <w:rStyle w:val="FootnoteReference"/>
          <w:rFonts w:ascii="Times New Roman" w:hAnsi="Times New Roman"/>
        </w:rPr>
        <w:footnoteRef/>
      </w:r>
      <w:r>
        <w:tab/>
      </w:r>
      <w:r>
        <w:rPr>
          <w:rFonts w:ascii="Times New Roman" w:hAnsi="Times New Roman"/>
        </w:rPr>
        <w:t xml:space="preserve"> </w:t>
      </w:r>
    </w:p>
    <w:p>
      <w:pPr>
        <w:pStyle w:val="FootnoteText"/>
        <w:spacing w:after="0" w:line="240" w:lineRule="auto"/>
        <w:ind w:left="567"/>
        <w:rPr>
          <w:rFonts w:ascii="Times New Roman" w:hAnsi="Times New Roman"/>
        </w:rPr>
      </w:pPr>
      <w:hyperlink r:id="rId8">
        <w:r>
          <w:rPr>
            <w:rStyle w:val="Hyperlink"/>
            <w:rFonts w:ascii="Times New Roman" w:hAnsi="Times New Roman"/>
          </w:rPr>
          <w:t>http://ec.europa.eu/fisheries/partners/stecf/index_en.htm</w:t>
        </w:r>
      </w:hyperlink>
      <w:r>
        <w:rPr>
          <w:rFonts w:ascii="Times New Roman" w:hAnsi="Times New Roman"/>
        </w:rPr>
        <w:t xml:space="preserve"> </w:t>
      </w:r>
    </w:p>
  </w:footnote>
  <w:footnote w:id="9">
    <w:p>
      <w:pPr>
        <w:pStyle w:val="FootnoteText"/>
        <w:spacing w:after="0" w:line="240" w:lineRule="auto"/>
        <w:ind w:left="567" w:hanging="567"/>
        <w:rPr>
          <w:rFonts w:ascii="Times New Roman" w:hAnsi="Times New Roman"/>
          <w:lang w:val="en-GB"/>
        </w:rPr>
      </w:pPr>
      <w:r>
        <w:rPr>
          <w:rStyle w:val="FootnoteReference"/>
          <w:rFonts w:ascii="Times New Roman" w:hAnsi="Times New Roman"/>
        </w:rPr>
        <w:footnoteRef/>
      </w:r>
      <w:r>
        <w:rPr>
          <w:lang w:val="en-GB"/>
        </w:rPr>
        <w:tab/>
      </w:r>
      <w:r>
        <w:rPr>
          <w:rFonts w:ascii="Times New Roman" w:hAnsi="Times New Roman"/>
          <w:lang w:val="en-GB"/>
        </w:rPr>
        <w:t xml:space="preserve">Overview report on the implementation of the rules on finfish aquaculture (2015) </w:t>
      </w:r>
      <w:hyperlink r:id="rId9">
        <w:r>
          <w:rPr>
            <w:rStyle w:val="Hyperlink"/>
            <w:rFonts w:ascii="Times New Roman" w:hAnsi="Times New Roman"/>
            <w:lang w:val="en-GB"/>
          </w:rPr>
          <w:t>http://ec.europa.eu/food/audits-analysis/overview_reports/details.cfm?rep_id=95</w:t>
        </w:r>
      </w:hyperlink>
    </w:p>
  </w:footnote>
  <w:footnote w:id="10">
    <w:p>
      <w:pPr>
        <w:pStyle w:val="FootnoteText"/>
        <w:spacing w:after="0" w:line="240" w:lineRule="auto"/>
        <w:ind w:left="567" w:hanging="567"/>
        <w:jc w:val="both"/>
        <w:rPr>
          <w:rFonts w:ascii="Times New Roman" w:hAnsi="Times New Roman"/>
          <w:lang w:val="en-GB"/>
        </w:rPr>
      </w:pPr>
      <w:r>
        <w:rPr>
          <w:rStyle w:val="FootnoteReference"/>
          <w:rFonts w:ascii="Times New Roman" w:hAnsi="Times New Roman"/>
        </w:rPr>
        <w:footnoteRef/>
      </w:r>
      <w:r>
        <w:rPr>
          <w:lang w:val="en-GB"/>
        </w:rPr>
        <w:tab/>
      </w:r>
      <w:r>
        <w:rPr>
          <w:rFonts w:ascii="Times New Roman" w:hAnsi="Times New Roman"/>
          <w:lang w:val="en-GB"/>
        </w:rPr>
        <w:t xml:space="preserve">Cuadros y gráficos adaptados del informe del estudio publicado «Welfare of farmed fish: common practices during transport and at slaughter» </w:t>
      </w:r>
      <w:hyperlink r:id="rId10">
        <w:r>
          <w:rPr>
            <w:rStyle w:val="Hyperlink"/>
            <w:rFonts w:ascii="Times New Roman" w:hAnsi="Times New Roman"/>
            <w:lang w:val="en-GB"/>
          </w:rPr>
          <w:t>https://publications.europa.eu/en/publication-detail/-/publication/facddd32-cda6-11e7-a5d5-01aa75ed71a1/language-en/format-PDF/source-49981830</w:t>
        </w:r>
      </w:hyperlink>
    </w:p>
  </w:footnote>
  <w:footnote w:id="11">
    <w:p>
      <w:pPr>
        <w:pStyle w:val="FootnoteText"/>
        <w:spacing w:after="0" w:line="240" w:lineRule="auto"/>
        <w:ind w:left="567" w:hanging="567"/>
        <w:jc w:val="both"/>
        <w:rPr>
          <w:rFonts w:ascii="Times New Roman" w:hAnsi="Times New Roman"/>
          <w:iCs/>
          <w:color w:val="666666"/>
          <w:lang w:val="en-GB"/>
        </w:rPr>
      </w:pPr>
      <w:r>
        <w:rPr>
          <w:rStyle w:val="FootnoteReference"/>
          <w:rFonts w:ascii="Times New Roman" w:hAnsi="Times New Roman"/>
        </w:rPr>
        <w:footnoteRef/>
      </w:r>
      <w:r>
        <w:rPr>
          <w:lang w:val="en-GB"/>
        </w:rPr>
        <w:tab/>
      </w:r>
      <w:r>
        <w:rPr>
          <w:rFonts w:ascii="Times New Roman" w:hAnsi="Times New Roman"/>
          <w:lang w:val="en-GB"/>
        </w:rPr>
        <w:t xml:space="preserve">FEAP, 2015, European Aquaculture production report 2005-2014 </w:t>
      </w:r>
      <w:hyperlink r:id="rId11">
        <w:r>
          <w:rPr>
            <w:rStyle w:val="Hyperlink"/>
            <w:rFonts w:ascii="Times New Roman" w:hAnsi="Times New Roman"/>
            <w:lang w:val="en-GB"/>
          </w:rPr>
          <w:t>www.feap.info/shortcut.asp?FILE=1402</w:t>
        </w:r>
      </w:hyperlink>
    </w:p>
  </w:footnote>
  <w:footnote w:id="12">
    <w:p>
      <w:pPr>
        <w:pStyle w:val="FootnoteText"/>
        <w:rPr>
          <w:rStyle w:val="Hyperlink"/>
          <w:rFonts w:ascii="Times New Roman" w:hAnsi="Times New Roman"/>
          <w:lang w:val="en-GB"/>
        </w:rPr>
      </w:pPr>
      <w:r>
        <w:rPr>
          <w:rStyle w:val="FootnoteReference"/>
        </w:rPr>
        <w:footnoteRef/>
      </w:r>
      <w:hyperlink r:id="rId12">
        <w:r>
          <w:rPr>
            <w:rStyle w:val="Hyperlink"/>
            <w:rFonts w:ascii="Times New Roman" w:hAnsi="Times New Roman"/>
            <w:lang w:val="en-GB"/>
          </w:rPr>
          <w:t>https://www.mattilsynet.no/om_mattilsynet/gjeldende_regelverk/veiledere/veileder_fiskevelferd_ved_slakteri_for_akvakulturdyr_2014.9471/binary/Veileder%20fiskevelferd%20ved%20slakteri%20for%20akvakulturdyr%202014</w:t>
        </w:r>
      </w:hyperlink>
    </w:p>
  </w:footnote>
  <w:footnote w:id="13">
    <w:p>
      <w:pPr>
        <w:pStyle w:val="FootnoteText"/>
        <w:spacing w:after="0" w:line="240" w:lineRule="auto"/>
        <w:ind w:left="567" w:hanging="567"/>
        <w:rPr>
          <w:rFonts w:ascii="Times New Roman" w:hAnsi="Times New Roman"/>
          <w:lang w:val="en-GB"/>
        </w:rPr>
      </w:pPr>
      <w:r>
        <w:rPr>
          <w:rStyle w:val="FootnoteReference"/>
          <w:rFonts w:ascii="Times New Roman" w:hAnsi="Times New Roman"/>
        </w:rPr>
        <w:footnoteRef/>
      </w:r>
      <w:hyperlink r:id="rId13">
        <w:r>
          <w:rPr>
            <w:rStyle w:val="Hyperlink"/>
            <w:rFonts w:ascii="Times New Roman" w:hAnsi="Times New Roman"/>
            <w:lang w:val="en-GB"/>
          </w:rPr>
          <w:t>http://thecodeofgoodpractice.co.uk/chapters/</w:t>
        </w:r>
      </w:hyperlink>
      <w:r>
        <w:rPr>
          <w:rFonts w:ascii="Times New Roman" w:hAnsi="Times New Roman"/>
          <w:lang w:val="en-GB"/>
        </w:rPr>
        <w:t xml:space="preserve"> </w:t>
      </w:r>
    </w:p>
  </w:footnote>
  <w:footnote w:id="14">
    <w:p>
      <w:pPr>
        <w:pStyle w:val="FootnoteText"/>
        <w:spacing w:after="0" w:line="240" w:lineRule="auto"/>
        <w:ind w:left="567" w:hanging="567"/>
        <w:rPr>
          <w:rFonts w:ascii="Times New Roman" w:hAnsi="Times New Roman"/>
          <w:lang w:val="en-GB"/>
        </w:rPr>
      </w:pPr>
      <w:r>
        <w:rPr>
          <w:rStyle w:val="FootnoteReference"/>
          <w:rFonts w:ascii="Times New Roman" w:hAnsi="Times New Roman"/>
        </w:rPr>
        <w:footnoteRef/>
      </w:r>
      <w:hyperlink r:id="rId14">
        <w:r>
          <w:rPr>
            <w:rStyle w:val="Hyperlink"/>
            <w:rFonts w:ascii="Times New Roman" w:hAnsi="Times New Roman"/>
            <w:lang w:val="en-GB"/>
          </w:rPr>
          <w:t>http://www.fishhealth.ie/FHU/sites/default/files/FHU_Files/Documents/FarmedSalmonidHealthHandbookOctober2011.pdf</w:t>
        </w:r>
      </w:hyperlink>
      <w:r>
        <w:rPr>
          <w:rFonts w:ascii="Times New Roman" w:hAnsi="Times New Roman"/>
          <w:lang w:val="en-GB"/>
        </w:rPr>
        <w:t xml:space="preserve"> </w:t>
      </w:r>
    </w:p>
  </w:footnote>
  <w:footnote w:id="15">
    <w:p>
      <w:pPr>
        <w:pStyle w:val="FootnoteText"/>
        <w:spacing w:after="0" w:line="240" w:lineRule="auto"/>
        <w:ind w:left="567" w:hanging="567"/>
        <w:jc w:val="both"/>
      </w:pPr>
      <w:r>
        <w:rPr>
          <w:rStyle w:val="FootnoteReference"/>
        </w:rPr>
        <w:footnoteRef/>
      </w:r>
      <w:r>
        <w:t xml:space="preserve"> </w:t>
      </w:r>
      <w:r>
        <w:tab/>
      </w:r>
      <w:r>
        <w:rPr>
          <w:rFonts w:ascii="Times New Roman" w:hAnsi="Times New Roman"/>
        </w:rPr>
        <w:t>Estos factores de coste se contemplaron de forma más amplia e integral en los informes del CCTEP sobre la producción y el rendimiento económico del sector.</w:t>
      </w:r>
    </w:p>
  </w:footnote>
  <w:footnote w:id="16">
    <w:p>
      <w:pPr>
        <w:pStyle w:val="FootnoteText"/>
        <w:ind w:left="567" w:hanging="567"/>
      </w:pPr>
      <w:r>
        <w:rPr>
          <w:rStyle w:val="FootnoteReference"/>
        </w:rPr>
        <w:footnoteRef/>
      </w:r>
      <w:r>
        <w:t xml:space="preserve"> </w:t>
      </w:r>
      <w:r>
        <w:tab/>
      </w:r>
      <w:r>
        <w:rPr>
          <w:rFonts w:ascii="Times New Roman" w:hAnsi="Times New Roman"/>
        </w:rPr>
        <w:t>Las autoridades de los Países Bajos remitieron una notificación a la Comisión, el 17.10.2017, relativa a un nuevo proyecto de normativa nacional que prohibirá los actuales métodos tradicionales de sacrificio de anguila a favor de métodos humanitarios de aturdimiento eléctrico (notificación 2017/0406/NL).</w:t>
      </w:r>
    </w:p>
  </w:footnote>
  <w:footnote w:id="17">
    <w:p>
      <w:pPr>
        <w:pStyle w:val="FootnoteText"/>
        <w:spacing w:after="0" w:line="240" w:lineRule="auto"/>
        <w:ind w:left="567" w:hanging="567"/>
        <w:jc w:val="both"/>
        <w:rPr>
          <w:rFonts w:ascii="Times New Roman" w:hAnsi="Times New Roman"/>
          <w:lang w:val="en-GB"/>
        </w:rPr>
      </w:pPr>
      <w:r>
        <w:rPr>
          <w:rStyle w:val="FootnoteReference"/>
          <w:rFonts w:ascii="Times New Roman" w:hAnsi="Times New Roman"/>
        </w:rPr>
        <w:footnoteRef/>
      </w:r>
      <w:r>
        <w:rPr>
          <w:lang w:val="en-GB"/>
        </w:rPr>
        <w:tab/>
      </w:r>
      <w:r>
        <w:rPr>
          <w:rFonts w:ascii="Times New Roman" w:hAnsi="Times New Roman"/>
          <w:lang w:val="en-GB"/>
        </w:rPr>
        <w:t xml:space="preserve">Overview report on the implementation of the rules on finfish aquaculture http://ec.europa.eu/food/audits-analysis/overview_reports/details.cfm?rep_id=95 </w:t>
      </w:r>
    </w:p>
  </w:footnote>
  <w:footnote w:id="18">
    <w:p>
      <w:pPr>
        <w:pStyle w:val="FootnoteText"/>
        <w:spacing w:after="0" w:line="240" w:lineRule="auto"/>
        <w:ind w:left="567" w:hanging="567"/>
        <w:jc w:val="both"/>
        <w:rPr>
          <w:rFonts w:ascii="Times New Roman" w:hAnsi="Times New Roman"/>
        </w:rPr>
      </w:pPr>
      <w:r>
        <w:rPr>
          <w:rStyle w:val="FootnoteReference"/>
          <w:rFonts w:ascii="Times New Roman" w:hAnsi="Times New Roman"/>
        </w:rPr>
        <w:footnoteRef/>
      </w:r>
      <w:r>
        <w:tab/>
      </w:r>
      <w:r>
        <w:rPr>
          <w:rFonts w:ascii="Times New Roman" w:hAnsi="Times New Roman"/>
        </w:rPr>
        <w:t>Decisión de la Comisión, de 24 de enero de 2017, por la que se crea el Grupo de Expertos de la Comisión «Plataforma de bienestar animal» (2017/C 31/12), DO C 31 de 31.1.2017, p. 61.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05328"/>
    <w:multiLevelType w:val="hybridMultilevel"/>
    <w:tmpl w:val="BA909B48"/>
    <w:lvl w:ilvl="0" w:tplc="0AF0E55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9A77878"/>
    <w:multiLevelType w:val="hybridMultilevel"/>
    <w:tmpl w:val="B0C4F38E"/>
    <w:lvl w:ilvl="0" w:tplc="0809000F">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BBC6E1C"/>
    <w:multiLevelType w:val="hybridMultilevel"/>
    <w:tmpl w:val="3CB2CB28"/>
    <w:lvl w:ilvl="0" w:tplc="C08C7526">
      <w:start w:val="1"/>
      <w:numFmt w:val="decimal"/>
      <w:lvlText w:val="%1."/>
      <w:lvlJc w:val="left"/>
      <w:pPr>
        <w:ind w:left="720" w:hanging="360"/>
      </w:pPr>
      <w:rPr>
        <w:rFonts w:hint="default"/>
        <w:sz w:val="22"/>
        <w:szCs w:val="19"/>
      </w:rPr>
    </w:lvl>
    <w:lvl w:ilvl="1" w:tplc="F89AECD4">
      <w:numFmt w:val="bullet"/>
      <w:lvlText w:val="-"/>
      <w:lvlJc w:val="left"/>
      <w:pPr>
        <w:ind w:left="1440" w:hanging="360"/>
      </w:pPr>
      <w:rPr>
        <w:rFonts w:ascii="Calibri" w:eastAsia="Calibri" w:hAnsi="Calibri"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DA07134"/>
    <w:multiLevelType w:val="hybridMultilevel"/>
    <w:tmpl w:val="682E20B4"/>
    <w:lvl w:ilvl="0" w:tplc="0AF0E55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lvlText w:val="%2."/>
      <w:lvlJc w:val="left"/>
      <w:pPr>
        <w:ind w:left="953" w:hanging="477"/>
      </w:pPr>
      <w:rPr>
        <w:rFonts w:hint="default"/>
      </w:rPr>
    </w:lvl>
    <w:lvl w:ilvl="2">
      <w:start w:val="1"/>
      <w:numFmt w:val="lowerRoman"/>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37BE2F85"/>
    <w:multiLevelType w:val="hybridMultilevel"/>
    <w:tmpl w:val="64408288"/>
    <w:lvl w:ilvl="0" w:tplc="7FB4BB4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3571481"/>
    <w:multiLevelType w:val="hybridMultilevel"/>
    <w:tmpl w:val="AD54E176"/>
    <w:lvl w:ilvl="0" w:tplc="6CAA18DA">
      <w:start w:val="1"/>
      <w:numFmt w:val="bullet"/>
      <w:lvlText w:val=""/>
      <w:lvlJc w:val="righ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8CD3452"/>
    <w:multiLevelType w:val="hybridMultilevel"/>
    <w:tmpl w:val="C4C675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9574BCA"/>
    <w:multiLevelType w:val="hybridMultilevel"/>
    <w:tmpl w:val="817044C0"/>
    <w:lvl w:ilvl="0" w:tplc="0AF0E55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4C214FE0"/>
    <w:multiLevelType w:val="hybridMultilevel"/>
    <w:tmpl w:val="020A968C"/>
    <w:lvl w:ilvl="0" w:tplc="0AF0E55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54381FF8"/>
    <w:multiLevelType w:val="hybridMultilevel"/>
    <w:tmpl w:val="7414B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B855555"/>
    <w:multiLevelType w:val="hybridMultilevel"/>
    <w:tmpl w:val="62CA5BE6"/>
    <w:lvl w:ilvl="0" w:tplc="0AF0E55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6B0576C4"/>
    <w:multiLevelType w:val="multilevel"/>
    <w:tmpl w:val="9A1C8FD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6C471EC5"/>
    <w:multiLevelType w:val="hybridMultilevel"/>
    <w:tmpl w:val="4A1C7AC0"/>
    <w:lvl w:ilvl="0" w:tplc="4ED813F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C6F23C0"/>
    <w:multiLevelType w:val="hybridMultilevel"/>
    <w:tmpl w:val="EA2E874A"/>
    <w:lvl w:ilvl="0" w:tplc="0AF0E55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75A87CDB"/>
    <w:multiLevelType w:val="hybridMultilevel"/>
    <w:tmpl w:val="81561EF2"/>
    <w:lvl w:ilvl="0" w:tplc="0AF0E55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7A3B7E71"/>
    <w:multiLevelType w:val="hybridMultilevel"/>
    <w:tmpl w:val="8A8A4D12"/>
    <w:lvl w:ilvl="0" w:tplc="7FB4BB4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7DD10549"/>
    <w:multiLevelType w:val="hybridMultilevel"/>
    <w:tmpl w:val="087CEAAC"/>
    <w:lvl w:ilvl="0" w:tplc="C6067BCA">
      <w:start w:val="1"/>
      <w:numFmt w:val="bullet"/>
      <w:lvlText w:val=""/>
      <w:lvlJc w:val="righ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16"/>
  </w:num>
  <w:num w:numId="4">
    <w:abstractNumId w:val="7"/>
  </w:num>
  <w:num w:numId="5">
    <w:abstractNumId w:val="13"/>
  </w:num>
  <w:num w:numId="6">
    <w:abstractNumId w:val="1"/>
  </w:num>
  <w:num w:numId="7">
    <w:abstractNumId w:val="4"/>
  </w:num>
  <w:num w:numId="8">
    <w:abstractNumId w:val="2"/>
  </w:num>
  <w:num w:numId="9">
    <w:abstractNumId w:val="17"/>
  </w:num>
  <w:num w:numId="10">
    <w:abstractNumId w:val="6"/>
  </w:num>
  <w:num w:numId="11">
    <w:abstractNumId w:val="11"/>
  </w:num>
  <w:num w:numId="12">
    <w:abstractNumId w:val="15"/>
  </w:num>
  <w:num w:numId="13">
    <w:abstractNumId w:val="3"/>
  </w:num>
  <w:num w:numId="14">
    <w:abstractNumId w:val="0"/>
  </w:num>
  <w:num w:numId="15">
    <w:abstractNumId w:val="14"/>
  </w:num>
  <w:num w:numId="16">
    <w:abstractNumId w:val="8"/>
  </w:num>
  <w:num w:numId="17">
    <w:abstractNumId w:val="9"/>
  </w:num>
  <w:num w:numId="18">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iall gerlitz">
    <w15:presenceInfo w15:providerId="Windows Live" w15:userId="1fa9663c0034198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2"/>
  <w:hideSpellingErrors/>
  <w:hideGrammaticalErrors/>
  <w:revisionView w:markup="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FigNum" w:val="1"/>
    <w:docVar w:name="LW_CORRIGENDUM" w:val="&lt;UNUSED&gt;"/>
    <w:docVar w:name="LW_COVERPAGE_EXISTS" w:val="True"/>
    <w:docVar w:name="LW_COVERPAGE_GUID" w:val="DCF9B6A1-65E3-4BA8-9B16-71CE708634F1"/>
    <w:docVar w:name="LW_COVERPAGE_TYPE" w:val="1"/>
    <w:docVar w:name="LW_CROSSREFERENCE" w:val="&lt;UNUSED&gt;"/>
    <w:docVar w:name="LW_DocType" w:val="NORMAL"/>
    <w:docVar w:name="LW_EMISSION" w:val="6.3.2018"/>
    <w:docVar w:name="LW_EMISSION_ISODATE" w:val="2018-03-06"/>
    <w:docVar w:name="LW_EMISSION_LOCATION" w:val="BRX"/>
    <w:docVar w:name="LW_EMISSION_PREFIX" w:val="Bruselas, "/>
    <w:docVar w:name="LW_EMISSION_SUFFIX" w:val="&lt;EMPTY&gt;"/>
    <w:docVar w:name="LW_ID_DOCTYPE_NONLW" w:val="CP-006"/>
    <w:docVar w:name="LW_LANGUE" w:val="ES"/>
    <w:docVar w:name="LW_LEVEL_OF_SENSITIVITY" w:val="Standard treatment"/>
    <w:docVar w:name="LW_NOM.INST" w:val="COMISIÓN EUROPEA"/>
    <w:docVar w:name="LW_NOM.INST_JOINTDOC" w:val="&lt;EMPTY&gt;"/>
    <w:docVar w:name="LW_PART_NBR" w:val="1"/>
    <w:docVar w:name="LW_PART_NBR_TOTAL" w:val="1"/>
    <w:docVar w:name="LW_REF.INST.NEW" w:val="COM"/>
    <w:docVar w:name="LW_REF.INST.NEW_ADOPTED" w:val="final"/>
    <w:docVar w:name="LW_REF.INST.NEW_TEXT" w:val="(2018) 8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FMT:Bold&gt;sobre la posibilidad de introducir determinados requisitos en relación con la protección de los peces en el momento de su matanza&lt;/FMT&gt;_x000b__x000b__x000b_(Texto pertinente a efectos del EEE)"/>
    <w:docVar w:name="LW_TYPE.DOC.CP" w:val="INFORME DE LA COMISIÓN AL PARLAMENTO EUROPEO Y AL CONSEJO"/>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s-ES" w:bidi="es-E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pPr>
      <w:framePr w:wrap="around" w:vAnchor="text" w:hAnchor="text" w:y="1"/>
      <w:spacing w:before="200" w:after="0"/>
      <w:outlineLvl w:val="0"/>
    </w:pPr>
    <w:rPr>
      <w:rFonts w:ascii="Times New Roman" w:eastAsia="Times New Roman" w:hAnsi="Times New Roman" w:cs="Times New Roman"/>
      <w:b/>
      <w:bCs/>
      <w:caps/>
      <w:color w:val="FFFFFF"/>
      <w:spacing w:val="15"/>
      <w:sz w:val="24"/>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customStyle="1" w:styleId="Heading1Char">
    <w:name w:val="Heading 1 Char"/>
    <w:basedOn w:val="DefaultParagraphFont"/>
    <w:link w:val="Heading1"/>
    <w:uiPriority w:val="9"/>
    <w:rPr>
      <w:rFonts w:ascii="Times New Roman" w:eastAsia="Times New Roman" w:hAnsi="Times New Roman" w:cs="Times New Roman"/>
      <w:b/>
      <w:bCs/>
      <w:caps/>
      <w:color w:val="FFFFFF"/>
      <w:spacing w:val="15"/>
      <w:sz w:val="24"/>
      <w:lang w:val="es-ES" w:eastAsia="es-ES"/>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lang w:val="es-E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lang w:val="es-ES"/>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lang w:val="es-ES"/>
    </w:rPr>
  </w:style>
  <w:style w:type="paragraph" w:styleId="BalloonText">
    <w:name w:val="Balloon Text"/>
    <w:basedOn w:val="Normal"/>
    <w:link w:val="BalloonTextChar"/>
    <w:uiPriority w:val="99"/>
    <w:semiHidden/>
    <w:unhideWhenUsed/>
    <w:pPr>
      <w:spacing w:after="0" w:line="240" w:lineRule="auto"/>
    </w:pPr>
    <w:rPr>
      <w:rFonts w:ascii="Tahoma" w:eastAsia="Calibri" w:hAnsi="Tahoma" w:cs="Times New Roman"/>
      <w:sz w:val="16"/>
      <w:szCs w:val="16"/>
    </w:rPr>
  </w:style>
  <w:style w:type="character" w:customStyle="1" w:styleId="BalloonTextChar">
    <w:name w:val="Balloon Text Char"/>
    <w:basedOn w:val="DefaultParagraphFont"/>
    <w:link w:val="BalloonText"/>
    <w:uiPriority w:val="99"/>
    <w:semiHidden/>
    <w:rPr>
      <w:rFonts w:ascii="Tahoma" w:eastAsia="Calibri" w:hAnsi="Tahoma" w:cs="Times New Roman"/>
      <w:sz w:val="16"/>
      <w:szCs w:val="16"/>
      <w:lang w:val="es-ES"/>
    </w:rPr>
  </w:style>
  <w:style w:type="character" w:styleId="Strong">
    <w:name w:val="Strong"/>
    <w:uiPriority w:val="22"/>
    <w:qFormat/>
    <w:rPr>
      <w:b/>
      <w:bCs/>
    </w:rPr>
  </w:style>
  <w:style w:type="paragraph" w:styleId="FootnoteText">
    <w:name w:val="footnote text"/>
    <w:aliases w:val="fn,FOOTNOTES,single space,Fußnotentextf,Fodnotetekst Tegn,footnote text Char,Fodnotetekst Tegn Char,single space Char,footnote text Char Char Char,Fodnotetekst Tegn Char1,single space Char1,footnote text Char Char1,Footnote text,f,ft"/>
    <w:basedOn w:val="Normal"/>
    <w:link w:val="FootnoteTextChar"/>
    <w:uiPriority w:val="99"/>
    <w:unhideWhenUsed/>
    <w:rPr>
      <w:rFonts w:ascii="Calibri" w:eastAsia="Calibri" w:hAnsi="Calibri" w:cs="Times New Roman"/>
      <w:sz w:val="20"/>
      <w:szCs w:val="20"/>
    </w:rPr>
  </w:style>
  <w:style w:type="character" w:customStyle="1" w:styleId="FootnoteTextChar">
    <w:name w:val="Footnote Text Char"/>
    <w:aliases w:val="fn Char,FOOTNOTES Char,single space Char2,Fußnotentextf Char,Fodnotetekst Tegn Char2,footnote text Char Char,Fodnotetekst Tegn Char Char,single space Char Char,footnote text Char Char Char Char,Fodnotetekst Tegn Char1 Char,f Char"/>
    <w:basedOn w:val="DefaultParagraphFont"/>
    <w:link w:val="FootnoteText"/>
    <w:uiPriority w:val="99"/>
    <w:rPr>
      <w:rFonts w:ascii="Calibri" w:eastAsia="Calibri" w:hAnsi="Calibri" w:cs="Times New Roman"/>
      <w:sz w:val="20"/>
      <w:szCs w:val="20"/>
      <w:lang w:val="es-ES"/>
    </w:rPr>
  </w:style>
  <w:style w:type="character" w:styleId="FootnoteReference">
    <w:name w:val="footnote reference"/>
    <w:aliases w:val="ftref,Odwołanie przypisu,Footnote symbol,Footnote Reference Number,Footnote Reference Superscript,SUPERS,Times 10 Point,Exposant 3 Point,Footnote,Ref,de nota al pie,-E Fußnotenzeichen,number,stylish, Exposant 3 Point,Footnote sig,fr,o"/>
    <w:uiPriority w:val="99"/>
    <w:unhideWhenUsed/>
    <w:rPr>
      <w:vertAlign w:val="superscript"/>
    </w:rPr>
  </w:style>
  <w:style w:type="paragraph" w:customStyle="1" w:styleId="normal2">
    <w:name w:val="normal2"/>
    <w:basedOn w:val="Normal"/>
    <w:pPr>
      <w:spacing w:before="120" w:after="0" w:line="312" w:lineRule="atLeast"/>
      <w:jc w:val="both"/>
    </w:pPr>
    <w:rPr>
      <w:rFonts w:ascii="Times New Roman" w:eastAsia="Times New Roman" w:hAnsi="Times New Roman" w:cs="Times New Roman"/>
      <w:sz w:val="24"/>
      <w:szCs w:val="24"/>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lang w:val="es-E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lang w:val="es-ES"/>
    </w:rPr>
  </w:style>
  <w:style w:type="character" w:styleId="Hyperlink">
    <w:name w:val="Hyperlink"/>
    <w:uiPriority w:val="99"/>
    <w:unhideWhenUsed/>
    <w:rPr>
      <w:color w:val="0000FF"/>
      <w:u w:val="single"/>
    </w:rPr>
  </w:style>
  <w:style w:type="character" w:styleId="FollowedHyperlink">
    <w:name w:val="FollowedHyperlink"/>
    <w:uiPriority w:val="99"/>
    <w:semiHidden/>
    <w:unhideWhenUsed/>
    <w:rPr>
      <w:color w:val="800080"/>
      <w:u w:val="single"/>
    </w:rPr>
  </w:style>
  <w:style w:type="character" w:styleId="LineNumber">
    <w:name w:val="line number"/>
    <w:basedOn w:val="DefaultParagraphFont"/>
    <w:uiPriority w:val="99"/>
    <w:semiHidden/>
    <w:unhideWhenUsed/>
  </w:style>
  <w:style w:type="paragraph" w:styleId="Revision">
    <w:name w:val="Revision"/>
    <w:hidden/>
    <w:uiPriority w:val="99"/>
    <w:semiHidden/>
    <w:pPr>
      <w:spacing w:after="0" w:line="240" w:lineRule="auto"/>
    </w:pPr>
    <w:rPr>
      <w:rFonts w:ascii="Calibri" w:eastAsia="Calibri" w:hAnsi="Calibri" w:cs="Times New Roman"/>
    </w:rPr>
  </w:style>
  <w:style w:type="paragraph" w:customStyle="1" w:styleId="LegalNumPar">
    <w:name w:val="LegalNumPar"/>
    <w:basedOn w:val="Normal"/>
    <w:pPr>
      <w:numPr>
        <w:numId w:val="7"/>
      </w:numPr>
      <w:spacing w:line="240" w:lineRule="auto"/>
    </w:pPr>
  </w:style>
  <w:style w:type="paragraph" w:styleId="ListParagraph">
    <w:name w:val="List Paragraph"/>
    <w:aliases w:val="List Paragraph in table,Table of contents numbered,Bullet OFM,Bullet Points,Renkli Liste - Vurgu 11,Liste Paragraf1,Liste Paragraf,Citation List,Medium Grid 1 - Accent 21,PROVERE 1"/>
    <w:basedOn w:val="Normal"/>
    <w:link w:val="ListParagraphChar"/>
    <w:uiPriority w:val="34"/>
    <w:qFormat/>
    <w:pPr>
      <w:spacing w:before="120" w:after="120" w:line="240" w:lineRule="auto"/>
      <w:ind w:left="720"/>
      <w:contextualSpacing/>
      <w:jc w:val="both"/>
    </w:pPr>
    <w:rPr>
      <w:rFonts w:eastAsia="Times New Roman" w:cs="Arial"/>
      <w:szCs w:val="20"/>
    </w:rPr>
  </w:style>
  <w:style w:type="character" w:customStyle="1" w:styleId="ListParagraphChar">
    <w:name w:val="List Paragraph Char"/>
    <w:aliases w:val="List Paragraph in table Char,Table of contents numbered Char,Bullet OFM Char,Bullet Points Char,Renkli Liste - Vurgu 11 Char,Liste Paragraf1 Char,Liste Paragraf Char,Citation List Char,Medium Grid 1 - Accent 21 Char,PROVERE 1 Char"/>
    <w:link w:val="ListParagraph"/>
    <w:uiPriority w:val="34"/>
    <w:locked/>
    <w:rPr>
      <w:rFonts w:eastAsia="Times New Roman" w:cs="Arial"/>
      <w:szCs w:val="20"/>
      <w:lang w:val="es-ES"/>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document-chapitre-intitule">
    <w:name w:val="document-chapitre-intitule"/>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Pr>
      <w:color w:val="808080"/>
      <w:shd w:val="clear" w:color="auto" w:fill="E6E6E6"/>
    </w:rPr>
  </w:style>
  <w:style w:type="paragraph" w:styleId="TOCHeading">
    <w:name w:val="TOC Heading"/>
    <w:basedOn w:val="Heading1"/>
    <w:next w:val="Normal"/>
    <w:uiPriority w:val="39"/>
    <w:semiHidden/>
    <w:unhideWhenUsed/>
    <w:qFormat/>
    <w:pPr>
      <w:keepNext/>
      <w:keepLines/>
      <w:framePr w:wrap="auto" w:vAnchor="margin" w:yAlign="inline"/>
      <w:spacing w:before="480"/>
      <w:outlineLvl w:val="9"/>
    </w:pPr>
    <w:rPr>
      <w:rFonts w:asciiTheme="majorHAnsi" w:eastAsiaTheme="majorEastAsia" w:hAnsiTheme="majorHAnsi" w:cstheme="majorBidi"/>
      <w:caps w:val="0"/>
      <w:color w:val="365F91" w:themeColor="accent1" w:themeShade="BF"/>
      <w:spacing w:val="0"/>
      <w:sz w:val="28"/>
      <w:szCs w:val="28"/>
    </w:rPr>
  </w:style>
  <w:style w:type="paragraph" w:styleId="TOC2">
    <w:name w:val="toc 2"/>
    <w:basedOn w:val="Normal"/>
    <w:next w:val="Normal"/>
    <w:autoRedefine/>
    <w:uiPriority w:val="39"/>
    <w:unhideWhenUsed/>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s-ES" w:bidi="es-E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pPr>
      <w:framePr w:wrap="around" w:vAnchor="text" w:hAnchor="text" w:y="1"/>
      <w:spacing w:before="200" w:after="0"/>
      <w:outlineLvl w:val="0"/>
    </w:pPr>
    <w:rPr>
      <w:rFonts w:ascii="Times New Roman" w:eastAsia="Times New Roman" w:hAnsi="Times New Roman" w:cs="Times New Roman"/>
      <w:b/>
      <w:bCs/>
      <w:caps/>
      <w:color w:val="FFFFFF"/>
      <w:spacing w:val="15"/>
      <w:sz w:val="24"/>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customStyle="1" w:styleId="Heading1Char">
    <w:name w:val="Heading 1 Char"/>
    <w:basedOn w:val="DefaultParagraphFont"/>
    <w:link w:val="Heading1"/>
    <w:uiPriority w:val="9"/>
    <w:rPr>
      <w:rFonts w:ascii="Times New Roman" w:eastAsia="Times New Roman" w:hAnsi="Times New Roman" w:cs="Times New Roman"/>
      <w:b/>
      <w:bCs/>
      <w:caps/>
      <w:color w:val="FFFFFF"/>
      <w:spacing w:val="15"/>
      <w:sz w:val="24"/>
      <w:lang w:val="es-ES" w:eastAsia="es-ES"/>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lang w:val="es-E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lang w:val="es-ES"/>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lang w:val="es-ES"/>
    </w:rPr>
  </w:style>
  <w:style w:type="paragraph" w:styleId="BalloonText">
    <w:name w:val="Balloon Text"/>
    <w:basedOn w:val="Normal"/>
    <w:link w:val="BalloonTextChar"/>
    <w:uiPriority w:val="99"/>
    <w:semiHidden/>
    <w:unhideWhenUsed/>
    <w:pPr>
      <w:spacing w:after="0" w:line="240" w:lineRule="auto"/>
    </w:pPr>
    <w:rPr>
      <w:rFonts w:ascii="Tahoma" w:eastAsia="Calibri" w:hAnsi="Tahoma" w:cs="Times New Roman"/>
      <w:sz w:val="16"/>
      <w:szCs w:val="16"/>
    </w:rPr>
  </w:style>
  <w:style w:type="character" w:customStyle="1" w:styleId="BalloonTextChar">
    <w:name w:val="Balloon Text Char"/>
    <w:basedOn w:val="DefaultParagraphFont"/>
    <w:link w:val="BalloonText"/>
    <w:uiPriority w:val="99"/>
    <w:semiHidden/>
    <w:rPr>
      <w:rFonts w:ascii="Tahoma" w:eastAsia="Calibri" w:hAnsi="Tahoma" w:cs="Times New Roman"/>
      <w:sz w:val="16"/>
      <w:szCs w:val="16"/>
      <w:lang w:val="es-ES"/>
    </w:rPr>
  </w:style>
  <w:style w:type="character" w:styleId="Strong">
    <w:name w:val="Strong"/>
    <w:uiPriority w:val="22"/>
    <w:qFormat/>
    <w:rPr>
      <w:b/>
      <w:bCs/>
    </w:rPr>
  </w:style>
  <w:style w:type="paragraph" w:styleId="FootnoteText">
    <w:name w:val="footnote text"/>
    <w:aliases w:val="fn,FOOTNOTES,single space,Fußnotentextf,Fodnotetekst Tegn,footnote text Char,Fodnotetekst Tegn Char,single space Char,footnote text Char Char Char,Fodnotetekst Tegn Char1,single space Char1,footnote text Char Char1,Footnote text,f,ft"/>
    <w:basedOn w:val="Normal"/>
    <w:link w:val="FootnoteTextChar"/>
    <w:uiPriority w:val="99"/>
    <w:unhideWhenUsed/>
    <w:rPr>
      <w:rFonts w:ascii="Calibri" w:eastAsia="Calibri" w:hAnsi="Calibri" w:cs="Times New Roman"/>
      <w:sz w:val="20"/>
      <w:szCs w:val="20"/>
    </w:rPr>
  </w:style>
  <w:style w:type="character" w:customStyle="1" w:styleId="FootnoteTextChar">
    <w:name w:val="Footnote Text Char"/>
    <w:aliases w:val="fn Char,FOOTNOTES Char,single space Char2,Fußnotentextf Char,Fodnotetekst Tegn Char2,footnote text Char Char,Fodnotetekst Tegn Char Char,single space Char Char,footnote text Char Char Char Char,Fodnotetekst Tegn Char1 Char,f Char"/>
    <w:basedOn w:val="DefaultParagraphFont"/>
    <w:link w:val="FootnoteText"/>
    <w:uiPriority w:val="99"/>
    <w:rPr>
      <w:rFonts w:ascii="Calibri" w:eastAsia="Calibri" w:hAnsi="Calibri" w:cs="Times New Roman"/>
      <w:sz w:val="20"/>
      <w:szCs w:val="20"/>
      <w:lang w:val="es-ES"/>
    </w:rPr>
  </w:style>
  <w:style w:type="character" w:styleId="FootnoteReference">
    <w:name w:val="footnote reference"/>
    <w:aliases w:val="ftref,Odwołanie przypisu,Footnote symbol,Footnote Reference Number,Footnote Reference Superscript,SUPERS,Times 10 Point,Exposant 3 Point,Footnote,Ref,de nota al pie,-E Fußnotenzeichen,number,stylish, Exposant 3 Point,Footnote sig,fr,o"/>
    <w:uiPriority w:val="99"/>
    <w:unhideWhenUsed/>
    <w:rPr>
      <w:vertAlign w:val="superscript"/>
    </w:rPr>
  </w:style>
  <w:style w:type="paragraph" w:customStyle="1" w:styleId="normal2">
    <w:name w:val="normal2"/>
    <w:basedOn w:val="Normal"/>
    <w:pPr>
      <w:spacing w:before="120" w:after="0" w:line="312" w:lineRule="atLeast"/>
      <w:jc w:val="both"/>
    </w:pPr>
    <w:rPr>
      <w:rFonts w:ascii="Times New Roman" w:eastAsia="Times New Roman" w:hAnsi="Times New Roman" w:cs="Times New Roman"/>
      <w:sz w:val="24"/>
      <w:szCs w:val="24"/>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lang w:val="es-E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lang w:val="es-ES"/>
    </w:rPr>
  </w:style>
  <w:style w:type="character" w:styleId="Hyperlink">
    <w:name w:val="Hyperlink"/>
    <w:uiPriority w:val="99"/>
    <w:unhideWhenUsed/>
    <w:rPr>
      <w:color w:val="0000FF"/>
      <w:u w:val="single"/>
    </w:rPr>
  </w:style>
  <w:style w:type="character" w:styleId="FollowedHyperlink">
    <w:name w:val="FollowedHyperlink"/>
    <w:uiPriority w:val="99"/>
    <w:semiHidden/>
    <w:unhideWhenUsed/>
    <w:rPr>
      <w:color w:val="800080"/>
      <w:u w:val="single"/>
    </w:rPr>
  </w:style>
  <w:style w:type="character" w:styleId="LineNumber">
    <w:name w:val="line number"/>
    <w:basedOn w:val="DefaultParagraphFont"/>
    <w:uiPriority w:val="99"/>
    <w:semiHidden/>
    <w:unhideWhenUsed/>
  </w:style>
  <w:style w:type="paragraph" w:styleId="Revision">
    <w:name w:val="Revision"/>
    <w:hidden/>
    <w:uiPriority w:val="99"/>
    <w:semiHidden/>
    <w:pPr>
      <w:spacing w:after="0" w:line="240" w:lineRule="auto"/>
    </w:pPr>
    <w:rPr>
      <w:rFonts w:ascii="Calibri" w:eastAsia="Calibri" w:hAnsi="Calibri" w:cs="Times New Roman"/>
    </w:rPr>
  </w:style>
  <w:style w:type="paragraph" w:customStyle="1" w:styleId="LegalNumPar">
    <w:name w:val="LegalNumPar"/>
    <w:basedOn w:val="Normal"/>
    <w:pPr>
      <w:numPr>
        <w:numId w:val="7"/>
      </w:numPr>
      <w:spacing w:line="240" w:lineRule="auto"/>
    </w:pPr>
  </w:style>
  <w:style w:type="paragraph" w:styleId="ListParagraph">
    <w:name w:val="List Paragraph"/>
    <w:aliases w:val="List Paragraph in table,Table of contents numbered,Bullet OFM,Bullet Points,Renkli Liste - Vurgu 11,Liste Paragraf1,Liste Paragraf,Citation List,Medium Grid 1 - Accent 21,PROVERE 1"/>
    <w:basedOn w:val="Normal"/>
    <w:link w:val="ListParagraphChar"/>
    <w:uiPriority w:val="34"/>
    <w:qFormat/>
    <w:pPr>
      <w:spacing w:before="120" w:after="120" w:line="240" w:lineRule="auto"/>
      <w:ind w:left="720"/>
      <w:contextualSpacing/>
      <w:jc w:val="both"/>
    </w:pPr>
    <w:rPr>
      <w:rFonts w:eastAsia="Times New Roman" w:cs="Arial"/>
      <w:szCs w:val="20"/>
    </w:rPr>
  </w:style>
  <w:style w:type="character" w:customStyle="1" w:styleId="ListParagraphChar">
    <w:name w:val="List Paragraph Char"/>
    <w:aliases w:val="List Paragraph in table Char,Table of contents numbered Char,Bullet OFM Char,Bullet Points Char,Renkli Liste - Vurgu 11 Char,Liste Paragraf1 Char,Liste Paragraf Char,Citation List Char,Medium Grid 1 - Accent 21 Char,PROVERE 1 Char"/>
    <w:link w:val="ListParagraph"/>
    <w:uiPriority w:val="34"/>
    <w:locked/>
    <w:rPr>
      <w:rFonts w:eastAsia="Times New Roman" w:cs="Arial"/>
      <w:szCs w:val="20"/>
      <w:lang w:val="es-ES"/>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document-chapitre-intitule">
    <w:name w:val="document-chapitre-intitule"/>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Pr>
      <w:color w:val="808080"/>
      <w:shd w:val="clear" w:color="auto" w:fill="E6E6E6"/>
    </w:rPr>
  </w:style>
  <w:style w:type="paragraph" w:styleId="TOCHeading">
    <w:name w:val="TOC Heading"/>
    <w:basedOn w:val="Heading1"/>
    <w:next w:val="Normal"/>
    <w:uiPriority w:val="39"/>
    <w:semiHidden/>
    <w:unhideWhenUsed/>
    <w:qFormat/>
    <w:pPr>
      <w:keepNext/>
      <w:keepLines/>
      <w:framePr w:wrap="auto" w:vAnchor="margin" w:yAlign="inline"/>
      <w:spacing w:before="480"/>
      <w:outlineLvl w:val="9"/>
    </w:pPr>
    <w:rPr>
      <w:rFonts w:asciiTheme="majorHAnsi" w:eastAsiaTheme="majorEastAsia" w:hAnsiTheme="majorHAnsi" w:cstheme="majorBidi"/>
      <w:caps w:val="0"/>
      <w:color w:val="365F91" w:themeColor="accent1" w:themeShade="BF"/>
      <w:spacing w:val="0"/>
      <w:sz w:val="28"/>
      <w:szCs w:val="28"/>
    </w:rPr>
  </w:style>
  <w:style w:type="paragraph" w:styleId="TOC2">
    <w:name w:val="toc 2"/>
    <w:basedOn w:val="Normal"/>
    <w:next w:val="Normal"/>
    <w:autoRedefine/>
    <w:uiPriority w:val="39"/>
    <w:unhideWhenUsed/>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9309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emf"/><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yperlink" Target="https://ec.europa.eu/fisheries/marine_species_es"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emf"/><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6.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5.xml"/><Relationship Id="rId37"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4.xml"/><Relationship Id="rId28" Type="http://schemas.openxmlformats.org/officeDocument/2006/relationships/footer" Target="footer6.xml"/><Relationship Id="rId10" Type="http://schemas.openxmlformats.org/officeDocument/2006/relationships/header" Target="header1.xml"/><Relationship Id="rId19" Type="http://schemas.openxmlformats.org/officeDocument/2006/relationships/image" Target="media/image5.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7.png"/><Relationship Id="rId27" Type="http://schemas.openxmlformats.org/officeDocument/2006/relationships/header" Target="header6.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ec.europa.eu/fisheries/partners/stecf/index_en.htm" TargetMode="External"/><Relationship Id="rId13" Type="http://schemas.openxmlformats.org/officeDocument/2006/relationships/hyperlink" Target="http://thecodeofgoodpractice.co.uk/chapters/" TargetMode="External"/><Relationship Id="rId3" Type="http://schemas.openxmlformats.org/officeDocument/2006/relationships/hyperlink" Target="http://www.efsa.europa.eu/en/efsajournal/pub/1013" TargetMode="External"/><Relationship Id="rId7" Type="http://schemas.openxmlformats.org/officeDocument/2006/relationships/hyperlink" Target="https://publications.europa.eu/en/publication-detail/-/publication/facddd32-cda6-11e7-a5d5-01aa75ed71a1/language-en/format-PDF/source-49981830" TargetMode="External"/><Relationship Id="rId12" Type="http://schemas.openxmlformats.org/officeDocument/2006/relationships/hyperlink" Target="https://www.mattilsynet.no/om_mattilsynet/gjeldende_regelverk/veiledere/veileder_fiskevelferd_ved_slakteri_for_akvakulturdyr_2014.9471/binary/Veileder%20fiskevelferd%20ved%20slakteri%20for%20akvakulturdyr%202014" TargetMode="External"/><Relationship Id="rId2" Type="http://schemas.openxmlformats.org/officeDocument/2006/relationships/hyperlink" Target="http://www.oie.int/es/normas-internacionales/codigo-acuatico/acceso-en-linea/?htmfile=chapitre_welfare_stunning_killing.htm" TargetMode="External"/><Relationship Id="rId1" Type="http://schemas.openxmlformats.org/officeDocument/2006/relationships/hyperlink" Target="https://ec.europa.eu/fisheries/cfp/aquaculture_es" TargetMode="External"/><Relationship Id="rId6" Type="http://schemas.openxmlformats.org/officeDocument/2006/relationships/hyperlink" Target="http://www.efsa.europa.eu/en/efsajournal/pub/1011" TargetMode="External"/><Relationship Id="rId11" Type="http://schemas.openxmlformats.org/officeDocument/2006/relationships/hyperlink" Target="http://www.feap.info/shortcut.asp?FILE=1402" TargetMode="External"/><Relationship Id="rId5" Type="http://schemas.openxmlformats.org/officeDocument/2006/relationships/hyperlink" Target="http://www.efsa.europa.eu/en/efsajournal/pub/1010" TargetMode="External"/><Relationship Id="rId10" Type="http://schemas.openxmlformats.org/officeDocument/2006/relationships/hyperlink" Target="https://myremote.ec.europa.eu/owa/,DanaInfo=remi.webmail.ec.europa.eu,SSL+redir.aspx?C=Pxcvm-yFuzfu-Hb0RobFRV5iT_hqVYmM0c8TqSBWn_uQ1qPtNTDVCA..&amp;URL=https://publications.europa.eu/en/publication-detail/-/publication/facddd32-cda6-11e7-a5d5-01aa75ed71a1/language-en/format-PDF/source-49981830" TargetMode="External"/><Relationship Id="rId4" Type="http://schemas.openxmlformats.org/officeDocument/2006/relationships/hyperlink" Target="http://www.efsa.europa.eu/en/efsajournal/pub/1012" TargetMode="External"/><Relationship Id="rId9" Type="http://schemas.openxmlformats.org/officeDocument/2006/relationships/hyperlink" Target="http://ec.europa.eu/food/audits-analysis/overview_reports/details.cfm?rep_id=95" TargetMode="External"/><Relationship Id="rId14" Type="http://schemas.openxmlformats.org/officeDocument/2006/relationships/hyperlink" Target="http://www.fishhealth.ie/FHU/sites/default/files/FHU_Files/Documents/FarmedSalmonidHealthHandbookOctober201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1A65C-4F10-44B3-BA93-400FF5E32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16</Pages>
  <Words>5406</Words>
  <Characters>27359</Characters>
  <Application>Microsoft Office Word</Application>
  <DocSecurity>0</DocSecurity>
  <Lines>943</Lines>
  <Paragraphs>606</Paragraphs>
  <ScaleCrop>false</ScaleCrop>
  <HeadingPairs>
    <vt:vector size="2" baseType="variant">
      <vt:variant>
        <vt:lpstr>Title</vt:lpstr>
      </vt:variant>
      <vt:variant>
        <vt:i4>1</vt:i4>
      </vt:variant>
    </vt:vector>
  </HeadingPairs>
  <TitlesOfParts>
    <vt:vector size="1" baseType="lpstr">
      <vt:lpstr>SANTE/12021/2017-EN CIS</vt:lpstr>
    </vt:vector>
  </TitlesOfParts>
  <Manager/>
  <Company/>
  <LinksUpToDate>false</LinksUpToDate>
  <CharactersWithSpaces>32159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SANTE/12021/2017-EN Rev, 1 </dc:title>
  <dc:subject>Report</dc:subject>
  <dc:creator/>
  <cp:keywords>12021</cp:keywords>
  <dc:description>OUTLOOK - 15.2.2018</dc:description>
  <cp:lastModifiedBy>DIGIT/A3</cp:lastModifiedBy>
  <cp:revision>28</cp:revision>
  <dcterms:created xsi:type="dcterms:W3CDTF">2018-02-15T08:55:00Z</dcterms:created>
  <dcterms:modified xsi:type="dcterms:W3CDTF">2018-03-05T09:07:00Z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ies>
</file>