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BA" w:rsidRDefault="004F1AC2" w:rsidP="004F1AC2"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BD390C06-D1A4-477E-81CE-0F1FB6C23699" style="width:450.75pt;height:321pt">
            <v:imagedata r:id="rId9" o:title=""/>
          </v:shape>
        </w:pict>
      </w:r>
    </w:p>
    <w:bookmarkEnd w:id="0"/>
    <w:p w:rsidR="00B477BA" w:rsidRDefault="00B477BA">
      <w:pPr>
        <w:rPr>
          <w:noProof/>
        </w:rPr>
        <w:sectPr w:rsidR="00B477BA" w:rsidSect="004F1A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B477BA" w:rsidRDefault="004F1AC2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24"/>
          <w:u w:val="single"/>
        </w:rPr>
        <w:lastRenderedPageBreak/>
        <w:t>1. Johdanto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Unionin tilaa käsitelleessä puheessaan</w:t>
      </w:r>
      <w:r>
        <w:rPr>
          <w:rFonts w:ascii="Times New Roman" w:hAnsi="Times New Roman"/>
          <w:noProof/>
          <w:sz w:val="24"/>
        </w:rPr>
        <w:t xml:space="preserve"> 9. syyskuuta 2015 puheenjohtaja Juncker ehdotti, että perustettaisiin Euroopan sosiaalisten oikeuksien pilari</w:t>
      </w:r>
      <w:r>
        <w:rPr>
          <w:rStyle w:val="FootnoteReference"/>
          <w:rFonts w:ascii="Times New Roman" w:hAnsi="Times New Roman"/>
          <w:noProof/>
          <w:sz w:val="24"/>
        </w:rPr>
        <w:footnoteReference w:id="1"/>
      </w:r>
      <w:r>
        <w:rPr>
          <w:rFonts w:ascii="Times New Roman" w:hAnsi="Times New Roman"/>
          <w:noProof/>
          <w:sz w:val="24"/>
        </w:rPr>
        <w:t xml:space="preserve">, jossa otettaisiin huomioon Euroopan yhteiskuntien muuttuva todellisuus ja työelämässä tapahtunut kehitys. 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Asiasta järjestettiin vuonna 2016 la</w:t>
      </w:r>
      <w:r>
        <w:rPr>
          <w:rFonts w:ascii="Times New Roman" w:hAnsi="Times New Roman"/>
          <w:noProof/>
          <w:sz w:val="24"/>
        </w:rPr>
        <w:t>aja julkinen kuuleminen, joka kokosi yhteen kansalaiset, työmarkkinaosapuolet, kansalaisyhteiskunnan, jäsenvaltiot ja EU:n toimielimet</w:t>
      </w:r>
      <w:r>
        <w:rPr>
          <w:rStyle w:val="FootnoteReference"/>
          <w:rFonts w:ascii="Times New Roman" w:hAnsi="Times New Roman"/>
          <w:noProof/>
          <w:sz w:val="24"/>
        </w:rPr>
        <w:footnoteReference w:id="2"/>
      </w:r>
      <w:r>
        <w:rPr>
          <w:rFonts w:ascii="Times New Roman" w:hAnsi="Times New Roman"/>
          <w:noProof/>
          <w:sz w:val="24"/>
        </w:rPr>
        <w:t>, minkä seurauksena Euroopan parlamentti, neuvosto ja komissio antoivat yhteisen julistuksen Euroopan sosiaalisten oikeuk</w:t>
      </w:r>
      <w:r>
        <w:rPr>
          <w:rFonts w:ascii="Times New Roman" w:hAnsi="Times New Roman"/>
          <w:noProof/>
          <w:sz w:val="24"/>
        </w:rPr>
        <w:t xml:space="preserve">sien pilarista </w:t>
      </w:r>
      <w:r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/>
          <w:noProof/>
          <w:sz w:val="24"/>
        </w:rPr>
        <w:t xml:space="preserve">17. marraskuuta 2017 oikeudenmukaisia työpaikkoja ja oikeudenmukaista kasvua käsitelleessä </w:t>
      </w:r>
      <w:r>
        <w:rPr>
          <w:rFonts w:ascii="Times New Roman" w:hAnsi="Times New Roman"/>
          <w:b/>
          <w:noProof/>
          <w:sz w:val="24"/>
        </w:rPr>
        <w:t>Göteborgin huippukokouksessa</w:t>
      </w:r>
      <w:r>
        <w:rPr>
          <w:rStyle w:val="FootnoteReference"/>
          <w:rFonts w:ascii="Times New Roman" w:hAnsi="Times New Roman"/>
          <w:noProof/>
          <w:sz w:val="24"/>
        </w:rPr>
        <w:footnoteReference w:id="3"/>
      </w:r>
      <w:r>
        <w:rPr>
          <w:noProof/>
        </w:rPr>
        <w:t>.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Euroopan sosiaalisten oikeuksien pilari on suunniteltu </w:t>
      </w:r>
      <w:r>
        <w:rPr>
          <w:rFonts w:ascii="Times New Roman" w:hAnsi="Times New Roman"/>
          <w:b/>
          <w:noProof/>
          <w:sz w:val="24"/>
        </w:rPr>
        <w:t>antamaan suuntaa uudelle lähentymisprosessille</w:t>
      </w:r>
      <w:r>
        <w:rPr>
          <w:rFonts w:ascii="Times New Roman" w:hAnsi="Times New Roman"/>
          <w:noProof/>
          <w:sz w:val="24"/>
        </w:rPr>
        <w:t>, joka parantaa t</w:t>
      </w:r>
      <w:r>
        <w:rPr>
          <w:rFonts w:ascii="Times New Roman" w:hAnsi="Times New Roman"/>
          <w:noProof/>
          <w:sz w:val="24"/>
        </w:rPr>
        <w:t xml:space="preserve">yö- ja elinoloja Euroopan unionissa. </w:t>
      </w:r>
      <w:r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/>
          <w:noProof/>
          <w:sz w:val="24"/>
        </w:rPr>
        <w:t xml:space="preserve">Siinä esitetään kaksikymmentä olennaista periaatetta ja oikeutta yhtäläisten mahdollisuuksien ja työmarkkinoille pääsyn, oikeudenmukaisten työolojen sekä sosiaalisen suojelun ja sosiaalisen osallisuuden aloilla. 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Euroo</w:t>
      </w:r>
      <w:r>
        <w:rPr>
          <w:rFonts w:ascii="Times New Roman" w:hAnsi="Times New Roman"/>
          <w:noProof/>
          <w:sz w:val="24"/>
        </w:rPr>
        <w:t xml:space="preserve">ppa-neuvosto hyväksyi 14. joulukuuta 2017 sosiaalialan huippukokouksen päätelmät ja korosti, että </w:t>
      </w:r>
      <w:r>
        <w:rPr>
          <w:rFonts w:ascii="Times New Roman" w:hAnsi="Times New Roman"/>
          <w:b/>
          <w:noProof/>
          <w:sz w:val="24"/>
        </w:rPr>
        <w:t>Euroopan sosiaalisten oikeuksien pilari olisi pantava täytäntöön niin unionissa kuin jäsenvaltioissa</w:t>
      </w:r>
      <w:r>
        <w:rPr>
          <w:rFonts w:ascii="Times New Roman" w:hAnsi="Times New Roman"/>
          <w:noProof/>
          <w:sz w:val="24"/>
        </w:rPr>
        <w:t xml:space="preserve"> kunkin oman toimivallan mukaisesti. Lisäksi se pyysi komi</w:t>
      </w:r>
      <w:r>
        <w:rPr>
          <w:rFonts w:ascii="Times New Roman" w:hAnsi="Times New Roman"/>
          <w:noProof/>
          <w:sz w:val="24"/>
        </w:rPr>
        <w:t>ssiota ehdottamaan asianmukaisia seurantatoimia</w:t>
      </w:r>
      <w:r>
        <w:rPr>
          <w:rStyle w:val="FootnoteReference"/>
          <w:rFonts w:ascii="Times New Roman" w:hAnsi="Times New Roman"/>
          <w:noProof/>
          <w:sz w:val="24"/>
        </w:rPr>
        <w:footnoteReference w:id="4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Tässä tiedonannossa vastataan tähän pyyntöön ja hahmotellaan tulevia toimia.</w:t>
      </w:r>
    </w:p>
    <w:p w:rsidR="00B477BA" w:rsidRDefault="00B477BA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B477BA" w:rsidRDefault="004F1AC2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noProof/>
        </w:rPr>
        <w:br w:type="page"/>
      </w:r>
    </w:p>
    <w:p w:rsidR="00B477BA" w:rsidRDefault="004F1AC2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w:lastRenderedPageBreak/>
        <w:t>2. Euroopan sosiaalisten oikeuksien pilarin edistäminen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Euroopan sosiaalisten oikeuksien pilarin perustaminen on osa laajempaa </w:t>
      </w:r>
      <w:r>
        <w:rPr>
          <w:rFonts w:ascii="Times New Roman" w:hAnsi="Times New Roman"/>
          <w:b/>
          <w:noProof/>
          <w:sz w:val="24"/>
        </w:rPr>
        <w:t>Euroopan tulevaisuudesta</w:t>
      </w:r>
      <w:r>
        <w:rPr>
          <w:rFonts w:ascii="Times New Roman" w:hAnsi="Times New Roman"/>
          <w:noProof/>
          <w:sz w:val="24"/>
        </w:rPr>
        <w:t xml:space="preserve"> käytävää keskustelua, joka käynnistettiin 1. maaliskuuta 2017 annetulla komission valkoisella kirjalla</w:t>
      </w:r>
      <w:r>
        <w:rPr>
          <w:rStyle w:val="FootnoteReference"/>
          <w:rFonts w:ascii="Times New Roman" w:hAnsi="Times New Roman"/>
          <w:noProof/>
          <w:sz w:val="24"/>
        </w:rPr>
        <w:footnoteReference w:id="5"/>
      </w:r>
      <w:r>
        <w:rPr>
          <w:rFonts w:ascii="Times New Roman" w:hAnsi="Times New Roman"/>
          <w:noProof/>
          <w:sz w:val="24"/>
        </w:rPr>
        <w:t>. Euroopan sosiaalisen mallin vahvistaminen ja nykyaikais</w:t>
      </w:r>
      <w:r>
        <w:rPr>
          <w:rFonts w:ascii="Times New Roman" w:hAnsi="Times New Roman"/>
          <w:noProof/>
          <w:sz w:val="24"/>
        </w:rPr>
        <w:t>taminen sen joutuessa tekemisiin erilaisten perustavanlaatuisten muutosten – kuten uuden teknologian, globalisaation ja väestön ikääntymisen – kanssa on yksi valkoisessa kirjassa samoin kuin komission pohdinta-asiakirjassa Euroopan sosiaalisesta ulottuvuud</w:t>
      </w:r>
      <w:r>
        <w:rPr>
          <w:rFonts w:ascii="Times New Roman" w:hAnsi="Times New Roman"/>
          <w:noProof/>
          <w:sz w:val="24"/>
        </w:rPr>
        <w:t>esta</w:t>
      </w:r>
      <w:r>
        <w:rPr>
          <w:rStyle w:val="FootnoteReference"/>
          <w:rFonts w:ascii="Times New Roman" w:hAnsi="Times New Roman"/>
          <w:noProof/>
          <w:sz w:val="24"/>
        </w:rPr>
        <w:footnoteReference w:id="6"/>
      </w:r>
      <w:r>
        <w:rPr>
          <w:rFonts w:ascii="Times New Roman" w:hAnsi="Times New Roman"/>
          <w:noProof/>
          <w:sz w:val="24"/>
        </w:rPr>
        <w:t xml:space="preserve"> ja sen pohdinta-asiakirjassa globalisaation hallinnasta</w:t>
      </w:r>
      <w:r>
        <w:rPr>
          <w:rStyle w:val="FootnoteReference"/>
          <w:rFonts w:ascii="Times New Roman" w:hAnsi="Times New Roman"/>
          <w:noProof/>
          <w:sz w:val="24"/>
        </w:rPr>
        <w:footnoteReference w:id="7"/>
      </w:r>
      <w:r>
        <w:rPr>
          <w:rFonts w:ascii="Times New Roman" w:hAnsi="Times New Roman"/>
          <w:noProof/>
          <w:sz w:val="24"/>
        </w:rPr>
        <w:t xml:space="preserve"> esiin nostetuista keskeisistä kysymyksistä</w:t>
      </w:r>
      <w:r>
        <w:rPr>
          <w:noProof/>
        </w:rPr>
        <w:t>.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EU:n johtajat toistivat </w:t>
      </w:r>
      <w:r>
        <w:rPr>
          <w:rFonts w:ascii="Times New Roman" w:hAnsi="Times New Roman"/>
          <w:b/>
          <w:noProof/>
          <w:sz w:val="24"/>
        </w:rPr>
        <w:t>Rooman huippukokouksessaan</w:t>
      </w:r>
      <w:r>
        <w:rPr>
          <w:rFonts w:ascii="Times New Roman" w:hAnsi="Times New Roman"/>
          <w:noProof/>
          <w:sz w:val="24"/>
        </w:rPr>
        <w:t>, jossa juhlistettiin EU:n 60-vuotispäivää, sitoutumisensa sosiaaliseen Eurooppaan</w:t>
      </w:r>
      <w:r>
        <w:rPr>
          <w:rStyle w:val="FootnoteReference"/>
          <w:rFonts w:ascii="Times New Roman" w:hAnsi="Times New Roman"/>
          <w:noProof/>
          <w:sz w:val="24"/>
        </w:rPr>
        <w:footnoteReference w:id="8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Tässä laajemma</w:t>
      </w:r>
      <w:r>
        <w:rPr>
          <w:rFonts w:ascii="Times New Roman" w:hAnsi="Times New Roman"/>
          <w:noProof/>
          <w:sz w:val="24"/>
        </w:rPr>
        <w:t xml:space="preserve">ssa keskustelussa Euroopan sosiaalisten oikeuksien pilari on niin </w:t>
      </w:r>
      <w:r>
        <w:rPr>
          <w:rFonts w:ascii="Times New Roman" w:hAnsi="Times New Roman"/>
          <w:b/>
          <w:noProof/>
          <w:sz w:val="24"/>
        </w:rPr>
        <w:t>virstanpylväs</w:t>
      </w:r>
      <w:r>
        <w:rPr>
          <w:rFonts w:ascii="Times New Roman" w:hAnsi="Times New Roman"/>
          <w:noProof/>
          <w:sz w:val="24"/>
        </w:rPr>
        <w:t xml:space="preserve"> sosiaalisen Euroopan rakentamisessa ja vahvistamisessa kuin vertailukohta </w:t>
      </w:r>
      <w:r>
        <w:rPr>
          <w:rFonts w:ascii="Times New Roman" w:hAnsi="Times New Roman"/>
          <w:b/>
          <w:noProof/>
          <w:sz w:val="24"/>
        </w:rPr>
        <w:t>matkalla Sibiuun</w:t>
      </w:r>
      <w:r>
        <w:rPr>
          <w:rFonts w:ascii="Times New Roman" w:hAnsi="Times New Roman"/>
          <w:noProof/>
          <w:sz w:val="24"/>
        </w:rPr>
        <w:t>, jossa EU:n johtajat tapaavat toukokuussa 2019 tehdäkseen päätelmiä EU:n tulevaisuude</w:t>
      </w:r>
      <w:r>
        <w:rPr>
          <w:rFonts w:ascii="Times New Roman" w:hAnsi="Times New Roman"/>
          <w:noProof/>
          <w:sz w:val="24"/>
        </w:rPr>
        <w:t xml:space="preserve">sta ennen seuraavia Euroopan parlamentin vaaleja. 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Euroopan sosiaalisten oikeuksien pilarin toteutumisen on aina katsottu edellyttävän </w:t>
      </w:r>
      <w:r>
        <w:rPr>
          <w:rFonts w:ascii="Times New Roman" w:hAnsi="Times New Roman"/>
          <w:b/>
          <w:noProof/>
          <w:sz w:val="24"/>
        </w:rPr>
        <w:t>yhteistä poliittista sitoutumista ja vastuuta</w:t>
      </w:r>
      <w:r>
        <w:rPr>
          <w:rFonts w:ascii="Times New Roman" w:hAnsi="Times New Roman"/>
          <w:noProof/>
          <w:sz w:val="24"/>
        </w:rPr>
        <w:t xml:space="preserve">. EU:n toimielimillä, jäsenvaltioilla, viranomaisilla, työmarkkinaosapuolilla ja kansalaisyhteiskunnan järjestöillä kaikilla tasoilla on keskeinen rooli oman toimivaltansa mukaisesti. 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EU:n tasolla komissio on täysin sitoutunut </w:t>
      </w:r>
      <w:r>
        <w:rPr>
          <w:rFonts w:ascii="Times New Roman" w:hAnsi="Times New Roman"/>
          <w:b/>
          <w:noProof/>
          <w:sz w:val="24"/>
        </w:rPr>
        <w:t>sisällyttämään Euroopan sosi</w:t>
      </w:r>
      <w:r>
        <w:rPr>
          <w:rFonts w:ascii="Times New Roman" w:hAnsi="Times New Roman"/>
          <w:b/>
          <w:noProof/>
          <w:sz w:val="24"/>
        </w:rPr>
        <w:t>aalisten oikeuksien pilarin ensisijaiset tavoitteet osaksi kaikkea EU:n politiikkaa</w:t>
      </w:r>
      <w:r>
        <w:rPr>
          <w:rFonts w:ascii="Times New Roman" w:hAnsi="Times New Roman"/>
          <w:noProof/>
          <w:sz w:val="24"/>
        </w:rPr>
        <w:t>. Se on jo alkanut hyödyntää olemassa olevia välineitä ja prosesseja ja esittänyt useita erityisaloitteita EU:n toimivallan puitteissa – osa niistä on vielä EU:n lainsäätäji</w:t>
      </w:r>
      <w:r>
        <w:rPr>
          <w:rFonts w:ascii="Times New Roman" w:hAnsi="Times New Roman"/>
          <w:noProof/>
          <w:sz w:val="24"/>
        </w:rPr>
        <w:t xml:space="preserve">en hyväksyttävänä. </w:t>
      </w:r>
    </w:p>
    <w:p w:rsidR="00B477BA" w:rsidRDefault="004F1AC2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Komissio on lisäksi sitoutunut </w:t>
      </w:r>
      <w:r>
        <w:rPr>
          <w:rFonts w:ascii="Times New Roman" w:hAnsi="Times New Roman"/>
          <w:b/>
          <w:noProof/>
          <w:sz w:val="24"/>
        </w:rPr>
        <w:t>tukemaan jäsenvaltioita, työmarkkinaosapuolia ja kansalaisyhteiskunnan järjestöjä Euroopan sosiaalisten oikeuksien pilarin täytäntöönpanossa</w:t>
      </w:r>
      <w:r>
        <w:rPr>
          <w:rFonts w:ascii="Times New Roman" w:hAnsi="Times New Roman"/>
          <w:noProof/>
          <w:sz w:val="24"/>
        </w:rPr>
        <w:t xml:space="preserve"> kansallisella, alue- ja paikallistasolla. Tämän tiedonannon rinn</w:t>
      </w:r>
      <w:r>
        <w:rPr>
          <w:rFonts w:ascii="Times New Roman" w:hAnsi="Times New Roman"/>
          <w:noProof/>
          <w:sz w:val="24"/>
        </w:rPr>
        <w:t>alla julkaistussa komission yksiköiden valmisteluasiakirjassa muistutetaan mieliin säädöskehys, kansallisen ja EU:n tason toimijoiden roolit sekä Euroopan sosiaalisten oikeuksien pilarin kunkin periaatteen osalta jo toteutetut toimet</w:t>
      </w:r>
      <w:r>
        <w:rPr>
          <w:rStyle w:val="FootnoteReference"/>
          <w:rFonts w:ascii="Times New Roman" w:hAnsi="Times New Roman"/>
          <w:noProof/>
          <w:sz w:val="24"/>
        </w:rPr>
        <w:footnoteReference w:id="9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</w:t>
      </w:r>
    </w:p>
    <w:p w:rsidR="00B477BA" w:rsidRDefault="00B477B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477BA" w:rsidRDefault="004F1AC2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lastRenderedPageBreak/>
        <w:t>Euroopan sosiaalis</w:t>
      </w:r>
      <w:r>
        <w:rPr>
          <w:rFonts w:ascii="Times New Roman" w:hAnsi="Times New Roman"/>
          <w:noProof/>
          <w:sz w:val="24"/>
        </w:rPr>
        <w:t xml:space="preserve">ten oikeuksien pilarin täytäntöönpanon seuranta on olennaisen tärkeää konkreettisen edistyksen varmistamiseksi käytännössä. Tällä tiedonannolla komissio ehdottaa EU:n tasolla jo toteutettujen ja vielä tulossa olevien aloitteiden täydennykseksi </w:t>
      </w:r>
      <w:r>
        <w:rPr>
          <w:rFonts w:ascii="Times New Roman" w:hAnsi="Times New Roman"/>
          <w:b/>
          <w:noProof/>
          <w:sz w:val="24"/>
        </w:rPr>
        <w:t>Euroopan sos</w:t>
      </w:r>
      <w:r>
        <w:rPr>
          <w:rFonts w:ascii="Times New Roman" w:hAnsi="Times New Roman"/>
          <w:b/>
          <w:noProof/>
          <w:sz w:val="24"/>
        </w:rPr>
        <w:t>iaalisten oikeuksien pilarin täytäntöönpanon seurannan vahvistamista talouspolitiikan eurooppalaisen ohjausjakson puitteissa</w:t>
      </w:r>
      <w:r>
        <w:rPr>
          <w:rFonts w:ascii="Times New Roman" w:hAnsi="Times New Roman"/>
          <w:noProof/>
          <w:sz w:val="24"/>
        </w:rPr>
        <w:t>. Tämä voidaan tehdä</w:t>
      </w:r>
    </w:p>
    <w:p w:rsidR="00B477BA" w:rsidRDefault="004F1AC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pohtimalla Euroopan sosiaalisten oikeuksien pilarin ensisijaisia tavoitteita </w:t>
      </w:r>
      <w:r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/>
          <w:noProof/>
          <w:sz w:val="24"/>
        </w:rPr>
        <w:t>kansallisella tasolla toteutettuj</w:t>
      </w:r>
      <w:r>
        <w:rPr>
          <w:rFonts w:ascii="Times New Roman" w:hAnsi="Times New Roman"/>
          <w:noProof/>
          <w:sz w:val="24"/>
        </w:rPr>
        <w:t xml:space="preserve">a toimia ja tällä tasolla toteutunutta edistymistä analysoitaessa </w:t>
      </w:r>
    </w:p>
    <w:p w:rsidR="00B477BA" w:rsidRDefault="004F1AC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antamalla teknistä apua, tukemalla vertailuanalyysejä ja edistämällä </w:t>
      </w:r>
      <w:r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/>
          <w:noProof/>
          <w:sz w:val="24"/>
        </w:rPr>
        <w:t xml:space="preserve">hyvien käytäntöjen vaihtoa jäsenvaltioiden ja sidosryhmien kesken </w:t>
      </w:r>
    </w:p>
    <w:p w:rsidR="00B477BA" w:rsidRDefault="004F1AC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seuraamalla työllisyys-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>ja sosiaalipoliittisia tulok</w:t>
      </w:r>
      <w:r>
        <w:rPr>
          <w:rFonts w:ascii="Times New Roman" w:hAnsi="Times New Roman"/>
          <w:noProof/>
          <w:sz w:val="24"/>
        </w:rPr>
        <w:t>sia uuden sosiaali-indikaattoreiden tulostaulun pohjalta ja edistämällä näin ylöspäin tapahtuvan lähentymisen laajempaa prosessia.</w:t>
      </w:r>
    </w:p>
    <w:p w:rsidR="00B477BA" w:rsidRDefault="00B477BA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B477BA" w:rsidRDefault="004F1AC2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w:t>3. Pilarin täytäntöönpano EU:n tasolla</w:t>
      </w:r>
    </w:p>
    <w:p w:rsidR="00B477BA" w:rsidRDefault="004F1AC2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Sosiaaliset painopisteet ovat olleet korkealla tämän komission asialistalla siitä läh</w:t>
      </w:r>
      <w:r>
        <w:rPr>
          <w:rFonts w:ascii="Times New Roman" w:hAnsi="Times New Roman"/>
          <w:b/>
          <w:noProof/>
          <w:sz w:val="24"/>
        </w:rPr>
        <w:t>tien, kun sen toimikausi alkoi vuonna 2014.</w:t>
      </w:r>
      <w:r>
        <w:rPr>
          <w:rFonts w:ascii="Times New Roman" w:hAnsi="Times New Roman"/>
          <w:noProof/>
          <w:sz w:val="24"/>
        </w:rPr>
        <w:t xml:space="preserve"> Euroopan sosiaalisten oikeuksien pilarin sisältö ja kunnianhimoinen luonne perustuvat lukuisiin tämän komission viime vuosina käyttöön ottamiin työllisyys- ja sosiaalialan aloitteisiin</w:t>
      </w:r>
      <w:r>
        <w:rPr>
          <w:rStyle w:val="FootnoteReference"/>
          <w:rFonts w:ascii="Times New Roman" w:hAnsi="Times New Roman"/>
          <w:noProof/>
          <w:sz w:val="24"/>
        </w:rPr>
        <w:footnoteReference w:id="10"/>
      </w:r>
      <w:r>
        <w:rPr>
          <w:rFonts w:ascii="Times New Roman" w:hAnsi="Times New Roman"/>
          <w:noProof/>
          <w:sz w:val="24"/>
        </w:rPr>
        <w:t xml:space="preserve">: </w:t>
      </w:r>
    </w:p>
    <w:p w:rsidR="00B477BA" w:rsidRDefault="004F1A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sosiaalisen vuoropuhelun</w:t>
      </w:r>
      <w:r>
        <w:rPr>
          <w:rFonts w:ascii="Times New Roman" w:hAnsi="Times New Roman"/>
          <w:b/>
          <w:noProof/>
          <w:sz w:val="24"/>
        </w:rPr>
        <w:t xml:space="preserve"> elvyttämisen</w:t>
      </w:r>
      <w:r>
        <w:rPr>
          <w:rFonts w:ascii="Times New Roman" w:hAnsi="Times New Roman"/>
          <w:noProof/>
          <w:sz w:val="24"/>
        </w:rPr>
        <w:t xml:space="preserve"> edistäminen – tämä heijastelee komission sitoutumista tiiviiseen yhteistyöhön työmarkkinaosapuolten kanssa kaikilla tasoilla; </w:t>
      </w:r>
    </w:p>
    <w:p w:rsidR="00B477BA" w:rsidRDefault="004F1A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esteettömyyssäädöstä</w:t>
      </w:r>
      <w:r>
        <w:rPr>
          <w:rFonts w:ascii="Times New Roman" w:hAnsi="Times New Roman"/>
          <w:noProof/>
          <w:sz w:val="24"/>
        </w:rPr>
        <w:t xml:space="preserve"> koskeva ehdotus, jolla pyritään parantamaan esteettömien tuotteiden ja palvelujen sisämarkkino</w:t>
      </w:r>
      <w:r>
        <w:rPr>
          <w:rFonts w:ascii="Times New Roman" w:hAnsi="Times New Roman"/>
          <w:noProof/>
          <w:sz w:val="24"/>
        </w:rPr>
        <w:t>iden toimintaa poistamalla erilaisesta lainsäädännöstä aiheutuvia esteitä ja helpottamaan näin yritysten toimintaa ja tuomaan hyötyä vammaisille ja ikääntyneille EU:ssa;</w:t>
      </w:r>
    </w:p>
    <w:p w:rsidR="00B477BA" w:rsidRDefault="004F1A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ehdotus </w:t>
      </w:r>
      <w:r>
        <w:rPr>
          <w:rFonts w:ascii="Times New Roman" w:hAnsi="Times New Roman"/>
          <w:b/>
          <w:noProof/>
          <w:sz w:val="24"/>
        </w:rPr>
        <w:t>työoloja koskevan avoimuuden ja ennustettavuuden</w:t>
      </w:r>
      <w:r>
        <w:rPr>
          <w:rFonts w:ascii="Times New Roman" w:hAnsi="Times New Roman"/>
          <w:noProof/>
          <w:sz w:val="24"/>
        </w:rPr>
        <w:t xml:space="preserve"> parantamista koskevaksi direk</w:t>
      </w:r>
      <w:r>
        <w:rPr>
          <w:rFonts w:ascii="Times New Roman" w:hAnsi="Times New Roman"/>
          <w:noProof/>
          <w:sz w:val="24"/>
        </w:rPr>
        <w:t>tiiviksi, jolla autetaan työntekijöitä saamaan enemmän tietoa oikeuksistaan ja samalla vahvistetaan uudet vähimmäisvaatimukset työolojen parantamiseksi;</w:t>
      </w:r>
    </w:p>
    <w:p w:rsidR="00B477BA" w:rsidRDefault="004F1A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työntekijöiden lähettämistä</w:t>
      </w:r>
      <w:r>
        <w:rPr>
          <w:rFonts w:ascii="Times New Roman" w:hAnsi="Times New Roman"/>
          <w:noProof/>
          <w:sz w:val="24"/>
        </w:rPr>
        <w:t xml:space="preserve"> koskevan direktiivin tarkistaminen – tällä vakiinnutetaan ”sama palkka sama</w:t>
      </w:r>
      <w:r>
        <w:rPr>
          <w:rFonts w:ascii="Times New Roman" w:hAnsi="Times New Roman"/>
          <w:noProof/>
          <w:sz w:val="24"/>
        </w:rPr>
        <w:t xml:space="preserve">sta työstä samassa paikassa” -periaate ja luodaan näin tasapuoliset toimintaedellytykset ja ehkäistään epäreilua kilpailua sisämarkkinoilla; </w:t>
      </w:r>
    </w:p>
    <w:p w:rsidR="00B477BA" w:rsidRDefault="004F1A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sosiaaliturvajärjestelmien yhteensovittamisen</w:t>
      </w:r>
      <w:r>
        <w:rPr>
          <w:rFonts w:ascii="Times New Roman" w:hAnsi="Times New Roman"/>
          <w:noProof/>
          <w:sz w:val="24"/>
        </w:rPr>
        <w:t xml:space="preserve"> nykyaikaistamista koskeva uusi lainsäädäntöehdotus, jolla erityisest</w:t>
      </w:r>
      <w:r>
        <w:rPr>
          <w:rFonts w:ascii="Times New Roman" w:hAnsi="Times New Roman"/>
          <w:noProof/>
          <w:sz w:val="24"/>
        </w:rPr>
        <w:t xml:space="preserve">i autetaan varmistamaan, että oikeuttaan vapaaseen liikkuvuuteen käyttävät työntekijät eivät menetä sosiaaliturvaoikeuksiaan; </w:t>
      </w:r>
    </w:p>
    <w:p w:rsidR="00B477BA" w:rsidRDefault="004F1A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ehdotus </w:t>
      </w:r>
      <w:r>
        <w:rPr>
          <w:rFonts w:ascii="Times New Roman" w:hAnsi="Times New Roman"/>
          <w:b/>
          <w:noProof/>
          <w:sz w:val="24"/>
        </w:rPr>
        <w:t>vanhempien ja omaistaan hoitavien työ- ja yksityiselämän tasapainottamista</w:t>
      </w:r>
      <w:r>
        <w:rPr>
          <w:rFonts w:ascii="Times New Roman" w:hAnsi="Times New Roman"/>
          <w:noProof/>
          <w:sz w:val="24"/>
        </w:rPr>
        <w:t xml:space="preserve"> koskevaksi direktiiviksi, jolla uudistetaan ny</w:t>
      </w:r>
      <w:r>
        <w:rPr>
          <w:rFonts w:ascii="Times New Roman" w:hAnsi="Times New Roman"/>
          <w:noProof/>
          <w:sz w:val="24"/>
        </w:rPr>
        <w:t>kyistä säädöskehystä ottamalla käyttöön isyysvapaa ja omaishoitovapaa, vahvistamalla vanhempainvapaata ja laajentamalla oikeutta pyytää joustavia työjärjestelyjä;</w:t>
      </w:r>
    </w:p>
    <w:p w:rsidR="00B477BA" w:rsidRDefault="004F1A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sukupuolten välisen palkkaeron</w:t>
      </w:r>
      <w:r>
        <w:rPr>
          <w:rFonts w:ascii="Times New Roman" w:hAnsi="Times New Roman"/>
          <w:noProof/>
          <w:sz w:val="24"/>
        </w:rPr>
        <w:t xml:space="preserve"> kaventamista vuosina 2017–2019 koskeva toimintasuunnitelma, jo</w:t>
      </w:r>
      <w:r>
        <w:rPr>
          <w:rFonts w:ascii="Times New Roman" w:hAnsi="Times New Roman"/>
          <w:noProof/>
          <w:sz w:val="24"/>
        </w:rPr>
        <w:t xml:space="preserve">ssa esitetään erilaisia toimia sen perimmäisiin syihin puuttumiseksi; useiden </w:t>
      </w:r>
      <w:r>
        <w:rPr>
          <w:rFonts w:ascii="Times New Roman" w:hAnsi="Times New Roman"/>
          <w:b/>
          <w:noProof/>
          <w:sz w:val="24"/>
        </w:rPr>
        <w:t>työterveys- ja -turvallisuus</w:t>
      </w:r>
      <w:r>
        <w:rPr>
          <w:rFonts w:ascii="Times New Roman" w:hAnsi="Times New Roman"/>
          <w:noProof/>
          <w:sz w:val="24"/>
        </w:rPr>
        <w:t>alan säädösten uudelleentarkastelu, jolla päivitetään ja täydennetään säännöksiä, joilla suojellaan työntekijöitä työhön liittyviltä terveysriskeiltä,</w:t>
      </w:r>
      <w:r>
        <w:rPr>
          <w:rFonts w:ascii="Times New Roman" w:hAnsi="Times New Roman"/>
          <w:noProof/>
          <w:sz w:val="24"/>
        </w:rPr>
        <w:t xml:space="preserve"> mukaan luettuna karsinogeeneille altistuminen; </w:t>
      </w:r>
    </w:p>
    <w:p w:rsidR="00B477BA" w:rsidRDefault="004F1AC2">
      <w:pPr>
        <w:pStyle w:val="ListParagraph"/>
        <w:numPr>
          <w:ilvl w:val="0"/>
          <w:numId w:val="1"/>
        </w:numPr>
        <w:jc w:val="both"/>
        <w:rPr>
          <w:noProof/>
        </w:rPr>
      </w:pPr>
      <w:r>
        <w:rPr>
          <w:rFonts w:ascii="Times New Roman" w:hAnsi="Times New Roman"/>
          <w:noProof/>
          <w:sz w:val="24"/>
        </w:rPr>
        <w:t xml:space="preserve">erilaiset toimet, joilla varmistetaan korkealuokkaisen, kohtuuhintaisen, ennalta ehkäisevän ja hoitavan </w:t>
      </w:r>
      <w:r>
        <w:rPr>
          <w:rFonts w:ascii="Times New Roman" w:hAnsi="Times New Roman"/>
          <w:b/>
          <w:noProof/>
          <w:sz w:val="24"/>
        </w:rPr>
        <w:t>terveydenhuollon</w:t>
      </w:r>
      <w:r>
        <w:rPr>
          <w:rFonts w:ascii="Times New Roman" w:hAnsi="Times New Roman"/>
          <w:noProof/>
          <w:sz w:val="24"/>
        </w:rPr>
        <w:t xml:space="preserve"> saatavuus ajallaan, mukaan luettuina eurooppalaiset osaamisverkostot, joissa on viime </w:t>
      </w:r>
      <w:r>
        <w:rPr>
          <w:rFonts w:ascii="Times New Roman" w:hAnsi="Times New Roman"/>
          <w:noProof/>
          <w:sz w:val="24"/>
        </w:rPr>
        <w:t>marraskuusta lähtien annettu harvinaisista sairauksista kärsiville mahdollisuus sairautensa diagnosointiin ja hoitoon kaikkialla EU:ssa;</w:t>
      </w:r>
    </w:p>
    <w:p w:rsidR="00B477BA" w:rsidRDefault="004F1A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nuorisotakuun</w:t>
      </w:r>
      <w:r>
        <w:rPr>
          <w:rFonts w:ascii="Times New Roman" w:hAnsi="Times New Roman"/>
          <w:noProof/>
          <w:sz w:val="24"/>
        </w:rPr>
        <w:t xml:space="preserve"> vahvistaminen ja käyttöönotto, jotta nuoria autetaan pääsemään nopeasti työelämään tai koulutukseen; </w:t>
      </w:r>
    </w:p>
    <w:p w:rsidR="00B477BA" w:rsidRDefault="004F1A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Eur</w:t>
      </w:r>
      <w:r>
        <w:rPr>
          <w:rFonts w:ascii="Times New Roman" w:hAnsi="Times New Roman"/>
          <w:b/>
          <w:noProof/>
          <w:sz w:val="24"/>
        </w:rPr>
        <w:t>oopan uuteen osaamisohjelmaan</w:t>
      </w:r>
      <w:r>
        <w:rPr>
          <w:rFonts w:ascii="Times New Roman" w:hAnsi="Times New Roman"/>
          <w:noProof/>
          <w:sz w:val="24"/>
        </w:rPr>
        <w:t xml:space="preserve"> kuuluvien erityyppisten aloitteiden käynnistäminen osaamisen parantamiseksi;</w:t>
      </w:r>
    </w:p>
    <w:p w:rsidR="00B477BA" w:rsidRDefault="004F1A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lukuisat aloitteet korkealaatuiseen ja osallistavaan koulutukseen ja elinikäiseen oppimiseen pääsemisen edistämiseksi osana siirtymistä kohti </w:t>
      </w:r>
      <w:r>
        <w:rPr>
          <w:rFonts w:ascii="Times New Roman" w:hAnsi="Times New Roman"/>
          <w:b/>
          <w:noProof/>
          <w:sz w:val="24"/>
        </w:rPr>
        <w:t>euroopp</w:t>
      </w:r>
      <w:r>
        <w:rPr>
          <w:rFonts w:ascii="Times New Roman" w:hAnsi="Times New Roman"/>
          <w:b/>
          <w:noProof/>
          <w:sz w:val="24"/>
        </w:rPr>
        <w:t>alaista koulutusaluetta</w:t>
      </w:r>
      <w:r>
        <w:rPr>
          <w:rFonts w:ascii="Times New Roman" w:hAnsi="Times New Roman"/>
          <w:noProof/>
          <w:sz w:val="24"/>
        </w:rPr>
        <w:t>;</w:t>
      </w:r>
    </w:p>
    <w:p w:rsidR="00B477BA" w:rsidRDefault="004F1A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koulutuksen</w:t>
      </w:r>
      <w:r>
        <w:rPr>
          <w:rFonts w:ascii="Times New Roman" w:hAnsi="Times New Roman"/>
          <w:noProof/>
          <w:sz w:val="24"/>
        </w:rPr>
        <w:t xml:space="preserve"> alalla komissiolla on kunnianhimoisempia tavoitteita heikosti suoriutuvien ja koulunkäynnin keskeyttävien osuuden pienentämiseksi, ja se harkitsee uusia tavoitteita digitaalisten taitojen ja yrittäjyyden alalla</w:t>
      </w:r>
      <w:r>
        <w:rPr>
          <w:rStyle w:val="FootnoteReference"/>
          <w:rFonts w:ascii="Times New Roman" w:hAnsi="Times New Roman"/>
          <w:noProof/>
          <w:sz w:val="24"/>
        </w:rPr>
        <w:footnoteReference w:id="11"/>
      </w:r>
      <w:r>
        <w:rPr>
          <w:rFonts w:ascii="Times New Roman" w:hAnsi="Times New Roman"/>
          <w:noProof/>
          <w:sz w:val="24"/>
        </w:rPr>
        <w:t>.</w:t>
      </w:r>
    </w:p>
    <w:p w:rsidR="00B477BA" w:rsidRDefault="004F1AC2"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/>
          <w:noProof/>
          <w:sz w:val="24"/>
        </w:rPr>
        <w:t>Työll</w:t>
      </w:r>
      <w:r>
        <w:rPr>
          <w:rFonts w:ascii="Times New Roman" w:hAnsi="Times New Roman"/>
          <w:noProof/>
          <w:sz w:val="24"/>
        </w:rPr>
        <w:t>isyys- ja sosiaalialalla marraskuusta 2014 lähtien ehdotetuista 22 säädösehdotuksesta kymmenen on hyväksytty ja 12:lle on vielä saatava neuvoston ja/tai Euroopan parlamentin hyväksyntä. Kuten Euroopan parlamentin, neuvoston ja komission yhteisestä julistuk</w:t>
      </w:r>
      <w:r>
        <w:rPr>
          <w:rFonts w:ascii="Times New Roman" w:hAnsi="Times New Roman"/>
          <w:noProof/>
          <w:sz w:val="24"/>
        </w:rPr>
        <w:t xml:space="preserve">sesta käy ilmi, lähikuukausien painopisteenä on </w:t>
      </w:r>
      <w:r>
        <w:rPr>
          <w:rFonts w:ascii="Times New Roman" w:hAnsi="Times New Roman"/>
          <w:b/>
          <w:noProof/>
          <w:sz w:val="24"/>
        </w:rPr>
        <w:t>saada päätökseen avoinna olevat lainsäädäntökokonaisuudet</w:t>
      </w:r>
      <w:r>
        <w:rPr>
          <w:rFonts w:ascii="Times New Roman" w:hAnsi="Times New Roman"/>
          <w:noProof/>
          <w:sz w:val="24"/>
        </w:rPr>
        <w:t xml:space="preserve"> ja </w:t>
      </w:r>
      <w:r>
        <w:rPr>
          <w:rFonts w:ascii="Times New Roman" w:hAnsi="Times New Roman"/>
          <w:b/>
          <w:noProof/>
          <w:sz w:val="24"/>
        </w:rPr>
        <w:t>keskittyä</w:t>
      </w:r>
      <w:r>
        <w:rPr>
          <w:rFonts w:ascii="Times New Roman" w:hAnsi="Times New Roman"/>
          <w:noProof/>
          <w:sz w:val="24"/>
        </w:rPr>
        <w:t xml:space="preserve"> uusien aloitteiden </w:t>
      </w:r>
      <w:r>
        <w:rPr>
          <w:rFonts w:ascii="Times New Roman" w:hAnsi="Times New Roman"/>
          <w:b/>
          <w:noProof/>
          <w:sz w:val="24"/>
        </w:rPr>
        <w:t>toteuttamiseen ja täytäntöönpanoon</w:t>
      </w:r>
      <w:r>
        <w:rPr>
          <w:rFonts w:ascii="Times New Roman" w:hAnsi="Times New Roman"/>
          <w:noProof/>
          <w:sz w:val="24"/>
        </w:rPr>
        <w:t xml:space="preserve"> käytännössä. </w:t>
      </w:r>
    </w:p>
    <w:p w:rsidR="00B477BA" w:rsidRDefault="00B477BA"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477BA" w:rsidRDefault="004F1AC2"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Komissio on lisäksi ottanut huomioon sosiaaliset painopisteet </w:t>
      </w:r>
      <w:r>
        <w:rPr>
          <w:rFonts w:ascii="Times New Roman" w:hAnsi="Times New Roman"/>
          <w:b/>
          <w:noProof/>
          <w:sz w:val="24"/>
        </w:rPr>
        <w:t>kaikissa toimintapolitiikoissa</w:t>
      </w:r>
      <w:r>
        <w:rPr>
          <w:rFonts w:ascii="Times New Roman" w:hAnsi="Times New Roman"/>
          <w:noProof/>
          <w:sz w:val="24"/>
        </w:rPr>
        <w:t xml:space="preserve"> ja täysimääräisesti tunnustanut sosiaalisen ulottuvuuden kaikessa toiminnassaan. Tähän sisältyy seuraavaa: </w:t>
      </w:r>
    </w:p>
    <w:p w:rsidR="00B477BA" w:rsidRDefault="004F1AC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Komissio on </w:t>
      </w:r>
      <w:r>
        <w:rPr>
          <w:rFonts w:ascii="Times New Roman" w:hAnsi="Times New Roman"/>
          <w:b/>
          <w:noProof/>
          <w:sz w:val="24"/>
        </w:rPr>
        <w:t>talouspolitiikan eurooppalaisella ohjausjaksolla</w:t>
      </w:r>
      <w:r>
        <w:rPr>
          <w:rFonts w:ascii="Times New Roman" w:hAnsi="Times New Roman"/>
          <w:noProof/>
          <w:sz w:val="24"/>
        </w:rPr>
        <w:t xml:space="preserve"> painottanut enemmän sosiaalisia painopisteitä ja tuonut </w:t>
      </w:r>
      <w:r>
        <w:rPr>
          <w:rFonts w:ascii="Times New Roman" w:hAnsi="Times New Roman"/>
          <w:noProof/>
          <w:sz w:val="24"/>
        </w:rPr>
        <w:t>ne yhdenvertaisesti talouteen liittyvien tavoitteiden kanssa esille talouspolitiikan vuotuisen koordinointisyklin yhteydessä; tämänvuotisessa koordinointisyklissä on ensimmäisen kerran otettu huomioon Euroopan sosiaalisten oikeuksien pilarin painopisteet</w:t>
      </w:r>
      <w:r>
        <w:rPr>
          <w:rStyle w:val="FootnoteReference"/>
          <w:rFonts w:ascii="Times New Roman" w:hAnsi="Times New Roman"/>
          <w:noProof/>
          <w:sz w:val="24"/>
        </w:rPr>
        <w:footnoteReference w:id="12"/>
      </w:r>
      <w:r>
        <w:rPr>
          <w:rFonts w:ascii="Times New Roman" w:hAnsi="Times New Roman"/>
          <w:noProof/>
          <w:sz w:val="24"/>
        </w:rPr>
        <w:t>.</w:t>
      </w:r>
      <w:r>
        <w:rPr>
          <w:rFonts w:ascii="Times New Roman" w:hAnsi="Times New Roman"/>
          <w:noProof/>
          <w:sz w:val="24"/>
        </w:rPr>
        <w:t xml:space="preserve"> </w:t>
      </w:r>
    </w:p>
    <w:p w:rsidR="00B477BA" w:rsidRDefault="004F1AC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Koheesiopolitiikan</w:t>
      </w:r>
      <w:r>
        <w:rPr>
          <w:rFonts w:ascii="Times New Roman" w:hAnsi="Times New Roman"/>
          <w:noProof/>
          <w:sz w:val="24"/>
        </w:rPr>
        <w:t xml:space="preserve"> yhteydessä sosiaalisia painopisteitä tuetaan laajalti Euroopan rakenne- ja investointirahastojen puitteissa mm. työmarkkinoille pääsyn, sosiaalisen osallisuuden ja koulutuksen aloilla. Muilla </w:t>
      </w:r>
      <w:r>
        <w:rPr>
          <w:rFonts w:ascii="Times New Roman" w:hAnsi="Times New Roman"/>
          <w:b/>
          <w:noProof/>
          <w:sz w:val="24"/>
        </w:rPr>
        <w:t>rahoitusohjelmilla ja -välineillä</w:t>
      </w:r>
      <w:r>
        <w:rPr>
          <w:rFonts w:ascii="Times New Roman" w:hAnsi="Times New Roman"/>
          <w:noProof/>
          <w:sz w:val="24"/>
        </w:rPr>
        <w:t>, kuten Eu</w:t>
      </w:r>
      <w:r>
        <w:rPr>
          <w:rFonts w:ascii="Times New Roman" w:hAnsi="Times New Roman"/>
          <w:noProof/>
          <w:sz w:val="24"/>
        </w:rPr>
        <w:t>roopan globalisaatiorahastolla ja vähävaraisimmille suunnatun eurooppalaisen avun rahastolla, tuetaan yritysten rakennemuutoksista kärsiviä tai vakavan aineellisen puutteen riskissä eläviä.</w:t>
      </w:r>
    </w:p>
    <w:p w:rsidR="00B477BA" w:rsidRDefault="004F1AC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Euroopan investointiohjelman</w:t>
      </w:r>
      <w:r>
        <w:rPr>
          <w:rFonts w:ascii="Times New Roman" w:hAnsi="Times New Roman"/>
          <w:noProof/>
          <w:sz w:val="24"/>
        </w:rPr>
        <w:t xml:space="preserve"> (”Junckerin suunnitelma”) yhteydessä </w:t>
      </w:r>
      <w:r>
        <w:rPr>
          <w:rFonts w:ascii="Times New Roman" w:hAnsi="Times New Roman"/>
          <w:noProof/>
          <w:sz w:val="24"/>
        </w:rPr>
        <w:t>voidaan sosiaalista infrastruktuuria ja välineistöä samoin kuin strategisia investointeja yhteisötalouden yrityksiin tukea taloudellisesti Euroopan strategisten investointien rahastosta (ESIR)</w:t>
      </w:r>
      <w:r>
        <w:rPr>
          <w:rStyle w:val="FootnoteReference"/>
          <w:rFonts w:ascii="Times New Roman" w:hAnsi="Times New Roman"/>
          <w:noProof/>
          <w:sz w:val="24"/>
        </w:rPr>
        <w:footnoteReference w:id="13"/>
      </w:r>
      <w:r>
        <w:rPr>
          <w:noProof/>
        </w:rPr>
        <w:t>.</w:t>
      </w:r>
    </w:p>
    <w:p w:rsidR="00B477BA" w:rsidRDefault="004F1AC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Energiaunionin</w:t>
      </w:r>
      <w:r>
        <w:rPr>
          <w:rFonts w:ascii="Times New Roman" w:hAnsi="Times New Roman"/>
          <w:noProof/>
          <w:sz w:val="24"/>
        </w:rPr>
        <w:t xml:space="preserve"> alalla komission ehdottamassa ”Puhdasta energiaa kaikille eurooppalaisille” -paketissa painotetaan voimakkaasti kuluttajia ja vauhditetaan toimia sen varmistamiseksi, että puhtaaseen energiaan siirtyminen on sosiaalisesti oikeudenmukaista eikä ketään jäte</w:t>
      </w:r>
      <w:r>
        <w:rPr>
          <w:rFonts w:ascii="Times New Roman" w:hAnsi="Times New Roman"/>
          <w:noProof/>
          <w:sz w:val="24"/>
        </w:rPr>
        <w:t>tä jälkeen. Lisäksi paketissa esitetään uusi lähestymistapa muita heikommassa asemassa olevien kuluttajien suojelemiseksi, mihin kuuluu myös se, että jäsenvaltioita autetaan vähentämään kuluttajien energiakustannuksia tukemalla energiatehokkuuteen tehtäviä</w:t>
      </w:r>
      <w:r>
        <w:rPr>
          <w:rFonts w:ascii="Times New Roman" w:hAnsi="Times New Roman"/>
          <w:noProof/>
          <w:sz w:val="24"/>
        </w:rPr>
        <w:t xml:space="preserve"> investointeja. Tämä on myös johtanut eurooppalaisen energiaköyhyyden seurantaryhmän perustamiseen.</w:t>
      </w:r>
    </w:p>
    <w:p w:rsidR="00B477BA" w:rsidRDefault="004F1AC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Digitaalisilla sisämarkkinoilla</w:t>
      </w:r>
      <w:r>
        <w:rPr>
          <w:rFonts w:ascii="Times New Roman" w:hAnsi="Times New Roman"/>
          <w:noProof/>
          <w:sz w:val="24"/>
        </w:rPr>
        <w:t xml:space="preserve"> komissio on asettanut internetyhteyksiä koskevat tavoitteet vuodeksi 2025, jotta suuren kapasiteetin laajakaista saadaan kok</w:t>
      </w:r>
      <w:r>
        <w:rPr>
          <w:rFonts w:ascii="Times New Roman" w:hAnsi="Times New Roman"/>
          <w:noProof/>
          <w:sz w:val="24"/>
        </w:rPr>
        <w:t>o yhteiskunnan käyttöön,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>ja kiinnittänyt erityistä huomiota maaseutualueiden ja syrjäisten seutujen kaltaisiin kehityksestä jälkeen jääneisiin alueisiin painottaen samalla vahvasti digitaalisten taitojen kehittämistä. Se pyrkii lisäksi edistämään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ilmaisia </w:t>
      </w:r>
      <w:r>
        <w:rPr>
          <w:rFonts w:ascii="Times New Roman" w:hAnsi="Times New Roman"/>
          <w:noProof/>
          <w:sz w:val="24"/>
        </w:rPr>
        <w:t>Wi-Fi-yhteyksiä kansalaisille ja vierailijoille julkisissa tiloissa WiFi4EU-aloitteellaan. Lisäksi ehdotettu eurooppalainen sähköisen viestinnän säännöstö sisältää säännöksiä, joilla varmistetaan sähköisen viestinnän (laajakaista mukaan luettuna) kohtuuhin</w:t>
      </w:r>
      <w:r>
        <w:rPr>
          <w:rFonts w:ascii="Times New Roman" w:hAnsi="Times New Roman"/>
          <w:noProof/>
          <w:sz w:val="24"/>
        </w:rPr>
        <w:t xml:space="preserve">taisuus osana yleispalvelua. </w:t>
      </w:r>
    </w:p>
    <w:p w:rsidR="00B477BA" w:rsidRDefault="004F1AC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Liikennepolitiikan</w:t>
      </w:r>
      <w:r>
        <w:rPr>
          <w:rFonts w:ascii="Times New Roman" w:hAnsi="Times New Roman"/>
          <w:noProof/>
          <w:sz w:val="24"/>
        </w:rPr>
        <w:t xml:space="preserve"> alalla ”Eurooppa liikkeellä” -tieliikennepaketti sisältää erilaisia aloitteita, joilla mm. varmistetaan asianmukaiset työolot. EU tarkistaa lisäksi parhaillaan matkustajien oikeuksia koskevaa lainsäädäntöä s</w:t>
      </w:r>
      <w:r>
        <w:rPr>
          <w:rFonts w:ascii="Times New Roman" w:hAnsi="Times New Roman"/>
          <w:noProof/>
          <w:sz w:val="24"/>
        </w:rPr>
        <w:t>en varmistamiseksi, että liikuntarajoitteisilla on samat mahdollisuudet käyttää liikennepalveluja kuin kaikilla muilla matkustajilla.</w:t>
      </w:r>
    </w:p>
    <w:p w:rsidR="00B477BA" w:rsidRDefault="004F1AC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Komissio ehdotti </w:t>
      </w:r>
      <w:r>
        <w:rPr>
          <w:rFonts w:ascii="Times New Roman" w:hAnsi="Times New Roman"/>
          <w:b/>
          <w:noProof/>
          <w:sz w:val="24"/>
        </w:rPr>
        <w:t>juomaveden laatua</w:t>
      </w:r>
      <w:r>
        <w:rPr>
          <w:rFonts w:ascii="Times New Roman" w:hAnsi="Times New Roman"/>
          <w:noProof/>
          <w:sz w:val="24"/>
        </w:rPr>
        <w:t xml:space="preserve"> koskevan direktiivin tarkistamista tarkoituksena parantaa juomaveden saatavuutta kaikki</w:t>
      </w:r>
      <w:r>
        <w:rPr>
          <w:rFonts w:ascii="Times New Roman" w:hAnsi="Times New Roman"/>
          <w:noProof/>
          <w:sz w:val="24"/>
        </w:rPr>
        <w:t>en ja erityisesti muita heikommassa asemassa olevien ja syrjäytyneiden ryhmien kannalta.</w:t>
      </w:r>
    </w:p>
    <w:p w:rsidR="00B477BA" w:rsidRDefault="004F1AC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Verotusjärjestelmän</w:t>
      </w:r>
      <w:r>
        <w:rPr>
          <w:rFonts w:ascii="Times New Roman" w:hAnsi="Times New Roman"/>
          <w:noProof/>
          <w:sz w:val="24"/>
        </w:rPr>
        <w:t xml:space="preserve"> alalla komissio on esittänyt erinäisiä aloitteita, joilla pyritään palauttamaan EU:n verojärjestelmän oikeudenmukaisuus varmistamalla, että kaikki </w:t>
      </w:r>
      <w:r>
        <w:rPr>
          <w:rFonts w:ascii="Times New Roman" w:hAnsi="Times New Roman"/>
          <w:noProof/>
          <w:sz w:val="24"/>
        </w:rPr>
        <w:t>yritykset maksavat oikeudenmukaisen osuuden veroistaan sinne, missä ne hankkivat voittonsa</w:t>
      </w:r>
      <w:r>
        <w:rPr>
          <w:rStyle w:val="FootnoteReference"/>
          <w:rFonts w:ascii="Times New Roman" w:hAnsi="Times New Roman"/>
          <w:noProof/>
          <w:sz w:val="24"/>
        </w:rPr>
        <w:footnoteReference w:id="14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</w:t>
      </w:r>
    </w:p>
    <w:p w:rsidR="00B477BA" w:rsidRDefault="004F1AC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Kauppapolitiikassaan</w:t>
      </w:r>
      <w:r>
        <w:rPr>
          <w:rFonts w:ascii="Times New Roman" w:hAnsi="Times New Roman"/>
          <w:noProof/>
          <w:sz w:val="24"/>
        </w:rPr>
        <w:t xml:space="preserve"> EU edistää kansainvälisellä tasolla hyväksyttyjä keskeisiä työelämän perusnormeja: yhdistymisvapaus, kollektiivinen neuvotteluoikeus, syrjint</w:t>
      </w:r>
      <w:r>
        <w:rPr>
          <w:rFonts w:ascii="Times New Roman" w:hAnsi="Times New Roman"/>
          <w:noProof/>
          <w:sz w:val="24"/>
        </w:rPr>
        <w:t>äkielto, lapsityövoiman käytön ja pakkotyön torjunta, työsuojelutarkastukset, työterveys ja -turvallisuus sekä ihmisarvoiset työolot. Sosiaaliset näkökohdat ovat keskeisellä sijalla myös kaikkien kauppasopimusten osalta toteutetuissa kestävyyteen liittyvie</w:t>
      </w:r>
      <w:r>
        <w:rPr>
          <w:rFonts w:ascii="Times New Roman" w:hAnsi="Times New Roman"/>
          <w:noProof/>
          <w:sz w:val="24"/>
        </w:rPr>
        <w:t xml:space="preserve">n vaikutusten arvioinneissa talouteen, ihmisoikeuksiin ja ympäristöön kohdistuvien vaikutusten rinnalla. </w:t>
      </w:r>
    </w:p>
    <w:p w:rsidR="00B477BA" w:rsidRDefault="004F1AC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Uusilla </w:t>
      </w:r>
      <w:r>
        <w:rPr>
          <w:rFonts w:ascii="Times New Roman" w:hAnsi="Times New Roman"/>
          <w:b/>
          <w:noProof/>
          <w:sz w:val="24"/>
        </w:rPr>
        <w:t>Euroopan solidaarisuusjoukoilla</w:t>
      </w:r>
      <w:r>
        <w:rPr>
          <w:rFonts w:ascii="Times New Roman" w:hAnsi="Times New Roman"/>
          <w:noProof/>
          <w:sz w:val="24"/>
        </w:rPr>
        <w:t xml:space="preserve"> annetaan nuorille ja erityisesti vähemmän etuoikeutetuille nuorille mahdollisuus osallistua solidaarisuustoimi</w:t>
      </w:r>
      <w:r>
        <w:rPr>
          <w:rFonts w:ascii="Times New Roman" w:hAnsi="Times New Roman"/>
          <w:noProof/>
          <w:sz w:val="24"/>
        </w:rPr>
        <w:t>ntaan ja auttaa paneutumaan sosiaalisiin tarpeisiin kaikkialla Euroopassa, minkä ansiosta he myös voivat kehittää omaa osaamistaan ja omia taitojaan.</w:t>
      </w:r>
    </w:p>
    <w:p w:rsidR="00B477BA" w:rsidRDefault="004F1AC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Vakaustukiohjelmissa käytäntönä on ollut Kreikan tapauksesta vuonna 2015 lähtien varmistaa, että ohjelmiin</w:t>
      </w:r>
      <w:r>
        <w:rPr>
          <w:rFonts w:ascii="Times New Roman" w:hAnsi="Times New Roman"/>
          <w:noProof/>
          <w:sz w:val="24"/>
        </w:rPr>
        <w:t xml:space="preserve"> liittyy </w:t>
      </w:r>
      <w:r>
        <w:rPr>
          <w:rFonts w:ascii="Times New Roman" w:hAnsi="Times New Roman"/>
          <w:b/>
          <w:noProof/>
          <w:sz w:val="24"/>
        </w:rPr>
        <w:t>sosiaalisten vaikutusten arviointi</w:t>
      </w:r>
      <w:r>
        <w:rPr>
          <w:rFonts w:ascii="Times New Roman" w:hAnsi="Times New Roman"/>
          <w:noProof/>
          <w:sz w:val="24"/>
        </w:rPr>
        <w:t xml:space="preserve">. 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Lisäksi Euroopan sosiaalisten oikeuksien pilarissa esiin tuotu positiivinen lähentyminen sosioekonomisissa tuloksissa, sosiaalisessa sopeutumiskyvyssä ja oikeudenmukaisuudessa on olennainen osa pyrkimyksiä vahv</w:t>
      </w:r>
      <w:r>
        <w:rPr>
          <w:rFonts w:ascii="Times New Roman" w:hAnsi="Times New Roman"/>
          <w:noProof/>
          <w:sz w:val="24"/>
        </w:rPr>
        <w:t xml:space="preserve">istaa ja täydentää </w:t>
      </w:r>
      <w:r>
        <w:rPr>
          <w:rFonts w:ascii="Times New Roman" w:hAnsi="Times New Roman"/>
          <w:b/>
          <w:noProof/>
          <w:sz w:val="24"/>
        </w:rPr>
        <w:t>talous- ja rahaliittoa</w:t>
      </w:r>
      <w:r>
        <w:rPr>
          <w:rFonts w:ascii="Times New Roman" w:hAnsi="Times New Roman"/>
          <w:noProof/>
          <w:sz w:val="24"/>
        </w:rPr>
        <w:t>, kuten kesäkuussa 2015 annetussa viiden puheenjohtajan kertomuksessa</w:t>
      </w:r>
      <w:r>
        <w:rPr>
          <w:rStyle w:val="FootnoteReference"/>
          <w:rFonts w:ascii="Times New Roman" w:hAnsi="Times New Roman"/>
          <w:noProof/>
          <w:sz w:val="24"/>
        </w:rPr>
        <w:footnoteReference w:id="15"/>
      </w:r>
      <w:r>
        <w:rPr>
          <w:rFonts w:ascii="Times New Roman" w:hAnsi="Times New Roman"/>
          <w:noProof/>
          <w:sz w:val="24"/>
        </w:rPr>
        <w:t xml:space="preserve"> ja myöhemmissä komission ehdotuksissa</w:t>
      </w:r>
      <w:r>
        <w:rPr>
          <w:rStyle w:val="FootnoteReference"/>
          <w:rFonts w:ascii="Times New Roman" w:hAnsi="Times New Roman"/>
          <w:noProof/>
          <w:sz w:val="24"/>
        </w:rPr>
        <w:footnoteReference w:id="16"/>
      </w:r>
      <w:r>
        <w:rPr>
          <w:rFonts w:ascii="Times New Roman" w:hAnsi="Times New Roman"/>
          <w:noProof/>
          <w:sz w:val="24"/>
        </w:rPr>
        <w:t xml:space="preserve"> muistutettiin</w:t>
      </w:r>
      <w:r>
        <w:rPr>
          <w:noProof/>
        </w:rPr>
        <w:t>.</w:t>
      </w:r>
    </w:p>
    <w:p w:rsidR="00B477BA" w:rsidRDefault="004F1AC2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Kaaviossa 1 esitetään yleiskatsaus niihin useisiin eri tapoihin, joilla komissio on </w:t>
      </w:r>
      <w:r>
        <w:rPr>
          <w:rFonts w:ascii="Times New Roman" w:hAnsi="Times New Roman"/>
          <w:b/>
          <w:noProof/>
          <w:sz w:val="24"/>
        </w:rPr>
        <w:t>ottanu</w:t>
      </w:r>
      <w:r>
        <w:rPr>
          <w:rFonts w:ascii="Times New Roman" w:hAnsi="Times New Roman"/>
          <w:b/>
          <w:noProof/>
          <w:sz w:val="24"/>
        </w:rPr>
        <w:t>t huomioon sosiaaliset painopisteet kaikissa toimintapolitiikoissa</w:t>
      </w:r>
      <w:r>
        <w:rPr>
          <w:rFonts w:ascii="Times New Roman" w:hAnsi="Times New Roman"/>
          <w:noProof/>
          <w:sz w:val="24"/>
        </w:rPr>
        <w:t xml:space="preserve">: </w:t>
      </w:r>
    </w:p>
    <w:p w:rsidR="00B477BA" w:rsidRDefault="004F1AC2">
      <w:pPr>
        <w:rPr>
          <w:noProof/>
        </w:rPr>
      </w:pPr>
      <w:r>
        <w:rPr>
          <w:noProof/>
        </w:rPr>
        <w:br w:type="page"/>
      </w:r>
    </w:p>
    <w:p w:rsidR="00B477BA" w:rsidRDefault="004F1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8800"/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</w:rPr>
      </w:pPr>
      <w:r>
        <w:rPr>
          <w:rFonts w:ascii="Times New Roman" w:hAnsi="Times New Roman"/>
          <w:b/>
          <w:noProof/>
          <w:color w:val="FFFFFF" w:themeColor="background1"/>
          <w:sz w:val="24"/>
        </w:rPr>
        <w:t>Kaavio 1. Nykyisen komission keskeiset aloitteet työllisyys- ja sosiaalialalla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lang w:val="en-GB" w:eastAsia="en-GB" w:bidi="ar-SA"/>
        </w:rPr>
        <w:drawing>
          <wp:inline distT="0" distB="0" distL="0" distR="0" wp14:anchorId="2A32EDA0" wp14:editId="7ED2E46B">
            <wp:extent cx="5753100" cy="4124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Pilarin perustamisella on tässä yhteydessä ollut </w:t>
      </w:r>
      <w:r>
        <w:rPr>
          <w:rFonts w:ascii="Times New Roman" w:hAnsi="Times New Roman"/>
          <w:b/>
          <w:noProof/>
          <w:sz w:val="24"/>
        </w:rPr>
        <w:t xml:space="preserve">keskeinen merkitys EU:n lainsäädännön päivittämisessä </w:t>
      </w:r>
      <w:r>
        <w:rPr>
          <w:rFonts w:ascii="Times New Roman" w:hAnsi="Times New Roman"/>
          <w:b/>
          <w:noProof/>
          <w:sz w:val="24"/>
        </w:rPr>
        <w:t>ja täydentämisessä siltä osin kuin se on tarpeellista.</w:t>
      </w:r>
      <w:r>
        <w:rPr>
          <w:rFonts w:ascii="Times New Roman" w:hAnsi="Times New Roman"/>
          <w:noProof/>
          <w:sz w:val="24"/>
        </w:rPr>
        <w:t xml:space="preserve"> Tähän mennessä tehdyn lisäksi komissio esittää joukon aloitteita tämänpäiväisen tiedonannon ohella, kuten laatikossa 1 tiivistetysti esitetään.</w:t>
      </w:r>
    </w:p>
    <w:p w:rsidR="00B477BA" w:rsidRDefault="004F1AC2">
      <w:pPr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</w:rPr>
      </w:pPr>
      <w:r>
        <w:rPr>
          <w:noProof/>
        </w:rPr>
        <w:br w:type="page"/>
      </w:r>
    </w:p>
    <w:p w:rsidR="00B477BA" w:rsidRDefault="004F1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8800"/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</w:rPr>
      </w:pPr>
      <w:r>
        <w:rPr>
          <w:rFonts w:ascii="Times New Roman" w:hAnsi="Times New Roman"/>
          <w:b/>
          <w:noProof/>
          <w:color w:val="FFFFFF" w:themeColor="background1"/>
          <w:sz w:val="24"/>
        </w:rPr>
        <w:t>Laatikko 1. Uusi 13. maaliskuuta 2018 esitetty sosiaali</w:t>
      </w:r>
      <w:r>
        <w:rPr>
          <w:rFonts w:ascii="Times New Roman" w:hAnsi="Times New Roman"/>
          <w:b/>
          <w:noProof/>
          <w:color w:val="FFFFFF" w:themeColor="background1"/>
          <w:sz w:val="24"/>
        </w:rPr>
        <w:t>sta oikeudenmukaisuutta käsittelevä paketti</w:t>
      </w:r>
    </w:p>
    <w:p w:rsidR="00B477BA" w:rsidRDefault="004F1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 xml:space="preserve">Tämän tiedonannon rinnalla esitetään uusi </w:t>
      </w:r>
      <w:r>
        <w:rPr>
          <w:rFonts w:ascii="Times New Roman" w:hAnsi="Times New Roman"/>
          <w:b/>
          <w:noProof/>
        </w:rPr>
        <w:t>sosiaalista oikeudenmukaisuutta käsittelevä paketti</w:t>
      </w:r>
      <w:r>
        <w:rPr>
          <w:rFonts w:ascii="Times New Roman" w:hAnsi="Times New Roman"/>
          <w:noProof/>
        </w:rPr>
        <w:t xml:space="preserve">, jonka komissio hyväksyi 13. maaliskuuta 2018. </w:t>
      </w:r>
    </w:p>
    <w:p w:rsidR="00B477BA" w:rsidRDefault="004F1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 xml:space="preserve">Komissio ehdottaa ensinnäkin </w:t>
      </w:r>
      <w:r>
        <w:rPr>
          <w:rFonts w:ascii="Times New Roman" w:hAnsi="Times New Roman"/>
          <w:b/>
          <w:noProof/>
        </w:rPr>
        <w:t>Euroopan työviranomaisen</w:t>
      </w:r>
      <w:r>
        <w:rPr>
          <w:rFonts w:ascii="Times New Roman" w:hAnsi="Times New Roman"/>
          <w:noProof/>
        </w:rPr>
        <w:t xml:space="preserve"> perustamista täydentämään aiempia aloitteita, joilla parannetaan työntekijöiden lähettämistä ja sosiaaliturvajärjestelmien yhteensovittamista koskevia sääntöjä. Vapaa liikkuvuus on yksi sisämarkkinoiden arvostetuimmista vapauksista, joka hyödyttää yksittä</w:t>
      </w:r>
      <w:r>
        <w:rPr>
          <w:rFonts w:ascii="Times New Roman" w:hAnsi="Times New Roman"/>
          <w:noProof/>
        </w:rPr>
        <w:t>isiä ihmisiä, talouksia ja koko yhteiskuntaa. Oikeudenmukaisen liikkuvuuden varmistamiseksi on nykyään olemassa laajalti EU:n lainsäädäntöä, mutta tärkeintä on se, että näitä sääntöjä sovelletaan tosiasiallisesti käytännössä. Tässä yhteydessä työviranomais</w:t>
      </w:r>
      <w:r>
        <w:rPr>
          <w:rFonts w:ascii="Times New Roman" w:hAnsi="Times New Roman"/>
          <w:noProof/>
        </w:rPr>
        <w:t xml:space="preserve">en tehtävänä ja sen tuottamana lisäarvona on </w:t>
      </w:r>
    </w:p>
    <w:p w:rsidR="00B477BA" w:rsidRDefault="004F1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 xml:space="preserve">a) helpottaa yksittäisten ihmisten ja työnantajien pääsyä heidän oikeuksiaan ja velvollisuuksiaan koskeviin tietoihin ja asiaankuuluviin palveluihin; </w:t>
      </w:r>
    </w:p>
    <w:p w:rsidR="00B477BA" w:rsidRDefault="004F1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b) tukea jäsenvaltioiden välistä yhteistyötä asiaankuuluvan</w:t>
      </w:r>
      <w:r>
        <w:rPr>
          <w:rFonts w:ascii="Times New Roman" w:hAnsi="Times New Roman"/>
          <w:noProof/>
        </w:rPr>
        <w:t xml:space="preserve"> unionin lainsäädännön täytäntöönpanon valvonnassa rajojen yli, mukaan lukien yhteisten tarkastusten helpottaminen;</w:t>
      </w:r>
    </w:p>
    <w:p w:rsidR="00B477BA" w:rsidRDefault="004F1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c)</w:t>
      </w:r>
      <w:r>
        <w:rPr>
          <w:noProof/>
        </w:rPr>
        <w:tab/>
      </w:r>
      <w:r>
        <w:rPr>
          <w:rFonts w:ascii="Times New Roman" w:hAnsi="Times New Roman"/>
          <w:noProof/>
        </w:rPr>
        <w:t xml:space="preserve"> toimia sovittelijana ja helpottaa ratkaisun löytymistä kansallisten viranomaisten välisissä rajatylittävissä riita-asioissa tai työmarkk</w:t>
      </w:r>
      <w:r>
        <w:rPr>
          <w:rFonts w:ascii="Times New Roman" w:hAnsi="Times New Roman"/>
          <w:noProof/>
        </w:rPr>
        <w:t>inahäiriöissä.</w:t>
      </w:r>
    </w:p>
    <w:p w:rsidR="00B477BA" w:rsidRDefault="004F1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Työviranomaisen perustamisen valmistelun tukemiseksi komissio perustaa myös neuvoa-antavan ryhmän, joka kokoaa yhteen keskeiset sidosryhmät.</w:t>
      </w:r>
    </w:p>
    <w:p w:rsidR="00B477BA" w:rsidRDefault="004F1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 xml:space="preserve">Toiseksi komissio ehdottaa </w:t>
      </w:r>
      <w:r>
        <w:rPr>
          <w:rFonts w:ascii="Times New Roman" w:hAnsi="Times New Roman"/>
          <w:b/>
          <w:noProof/>
        </w:rPr>
        <w:t>työntekijöiden ja itsenäisten ammatinharjoittajien sosiaalisen suojelun s</w:t>
      </w:r>
      <w:r>
        <w:rPr>
          <w:rFonts w:ascii="Times New Roman" w:hAnsi="Times New Roman"/>
          <w:b/>
          <w:noProof/>
        </w:rPr>
        <w:t>aatavuutta koskevaa neuvoston suositusta</w:t>
      </w:r>
      <w:r>
        <w:rPr>
          <w:rFonts w:ascii="Times New Roman" w:hAnsi="Times New Roman"/>
          <w:noProof/>
        </w:rPr>
        <w:t>, joka pohjautuu EU:n työmarkkinaosapuolten kuulemiseen ja jolla pyritään kannustamaan jäsenvaltioita varmistamaan, että kaikki työssäkäyvät voivat osallistua sosiaalisen suojelun rahoittamiseen ja että heillä on rii</w:t>
      </w:r>
      <w:r>
        <w:rPr>
          <w:rFonts w:ascii="Times New Roman" w:hAnsi="Times New Roman"/>
          <w:noProof/>
        </w:rPr>
        <w:t xml:space="preserve">ttävät mahdollisuudet saada sosiaalista suojelua, kuten työttömyys- tai sairausetuuksia. Nykyisin noin 60 prosenttia ihmisistä työskentelee kokoaikaisissa vakinaisissa työsuhteissa. Yhä useammalla on kuitenkin muunlainen työsopimus, kuten osa-aikainen tai </w:t>
      </w:r>
      <w:r>
        <w:rPr>
          <w:rFonts w:ascii="Times New Roman" w:hAnsi="Times New Roman"/>
          <w:noProof/>
        </w:rPr>
        <w:t>määräaikainen työsopimus, tai he ovat itsenäisiä ammatinharjoittajia. Tästä suuntauksesta voi aiheutua eriarvoisuutta ja sosiaalisia riskejä, jos näillä työntekijöillä ei ole riittävää pääsyä sosiaalisen suojelun piiriin. Komissio harkitsi mahdollisuutta e</w:t>
      </w:r>
      <w:r>
        <w:rPr>
          <w:rFonts w:ascii="Times New Roman" w:hAnsi="Times New Roman"/>
          <w:noProof/>
        </w:rPr>
        <w:t>hdottaa direktiiviä tästä aiheesta, mutta ottaen huomioon tilanteiden erilaisuuden ja EU:n tason toiminnan mahdollistavan säädöskehyksen rajoitukset se katsoo, että neuvoston suositus on asianmukainen tapa ohjata edistymistä kansallisella tasolla, varmista</w:t>
      </w:r>
      <w:r>
        <w:rPr>
          <w:rFonts w:ascii="Times New Roman" w:hAnsi="Times New Roman"/>
          <w:noProof/>
        </w:rPr>
        <w:t>a tasapuoliset toimintaedellytykset ja tukea lähentymistä parhaiden toimijoiden suoritustasoon.</w:t>
      </w:r>
    </w:p>
    <w:p w:rsidR="00B477BA" w:rsidRDefault="004F1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Lisäksi komissio on kehittämässä </w:t>
      </w:r>
      <w:r>
        <w:rPr>
          <w:rFonts w:ascii="Times New Roman" w:hAnsi="Times New Roman"/>
          <w:b/>
          <w:noProof/>
        </w:rPr>
        <w:t>eurooppalaista sosiaaliturvatunnusta</w:t>
      </w:r>
      <w:r>
        <w:rPr>
          <w:rFonts w:ascii="Times New Roman" w:hAnsi="Times New Roman"/>
          <w:noProof/>
        </w:rPr>
        <w:t>, jonka on tarkoitus olla digitaalinen tunniste, jolla nykyiset järjestelmät saadaan yhteen</w:t>
      </w:r>
      <w:r>
        <w:rPr>
          <w:rFonts w:ascii="Times New Roman" w:hAnsi="Times New Roman"/>
          <w:noProof/>
        </w:rPr>
        <w:t>toimiviksi. Miljoonat matkailijat ja toisessa EU-maassa matkustavat, asuvat ja työskentelevät voisivat helposti todistaa kuuluvansa sosiaaliturvan piiriin kotimaassaan ja saada nopeammin ja helpommin heille kuuluvat etuudet – samalla he voisivat olla varmo</w:t>
      </w:r>
      <w:r>
        <w:rPr>
          <w:rFonts w:ascii="Times New Roman" w:hAnsi="Times New Roman"/>
          <w:noProof/>
        </w:rPr>
        <w:t xml:space="preserve">ja siitä, että heidän henkilötietonsa on täysin suojattu. Tämä helpottaisi oikeuksien siirrettävyyttä rajojen yli, mahdollistaisi reaaliaikaisen tunnistamisen ja kattavuuden todentamisen ja vähentäisi myös paperiasiakirjojen käytöstä aiheutuvien virheiden </w:t>
      </w:r>
      <w:r>
        <w:rPr>
          <w:rFonts w:ascii="Times New Roman" w:hAnsi="Times New Roman"/>
          <w:noProof/>
        </w:rPr>
        <w:t xml:space="preserve">ja petosten riskejä. Se helpottaisi hallintoviranomaisten työtä kaikilla tasoilla. Tämä aloite on osa komission vuoden 2018 työohjelmaa: komissio käy parempaa sääntelyä koskevien periaatteiden mukaisesti vuoropuhelua jäsenvaltioiden ja sidosryhmien kanssa </w:t>
      </w:r>
      <w:r>
        <w:rPr>
          <w:rFonts w:ascii="Times New Roman" w:hAnsi="Times New Roman"/>
          <w:noProof/>
        </w:rPr>
        <w:t>ja esittää aloitteen myöhemmin kuluvan vuoden aikana.</w:t>
      </w:r>
    </w:p>
    <w:p w:rsidR="00B477BA" w:rsidRDefault="00B477BA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Komissio aikoo pilarin täytäntöönpanossa EU:n tasolla hyödyntää edelleen kaikkia käytössään olevia välineitä. </w:t>
      </w:r>
      <w:r>
        <w:rPr>
          <w:rFonts w:ascii="Times New Roman" w:hAnsi="Times New Roman"/>
          <w:noProof/>
          <w:sz w:val="24"/>
        </w:rPr>
        <w:t>Näiden välineiden käyttö vaihtelee toimintalohkon ja pilarin periaatteiden mukaan ja heijas</w:t>
      </w:r>
      <w:r>
        <w:rPr>
          <w:rFonts w:ascii="Times New Roman" w:hAnsi="Times New Roman"/>
          <w:noProof/>
          <w:sz w:val="24"/>
        </w:rPr>
        <w:t>telee EU:n tason toimivallan luonnetta ja laajuutta.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Niihin kuuluvat nykyisen lainsäädännön päivittäminen ja täydentäminen, kuten edellä todettiin, EU:n lainsäädännön täytäntöönpanon valvonnan parantaminen jäsenvaltioissa ja työmarkkinaosapuolten vuoropuhe</w:t>
      </w:r>
      <w:r>
        <w:rPr>
          <w:rFonts w:ascii="Times New Roman" w:hAnsi="Times New Roman"/>
          <w:noProof/>
          <w:sz w:val="24"/>
        </w:rPr>
        <w:t xml:space="preserve">lun tukeminen kaikkialla EU:ssa samoin kuin edistymisen seuranta eurooppalaisen ohjausjakson puitteissa. </w:t>
      </w:r>
    </w:p>
    <w:p w:rsidR="00B477BA" w:rsidRDefault="004F1AC2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Tämä koskee myös </w:t>
      </w:r>
      <w:r>
        <w:rPr>
          <w:rFonts w:ascii="Times New Roman" w:hAnsi="Times New Roman"/>
          <w:b/>
          <w:noProof/>
          <w:sz w:val="24"/>
        </w:rPr>
        <w:t>taloudellista tukea EU:n rahastoista</w:t>
      </w:r>
      <w:r>
        <w:rPr>
          <w:rFonts w:ascii="Times New Roman" w:hAnsi="Times New Roman"/>
          <w:noProof/>
          <w:sz w:val="24"/>
        </w:rPr>
        <w:t xml:space="preserve"> ja eritoten Euroopan rakenne- ja investointirahastoista, Erasmus+-ohjelmasta ja muista asiaankuu</w:t>
      </w:r>
      <w:r>
        <w:rPr>
          <w:rFonts w:ascii="Times New Roman" w:hAnsi="Times New Roman"/>
          <w:noProof/>
          <w:sz w:val="24"/>
        </w:rPr>
        <w:t>luvista ohjelmista. Tuoreessa tiedonannossaan ”Uuden, modernin monivuotisen rahoituskehyksen avulla tuloksiin EU:n painopistealoilla vuoden 2020 jälkeen”</w:t>
      </w:r>
      <w:r>
        <w:rPr>
          <w:rStyle w:val="FootnoteReference"/>
          <w:rFonts w:ascii="Times New Roman" w:hAnsi="Times New Roman"/>
          <w:noProof/>
          <w:sz w:val="24"/>
        </w:rPr>
        <w:footnoteReference w:id="17"/>
      </w:r>
      <w:r>
        <w:rPr>
          <w:rFonts w:ascii="Times New Roman" w:hAnsi="Times New Roman"/>
          <w:noProof/>
          <w:sz w:val="24"/>
        </w:rPr>
        <w:t xml:space="preserve"> komissio painotti, että EU:n talousarvion avulla on täytettävä EU:n johtajien Göteborgissa pidetyssä sosiaalialan huippukokouksessa antamat lupaukset ja kehitettävä edelleen unionin sosiaalista ulottuvuutta muun muassa panemalla Euroopan sosiaalisten oike</w:t>
      </w:r>
      <w:r>
        <w:rPr>
          <w:rFonts w:ascii="Times New Roman" w:hAnsi="Times New Roman"/>
          <w:noProof/>
          <w:sz w:val="24"/>
        </w:rPr>
        <w:t>uksien pilari täytäntöön kaikilta osin</w:t>
      </w:r>
      <w:r>
        <w:rPr>
          <w:rStyle w:val="FootnoteReference"/>
          <w:rFonts w:ascii="Times New Roman" w:hAnsi="Times New Roman"/>
          <w:noProof/>
          <w:sz w:val="24"/>
        </w:rPr>
        <w:footnoteReference w:id="18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Komissio korosti, että työllistymismahdollisuuksien parantaminen ja mm. digitalisaatioon liittyviin osaamishaasteisiin vastaaminen edellyttävät riittäviä resursseja. Keväällä 2018 esitetään vuoden 2020 jälkeen nouda</w:t>
      </w:r>
      <w:r>
        <w:rPr>
          <w:rFonts w:ascii="Times New Roman" w:hAnsi="Times New Roman"/>
          <w:noProof/>
          <w:sz w:val="24"/>
        </w:rPr>
        <w:t>tettavaa EU:n monivuotista rahoituskehystä koskevia yksityiskohtaisia ehdotuksia.</w:t>
      </w:r>
    </w:p>
    <w:p w:rsidR="00B477BA" w:rsidRDefault="00B477BA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B477BA" w:rsidRDefault="004F1AC2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w:t xml:space="preserve">4. Pilarin täytäntöönpano kansallisella tasolla 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Suurin osa Euroopan sosiaalisten oikeuksien pilarin toteuttamiseen tarvittavista toimivaltuuksista ja välineistä on paikalli</w:t>
      </w:r>
      <w:r>
        <w:rPr>
          <w:rFonts w:ascii="Times New Roman" w:hAnsi="Times New Roman"/>
          <w:b/>
          <w:noProof/>
          <w:sz w:val="24"/>
        </w:rPr>
        <w:t xml:space="preserve">s-, alue- ja keskusviranomaisten, työmarkkinaosapuolten sekä kansalaisyhteiskunnan käsissä. </w:t>
      </w:r>
      <w:r>
        <w:rPr>
          <w:rFonts w:ascii="Times New Roman" w:hAnsi="Times New Roman"/>
          <w:noProof/>
          <w:sz w:val="24"/>
        </w:rPr>
        <w:t>EU:lla on tärkeä rooli jäsenvaltioiden tukemisessa, mutta vastuu pilarin täytäntöönpanosta kuuluu – mitä suurimmassa määrin – jäsenvaltioille niiden hallinnon eri t</w:t>
      </w:r>
      <w:r>
        <w:rPr>
          <w:rFonts w:ascii="Times New Roman" w:hAnsi="Times New Roman"/>
          <w:noProof/>
          <w:sz w:val="24"/>
        </w:rPr>
        <w:t>asoilla. Lisäksi työmarkkinaosapuolilla on kaikilla tasoilla keskeinen asema pilarin täytäntöönpanossa niiden sopimusten neuvotteluun ja tekemiseen liittyvän itsenäisyyden mukaisesti</w:t>
      </w:r>
      <w:r>
        <w:rPr>
          <w:rStyle w:val="FootnoteReference"/>
          <w:rFonts w:ascii="Times New Roman" w:hAnsi="Times New Roman"/>
          <w:noProof/>
          <w:sz w:val="24"/>
        </w:rPr>
        <w:footnoteReference w:id="19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Kansallisten työmarkkinasuhdejärjestelmien monimuotoisuus ja työmarkkin</w:t>
      </w:r>
      <w:r>
        <w:rPr>
          <w:rFonts w:ascii="Times New Roman" w:hAnsi="Times New Roman"/>
          <w:noProof/>
          <w:sz w:val="24"/>
        </w:rPr>
        <w:t>aosapuolten autonominen asema on nimenomaisesti tunnustettu SEUT-sopimuksessa. Komissio on vuosien mittaan kehottanut jäsenvaltioita antamaan työmarkkinaosapuolille suuremman roolin työllisyys- ja sosiaalialalla, sillä niiden osallistuminen on olennaisen t</w:t>
      </w:r>
      <w:r>
        <w:rPr>
          <w:rFonts w:ascii="Times New Roman" w:hAnsi="Times New Roman"/>
          <w:noProof/>
          <w:sz w:val="24"/>
        </w:rPr>
        <w:t>ärkeää uudistuksiin sitoutumisen kannalta. Erityisesti sosiaalialan palveluja tarjoavilla kansalaisjärjestöillä on myös suuri merkitys pilarin käyttöönoton ja toteuttamisen kannalta.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Euroopan sosiaalisten oikeuksien pilarissa esitetään olennaisia periaatte</w:t>
      </w:r>
      <w:r>
        <w:rPr>
          <w:rFonts w:ascii="Times New Roman" w:hAnsi="Times New Roman"/>
          <w:b/>
          <w:noProof/>
          <w:sz w:val="24"/>
        </w:rPr>
        <w:t>ita ja oikeuksia ja ohjataan näin toimiviin tuloksiin työllisyys- ja sosiaalialalla.</w:t>
      </w:r>
      <w:r>
        <w:rPr>
          <w:rFonts w:ascii="Times New Roman" w:hAnsi="Times New Roman"/>
          <w:noProof/>
          <w:sz w:val="24"/>
        </w:rPr>
        <w:t xml:space="preserve"> Kaikkiin tapauksiin soveltuvia ratkaisuja ei ole olemassa, ja pilarissa on otettu huomioon kansallisten tilanteiden erilaisuus.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Vaikka jäsenvaltioilla on usein yhteisiä ha</w:t>
      </w:r>
      <w:r>
        <w:rPr>
          <w:rFonts w:ascii="Times New Roman" w:hAnsi="Times New Roman"/>
          <w:noProof/>
          <w:sz w:val="24"/>
        </w:rPr>
        <w:t xml:space="preserve">asteita ja samantapaisia ongelmia, niihin on kussakin tapauksessa väistämättä löydettävä omat ratkaisunsa. Tämä johtuu niiden kansallisten järjestelmien, perinteiden ja lähtökohtien erilaisuudesta ja niiden kunkin sosioekonomisesta tilanteesta. 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Nykyinen t</w:t>
      </w:r>
      <w:r>
        <w:rPr>
          <w:rFonts w:ascii="Times New Roman" w:hAnsi="Times New Roman"/>
          <w:b/>
          <w:noProof/>
          <w:sz w:val="24"/>
        </w:rPr>
        <w:t xml:space="preserve">aloustilanne tarjoaa tilaisuuden edistää osallistavaa kasvua, nykyaikaistaa EU:n sosiaalista markkinataloutta ja investoida ihmisiin Euroopan sosiaalisten oikeuksien pilarin mukaisesti. </w:t>
      </w:r>
      <w:r>
        <w:rPr>
          <w:rFonts w:ascii="Times New Roman" w:hAnsi="Times New Roman"/>
          <w:noProof/>
          <w:sz w:val="24"/>
        </w:rPr>
        <w:t>EU:n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>talous laajenee edelleen vinhaan tahtiin</w:t>
      </w:r>
      <w:r>
        <w:rPr>
          <w:rStyle w:val="FootnoteReference"/>
          <w:rFonts w:ascii="Times New Roman" w:hAnsi="Times New Roman"/>
          <w:noProof/>
          <w:sz w:val="24"/>
        </w:rPr>
        <w:footnoteReference w:id="20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Yli yhdeksän miljoonaa</w:t>
      </w:r>
      <w:r>
        <w:rPr>
          <w:rFonts w:ascii="Times New Roman" w:hAnsi="Times New Roman"/>
          <w:noProof/>
          <w:sz w:val="24"/>
        </w:rPr>
        <w:t xml:space="preserve"> uutta työpaikkaa on luotu alkusyksystä 2014 lähtien, jolloin nykyisen komission toimikausi alkoi</w:t>
      </w:r>
      <w:r>
        <w:rPr>
          <w:rStyle w:val="FootnoteReference"/>
          <w:rFonts w:ascii="Times New Roman" w:hAnsi="Times New Roman"/>
          <w:noProof/>
          <w:sz w:val="24"/>
        </w:rPr>
        <w:footnoteReference w:id="21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Työttömyysaste laskee tasaisesti ja on alimmillaan sitten vuoden 2008. Työssä olevien määrä on noussut 236,3 miljoonaan EU:ssa, mikä on korkein koskaan kirj</w:t>
      </w:r>
      <w:r>
        <w:rPr>
          <w:rFonts w:ascii="Times New Roman" w:hAnsi="Times New Roman"/>
          <w:noProof/>
          <w:sz w:val="24"/>
        </w:rPr>
        <w:t>attu määrä. EU:ssa on kuitenkin edelleen 18 miljoonaa työtöntä, kotitalouksien tulot ovat edelleen alle vuoden 2008 tason useissa jäsenvaltioissa, ja moniin sosiaalisiin haasteisiin on vielä vastattava erityisesti ottaen huomioon käynnissä olevan kehitykse</w:t>
      </w:r>
      <w:r>
        <w:rPr>
          <w:rFonts w:ascii="Times New Roman" w:hAnsi="Times New Roman"/>
          <w:noProof/>
          <w:sz w:val="24"/>
        </w:rPr>
        <w:t xml:space="preserve">n – digitalisoinnista ikääntymiseen – tahdin ja laajuuden. Tilanne vaihtelee lisäksi edelleen suuresti jäsenvaltioiden kesken ja niiden sisällä. 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Painopisteissä on väistämättä vaihtelua, ja eurooppalainen ohjausjakso tarjoaa jäsenvaltioille tilaisuuden edi</w:t>
      </w:r>
      <w:r>
        <w:rPr>
          <w:rFonts w:ascii="Times New Roman" w:hAnsi="Times New Roman"/>
          <w:b/>
          <w:noProof/>
          <w:sz w:val="24"/>
        </w:rPr>
        <w:t>styä pilarin toteuttamisessa ja raportoida siitä.</w:t>
      </w:r>
      <w:r>
        <w:rPr>
          <w:rFonts w:ascii="Times New Roman" w:hAnsi="Times New Roman"/>
          <w:noProof/>
          <w:sz w:val="24"/>
        </w:rPr>
        <w:t xml:space="preserve"> Vuoden 2018 ohjausjakson puitteissa vastikään julkaistuissa maaraporteissa</w:t>
      </w:r>
      <w:r>
        <w:rPr>
          <w:rStyle w:val="FootnoteReference"/>
          <w:rFonts w:ascii="Times New Roman" w:hAnsi="Times New Roman"/>
          <w:noProof/>
          <w:sz w:val="24"/>
        </w:rPr>
        <w:footnoteReference w:id="22"/>
      </w:r>
      <w:r>
        <w:rPr>
          <w:rFonts w:ascii="Times New Roman" w:hAnsi="Times New Roman"/>
          <w:noProof/>
          <w:sz w:val="24"/>
        </w:rPr>
        <w:t xml:space="preserve"> esitetään pääpiirteissään niiden kansallisen tason haasteiden luonne ja laajuus, jotka liittyvät työ- ja elinolojen parantamiseen,</w:t>
      </w:r>
      <w:r>
        <w:rPr>
          <w:rFonts w:ascii="Times New Roman" w:hAnsi="Times New Roman"/>
          <w:noProof/>
          <w:sz w:val="24"/>
        </w:rPr>
        <w:t xml:space="preserve"> työmarkkinoiden oikeudenmukaisuuden lisäämiseen ja niiden toiminnan tehostamiseen, koulutusjärjestelmien parantamiseen, jotta kaikki saisivat asianmukaiset ja tarkoituksenmukaiset taidot, ja kestävien ja riittävien sosiaaliturvajärjestelmien luomiseen. Jä</w:t>
      </w:r>
      <w:r>
        <w:rPr>
          <w:rFonts w:ascii="Times New Roman" w:hAnsi="Times New Roman"/>
          <w:noProof/>
          <w:sz w:val="24"/>
        </w:rPr>
        <w:t>senvaltioilta huhtikuussa odotettavissa kansallisissa uudistusohjelmissa esitetään uudistetut painopisteet ja uusia konkreettisia toimia kansallisella tasolla. Komissio ehdottaa myöhemmin keväällä 2018 maakohtaisia suosituksia näiden ohjelmien pohjalta. Sa</w:t>
      </w:r>
      <w:r>
        <w:rPr>
          <w:rFonts w:ascii="Times New Roman" w:hAnsi="Times New Roman"/>
          <w:noProof/>
          <w:sz w:val="24"/>
        </w:rPr>
        <w:t>malla komissio jatkaa työskentelyä jäsenvaltioiden kanssa sen varmistamiseksi, että saatavilla oleva EU:n rahoitus käytetään hyvin rakenneuudistusten tukemiseen tai ihmisiin investoimiseksi maaraporteissa ja maakohtaisissa suosituksissa todettujen painopis</w:t>
      </w:r>
      <w:r>
        <w:rPr>
          <w:rFonts w:ascii="Times New Roman" w:hAnsi="Times New Roman"/>
          <w:noProof/>
          <w:sz w:val="24"/>
        </w:rPr>
        <w:t>teiden mukaisesti.</w:t>
      </w:r>
    </w:p>
    <w:p w:rsidR="00B477BA" w:rsidRDefault="00B477BA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477BA" w:rsidRDefault="004F1AC2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w:t xml:space="preserve">5. Pilarin täytäntöönpanon seuranta 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Talouspolitiikan eurooppalainen ohjausjakso tarjoaa asianmukaisen välineen</w:t>
      </w:r>
      <w:r>
        <w:rPr>
          <w:noProof/>
        </w:rPr>
        <w:t xml:space="preserve"> </w:t>
      </w:r>
      <w:r>
        <w:rPr>
          <w:rFonts w:ascii="Times New Roman" w:hAnsi="Times New Roman"/>
          <w:b/>
          <w:noProof/>
          <w:sz w:val="24"/>
        </w:rPr>
        <w:t>Euroopan sosiaalisten oikeuksien pilarin keskeisillä aloilla tapahtuneen edistymisen seuraamiseksi</w:t>
      </w:r>
      <w:r>
        <w:rPr>
          <w:rFonts w:ascii="Times New Roman" w:hAnsi="Times New Roman"/>
          <w:noProof/>
          <w:sz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/>
          <w:noProof/>
          <w:sz w:val="24"/>
        </w:rPr>
        <w:t>Eurooppalainen ohjausja</w:t>
      </w:r>
      <w:r>
        <w:rPr>
          <w:rFonts w:ascii="Times New Roman" w:hAnsi="Times New Roman"/>
          <w:noProof/>
          <w:sz w:val="24"/>
        </w:rPr>
        <w:t>kso perustuu perusteellisiin analyyseihin kunkin maan tilanteesta. Siinä tunnustetaan haasteiden moninaisuus ja tarve priorisoida erilaisten lähtökohtien ja eri maissa käytettävissä olevien keinojen puitteissa. Ohjausjakso tarjoaa myös keinon organisoida y</w:t>
      </w:r>
      <w:r>
        <w:rPr>
          <w:rFonts w:ascii="Times New Roman" w:hAnsi="Times New Roman"/>
          <w:noProof/>
          <w:sz w:val="24"/>
        </w:rPr>
        <w:t>hteisiä toimia ajan mittaan. Se pohjautuu vuoden kuluessa toteutuneeseen perusteelliseen vuoropuheluun ja raportointiin, joka on avoin kaikille toimijoille, ja sitä käytetään erityisesti vertaisarviointien ja vertailuanalyysien organisoimiseen jäsenvaltioi</w:t>
      </w:r>
      <w:r>
        <w:rPr>
          <w:rFonts w:ascii="Times New Roman" w:hAnsi="Times New Roman"/>
          <w:noProof/>
          <w:sz w:val="24"/>
        </w:rPr>
        <w:t>den kesken. Komissio käyttää hyväkseen eurooppalaisen ohjausjakson sosiaalisen ulottuvuuden vahvistamisessa viime vuosina tapahtunutta edistymistä ja siitä lähtien, kun Euroopan sosiaalisten oikeuksien pilaria koskeva julistus annettiin, se on alkanut hien</w:t>
      </w:r>
      <w:r>
        <w:rPr>
          <w:rFonts w:ascii="Times New Roman" w:hAnsi="Times New Roman"/>
          <w:noProof/>
          <w:sz w:val="24"/>
        </w:rPr>
        <w:t>osäätää jo käytössä olevia välineitä ja työskentelymenetelmiä pilarin viitoittamaan suuntaan. Tämä ei edellytä perustavaa laatua olevia muutoksia tai uusien välineiden luomista eikä aiheuta ylimääräistä hallinnollista rasitusta jäsenvaltioille.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Myös aiheko</w:t>
      </w:r>
      <w:r>
        <w:rPr>
          <w:rFonts w:ascii="Times New Roman" w:hAnsi="Times New Roman"/>
          <w:b/>
          <w:noProof/>
          <w:sz w:val="24"/>
        </w:rPr>
        <w:t>htainen seuranta on tarpeen, jotta voidaan käsitellä perusteellisesti pilarin eri periaatteita ja tarkastella tosiasiallista seurantaa ja toteutusta käytännössä.</w:t>
      </w:r>
      <w:r>
        <w:rPr>
          <w:rFonts w:ascii="Times New Roman" w:hAnsi="Times New Roman"/>
          <w:noProof/>
          <w:sz w:val="24"/>
        </w:rPr>
        <w:t xml:space="preserve"> Eri kysymyksiä käsitellään seikkaperäisesti säännöllisissä EU:n julkaisuissa, kuten vuotuisess</w:t>
      </w:r>
      <w:r>
        <w:rPr>
          <w:rFonts w:ascii="Times New Roman" w:hAnsi="Times New Roman"/>
          <w:noProof/>
          <w:sz w:val="24"/>
        </w:rPr>
        <w:t>a yhteisessä työllisyysraportissa ja työllisyyttä ja yhteiskunnallisia muutoksia käsittelevässä vuosikertomuksessa. Lisäksi alalla toimiville EU:n virastoille</w:t>
      </w:r>
      <w:r>
        <w:rPr>
          <w:rStyle w:val="FootnoteReference"/>
          <w:rFonts w:ascii="Times New Roman" w:hAnsi="Times New Roman"/>
          <w:noProof/>
          <w:sz w:val="24"/>
        </w:rPr>
        <w:footnoteReference w:id="23"/>
      </w:r>
      <w:r>
        <w:rPr>
          <w:rFonts w:ascii="Times New Roman" w:hAnsi="Times New Roman"/>
          <w:noProof/>
          <w:sz w:val="24"/>
        </w:rPr>
        <w:t xml:space="preserve"> annetaan tehtäväksi kehittää tarkempaa raportointia niiden vastuualueeseen kuuluvista periaattei</w:t>
      </w:r>
      <w:r>
        <w:rPr>
          <w:rFonts w:ascii="Times New Roman" w:hAnsi="Times New Roman"/>
          <w:noProof/>
          <w:sz w:val="24"/>
        </w:rPr>
        <w:t>sta. EU-tason työmarkkinaosapuolet ja kansalaisyhteiskunnan järjestöt voivat puolestaan keskittyä syvällisemmin tiettyihin niitä erityisesti kiinnostaviin periaatteisiin.</w:t>
      </w:r>
    </w:p>
    <w:p w:rsidR="00B477BA" w:rsidRDefault="004F1AC2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Eurooppalaisen ohjausjakson osana kolme uutta osatekijää</w:t>
      </w:r>
      <w:r>
        <w:rPr>
          <w:rFonts w:ascii="Times New Roman" w:hAnsi="Times New Roman"/>
          <w:noProof/>
          <w:sz w:val="24"/>
        </w:rPr>
        <w:t xml:space="preserve"> auttaa Euroopan sosiaalisten</w:t>
      </w:r>
      <w:r>
        <w:rPr>
          <w:rFonts w:ascii="Times New Roman" w:hAnsi="Times New Roman"/>
          <w:noProof/>
          <w:sz w:val="24"/>
        </w:rPr>
        <w:t xml:space="preserve"> oikeuksien pilarin täytäntöönpanon seurannassa:</w:t>
      </w:r>
    </w:p>
    <w:p w:rsidR="00B477BA" w:rsidRDefault="004F1AC2">
      <w:pPr>
        <w:pStyle w:val="ListParagraph"/>
        <w:numPr>
          <w:ilvl w:val="0"/>
          <w:numId w:val="11"/>
        </w:numPr>
        <w:tabs>
          <w:tab w:val="left" w:pos="4253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Pilarin painopisteiden sisällyttäminen eurooppalaiseen ohjausjaksoon ja aiheiden valitseminen vuotuista yksityiskohtaista raportointia varten</w:t>
      </w:r>
      <w:r>
        <w:rPr>
          <w:rFonts w:ascii="Times New Roman" w:hAnsi="Times New Roman"/>
          <w:noProof/>
          <w:sz w:val="24"/>
        </w:rPr>
        <w:t xml:space="preserve">: Pilariin kirjatut periaatteet ja oikeudet otetaan huomioon koko </w:t>
      </w:r>
      <w:r>
        <w:rPr>
          <w:rFonts w:ascii="Times New Roman" w:hAnsi="Times New Roman"/>
          <w:noProof/>
          <w:sz w:val="24"/>
        </w:rPr>
        <w:t>eurooppalaisen ohjausjakson ajan seurattaessa, vertailtaessa ja arvioitaessa tapahtunutta edistymistä. Samalla kunakin vuonna joitakin pilariin liittyviä erityisiä aiheita käsitellään yksityiskohtaisessa arvioinnissa. Tämä koskee erityisesti vuotuista kasv</w:t>
      </w:r>
      <w:r>
        <w:rPr>
          <w:rFonts w:ascii="Times New Roman" w:hAnsi="Times New Roman"/>
          <w:noProof/>
          <w:sz w:val="24"/>
        </w:rPr>
        <w:t xml:space="preserve">uselvitystä (julkaistaan marraskuussa), jossa esitetään EU-tason taloudelliset ja sosiaaliset painopisteet, ja maaraportteja (jotka julkaistaan helmi-/maaliskuussa), joiden pohjalta annetaan tarkempaa maakohtaista ohjeistusta. Aiheiden valinnassa kuullaan </w:t>
      </w:r>
      <w:r>
        <w:rPr>
          <w:rFonts w:ascii="Times New Roman" w:hAnsi="Times New Roman"/>
          <w:noProof/>
          <w:sz w:val="24"/>
        </w:rPr>
        <w:t>kaikkia toimijoita ja erityisesti jäsenvaltioita edustavia asiaan liittyviä komiteoita.</w:t>
      </w:r>
    </w:p>
    <w:p w:rsidR="00B477BA" w:rsidRDefault="00B477BA">
      <w:pPr>
        <w:pStyle w:val="ListParagraph"/>
        <w:tabs>
          <w:tab w:val="left" w:pos="4253"/>
        </w:tabs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477BA" w:rsidRDefault="004F1AC2">
      <w:pPr>
        <w:pStyle w:val="ListParagraph"/>
        <w:numPr>
          <w:ilvl w:val="0"/>
          <w:numId w:val="11"/>
        </w:numPr>
        <w:tabs>
          <w:tab w:val="left" w:pos="4253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Teknisen avun antaminen, vertailuanalyysien tukeminen ja hyvien käytäntöjen vaihtaminen</w:t>
      </w:r>
      <w:r>
        <w:rPr>
          <w:rFonts w:ascii="Times New Roman" w:hAnsi="Times New Roman"/>
          <w:noProof/>
          <w:sz w:val="24"/>
        </w:rPr>
        <w:t>: Eurooppalainen ohjausjakso tarjoaa foorumin, jolla voidaan keskustella sidosry</w:t>
      </w:r>
      <w:r>
        <w:rPr>
          <w:rFonts w:ascii="Times New Roman" w:hAnsi="Times New Roman"/>
          <w:noProof/>
          <w:sz w:val="24"/>
        </w:rPr>
        <w:t>hmien kanssa, vaihtaa kokemuksia ja vahvistaa jäsenvaltioiden keskinäistä oppimista, jotta voidaan tukea lähentymistä parhaiden toimijoiden suoritustasoon. Työllisyys- ja sosiaalipolitiikan parissa eurooppalaisen ohjausjakson puitteissa toimivat tahot, kut</w:t>
      </w:r>
      <w:r>
        <w:rPr>
          <w:rFonts w:ascii="Times New Roman" w:hAnsi="Times New Roman"/>
          <w:noProof/>
          <w:sz w:val="24"/>
        </w:rPr>
        <w:t>en työllisyyskomitea ja sosiaalisen suojelun komitea,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>ovat jo käynnistäneet työt politiikkojen lähentämistä koskevan vertailuanalyysin alalla. Lisäksi komissio esitti tiedonannossaan ”Lisätoimet Euroopan talous- ja rahaliiton viimeistelemiseksi: etenemissu</w:t>
      </w:r>
      <w:r>
        <w:rPr>
          <w:rFonts w:ascii="Times New Roman" w:hAnsi="Times New Roman"/>
          <w:noProof/>
          <w:sz w:val="24"/>
        </w:rPr>
        <w:t>unnitelma”</w:t>
      </w:r>
      <w:r>
        <w:rPr>
          <w:rStyle w:val="FootnoteReference"/>
          <w:rFonts w:ascii="Times New Roman" w:hAnsi="Times New Roman"/>
          <w:noProof/>
          <w:sz w:val="24"/>
        </w:rPr>
        <w:footnoteReference w:id="24"/>
      </w:r>
      <w:r>
        <w:rPr>
          <w:rFonts w:ascii="Times New Roman" w:hAnsi="Times New Roman"/>
          <w:noProof/>
          <w:sz w:val="24"/>
        </w:rPr>
        <w:t>, että neuvostossa ja euroryhmässä politiikkojen vertailukehittämisen alalla käynnissä olevaa työtä olisi vahvistettava. Euroopan rakenne- ja investointirahastojen kautta annettavan taloudellisen tuen lisäksi komission rakenneuudistusten tukipal</w:t>
      </w:r>
      <w:r>
        <w:rPr>
          <w:rFonts w:ascii="Times New Roman" w:hAnsi="Times New Roman"/>
          <w:noProof/>
          <w:sz w:val="24"/>
        </w:rPr>
        <w:t>velu on tehostanut institutionaalisten, hallinnollisten ja poliittisten uudistusten tekemiseen tarjoamaansa räätälöityä tukea</w:t>
      </w:r>
      <w:r>
        <w:rPr>
          <w:rStyle w:val="FootnoteReference"/>
          <w:rFonts w:ascii="Times New Roman" w:hAnsi="Times New Roman"/>
          <w:noProof/>
          <w:sz w:val="24"/>
        </w:rPr>
        <w:footnoteReference w:id="25"/>
      </w:r>
      <w:r>
        <w:rPr>
          <w:noProof/>
        </w:rPr>
        <w:t xml:space="preserve">. </w:t>
      </w:r>
    </w:p>
    <w:p w:rsidR="00B477BA" w:rsidRDefault="00B477BA">
      <w:pPr>
        <w:pStyle w:val="ListParagraph"/>
        <w:tabs>
          <w:tab w:val="left" w:pos="4253"/>
        </w:tabs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477BA" w:rsidRDefault="004F1AC2">
      <w:pPr>
        <w:pStyle w:val="ListParagraph"/>
        <w:numPr>
          <w:ilvl w:val="0"/>
          <w:numId w:val="11"/>
        </w:numPr>
        <w:tabs>
          <w:tab w:val="left" w:pos="4253"/>
        </w:tabs>
        <w:jc w:val="both"/>
        <w:rPr>
          <w:noProof/>
        </w:rPr>
      </w:pPr>
      <w:r>
        <w:rPr>
          <w:rFonts w:ascii="Times New Roman" w:hAnsi="Times New Roman"/>
          <w:b/>
          <w:noProof/>
          <w:sz w:val="24"/>
        </w:rPr>
        <w:t>Tulosten arvioiminen ja seuranta uuden sosiaali-indikaattoreiden tulostaulun avulla:</w:t>
      </w:r>
      <w:r>
        <w:rPr>
          <w:rFonts w:ascii="Times New Roman" w:hAnsi="Times New Roman"/>
          <w:noProof/>
          <w:sz w:val="24"/>
        </w:rPr>
        <w:t xml:space="preserve"> Komissio esitti yhdessä pilaria koskevan </w:t>
      </w:r>
      <w:r>
        <w:rPr>
          <w:rFonts w:ascii="Times New Roman" w:hAnsi="Times New Roman"/>
          <w:noProof/>
          <w:sz w:val="24"/>
        </w:rPr>
        <w:t>ehdotuksensa kanssa uuden sosiaali-indikaattoreiden tulostaulun. Sen tehtävänä on auttaa seuraamaan jäsenvaltioiden tuloksia työllisyys- ja sosiaalipolitiikan alalla pilarin eri ulottuvuuksien puitteissa. Sitä käytettiin ensimmäisen kerran auttamaan vuoden</w:t>
      </w:r>
      <w:r>
        <w:rPr>
          <w:rFonts w:ascii="Times New Roman" w:hAnsi="Times New Roman"/>
          <w:noProof/>
          <w:sz w:val="24"/>
        </w:rPr>
        <w:t xml:space="preserve"> 2018 yhteisessä työllisyysraportissa olevan analyysin laadinnassa ja syventämisessä, ja indikaattoreita käytettiin vuoden 2018 maaraporttien analyysin tukena. Ne eivät suinkaan kata kaikkia pilarin seurantaan liittyviä aiheita, mutta niistä on hyötyä arvi</w:t>
      </w:r>
      <w:r>
        <w:rPr>
          <w:rFonts w:ascii="Times New Roman" w:hAnsi="Times New Roman"/>
          <w:noProof/>
          <w:sz w:val="24"/>
        </w:rPr>
        <w:t>oitaessa tilannetta käytännössä, sillä ne mahdollistavat vertailut ajan mittaan ja eri maiden välillä. Tulostaulua ja sen tilastollista perustaa aiotaan kehittää lisää jäsenvaltioiden tuella.</w:t>
      </w:r>
    </w:p>
    <w:p w:rsidR="00B477BA" w:rsidRDefault="004F1AC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br w:type="page"/>
      </w:r>
    </w:p>
    <w:p w:rsidR="00B477BA" w:rsidRDefault="004F1AC2">
      <w:pPr>
        <w:pBdr>
          <w:top w:val="single" w:sz="4" w:space="1" w:color="F18800"/>
          <w:left w:val="single" w:sz="4" w:space="4" w:color="F18800"/>
          <w:bottom w:val="single" w:sz="4" w:space="1" w:color="F18800"/>
          <w:right w:val="single" w:sz="4" w:space="4" w:color="F18800"/>
        </w:pBdr>
        <w:shd w:val="clear" w:color="auto" w:fill="F18800"/>
        <w:tabs>
          <w:tab w:val="left" w:pos="2095"/>
          <w:tab w:val="center" w:pos="4536"/>
        </w:tabs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color w:val="FFFFFF" w:themeColor="background1"/>
          <w:sz w:val="24"/>
        </w:rPr>
        <w:t>Laatikko 2. Uusi EU:n sosiaali-indikaattoreiden tulostaulu</w:t>
      </w:r>
      <w:r>
        <w:rPr>
          <w:rStyle w:val="FootnoteReference"/>
          <w:rFonts w:ascii="Times New Roman" w:hAnsi="Times New Roman"/>
          <w:b/>
          <w:noProof/>
          <w:color w:val="FFFFFF" w:themeColor="background1"/>
          <w:sz w:val="24"/>
        </w:rPr>
        <w:footnoteReference w:id="26"/>
      </w:r>
    </w:p>
    <w:p w:rsidR="00B477BA" w:rsidRDefault="004F1AC2">
      <w:pPr>
        <w:rPr>
          <w:rFonts w:ascii="Times New Roman" w:hAnsi="Times New Roman" w:cs="Times New Roman"/>
          <w:b/>
          <w:noProof/>
          <w:color w:val="F18800"/>
          <w:sz w:val="28"/>
          <w:szCs w:val="28"/>
        </w:rPr>
      </w:pPr>
      <w:r>
        <w:rPr>
          <w:noProof/>
          <w:lang w:val="en-GB" w:eastAsia="en-GB" w:bidi="ar-SA"/>
        </w:rPr>
        <w:drawing>
          <wp:inline distT="0" distB="0" distL="0" distR="0" wp14:anchorId="7B91E024" wp14:editId="2650CE46">
            <wp:extent cx="5753100" cy="4248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7BA" w:rsidRDefault="00B477BA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B477BA" w:rsidRDefault="004F1AC2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w:t>6. Päätelmät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Euroopan unioni on vuosikymmenten mittaan auttanut lisäämään hyvinvointia ja sosiaalista oikeudenmukaisuutta. Eurooppa on nykyään yksi maailman houkuttelevimmista paikoista asua. Viime vuosikymmenen talous- ja sosiaalikriisillä on kuitenkin o</w:t>
      </w:r>
      <w:r>
        <w:rPr>
          <w:rFonts w:ascii="Times New Roman" w:hAnsi="Times New Roman"/>
          <w:noProof/>
          <w:sz w:val="24"/>
        </w:rPr>
        <w:t>llut yhteiskuntarakenteeseemme kauaskantoisia vaikutuksia, jotka kyseenalaistivat koko sosiaalisen markkinataloutemme perustan.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Nyt kun Eurooppa on päässyt kriisistä, on aika katsoa eteenpäin, pysyä muuttuvan todellisuuden vauhdissa ja käydä käsiksi Eurooppaan kohdistuviin laajoihin sosioekonomisiin haasteisiin, jotta Euroopan talous- ja sosiaalimallit saadaan uudistettua ja pidett</w:t>
      </w:r>
      <w:r>
        <w:rPr>
          <w:rFonts w:ascii="Times New Roman" w:hAnsi="Times New Roman"/>
          <w:noProof/>
          <w:sz w:val="24"/>
        </w:rPr>
        <w:t xml:space="preserve">yä yllä. </w:t>
      </w:r>
    </w:p>
    <w:p w:rsidR="00B477BA" w:rsidRDefault="004F1A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Euroopan sosiaalisten oikeuksien pilarissa tuodaan selvästi esiin se, mitä Eurooppa tarkoittaa, ja esitetään periaatteita ja oikeuksia, jotka ovat olennaisia niin kansalaisia kuin yhteiskuntia hyödyttävän sosiaalisen edistymisen kannalta ja jotka</w:t>
      </w:r>
      <w:r>
        <w:rPr>
          <w:rFonts w:ascii="Times New Roman" w:hAnsi="Times New Roman"/>
          <w:noProof/>
          <w:sz w:val="24"/>
        </w:rPr>
        <w:t xml:space="preserve"> antavat suuntaa tulevalle toiminnalle.</w:t>
      </w:r>
    </w:p>
    <w:p w:rsidR="00B477BA" w:rsidRDefault="004F1AC2">
      <w:pPr>
        <w:jc w:val="both"/>
        <w:rPr>
          <w:noProof/>
        </w:rPr>
      </w:pPr>
      <w:r>
        <w:rPr>
          <w:rFonts w:ascii="Times New Roman" w:hAnsi="Times New Roman"/>
          <w:noProof/>
          <w:sz w:val="24"/>
        </w:rPr>
        <w:t xml:space="preserve">EU:n johtajien Göteborgin sosiaalialan huippukokouksessa esittämät sitoumukset ovat osa laajempaa pyrkimystä rakentaa 27 jäsenen Euroopan unionin tulevaisuutta. Euroopan sosiaalisten oikeuksien pilarin toteuttaminen </w:t>
      </w:r>
      <w:r>
        <w:rPr>
          <w:rFonts w:ascii="Times New Roman" w:hAnsi="Times New Roman"/>
          <w:noProof/>
          <w:sz w:val="24"/>
        </w:rPr>
        <w:t>kaikkien eurooppalaisten hyväksi on jaettu vastuu. Hallitukset, työmarkkinaosapuolet ja kansalaisjärjestöt, paikalliset, alueelliset ja Euroopan tason toimielimet ovat valmiit ja sitoutuneet osallistumaan näihin pyrkimyksiin.</w:t>
      </w:r>
    </w:p>
    <w:p w:rsidR="00B477BA" w:rsidRDefault="00B477BA">
      <w:pPr>
        <w:jc w:val="both"/>
        <w:rPr>
          <w:noProof/>
        </w:rPr>
      </w:pPr>
    </w:p>
    <w:sectPr w:rsidR="00B477B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7BA" w:rsidRDefault="004F1AC2">
      <w:pPr>
        <w:spacing w:after="0" w:line="240" w:lineRule="auto"/>
      </w:pPr>
      <w:r>
        <w:separator/>
      </w:r>
    </w:p>
  </w:endnote>
  <w:endnote w:type="continuationSeparator" w:id="0">
    <w:p w:rsidR="00B477BA" w:rsidRDefault="004F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C2" w:rsidRPr="004F1AC2" w:rsidRDefault="004F1AC2" w:rsidP="004F1A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C2" w:rsidRPr="004F1AC2" w:rsidRDefault="004F1AC2" w:rsidP="004F1AC2">
    <w:pPr>
      <w:pStyle w:val="FooterCoverPage"/>
      <w:rPr>
        <w:rFonts w:ascii="Arial" w:hAnsi="Arial" w:cs="Arial"/>
        <w:b/>
        <w:sz w:val="48"/>
      </w:rPr>
    </w:pPr>
    <w:r w:rsidRPr="004F1AC2">
      <w:rPr>
        <w:rFonts w:ascii="Arial" w:hAnsi="Arial" w:cs="Arial"/>
        <w:b/>
        <w:sz w:val="48"/>
      </w:rPr>
      <w:t>FI</w:t>
    </w:r>
    <w:r w:rsidRPr="004F1AC2">
      <w:rPr>
        <w:rFonts w:ascii="Arial" w:hAnsi="Arial" w:cs="Arial"/>
        <w:b/>
        <w:sz w:val="48"/>
      </w:rPr>
      <w:tab/>
    </w:r>
    <w:r w:rsidRPr="004F1AC2">
      <w:rPr>
        <w:rFonts w:ascii="Arial" w:hAnsi="Arial" w:cs="Arial"/>
        <w:b/>
        <w:sz w:val="48"/>
      </w:rPr>
      <w:tab/>
    </w:r>
    <w:r w:rsidRPr="004F1AC2">
      <w:tab/>
    </w:r>
    <w:proofErr w:type="spellStart"/>
    <w:r w:rsidRPr="004F1AC2">
      <w:rPr>
        <w:rFonts w:ascii="Arial" w:hAnsi="Arial" w:cs="Arial"/>
        <w:b/>
        <w:sz w:val="48"/>
      </w:rPr>
      <w:t>FI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C2" w:rsidRPr="004F1AC2" w:rsidRDefault="004F1AC2" w:rsidP="004F1AC2"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BA" w:rsidRDefault="00B477B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332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77BA" w:rsidRDefault="004F1A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77BA" w:rsidRDefault="00B477BA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BA" w:rsidRDefault="00B477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7BA" w:rsidRDefault="004F1AC2">
      <w:pPr>
        <w:spacing w:after="0" w:line="240" w:lineRule="auto"/>
      </w:pPr>
      <w:r>
        <w:separator/>
      </w:r>
    </w:p>
  </w:footnote>
  <w:footnote w:type="continuationSeparator" w:id="0">
    <w:p w:rsidR="00B477BA" w:rsidRDefault="004F1AC2">
      <w:pPr>
        <w:spacing w:after="0" w:line="240" w:lineRule="auto"/>
      </w:pPr>
      <w:r>
        <w:continuationSeparator/>
      </w:r>
    </w:p>
  </w:footnote>
  <w:footnote w:id="1">
    <w:p w:rsidR="00B477BA" w:rsidRDefault="004F1AC2">
      <w:pPr>
        <w:pStyle w:val="FootnoteText"/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1">
        <w:r>
          <w:rPr>
            <w:rStyle w:val="Hyperlink"/>
            <w:rFonts w:ascii="Times New Roman" w:hAnsi="Times New Roman"/>
          </w:rPr>
          <w:t>https://ec.europa.eu/commission/priorities/deeper-and-fair</w:t>
        </w:r>
        <w:r>
          <w:rPr>
            <w:rStyle w:val="Hyperlink"/>
            <w:rFonts w:ascii="Times New Roman" w:hAnsi="Times New Roman"/>
          </w:rPr>
          <w:t>er-economic-and-monetary-union/european-pillar-social-rights/european-pillar-social-rights-20-principles_fi</w:t>
        </w:r>
      </w:hyperlink>
    </w:p>
  </w:footnote>
  <w:footnote w:id="2">
    <w:p w:rsidR="00B477BA" w:rsidRDefault="004F1AC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Komissio esitti 8. maaliskuuta 2016 ensimmäisen luonnoksen Euroopan sosiaalisten oikeuksien pilarista ja käynnisti julkisen kuulemisen. Komissio s</w:t>
      </w:r>
      <w:r>
        <w:rPr>
          <w:rFonts w:ascii="Times New Roman" w:hAnsi="Times New Roman"/>
        </w:rPr>
        <w:t xml:space="preserve">ai kuulemiseen yli 16 500 vastausta verkossa ja lähes 200 muuta kannanottoa. Tammikuun 23. päivänä 2017 järjestettiin kuulemiskierroksen päätöskonferenssi, jonka teemana oli ”yhdessä eteenpäin”. Euroopan parlamentti antoi osana kuulemista pilaria koskevan </w:t>
      </w:r>
      <w:r>
        <w:rPr>
          <w:rFonts w:ascii="Times New Roman" w:hAnsi="Times New Roman"/>
        </w:rPr>
        <w:t>päätöslauselman 19. tammikuuta 2017 (2016/2095(INI). Talous- ja sosiaalikomitea antoi lausunnon 25. tammikuuta 2017 (SOC/</w:t>
      </w:r>
      <w:proofErr w:type="gramStart"/>
      <w:r>
        <w:rPr>
          <w:rFonts w:ascii="Times New Roman" w:hAnsi="Times New Roman"/>
        </w:rPr>
        <w:t>542-01902</w:t>
      </w:r>
      <w:proofErr w:type="gramEnd"/>
      <w:r>
        <w:rPr>
          <w:rFonts w:ascii="Times New Roman" w:hAnsi="Times New Roman"/>
        </w:rPr>
        <w:t xml:space="preserve">-00-01-ac). Alueiden komitea antoi lausunnon 11. lokakuuta 2016 (CDR 2868/2016). </w:t>
      </w:r>
    </w:p>
  </w:footnote>
  <w:footnote w:id="3">
    <w:p w:rsidR="00B477BA" w:rsidRDefault="004F1AC2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2">
        <w:r>
          <w:rPr>
            <w:rStyle w:val="Hyperlink"/>
            <w:rFonts w:ascii="Times New Roman" w:hAnsi="Times New Roman"/>
          </w:rPr>
          <w:t>http://www.socialsummit17.se/</w:t>
        </w:r>
      </w:hyperlink>
    </w:p>
  </w:footnote>
  <w:footnote w:id="4">
    <w:p w:rsidR="00B477BA" w:rsidRDefault="004F1AC2">
      <w:pPr>
        <w:pStyle w:val="Default"/>
        <w:jc w:val="both"/>
      </w:pPr>
      <w:r>
        <w:rPr>
          <w:rStyle w:val="FootnoteReference"/>
          <w:sz w:val="20"/>
        </w:rPr>
        <w:footnoteRef/>
      </w:r>
      <w:r>
        <w:rPr>
          <w:sz w:val="20"/>
        </w:rPr>
        <w:t xml:space="preserve"> </w:t>
      </w:r>
      <w:r>
        <w:rPr>
          <w:color w:val="auto"/>
          <w:sz w:val="20"/>
        </w:rPr>
        <w:t>Eurooppa-neuvosto korosti kokouksessaan 14. joulukuuta 2017 seuraavaa: ”</w:t>
      </w:r>
      <w:r>
        <w:rPr>
          <w:i/>
          <w:color w:val="auto"/>
          <w:sz w:val="20"/>
        </w:rPr>
        <w:t xml:space="preserve">Göteborgissa pidetty sosiaalialan huippukokous muistutti, että ihmiset on asetettava etusijalle, unionin sosiaalista ulottuvuutta on kehitettävä </w:t>
      </w:r>
      <w:r>
        <w:rPr>
          <w:i/>
          <w:color w:val="auto"/>
          <w:sz w:val="20"/>
        </w:rPr>
        <w:t>edelleen yhteisen sitoutumisen ja vakiintuneen toimivallan pohjalta ja lähentymistä on edistettävä kaikilla tasoilla toteutettavin toimin, mukaan lukien</w:t>
      </w:r>
      <w:r>
        <w:rPr>
          <w:i/>
          <w:color w:val="auto"/>
          <w:sz w:val="20"/>
          <w:szCs w:val="20"/>
        </w:rPr>
        <w:br/>
      </w:r>
      <w:r>
        <w:rPr>
          <w:i/>
          <w:color w:val="auto"/>
          <w:sz w:val="20"/>
        </w:rPr>
        <w:t xml:space="preserve"> työmarkkinaosapuolten toimesta. Ensimmäiseksi olisi edistettävä seuraavia: Euroopan sosiaalisten oikeu</w:t>
      </w:r>
      <w:r>
        <w:rPr>
          <w:i/>
          <w:color w:val="auto"/>
          <w:sz w:val="20"/>
        </w:rPr>
        <w:t xml:space="preserve">ksien pilarin täytäntöönpano unionissa ja jäsenvaltioissa kunkin oman toimivallan mukaisesti; </w:t>
      </w:r>
      <w:r>
        <w:rPr>
          <w:i/>
          <w:color w:val="auto"/>
          <w:sz w:val="20"/>
          <w:szCs w:val="20"/>
        </w:rPr>
        <w:br/>
      </w:r>
      <w:r>
        <w:rPr>
          <w:i/>
          <w:color w:val="auto"/>
          <w:sz w:val="20"/>
        </w:rPr>
        <w:t xml:space="preserve">komissiota pyydetään ehdottamaan asianmukaisia seurantatoimia (...)”. </w:t>
      </w:r>
    </w:p>
  </w:footnote>
  <w:footnote w:id="5">
    <w:p w:rsidR="00B477BA" w:rsidRDefault="004F1AC2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COM(2017) 2025.</w:t>
      </w:r>
    </w:p>
  </w:footnote>
  <w:footnote w:id="6">
    <w:p w:rsidR="00B477BA" w:rsidRDefault="004F1AC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COM(2017) 206.</w:t>
      </w:r>
    </w:p>
  </w:footnote>
  <w:footnote w:id="7">
    <w:p w:rsidR="00B477BA" w:rsidRDefault="004F1A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COM(2017) 240.</w:t>
      </w:r>
    </w:p>
  </w:footnote>
  <w:footnote w:id="8">
    <w:p w:rsidR="00B477BA" w:rsidRDefault="004F1AC2">
      <w:pPr>
        <w:pStyle w:val="FootnoteText"/>
        <w:jc w:val="both"/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Rooman julistuksessa 25. maaliskuuta 2017 EU:n johtajat julistivat seuraavaa: ”</w:t>
      </w:r>
      <w:r>
        <w:rPr>
          <w:rFonts w:ascii="Times New Roman" w:hAnsi="Times New Roman"/>
          <w:i/>
        </w:rPr>
        <w:t xml:space="preserve">Näinä muutoksen aikoina, tietoisina kansalaistemme huolenaiheista, sitoudumme Rooman agendaan ja lupaamme tehdä työtä seuraavan </w:t>
      </w:r>
      <w:proofErr w:type="gramStart"/>
      <w:r>
        <w:rPr>
          <w:rFonts w:ascii="Times New Roman" w:hAnsi="Times New Roman"/>
          <w:i/>
        </w:rPr>
        <w:t>hyväksi: .</w:t>
      </w:r>
      <w:proofErr w:type="gramEnd"/>
      <w:r>
        <w:rPr>
          <w:rFonts w:ascii="Times New Roman" w:hAnsi="Times New Roman"/>
          <w:i/>
        </w:rPr>
        <w:t xml:space="preserve">.. </w:t>
      </w:r>
      <w:proofErr w:type="gramStart"/>
      <w:r>
        <w:rPr>
          <w:rFonts w:ascii="Times New Roman" w:hAnsi="Times New Roman"/>
          <w:i/>
        </w:rPr>
        <w:t xml:space="preserve">Sosiaalinen Eurooppa: unioni, joka </w:t>
      </w:r>
      <w:r>
        <w:rPr>
          <w:rFonts w:ascii="Times New Roman" w:hAnsi="Times New Roman"/>
          <w:i/>
        </w:rPr>
        <w:t>kestävän kasvun pohjalta edistää taloudellista ja sosiaalista kehitystä sekä koheesiota ja lähentymistä huolehtien samalla sisämarkkinoidensa eheydestä; unioni, joka ottaa huomioon kansallisten järjestelmien monimuotoisuuden ja työmarkkinaosapuolten avaina</w:t>
      </w:r>
      <w:r>
        <w:rPr>
          <w:rFonts w:ascii="Times New Roman" w:hAnsi="Times New Roman"/>
          <w:i/>
        </w:rPr>
        <w:t>seman; unioni, joka edistää naisten ja miesten tasa-arvoa sekä kaikille kuuluvia oikeuksia ja yhtäläisiä mahdollisuuksia; unioni, joka torjuu työttömyyttä, syrjintää, sosiaalista syrjäytymistä ja köyhyyttä; unioni, jossa nuoret saavat parasta koulutusta ja</w:t>
      </w:r>
      <w:r>
        <w:rPr>
          <w:rFonts w:ascii="Times New Roman" w:hAnsi="Times New Roman"/>
          <w:i/>
        </w:rPr>
        <w:t xml:space="preserve"> voivat opiskella ja löytää työtä kaikkialta Euroopasta; unioni, joka säilyttää eurooppalaisen kulttuuriperinnön ja edistää kulttuurista monimuotoisuutta</w:t>
      </w:r>
      <w:r>
        <w:rPr>
          <w:rFonts w:ascii="Times New Roman" w:hAnsi="Times New Roman"/>
        </w:rPr>
        <w:t>”.</w:t>
      </w:r>
      <w:proofErr w:type="gramEnd"/>
    </w:p>
  </w:footnote>
  <w:footnote w:id="9">
    <w:p w:rsidR="00B477BA" w:rsidRDefault="004F1AC2">
      <w:pPr>
        <w:pStyle w:val="FootnoteText"/>
        <w:rPr>
          <w:rFonts w:ascii="Times New Roman" w:hAnsi="Times New Roman" w:cs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 xml:space="preserve"> </w:t>
      </w:r>
      <w:proofErr w:type="gramStart"/>
      <w:r>
        <w:rPr>
          <w:rFonts w:ascii="Times New Roman" w:hAnsi="Times New Roman"/>
          <w:lang w:val="en-GB"/>
        </w:rPr>
        <w:t>SWD (2018) 67.</w:t>
      </w:r>
      <w:proofErr w:type="gramEnd"/>
      <w:r>
        <w:rPr>
          <w:rFonts w:ascii="Times New Roman" w:hAnsi="Times New Roman"/>
          <w:lang w:val="en-GB"/>
        </w:rPr>
        <w:t xml:space="preserve"> </w:t>
      </w:r>
    </w:p>
  </w:footnote>
  <w:footnote w:id="10">
    <w:p w:rsidR="00B477BA" w:rsidRDefault="004F1AC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rPr>
          <w:lang w:val="en-GB"/>
        </w:rPr>
        <w:t xml:space="preserve">  </w:t>
      </w:r>
      <w:hyperlink r:id="rId3">
        <w:r>
          <w:rPr>
            <w:rStyle w:val="Hyperlink"/>
            <w:rFonts w:ascii="Times New Roman" w:hAnsi="Times New Roman"/>
            <w:lang w:val="en-GB"/>
          </w:rPr>
          <w:t>https://ec.europa.eu/commission/sites/betapolitical/files/social_dimension_of_europe_</w:t>
        </w:r>
        <w:r>
          <w:rPr>
            <w:rStyle w:val="Hyperlink"/>
            <w:rFonts w:ascii="Times New Roman" w:hAnsi="Times New Roman" w:cs="Times New Roman"/>
            <w:lang w:val="en-GB"/>
          </w:rPr>
          <w:br/>
        </w:r>
        <w:r>
          <w:rPr>
            <w:rStyle w:val="Hyperlink"/>
            <w:rFonts w:ascii="Times New Roman" w:hAnsi="Times New Roman"/>
            <w:lang w:val="en-GB"/>
          </w:rPr>
          <w:t>overview_of_initiatives_en.pdf</w:t>
        </w:r>
      </w:hyperlink>
      <w:r>
        <w:rPr>
          <w:rFonts w:ascii="Times New Roman" w:hAnsi="Times New Roman"/>
          <w:highlight w:val="yellow"/>
          <w:lang w:val="en-GB"/>
        </w:rPr>
        <w:t xml:space="preserve"> </w:t>
      </w:r>
    </w:p>
  </w:footnote>
  <w:footnote w:id="11">
    <w:p w:rsidR="00B477BA" w:rsidRDefault="004F1AC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COM(2017) 673 </w:t>
      </w:r>
      <w:proofErr w:type="spellStart"/>
      <w:r>
        <w:rPr>
          <w:rFonts w:ascii="Times New Roman" w:hAnsi="Times New Roman"/>
        </w:rPr>
        <w:t>final</w:t>
      </w:r>
      <w:proofErr w:type="spellEnd"/>
      <w:r>
        <w:rPr>
          <w:rFonts w:ascii="Times New Roman" w:hAnsi="Times New Roman"/>
        </w:rPr>
        <w:t xml:space="preserve">. </w:t>
      </w:r>
    </w:p>
  </w:footnote>
  <w:footnote w:id="12">
    <w:p w:rsidR="00B477BA" w:rsidRDefault="004F1AC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Vrt. Vuotuinen kasvuselvitys 2018 (COM(2017) 690 </w:t>
      </w:r>
      <w:proofErr w:type="spellStart"/>
      <w:r>
        <w:rPr>
          <w:rFonts w:ascii="Times New Roman" w:hAnsi="Times New Roman"/>
        </w:rPr>
        <w:t>final</w:t>
      </w:r>
      <w:proofErr w:type="spellEnd"/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ja tiedonanto kasvua koskevien haasteiden arvioinnista, makrotalouden epätasapainojen ehkäisystä ja korjaamisesta sekä perusteellisten tarkastelujen tuloksista (COM(2018) 120). </w:t>
      </w:r>
    </w:p>
  </w:footnote>
  <w:footnote w:id="13">
    <w:p w:rsidR="00B477BA" w:rsidRDefault="004F1AC2">
      <w:pPr>
        <w:jc w:val="both"/>
        <w:rPr>
          <w:color w:val="1F497D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Times New Roman" w:hAnsi="Times New Roman"/>
          <w:sz w:val="20"/>
        </w:rPr>
        <w:t>ESIR-rahastosta</w:t>
      </w:r>
      <w:proofErr w:type="spellEnd"/>
      <w:r>
        <w:rPr>
          <w:rFonts w:ascii="Times New Roman" w:hAnsi="Times New Roman"/>
          <w:sz w:val="20"/>
        </w:rPr>
        <w:t xml:space="preserve"> on jo tuettu tällaisia hankkeita, joihin tehtävien investoin</w:t>
      </w:r>
      <w:r>
        <w:rPr>
          <w:rFonts w:ascii="Times New Roman" w:hAnsi="Times New Roman"/>
          <w:sz w:val="20"/>
        </w:rPr>
        <w:t>tien kokonaisarvon odotetaan olevan yli 10,5 miljardia euroa.</w:t>
      </w:r>
      <w:r>
        <w:t xml:space="preserve"> </w:t>
      </w:r>
      <w:proofErr w:type="spellStart"/>
      <w:r>
        <w:rPr>
          <w:rFonts w:ascii="Times New Roman" w:hAnsi="Times New Roman"/>
          <w:sz w:val="20"/>
        </w:rPr>
        <w:t>ESIR-rahaston</w:t>
      </w:r>
      <w:proofErr w:type="spellEnd"/>
      <w:r>
        <w:rPr>
          <w:rFonts w:ascii="Times New Roman" w:hAnsi="Times New Roman"/>
          <w:sz w:val="20"/>
        </w:rPr>
        <w:t xml:space="preserve"> infrastruktuuri- ja innovointi-ikkunassa on jo hyväksytty 18 sosiaalista infrastruktuuria käsittelevää hanketta, ja niiden odotetaan kokoavan yhteensä yli 6 miljardin euron investo</w:t>
      </w:r>
      <w:r>
        <w:rPr>
          <w:rFonts w:ascii="Times New Roman" w:hAnsi="Times New Roman"/>
          <w:sz w:val="20"/>
        </w:rPr>
        <w:t xml:space="preserve">innit. Näihin sisältyvät koulujen ja yliopistojen, klinikoiden ja sairaaloiden sekä kohtuuhintaisten vuokra-asuntojen rakentaminen, laajentaminen tai kunnostaminen yhteisössä. </w:t>
      </w:r>
      <w:proofErr w:type="spellStart"/>
      <w:r>
        <w:rPr>
          <w:rFonts w:ascii="Times New Roman" w:hAnsi="Times New Roman"/>
          <w:sz w:val="20"/>
        </w:rPr>
        <w:t>ESIR-rahaston</w:t>
      </w:r>
      <w:proofErr w:type="spellEnd"/>
      <w:r>
        <w:rPr>
          <w:rFonts w:ascii="Times New Roman" w:hAnsi="Times New Roman"/>
          <w:sz w:val="20"/>
        </w:rPr>
        <w:t xml:space="preserve"> pieniä ja keskisuuria yrityksiä koskevassa osiossa odotetaan sosia</w:t>
      </w:r>
      <w:r>
        <w:rPr>
          <w:rFonts w:ascii="Times New Roman" w:hAnsi="Times New Roman"/>
          <w:sz w:val="20"/>
        </w:rPr>
        <w:t xml:space="preserve">alialan investointien yhteismäärän olevan 4,5 miljardia euroa. </w:t>
      </w:r>
      <w:proofErr w:type="spellStart"/>
      <w:r>
        <w:rPr>
          <w:rFonts w:ascii="Times New Roman" w:hAnsi="Times New Roman"/>
          <w:sz w:val="20"/>
        </w:rPr>
        <w:t>ESIR-rahasto</w:t>
      </w:r>
      <w:proofErr w:type="spellEnd"/>
      <w:r>
        <w:rPr>
          <w:rFonts w:ascii="Times New Roman" w:hAnsi="Times New Roman"/>
          <w:sz w:val="20"/>
        </w:rPr>
        <w:t xml:space="preserve"> kaksinkertaisti hiljattain työllisyyttä ja sosiaalista innovointia koskevan Euroopan unionin ohjelman rahoituskapasiteetin mikrorahoitukselle ja sosiaaliselle yrittäjyydelle. </w:t>
      </w:r>
    </w:p>
    <w:p w:rsidR="00B477BA" w:rsidRDefault="00B477BA">
      <w:pPr>
        <w:pStyle w:val="FootnoteText"/>
        <w:jc w:val="both"/>
        <w:rPr>
          <w:rFonts w:ascii="Times New Roman" w:hAnsi="Times New Roman" w:cs="Times New Roman"/>
        </w:rPr>
      </w:pPr>
    </w:p>
  </w:footnote>
  <w:footnote w:id="14">
    <w:p w:rsidR="00B477BA" w:rsidRDefault="004F1AC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E</w:t>
      </w:r>
      <w:r>
        <w:rPr>
          <w:rFonts w:ascii="Times New Roman" w:hAnsi="Times New Roman"/>
        </w:rPr>
        <w:t>simerkkejä ovat veronkierron vastainen direktiivi, direktiivi automaattisesta tietojenvaihdosta verotuksen alalla ja ennakkohinnoittelusopimuksista, direktiivi monikansallisten yritysten verotukseen liittyvien tietojen maakohtaisesta raportoinnista sekä eh</w:t>
      </w:r>
      <w:r>
        <w:rPr>
          <w:rFonts w:ascii="Times New Roman" w:hAnsi="Times New Roman"/>
        </w:rPr>
        <w:t>dotus käynnistää uudelleen yhteinen yhdistetty yhteisöveropohja.</w:t>
      </w:r>
    </w:p>
  </w:footnote>
  <w:footnote w:id="15">
    <w:p w:rsidR="00B477BA" w:rsidRDefault="004F1AC2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4">
        <w:r>
          <w:rPr>
            <w:rStyle w:val="Hyperlink"/>
            <w:rFonts w:ascii="Times New Roman" w:hAnsi="Times New Roman"/>
          </w:rPr>
          <w:t>https://ec.europa.eu/commission/publications/five-pr</w:t>
        </w:r>
        <w:r>
          <w:rPr>
            <w:rStyle w:val="Hyperlink"/>
            <w:rFonts w:ascii="Times New Roman" w:hAnsi="Times New Roman"/>
          </w:rPr>
          <w:t>esidents-report-completing-europes-</w:t>
        </w:r>
        <w:r>
          <w:rPr>
            <w:rStyle w:val="Hyperlink"/>
            <w:rFonts w:ascii="Times New Roman" w:hAnsi="Times New Roman" w:cs="Times New Roman"/>
          </w:rPr>
          <w:br/>
        </w:r>
        <w:proofErr w:type="spellStart"/>
        <w:r>
          <w:rPr>
            <w:rStyle w:val="Hyperlink"/>
            <w:rFonts w:ascii="Times New Roman" w:hAnsi="Times New Roman"/>
          </w:rPr>
          <w:t>economic-and-monetary-union_fi</w:t>
        </w:r>
        <w:proofErr w:type="spellEnd"/>
      </w:hyperlink>
    </w:p>
  </w:footnote>
  <w:footnote w:id="16">
    <w:p w:rsidR="00B477BA" w:rsidRDefault="004F1AC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Komissio esitti 6. joulukuuta 2017 tiedonannon ”Lisätoimet Euroopan talous- ja rahaliiton viimeistelemiseksi: etenemissuunnitelma” (COM(2017)821).</w:t>
      </w:r>
    </w:p>
  </w:footnote>
  <w:footnote w:id="17">
    <w:p w:rsidR="00B477BA" w:rsidRDefault="004F1AC2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COM(2018) 98 </w:t>
      </w:r>
      <w:proofErr w:type="spellStart"/>
      <w:r>
        <w:rPr>
          <w:rFonts w:ascii="Times New Roman" w:hAnsi="Times New Roman"/>
        </w:rPr>
        <w:t>final</w:t>
      </w:r>
      <w:proofErr w:type="spellEnd"/>
      <w:r>
        <w:rPr>
          <w:rFonts w:ascii="Times New Roman" w:hAnsi="Times New Roman"/>
        </w:rPr>
        <w:t>.</w:t>
      </w:r>
    </w:p>
  </w:footnote>
  <w:footnote w:id="18">
    <w:p w:rsidR="00B477BA" w:rsidRDefault="004F1AC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Komissio korosti tiedonannossaan seuraavaa: ”</w:t>
      </w:r>
      <w:r>
        <w:rPr>
          <w:rFonts w:ascii="Times New Roman" w:hAnsi="Times New Roman"/>
          <w:i/>
        </w:rPr>
        <w:t>Seuraavassa monivuotisessa rahoituskehyksessä poliittiset painopisteet ja käytettävissä oleva rahoitus olisi saatava paremmin tasapainoon. Olisi rakennettava sen varaan, mikä toimii hyvin nyt, mutta ennakoitava</w:t>
      </w:r>
      <w:r>
        <w:rPr>
          <w:rFonts w:ascii="Times New Roman" w:hAnsi="Times New Roman"/>
          <w:i/>
        </w:rPr>
        <w:t xml:space="preserve"> samalla tulevaisuuden haasteita. Rooman julistuksen mukaisesti talousarvion avulla olisi voitava luoda Euroopan unioni, joka on turvallinen ja vakaa, vauras ja kestävä, sosiaaliset näkökohdat huomioon ottava sekä maailmanlaajuisesti vahvempi toimija</w:t>
      </w:r>
      <w:r>
        <w:rPr>
          <w:rFonts w:ascii="Times New Roman" w:hAnsi="Times New Roman"/>
        </w:rPr>
        <w:t>”. Kom</w:t>
      </w:r>
      <w:r>
        <w:rPr>
          <w:rFonts w:ascii="Times New Roman" w:hAnsi="Times New Roman"/>
        </w:rPr>
        <w:t>issio painotti myös seuraavaa: ”</w:t>
      </w:r>
      <w:r>
        <w:rPr>
          <w:rFonts w:ascii="Times New Roman" w:hAnsi="Times New Roman"/>
          <w:i/>
        </w:rPr>
        <w:t>EU:n talousarvion avulla on täytettävä johtajien Göteborgissa pidetyssä sosiaalialan huippukokouksessa antamat lupaukset. Tämä tarkoittaa, että unionin sosiaalista ulottuvuutta on kehitettävä edelleen muun muassa panemalla E</w:t>
      </w:r>
      <w:r>
        <w:rPr>
          <w:rFonts w:ascii="Times New Roman" w:hAnsi="Times New Roman"/>
          <w:i/>
        </w:rPr>
        <w:t>uroopan sosiaalisten oikeuksien pilari täytäntöön kaikilta osin sekä tukemalla nuorisoa ja unionin kansalaisten liikkuvuutta</w:t>
      </w:r>
      <w:r>
        <w:rPr>
          <w:rFonts w:ascii="Times New Roman" w:hAnsi="Times New Roman"/>
        </w:rPr>
        <w:t>”.</w:t>
      </w:r>
    </w:p>
  </w:footnote>
  <w:footnote w:id="19">
    <w:p w:rsidR="00B477BA" w:rsidRDefault="004F1AC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Tuore esimerkki työmarkkinaosapuolten toiminnasta on niiden 8. maaliskuuta 2017 allekirjoittama itsenäinen puitesopimus aktiivisena ikääntymisestä ja eri sukupolvet huomioivasta lähestymistavasta. Esimerkki työmarkkinaosapuolten sopimuksesta, joka on pant</w:t>
      </w:r>
      <w:r>
        <w:rPr>
          <w:rFonts w:ascii="Times New Roman" w:hAnsi="Times New Roman"/>
        </w:rPr>
        <w:t>u täytäntöön EU:n lainsäädännössä, on 23. tammikuuta 2018 annettu neuvoston direktiivi (EU) 2018/131 Euroopan yhteisön kansallisten varustamoyhdistysten keskusjärjestön (ECSA) ja Euroopan kuljetustyöntekijöiden liiton (ETF) tekemän sopimuksen täytäntöönpan</w:t>
      </w:r>
      <w:r>
        <w:rPr>
          <w:rFonts w:ascii="Times New Roman" w:hAnsi="Times New Roman"/>
        </w:rPr>
        <w:t>osta direktiivin 2009/13/EY muuttamiseksi kansainvälisen työkonferenssin 11 päivänä kesäkuuta 2014 merityötä koskevaan vuoden 2006 yleissopimukseen hyväksymien vuoden 2014 muutosten mukaisesti.</w:t>
      </w:r>
    </w:p>
  </w:footnote>
  <w:footnote w:id="20">
    <w:p w:rsidR="00B477BA" w:rsidRDefault="004F1AC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Ks. Euroopan komission antama talven 2018 talousennuste: </w:t>
      </w:r>
    </w:p>
    <w:p w:rsidR="00B477BA" w:rsidRDefault="004F1AC2">
      <w:pPr>
        <w:pStyle w:val="FootnoteText"/>
        <w:jc w:val="both"/>
      </w:pPr>
      <w:hyperlink r:id="rId5">
        <w:r>
          <w:rPr>
            <w:rStyle w:val="Hyperlink"/>
            <w:rFonts w:ascii="Times New Roman" w:hAnsi="Times New Roman"/>
          </w:rPr>
          <w:t>https://ec.europa.eu/info/business-economy-euro/economic-performance-and-forecasts/economic-forecasts/wi</w:t>
        </w:r>
        <w:r>
          <w:rPr>
            <w:rStyle w:val="Hyperlink"/>
            <w:rFonts w:ascii="Times New Roman" w:hAnsi="Times New Roman"/>
          </w:rPr>
          <w:t>nter-2018-economic-forecast_en</w:t>
        </w:r>
      </w:hyperlink>
      <w:r>
        <w:rPr>
          <w:rFonts w:ascii="Times New Roman" w:hAnsi="Times New Roman"/>
        </w:rPr>
        <w:t xml:space="preserve"> ja taloudellista ja sosiaalista kehitystä koskeva neljännesvuosiraportti: </w:t>
      </w:r>
      <w:hyperlink r:id="rId6">
        <w:r>
          <w:rPr>
            <w:rStyle w:val="Hyperlink"/>
            <w:rFonts w:ascii="Times New Roman" w:hAnsi="Times New Roman"/>
          </w:rPr>
          <w:t>http://ec.europa.eu/social/main.jsp?catId=738&amp;langId=en&amp;pubId=806</w:t>
        </w:r>
        <w:r>
          <w:rPr>
            <w:rStyle w:val="Hyperlink"/>
            <w:rFonts w:ascii="Times New Roman" w:hAnsi="Times New Roman"/>
          </w:rPr>
          <w:t>3</w:t>
        </w:r>
      </w:hyperlink>
      <w:r>
        <w:t xml:space="preserve">. </w:t>
      </w:r>
    </w:p>
  </w:footnote>
  <w:footnote w:id="21">
    <w:p w:rsidR="00B477BA" w:rsidRDefault="004F1AC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Suurinta osaa näistä vastikään luoduista työpaikoista voidaan pitää ”korkealaatuisina”. 78 prosenttia vuoden 2014 kolmannen neljänneksen jälkeen luoduista työpaikoista on pysyviä ja 88 prosenttia kokoaikaisia.</w:t>
      </w:r>
    </w:p>
  </w:footnote>
  <w:footnote w:id="22">
    <w:p w:rsidR="00B477BA" w:rsidRDefault="004F1AC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Tiedonanto kasvua koskevien haasteiden</w:t>
      </w:r>
      <w:r>
        <w:rPr>
          <w:rFonts w:ascii="Times New Roman" w:hAnsi="Times New Roman"/>
        </w:rPr>
        <w:t xml:space="preserve"> arvioinnista, makrotalouden epätasapainojen ehkäisystä ja korjaamisesta sekä perusteellisten tarkastelujen tuloksista (COM(2018) 120).</w:t>
      </w:r>
    </w:p>
  </w:footnote>
  <w:footnote w:id="23">
    <w:p w:rsidR="00B477BA" w:rsidRDefault="004F1AC2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Euroopan ammatillisen koulutuksen kehittämiskeskus (</w:t>
      </w:r>
      <w:proofErr w:type="spellStart"/>
      <w:r>
        <w:rPr>
          <w:rFonts w:ascii="Times New Roman" w:hAnsi="Times New Roman"/>
        </w:rPr>
        <w:t>Cedefop</w:t>
      </w:r>
      <w:proofErr w:type="spellEnd"/>
      <w:r>
        <w:rPr>
          <w:rFonts w:ascii="Times New Roman" w:hAnsi="Times New Roman"/>
        </w:rPr>
        <w:t>), Euroopan elin- ja työolojen kehittämissäätiö (</w:t>
      </w:r>
      <w:proofErr w:type="spellStart"/>
      <w:r>
        <w:rPr>
          <w:rFonts w:ascii="Times New Roman" w:hAnsi="Times New Roman"/>
        </w:rPr>
        <w:t>Eurofound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, Euroopan työterveys- ja työturvallisuusvirasto (EU-OSHA) ja Euroopan koulutussäätiö (ETF).</w:t>
      </w:r>
    </w:p>
  </w:footnote>
  <w:footnote w:id="24">
    <w:p w:rsidR="00B477BA" w:rsidRDefault="004F1AC2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COM(2017) 821 </w:t>
      </w:r>
      <w:proofErr w:type="spellStart"/>
      <w:r>
        <w:rPr>
          <w:rFonts w:ascii="Times New Roman" w:hAnsi="Times New Roman"/>
        </w:rPr>
        <w:t>final</w:t>
      </w:r>
      <w:proofErr w:type="spellEnd"/>
      <w:r>
        <w:rPr>
          <w:rFonts w:ascii="Times New Roman" w:hAnsi="Times New Roman"/>
        </w:rPr>
        <w:t>.</w:t>
      </w:r>
    </w:p>
  </w:footnote>
  <w:footnote w:id="25">
    <w:p w:rsidR="00B477BA" w:rsidRDefault="004F1AC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Rakenneuudistusten tukipalvelu on vuodesta 2015 lähtien toteuttanut lähes 500 teknisen tuen hanketta. </w:t>
      </w:r>
      <w:proofErr w:type="gramStart"/>
      <w:r>
        <w:rPr>
          <w:rFonts w:ascii="Times New Roman" w:hAnsi="Times New Roman"/>
        </w:rPr>
        <w:t>Esimerkkejä tällaisista hankkeista s</w:t>
      </w:r>
      <w:r>
        <w:rPr>
          <w:rFonts w:ascii="Times New Roman" w:hAnsi="Times New Roman"/>
        </w:rPr>
        <w:t xml:space="preserve">osiaalialalla: i) taatun </w:t>
      </w:r>
      <w:proofErr w:type="spellStart"/>
      <w:r>
        <w:rPr>
          <w:rFonts w:ascii="Times New Roman" w:hAnsi="Times New Roman"/>
        </w:rPr>
        <w:t>vähimmäistoimeentulon</w:t>
      </w:r>
      <w:proofErr w:type="spellEnd"/>
      <w:r>
        <w:rPr>
          <w:rFonts w:ascii="Times New Roman" w:hAnsi="Times New Roman"/>
        </w:rPr>
        <w:t xml:space="preserve"> täytäntöönpanon tukeminen, ii) maahantulijoiden ja pakolaisten integroinnin suunnittelun ja toteutuksen tukeminen, iii) vammaisuuden arviointijärjestelmien ja vammaisille tarkoitettujen palvelujen parantaminen</w:t>
      </w:r>
      <w:r>
        <w:rPr>
          <w:rFonts w:ascii="Times New Roman" w:hAnsi="Times New Roman"/>
        </w:rPr>
        <w:t>, iv) aktiivisen työmarkkinapolitiikan suunnittelun ja toteutuksen parantaminen ja v) erityisopetuksen uudistuksen tukeminen.</w:t>
      </w:r>
      <w:proofErr w:type="gramEnd"/>
    </w:p>
  </w:footnote>
  <w:footnote w:id="26">
    <w:p w:rsidR="00B477BA" w:rsidRDefault="004F1AC2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Lisätietoa sosiaali-indikaattoreiden tulostaulusta: </w:t>
      </w:r>
    </w:p>
    <w:p w:rsidR="00B477BA" w:rsidRDefault="004F1AC2">
      <w:pPr>
        <w:pStyle w:val="FootnoteText"/>
        <w:rPr>
          <w:rFonts w:ascii="Times New Roman" w:hAnsi="Times New Roman" w:cs="Times New Roman"/>
        </w:rPr>
      </w:pPr>
      <w:hyperlink r:id="rId7">
        <w:r>
          <w:rPr>
            <w:rStyle w:val="Hyperlink"/>
            <w:rFonts w:ascii="Times New Roman" w:hAnsi="Times New Roman"/>
          </w:rPr>
          <w:t>https://composite-indicators.jrc.ec.europa.eu/social-scoreboard/#</w:t>
        </w:r>
      </w:hyperlink>
    </w:p>
    <w:p w:rsidR="00B477BA" w:rsidRDefault="00B477BA">
      <w:pPr>
        <w:pStyle w:val="Footnote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C2" w:rsidRPr="004F1AC2" w:rsidRDefault="004F1AC2" w:rsidP="004F1A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C2" w:rsidRPr="004F1AC2" w:rsidRDefault="004F1AC2" w:rsidP="004F1AC2"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C2" w:rsidRPr="004F1AC2" w:rsidRDefault="004F1AC2" w:rsidP="004F1AC2"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BA" w:rsidRDefault="00B477B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BA" w:rsidRDefault="00B477BA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BA" w:rsidRDefault="00B477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3F62"/>
    <w:multiLevelType w:val="hybridMultilevel"/>
    <w:tmpl w:val="993E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E3A69"/>
    <w:multiLevelType w:val="hybridMultilevel"/>
    <w:tmpl w:val="1430D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17D6E"/>
    <w:multiLevelType w:val="hybridMultilevel"/>
    <w:tmpl w:val="77FC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14F19"/>
    <w:multiLevelType w:val="hybridMultilevel"/>
    <w:tmpl w:val="72A8139C"/>
    <w:lvl w:ilvl="0" w:tplc="2A126B5A">
      <w:start w:val="1"/>
      <w:numFmt w:val="bullet"/>
      <w:lvlText w:val="‣"/>
      <w:lvlJc w:val="left"/>
      <w:pPr>
        <w:ind w:left="360" w:hanging="360"/>
      </w:pPr>
      <w:rPr>
        <w:rFonts w:ascii="EC Square Sans Pro" w:hAnsi="EC Square Sans Pro" w:hint="default"/>
        <w:color w:val="E22748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903118"/>
    <w:multiLevelType w:val="hybridMultilevel"/>
    <w:tmpl w:val="302E9DBA"/>
    <w:lvl w:ilvl="0" w:tplc="2A126B5A">
      <w:start w:val="1"/>
      <w:numFmt w:val="bullet"/>
      <w:lvlText w:val="‣"/>
      <w:lvlJc w:val="left"/>
      <w:pPr>
        <w:ind w:left="720" w:hanging="360"/>
      </w:pPr>
      <w:rPr>
        <w:rFonts w:ascii="EC Square Sans Pro" w:hAnsi="EC Square Sans Pro" w:hint="default"/>
        <w:color w:val="E227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9430D"/>
    <w:multiLevelType w:val="hybridMultilevel"/>
    <w:tmpl w:val="1E807D58"/>
    <w:lvl w:ilvl="0" w:tplc="2A126B5A">
      <w:start w:val="1"/>
      <w:numFmt w:val="bullet"/>
      <w:lvlText w:val="‣"/>
      <w:lvlJc w:val="left"/>
      <w:pPr>
        <w:ind w:left="720" w:hanging="360"/>
      </w:pPr>
      <w:rPr>
        <w:rFonts w:ascii="EC Square Sans Pro" w:hAnsi="EC Square Sans Pro" w:hint="default"/>
        <w:color w:val="E22748"/>
      </w:rPr>
    </w:lvl>
    <w:lvl w:ilvl="1" w:tplc="A3FEDCF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A0F60"/>
    <w:multiLevelType w:val="hybridMultilevel"/>
    <w:tmpl w:val="21A04A20"/>
    <w:lvl w:ilvl="0" w:tplc="2A126B5A">
      <w:start w:val="1"/>
      <w:numFmt w:val="bullet"/>
      <w:lvlText w:val="‣"/>
      <w:lvlJc w:val="left"/>
      <w:pPr>
        <w:ind w:left="720" w:hanging="360"/>
      </w:pPr>
      <w:rPr>
        <w:rFonts w:ascii="EC Square Sans Pro" w:hAnsi="EC Square Sans Pro" w:hint="default"/>
        <w:color w:val="E227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A5E5A"/>
    <w:multiLevelType w:val="hybridMultilevel"/>
    <w:tmpl w:val="C3E840EC"/>
    <w:lvl w:ilvl="0" w:tplc="2A126B5A">
      <w:start w:val="1"/>
      <w:numFmt w:val="bullet"/>
      <w:lvlText w:val="‣"/>
      <w:lvlJc w:val="left"/>
      <w:pPr>
        <w:ind w:left="720" w:hanging="360"/>
      </w:pPr>
      <w:rPr>
        <w:rFonts w:ascii="EC Square Sans Pro" w:hAnsi="EC Square Sans Pro" w:hint="default"/>
        <w:color w:val="E227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0B1E16"/>
    <w:multiLevelType w:val="hybridMultilevel"/>
    <w:tmpl w:val="E4288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D4905"/>
    <w:multiLevelType w:val="hybridMultilevel"/>
    <w:tmpl w:val="00AAF6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92A86"/>
    <w:multiLevelType w:val="hybridMultilevel"/>
    <w:tmpl w:val="1670279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BD390C06-D1A4-477E-81CE-0F1FB6C23699"/>
    <w:docVar w:name="LW_COVERPAGE_TYPE" w:val="1"/>
    <w:docVar w:name="LW_CROSSREFERENCE" w:val="{SWD(2018) 67 final}"/>
    <w:docVar w:name="LW_DocType" w:val="NORMAL"/>
    <w:docVar w:name="LW_EMISSION" w:val="13.3.2018"/>
    <w:docVar w:name="LW_EMISSION_ISODATE" w:val="2018-03-13"/>
    <w:docVar w:name="LW_EMISSION_LOCATION" w:val="BRX"/>
    <w:docVar w:name="LW_EMISSION_PREFIX" w:val="Bryssel"/>
    <w:docVar w:name="LW_EMISSION_SUFFIX" w:val=" "/>
    <w:docVar w:name="LW_ID_DOCTYPE_NONLW" w:val="CP-013"/>
    <w:docVar w:name="LW_LANGUE" w:val="FI"/>
    <w:docVar w:name="LW_LEVEL_OF_SENSITIVITY" w:val="Standard treatment"/>
    <w:docVar w:name="LW_NOM.INST" w:val="EUROOPAN KOMISSIO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8) 13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OUS.TITRE.OBJ.CP" w:val="&lt;UNUSED&gt;"/>
    <w:docVar w:name="LW_SUPERTITRE" w:val="&lt;UNUSED&gt;"/>
    <w:docVar w:name="LW_TITRE.OBJ.CP" w:val="Euroopan sosiaalisten oikeuksien pilarin täytäntöönpanon seuranta"/>
    <w:docVar w:name="LW_TYPE.DOC.CP" w:val="KOMISSION TIEDONANTO EUROOPAN PARLAMENTILLE, NEUVOSTOLLE JA EUROOPAN TALOUS- JA SOSIAALIKOMITEALLE"/>
    <w:docVar w:name="LW_TYPE.DOC.CP.USERTEXT" w:val="&lt;EMPTY&gt;"/>
  </w:docVars>
  <w:rsids>
    <w:rsidRoot w:val="00B477BA"/>
    <w:rsid w:val="004F1AC2"/>
    <w:rsid w:val="00B4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fi-F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Date">
    <w:name w:val="Date"/>
    <w:basedOn w:val="Normal"/>
    <w:next w:val="References"/>
    <w:link w:val="DateChar"/>
    <w:uiPriority w:val="99"/>
    <w:pPr>
      <w:spacing w:after="0" w:line="240" w:lineRule="auto"/>
      <w:ind w:left="5103" w:right="-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uiPriority w:val="99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s">
    <w:name w:val="References"/>
    <w:basedOn w:val="Normal"/>
    <w:next w:val="Normal"/>
    <w:uiPriority w:val="99"/>
    <w:pPr>
      <w:spacing w:after="240" w:line="240" w:lineRule="auto"/>
      <w:ind w:left="510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Com">
    <w:name w:val="Z_Com"/>
    <w:basedOn w:val="Normal"/>
    <w:next w:val="Normal"/>
    <w:uiPriority w:val="99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fi-F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Date">
    <w:name w:val="Date"/>
    <w:basedOn w:val="Normal"/>
    <w:next w:val="References"/>
    <w:link w:val="DateChar"/>
    <w:uiPriority w:val="99"/>
    <w:pPr>
      <w:spacing w:after="0" w:line="240" w:lineRule="auto"/>
      <w:ind w:left="5103" w:right="-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uiPriority w:val="99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s">
    <w:name w:val="References"/>
    <w:basedOn w:val="Normal"/>
    <w:next w:val="Normal"/>
    <w:uiPriority w:val="99"/>
    <w:pPr>
      <w:spacing w:after="240" w:line="240" w:lineRule="auto"/>
      <w:ind w:left="510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Com">
    <w:name w:val="Z_Com"/>
    <w:basedOn w:val="Normal"/>
    <w:next w:val="Normal"/>
    <w:uiPriority w:val="99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commission/sites/betapolitical/files/social_dimension_of_europe_overview_of_initiatives_en.pdf" TargetMode="External"/><Relationship Id="rId7" Type="http://schemas.openxmlformats.org/officeDocument/2006/relationships/hyperlink" Target="https://composite-indicators.jrc.ec.europa.eu/social-scoreboard/" TargetMode="External"/><Relationship Id="rId2" Type="http://schemas.openxmlformats.org/officeDocument/2006/relationships/hyperlink" Target="http://www.socialsummit17.se/" TargetMode="External"/><Relationship Id="rId1" Type="http://schemas.openxmlformats.org/officeDocument/2006/relationships/hyperlink" Target="https://ec.europa.eu/commission/priorities/deeper-and-fairer-economic-and-monetary-union/european-pillar-social-rights/european-pillar-social-rights-20-principles_fi" TargetMode="External"/><Relationship Id="rId6" Type="http://schemas.openxmlformats.org/officeDocument/2006/relationships/hyperlink" Target="http://ec.europa.eu/social/main.jsp?catId=738&amp;langId=en&amp;pubId=8063" TargetMode="External"/><Relationship Id="rId5" Type="http://schemas.openxmlformats.org/officeDocument/2006/relationships/hyperlink" Target="https://ec.europa.eu/info/business-economy-euro/economic-performance-and-forecasts/economic-forecasts/winter-2018-economic-forecast_en" TargetMode="External"/><Relationship Id="rId4" Type="http://schemas.openxmlformats.org/officeDocument/2006/relationships/hyperlink" Target="https://ec.europa.eu/commission/publications/five-presidents-report-completing-europes-economic-and-monetary-union_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B510-3F0A-42F5-85CD-8551A574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2946</Words>
  <Characters>25817</Characters>
  <Application>Microsoft Office Word</Application>
  <DocSecurity>0</DocSecurity>
  <Lines>386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2018-03-09T14:38:00Z</dcterms:created>
  <dcterms:modified xsi:type="dcterms:W3CDTF">2018-03-16T15:57:00Z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Green</vt:lpwstr>
  </property>
  <property fmtid="{D5CDD505-2E9C-101B-9397-08002B2CF9AE}" pid="3" name="Level of sensitivity">
    <vt:lpwstr>Standard treatment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</Properties>
</file>