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54639B3B-C16F-42F6-9193-53A8D5EA2E32" style="width:450.55pt;height:366.5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INDOKOLÁS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A JAVASLAT HÁTTERE</w:t>
      </w:r>
    </w:p>
    <w:p>
      <w:pPr>
        <w:pStyle w:val="ManualHeading2"/>
        <w:rPr>
          <w:noProof/>
        </w:rPr>
      </w:pPr>
      <w:r>
        <w:rPr>
          <w:noProof/>
        </w:rPr>
        <w:t>•</w:t>
      </w:r>
      <w:r>
        <w:rPr>
          <w:noProof/>
        </w:rPr>
        <w:tab/>
        <w:t>A javaslat indokai és céljai</w:t>
      </w:r>
    </w:p>
    <w:p>
      <w:pPr>
        <w:rPr>
          <w:noProof/>
        </w:rPr>
      </w:pPr>
      <w:r>
        <w:rPr>
          <w:noProof/>
        </w:rPr>
        <w:t>Az „L kategóriájú járművek” kifejezés a két-, három- és négykerekű könnyűgépjárművek széles skáláját foglalja magában; idetartoznak például a motoros kerékpárok, a két- vagy háromkerekű segédmotoros kerékpárok, a két- vagy háromkerekű motorkerékpárok, az oldalkocsis motorkerékpárok, valamint számos négykerekű jármű (négykerekű motorkerékpár) is, mint például a közúti kvadok, a terepjáró járművek és a mopedautók.</w:t>
      </w:r>
    </w:p>
    <w:p>
      <w:pPr>
        <w:rPr>
          <w:noProof/>
        </w:rPr>
      </w:pPr>
      <w:r>
        <w:rPr>
          <w:noProof/>
        </w:rPr>
        <w:t>Az L kategóriájú járművekre 2016. január 1-jétől alkalmazandó típusjóváhagyási követelményeket a 168/2013/EU rendelet, valamint annak négy felhatalmazáson alapuló, illetve végrehajtási jogi aktusa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határozza meg.</w:t>
      </w:r>
    </w:p>
    <w:p>
      <w:pPr>
        <w:rPr>
          <w:noProof/>
        </w:rPr>
      </w:pPr>
      <w:r>
        <w:rPr>
          <w:noProof/>
        </w:rPr>
        <w:t>A Bizottság a 168/2013/EU rendelet 23. cikke (4) bekezdésének megfelelően átfogó környezeti hatásvizsgálati tanulmányt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készített, melynek eredményeiről jelentést tett a Parlamentnek és a Tanácsnak. A jelentés javító szándékú ajánlásokat fogalmazott meg a 168/2013/EU rendelettel, csakúgy mint a 44/2014/EU felhatalmazáson alapuló bizottsági rendelettel és a 168/2013/EU rendeletet kiegészítő 134/2014/EU felhatalmazáson alapuló bizottsági rendelettel kapcsolatban. Az ajánlásokra e rendelet 1. cikkének (1) és (2) bekezdése tér ki, amelyek a 168/2013/EU rendelet 21. és 23. cikkének módosítására irányulnak. </w:t>
      </w:r>
    </w:p>
    <w:p>
      <w:pPr>
        <w:rPr>
          <w:noProof/>
        </w:rPr>
      </w:pPr>
      <w:r>
        <w:rPr>
          <w:noProof/>
        </w:rPr>
        <w:t>Mivel a 168/2013/EU rendeletben foglalt típusjóváhagyási követelményeket már 2016. január 1-jétől kötelező alkalmazni, ajánlott ezt a jogi aktust a lehető leghamarabb elfogadni, ezért ez a jogszabály a típusjóváhagyással kapcsolatos jogi aktusok többségével ellentétben nem tartalmaz külön alkalmazási időpontot.</w:t>
      </w:r>
    </w:p>
    <w:p>
      <w:pPr>
        <w:rPr>
          <w:noProof/>
        </w:rPr>
      </w:pPr>
      <w:r>
        <w:rPr>
          <w:noProof/>
        </w:rPr>
        <w:t>A 168/2013/EU rendelet a Bizottság felhatalmazáson alapuló jogi aktusok elfogadására vonatkozó jogosultságát öt évre korlátozta, amely időszak 2018. március 21-én jár le. Mivel a típusjóváhagyással kapcsolatos jogi aktusok elemeit folyamatosan aktualizálni kell a műszaki fejlődés fényében vagy a felhatalmazások alapján egyéb módosítások bevezetése céljából, a javaslattervezet a 168/2013/EU rendelet 75. cikkének (2) bekezdését is módosítja annak érdekében, hogy a felhatalmazás további öt évig érvényes legyen, a hallgatólagos meghosszabbítás lehetőségével.</w:t>
      </w:r>
    </w:p>
    <w:p>
      <w:pPr>
        <w:rPr>
          <w:noProof/>
        </w:rPr>
      </w:pPr>
    </w:p>
    <w:p>
      <w:pPr>
        <w:pStyle w:val="ManualHeading1"/>
        <w:rPr>
          <w:noProof/>
        </w:rPr>
      </w:pPr>
      <w:r>
        <w:rPr>
          <w:noProof/>
        </w:rPr>
        <w:lastRenderedPageBreak/>
        <w:t>2.</w:t>
      </w:r>
      <w:r>
        <w:rPr>
          <w:noProof/>
        </w:rPr>
        <w:tab/>
        <w:t>JOGALAP, SZUBSZIDIARITÁS ÉS ARÁNYOSSÁG</w:t>
      </w:r>
    </w:p>
    <w:p>
      <w:pPr>
        <w:pStyle w:val="ManualHeading2"/>
        <w:rPr>
          <w:noProof/>
        </w:rPr>
      </w:pPr>
      <w:r>
        <w:rPr>
          <w:noProof/>
        </w:rPr>
        <w:t>•</w:t>
      </w:r>
      <w:r>
        <w:rPr>
          <w:noProof/>
        </w:rPr>
        <w:tab/>
        <w:t>Jogalap</w:t>
      </w:r>
    </w:p>
    <w:p>
      <w:pPr>
        <w:rPr>
          <w:noProof/>
        </w:rPr>
      </w:pPr>
      <w:r>
        <w:rPr>
          <w:noProof/>
        </w:rPr>
        <w:t>E jogi aktus jogalapja megegyezik a módosítandó jogi aktus jogalapjával, amely az EUMSZ 114. cikke.</w:t>
      </w:r>
    </w:p>
    <w:p>
      <w:pPr>
        <w:pStyle w:val="ManualHeading2"/>
        <w:rPr>
          <w:noProof/>
        </w:rPr>
      </w:pPr>
      <w:r>
        <w:rPr>
          <w:noProof/>
        </w:rPr>
        <w:t>•</w:t>
      </w:r>
      <w:r>
        <w:rPr>
          <w:noProof/>
        </w:rPr>
        <w:tab/>
        <w:t>Arányosság</w:t>
      </w:r>
    </w:p>
    <w:p>
      <w:pPr>
        <w:rPr>
          <w:noProof/>
        </w:rPr>
      </w:pPr>
      <w:r>
        <w:rPr>
          <w:noProof/>
        </w:rPr>
        <w:t xml:space="preserve">Az EU-típusjóváhagyás követelményeit tartalmazó 168/2013/EU rendelet a teljes harmonizáció koncepcióján alapul. Ezért a 168/2013/EU rendelet (9) preambulumbekezdésében említett célnak, nevezetesen a magas szintű környezetvédelem elérésére a legalkalmasabb módszer az, hogy a rendelet követelményei az átfogó környezeti hatásvizsgálati tanulmány megállapításai alapján módosításra kerülnek. </w:t>
      </w:r>
    </w:p>
    <w:p>
      <w:pPr>
        <w:pStyle w:val="ManualHeading2"/>
        <w:rPr>
          <w:noProof/>
        </w:rPr>
      </w:pPr>
      <w:r>
        <w:rPr>
          <w:noProof/>
        </w:rPr>
        <w:t>•</w:t>
      </w:r>
      <w:r>
        <w:rPr>
          <w:noProof/>
        </w:rPr>
        <w:tab/>
        <w:t>A jogi aktus típusának megválasztása</w:t>
      </w:r>
    </w:p>
    <w:p>
      <w:pPr>
        <w:rPr>
          <w:noProof/>
        </w:rPr>
      </w:pPr>
      <w:r>
        <w:rPr>
          <w:noProof/>
        </w:rPr>
        <w:t>A rendelet alkalmazása indokoltnak tekinthető, mivel a jogi aktus tárgya a hatályos rendelet módosítása.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AZ UTÓLAGOS ÉRTÉKELÉSEK, AZ ÉRDEKELT FELEKKEL FOLYTATOTT KONZULTÁCIÓK ÉS A HATÁSVIZSGÁLATOK EREDMÉNYEI</w:t>
      </w:r>
    </w:p>
    <w:p>
      <w:pPr>
        <w:pStyle w:val="ManualHeading2"/>
        <w:rPr>
          <w:noProof/>
        </w:rPr>
      </w:pPr>
      <w:r>
        <w:rPr>
          <w:noProof/>
        </w:rPr>
        <w:t>•</w:t>
      </w:r>
      <w:r>
        <w:rPr>
          <w:noProof/>
        </w:rPr>
        <w:tab/>
        <w:t>A jelenleg hatályban lévő jogszabályok utólagos értékelése / célravezetőségi vizsgálata</w:t>
      </w:r>
    </w:p>
    <w:p>
      <w:pPr>
        <w:rPr>
          <w:noProof/>
        </w:rPr>
      </w:pPr>
      <w:r>
        <w:rPr>
          <w:noProof/>
        </w:rPr>
        <w:t>A Bizottság a168/2013/EU rendelet 23. cikke (4) és (5) bekezdésében foglalt kötelezettségnek eleget téve jelentést tett a Parlamentnek és a Tanácsnak az átfogó környezeti hatásvizsgálati tanulmány eredményeiről. A bizottsági jelentés következtetéseivel összhangban és a rendeletek pontos alkalmazásának érdekében a jelentésben azonosított pontokat módosítások útján fel kell venni a jogszabály szövegébe, illetve pontosítani kell az idevágó rendelkezéseket.</w:t>
      </w:r>
    </w:p>
    <w:p>
      <w:pPr>
        <w:rPr>
          <w:noProof/>
        </w:rPr>
      </w:pPr>
      <w:r>
        <w:rPr>
          <w:noProof/>
        </w:rPr>
        <w:t>A tanulmány végeredményben egyértelműen azt mutatja, hogy a rendeletben meghatározott határértékek, időpontok és követelmények az összes L kategóriájú jármű esetében költséghatékonyak és műszakilag megvalósíthatók.</w:t>
      </w:r>
    </w:p>
    <w:p>
      <w:pPr>
        <w:pStyle w:val="ManualHeading2"/>
        <w:rPr>
          <w:noProof/>
        </w:rPr>
      </w:pPr>
      <w:r>
        <w:rPr>
          <w:noProof/>
        </w:rPr>
        <w:t>•</w:t>
      </w:r>
      <w:r>
        <w:rPr>
          <w:noProof/>
        </w:rPr>
        <w:tab/>
        <w:t>Az érdekelt felekkel folytatott konzultációk</w:t>
      </w:r>
    </w:p>
    <w:p>
      <w:pPr>
        <w:rPr>
          <w:noProof/>
        </w:rPr>
      </w:pPr>
      <w:r>
        <w:rPr>
          <w:noProof/>
        </w:rPr>
        <w:t>A Bizottság jelentése több ajánlást is tartalmaz a 168/2013/EU rendelet módosítására vonatkozóan. Az ajánlások az érdekelt felekkel folytatott konzultációkból származnak, amelyek a tanulmány elkészítésének teljes időtartama alatt zajlottak. Ezenkívül 2016 májusában, szeptemberében és decemberében, valamint 2017 márciusában és júniusában a motorkerékpár-munkacsoport valamennyi érdekelt féllel és tagállami képviselővel tartott ülésein rendszeresen áttekintették a tanulmánnyal kapcsolatban elért előrelépéseket.</w:t>
      </w:r>
    </w:p>
    <w:p>
      <w:pPr>
        <w:rPr>
          <w:noProof/>
        </w:rPr>
      </w:pPr>
      <w:r>
        <w:rPr>
          <w:noProof/>
        </w:rPr>
        <w:t>A Bizottság 2017 márciusában terjesztette elő a dokumentum első változatát, amelyre az ágazati szereplőktől, a jóváhagyó hatóságoktól, a műszaki szolgálatoktól és a szociális partnerektől kapott visszajelzéseket, akik mind támogatják a mellékelt dokumentumtervezetet.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2018/0065 (COD)</w:t>
      </w:r>
    </w:p>
    <w:p>
      <w:pPr>
        <w:pStyle w:val="Statut"/>
        <w:rPr>
          <w:noProof/>
        </w:rPr>
      </w:pPr>
      <w:r>
        <w:rPr>
          <w:noProof/>
        </w:rPr>
        <w:t>Javaslat</w:t>
      </w:r>
    </w:p>
    <w:p>
      <w:pPr>
        <w:pStyle w:val="Typedudocument"/>
      </w:pPr>
      <w:r>
        <w:rPr>
          <w:noProof/>
        </w:rPr>
        <w:t>AZ EURÓPAI PARLAMENT ÉS A TANÁCS RENDELETE</w:t>
      </w:r>
    </w:p>
    <w:p>
      <w:pPr>
        <w:pStyle w:val="Titreobjet"/>
      </w:pPr>
      <w:r>
        <w:rPr>
          <w:noProof/>
        </w:rPr>
        <w:t>a 168/2013/EU rendeletnek az Euro 5 környezetvédelmi szintnek a két- vagy háromkerekű járművek, valamint a négykerekű motorkerékpárok típusjóváhagyásához való alkalmazása tekintetében történő módosításáról</w:t>
      </w:r>
    </w:p>
    <w:p>
      <w:pPr>
        <w:pStyle w:val="Institutionquiagit"/>
        <w:rPr>
          <w:noProof/>
        </w:rPr>
      </w:pPr>
      <w:r>
        <w:rPr>
          <w:noProof/>
        </w:rPr>
        <w:t>AZ EURÓPAI PARLAMENT ÉS AZ EURÓPAI UNIÓ TANÁCSA,</w:t>
      </w:r>
    </w:p>
    <w:p>
      <w:pPr>
        <w:rPr>
          <w:noProof/>
        </w:rPr>
      </w:pPr>
      <w:r>
        <w:rPr>
          <w:noProof/>
        </w:rPr>
        <w:t>tekintettel az Európai Unió működéséről szóló szerződésre és különösen annak 114. cikkére,</w:t>
      </w:r>
    </w:p>
    <w:p>
      <w:pPr>
        <w:rPr>
          <w:noProof/>
        </w:rPr>
      </w:pPr>
      <w:r>
        <w:rPr>
          <w:noProof/>
        </w:rPr>
        <w:t>tekintettel az Európai Bizottság javaslatára,</w:t>
      </w:r>
    </w:p>
    <w:p>
      <w:pPr>
        <w:rPr>
          <w:noProof/>
        </w:rPr>
      </w:pPr>
      <w:r>
        <w:rPr>
          <w:noProof/>
        </w:rPr>
        <w:t>a jogalkotási aktus tervezete nemzeti parlamenteknek való megküldését követően,</w:t>
      </w:r>
    </w:p>
    <w:p>
      <w:pPr>
        <w:rPr>
          <w:noProof/>
        </w:rPr>
      </w:pPr>
      <w:r>
        <w:rPr>
          <w:noProof/>
        </w:rPr>
        <w:t xml:space="preserve">tekintettel az Európai Gazdasági és Szociális Bizottság véleményére, </w:t>
      </w:r>
    </w:p>
    <w:p>
      <w:pPr>
        <w:rPr>
          <w:noProof/>
        </w:rPr>
      </w:pPr>
      <w:r>
        <w:rPr>
          <w:noProof/>
        </w:rPr>
        <w:t>rendes jogalkotási eljárás keretében,</w:t>
      </w:r>
    </w:p>
    <w:p>
      <w:pPr>
        <w:rPr>
          <w:noProof/>
        </w:rPr>
      </w:pPr>
      <w:r>
        <w:rPr>
          <w:noProof/>
        </w:rPr>
        <w:t xml:space="preserve">mivel: 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Az Euro 5 környezetvédelmi szintről szóló azon jelentés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alapján, amelyet a Bizottság – a 168/2013/EU európai parlamenti és tanácsi rendelet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23. cikke (4) bekezdésének megfelelően elkészített, az Euro 5 környezetvédelmi szintnek az L kategóriájú járművek esetében való bevezetésére vonatkozó átfogó környezeti hatásvizsgálati tanulmányról – az Európai Parlamentnek és a Tanácsnak megküldött, valamint figyelembe véve a jóváhagyó hatóságok és az érdekelt felek által a 168/2013/EU rendelet alkalmazása során tapasztalt problémákat, bizonyos változtatásokra és pontosításokra van szükség a szóban forgó rendelet zökkenőmentes alkalmazása érdekében.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Ami a kibocsátáscsökkentő rendszer hibáit és elhasználódását ellenőrző és azt jelző fedélzeti diagnosztikai rendszer (OBD) II. fázisa beépítésének követelményét illeti, a Bizottság az átfogó környezeti hatásvizsgálati tanulmány alapján arra a következtetésre jutott, hogy bizonyos járművek esetében a katalizátor ellenőrzése technikai korlátokba ütközik, és hogy a megfelelő végrehajtás biztosítása érdekében további fejlesztésre van szükség. A katalizátor ellenőrzése az Euro 5 kibocsátási szint első fordulójára várhatóan nem lesz lehetséges, de 2025-ös bevezetését elő kell irányozni. A 168/2013/EU rendelet 21. cikkében ezért rendelkezni kell a fedélzeti diagnosztikai rendszer (OBD) II. fázisának megfelelő végrehajtásához szükséges átmeneti időről.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Pontosítani kell, hogy a segédmotoros kerékpárok (L1e és L2e kategória) mentességet kapnak az OBD II. fázisának követelményei alól, és a mentességet ki kell terjeszteni a könnyű négykerekű motorkerékpárokra (L6e kategória), valamint az Enduro (L3e-AxE) és a Triál (L3e-AxT) motorkerékpár-alkategóriára.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Tekintettel arra, hogy az L1e és L2e kategóriájú segédmotoros kerékpárokra az OBD II. szakaszának követelményei eleve nem vonatkoznak, azon L6e kategóriájú járműveket is mentesíteni kell e követelmények alól, amelyeket a segédmotoros kerékpárokra vonatkozó előírásoknak megfelelően terveznek és gyártanak, meglehetősen kis mennyiségben.</w:t>
      </w:r>
    </w:p>
    <w:p>
      <w:pPr>
        <w:pStyle w:val="ManualConsidrant"/>
        <w:rPr>
          <w:rFonts w:eastAsia="Arial Unicode MS"/>
          <w:noProof/>
        </w:rPr>
      </w:pPr>
      <w:r>
        <w:t>(5)</w:t>
      </w:r>
      <w:r>
        <w:tab/>
      </w:r>
      <w:r>
        <w:rPr>
          <w:noProof/>
        </w:rPr>
        <w:t>Az Enduro és a Triál motorkerékpárok élettartama rövid, és jellegükben és használatukban nagyon hasonlóak a nehéz terepjáró kvadokhoz (L7e-B), amelyek szintén mentesülnek az OBD II. fázisának követelményei alól. Ezt a mentességet ezért ki kell terjeszteni az Enduro és a Triál motorkerékpárokra is.</w:t>
      </w:r>
    </w:p>
    <w:p>
      <w:pPr>
        <w:pStyle w:val="ManualConsidrant"/>
        <w:rPr>
          <w:rFonts w:eastAsia="Arial Unicode MS"/>
          <w:noProof/>
        </w:rPr>
      </w:pPr>
      <w:r>
        <w:t>(6)</w:t>
      </w:r>
      <w:r>
        <w:tab/>
      </w:r>
      <w:r>
        <w:rPr>
          <w:noProof/>
        </w:rPr>
        <w:t xml:space="preserve">A Bizottság az átfogó környezeti hatásvizsgálat alapján az Európai Parlamentnek és a Tanácsnak készített jelentésében megállapította, hogy a 168/2013/EU rendelet 23. cikke (3) bekezdésének c) pontjában meghatározott matematikai tartóssági eljárás, amelynek során a 100 km-t megtett járműveket vizsgálják, nem tükrözi a jármű kibocsátáscsökkentő rendszerének valós romlását annak élettartama alatt. Ezt a módszert már nem ajánlott használni, ezért használatával fokozatosan fel kell hagyni 2025-ig, elegendő időt biztosítva így az érdekelt felek számára az átálláshoz. A 2025-ig tartó időszakban a vizsgálati eredmények megbízhatóságának biztosítása érdekében emelni kell a jármű által a vizsgálat előtt megtett távolságok összesített értékét.  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 xml:space="preserve">Az Euro 5 határértékek teljesítéséhez szükséges technológia már rendelkezésre áll, de – a 168/2013/EU európai parlamenti és tanácsi rendelet 23. cikke (4) bekezdésének megfelelően elkészített átfogó környezeti hatásvizsgálat alapján – a Bizottság által az Európai Parlamentnek és a Tanácsnak megküldött, az Euro 5 kibocsátási szintről szóló jelentés megállapítja, hogy az Euro 5 kibocsátási határértékeknek az egyes L kategóriájú járművek (L6e-B, L2e-U, L3e-AxT és L3e-AxE) vonatkozásában való alkalmazásának időpontját 2020-ról 2022-re kell halasztani, hogy az alapforgatókönyvhöz képest növekedjen a költség-haszon arány. Ráadásul e járművek gyártói főként kkv-k, és több időre van szükségük ahhoz, hogy költséghatékony módon át tudjanak térni a kibocsátásmentes – például elektromos – erőátviteli rendszerekre. </w:t>
      </w:r>
    </w:p>
    <w:p>
      <w:pPr>
        <w:pStyle w:val="ManualConsidrant"/>
        <w:rPr>
          <w:rFonts w:eastAsia="Arial Unicode MS"/>
          <w:noProof/>
          <w:szCs w:val="24"/>
        </w:rPr>
      </w:pPr>
      <w:r>
        <w:t>(8)</w:t>
      </w:r>
      <w:r>
        <w:tab/>
      </w:r>
      <w:r>
        <w:rPr>
          <w:noProof/>
        </w:rPr>
        <w:t xml:space="preserve">Az Euro 5-tel kapcsolatos zajszinthatárértékeknek a 168/2013/EU rendelet IV. mellékletében megállapított alkalmazási időpontját illető bizonyos következetlenségeket tisztázni kell annak érdekében, hogy az Euro 5 új határértékeinek megállapításáig a jelenleg érvényes határértékeket (Euro 4) lehessen alkalmazni. </w:t>
      </w:r>
    </w:p>
    <w:p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>A 168/2013/EU rendelet felhatalmazta a Bizottságot, hogy öt éven keresztül felhatalmazáson alapuló jogi aktusokat fogadjon el, amely időszak 2018. március 21-én jár le. Mivel a típusjóváhagyással kapcsolatos jogi aktusok elemeit folyamatosan aktualizálni kell a műszaki fejlődés fényében vagy a felhatalmazások alapján egyéb módosítások bevezetése céljából, a szóban forgó rendelet 75. cikkének (2) bekezdését módosítani kell annak érdekében, hogy a felhatalmazás további öt évig érvényes legyen, a hallgatólagos meghosszabbítás lehetőségével.</w:t>
      </w:r>
    </w:p>
    <w:p>
      <w:pPr>
        <w:pStyle w:val="ManualConsidrant"/>
        <w:rPr>
          <w:noProof/>
        </w:rPr>
      </w:pPr>
      <w:r>
        <w:t>(10)</w:t>
      </w:r>
      <w:r>
        <w:tab/>
      </w:r>
      <w:r>
        <w:rPr>
          <w:noProof/>
        </w:rPr>
        <w:t xml:space="preserve">A 168/2013/EU rendeletben a Bizottság számára meghatározott felhatalmazást, amelynek értelmében a fedélzeti diagnosztikával kapcsolatos technikai követelményekre vonatkozóan felhatalmazáson alapuló jogi aktusokat fogadhat el, a jogbiztonság érdekében egyértelművé kell tenni és pontosítani kell. </w:t>
      </w:r>
    </w:p>
    <w:p>
      <w:pPr>
        <w:pStyle w:val="ManualConsidrant"/>
        <w:rPr>
          <w:noProof/>
        </w:rPr>
      </w:pPr>
      <w:r>
        <w:t>(11)</w:t>
      </w:r>
      <w:r>
        <w:tab/>
      </w:r>
      <w:r>
        <w:rPr>
          <w:noProof/>
        </w:rPr>
        <w:t>Mivel ez a rendelet a 168/2013/EU rendeletet a normatív tartalom kiterjesztése nélkül módosítja, és mivel e rendelet céljait a tagállamok nem tudják kielégítően megvalósítani, az Unió szintjén azonban a fellépés nagyságrendje és hatása miatt e cél jobban megvalósítható, az Unió intézkedéseket hozhat az Európai Unióról szóló szerződés 5. cikkében foglalt szubszidiaritás elvének megfelelően. Az ugyanezen cikkben foglalt arányossági elvnek megfelelően ez a rendelet nem lépi túl az említett célok eléréséhez szükséges mértéket.</w:t>
      </w:r>
    </w:p>
    <w:p>
      <w:pPr>
        <w:pStyle w:val="ManualConsidrant"/>
        <w:rPr>
          <w:noProof/>
        </w:rPr>
      </w:pPr>
      <w:r>
        <w:t>(12)</w:t>
      </w:r>
      <w:r>
        <w:tab/>
      </w:r>
      <w:r>
        <w:rPr>
          <w:noProof/>
        </w:rPr>
        <w:t>A 168/2013/EU rendeletet ezért ennek megfelelően módosítani kell,</w:t>
      </w:r>
    </w:p>
    <w:p>
      <w:pPr>
        <w:pStyle w:val="Formuledadoption"/>
        <w:rPr>
          <w:noProof/>
        </w:rPr>
      </w:pPr>
      <w:r>
        <w:rPr>
          <w:noProof/>
        </w:rPr>
        <w:t>ELFOGADTA EZT A RENDELETET:</w:t>
      </w:r>
    </w:p>
    <w:p>
      <w:pPr>
        <w:pStyle w:val="Titrearticle"/>
        <w:rPr>
          <w:noProof/>
        </w:rPr>
      </w:pPr>
      <w:r>
        <w:rPr>
          <w:noProof/>
        </w:rPr>
        <w:t>1. cikk</w:t>
      </w:r>
    </w:p>
    <w:p>
      <w:pPr>
        <w:rPr>
          <w:noProof/>
        </w:rPr>
      </w:pPr>
      <w:r>
        <w:rPr>
          <w:noProof/>
        </w:rPr>
        <w:t>A 168/2013/EU rendelet a következőképpen módosul:</w:t>
      </w:r>
    </w:p>
    <w:p>
      <w:pPr>
        <w:pStyle w:val="ManualNumPar2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A 21. cikk helyébe a következő szöveg lép: </w:t>
      </w:r>
    </w:p>
    <w:p>
      <w:pPr>
        <w:pStyle w:val="NormalCentered"/>
        <w:rPr>
          <w:noProof/>
        </w:rPr>
      </w:pPr>
      <w:r>
        <w:rPr>
          <w:noProof/>
        </w:rPr>
        <w:t>„21. cikk</w:t>
      </w:r>
    </w:p>
    <w:p>
      <w:pPr>
        <w:pStyle w:val="NormalCentered"/>
        <w:rPr>
          <w:i/>
          <w:noProof/>
        </w:rPr>
      </w:pPr>
      <w:r>
        <w:rPr>
          <w:i/>
          <w:noProof/>
        </w:rPr>
        <w:t>A fedélzeti diagnosztikai rendszerekre vonatkozó általános követelmények</w:t>
      </w:r>
    </w:p>
    <w:p>
      <w:pPr>
        <w:pStyle w:val="ManualNumPar2"/>
        <w:rPr>
          <w:noProof/>
        </w:rPr>
      </w:pPr>
      <w:r>
        <w:rPr>
          <w:noProof/>
        </w:rPr>
        <w:t>(1)</w:t>
      </w:r>
      <w:r>
        <w:rPr>
          <w:noProof/>
        </w:rPr>
        <w:tab/>
        <w:t>Az L kategóriájú járműveket – az L1e, L2e és L6e kategóriájú járművek kivételével – a (8) bekezdés alapján elfogadott, felhatalmazáson alapuló jogi aktusokban megállapított funkcionális követelményeknek és vizsgálati eljárásnak megfelelő OBD-rendszerrel kell felszerelni a IV. mellékletben előírt alkalmazási időpontoktól kezdve.</w:t>
      </w:r>
    </w:p>
    <w:p>
      <w:pPr>
        <w:pStyle w:val="ManualNumPar2"/>
        <w:rPr>
          <w:noProof/>
        </w:rPr>
      </w:pPr>
      <w:r>
        <w:rPr>
          <w:noProof/>
        </w:rPr>
        <w:t>(2)</w:t>
      </w:r>
      <w:r>
        <w:rPr>
          <w:noProof/>
        </w:rPr>
        <w:tab/>
        <w:t>A IV. melléklet 1.8.1. pontjában meghatározott időpontoktól kezdve az L3e, L4e, L5e-A és L7e-A (al)kategóriájú járműveket OBD I. fázisú rendszerrel kell felszerelni, amely ellenőrzi a kibocsátáscsökkentő rendszert mindenféle áramköri vagy elektronikai meghibásodás szempontjából, és jelzi azokat a meghibásodásokat, amelyek a VI. melléklet B1. táblázatában megállapított kibocsátási küszöbök túllépéséhez vezetnek.</w:t>
      </w:r>
    </w:p>
    <w:p>
      <w:pPr>
        <w:pStyle w:val="ManualNumPar2"/>
        <w:rPr>
          <w:noProof/>
          <w:sz w:val="23"/>
        </w:rPr>
      </w:pPr>
      <w:r>
        <w:rPr>
          <w:noProof/>
        </w:rPr>
        <w:t>(3)</w:t>
      </w:r>
      <w:r>
        <w:rPr>
          <w:noProof/>
        </w:rPr>
        <w:tab/>
        <w:t>A IV. melléklet 1.8.2. pontjában meghatározott időpontoktól kezdve az L3e, L4e, L5e és L7e (al)kategóriájú járműveket OBD I. fázisú rendszerrel kell felszerelni, amely ellenőrzi a kibocsátáscsökkentési rendszert mindenféle áramköri vagy elektronikai meghibásodás szempontjából, és működésbe lép, ha a VI. melléklet B1. táblázatában megállapított kibocsátási küszöbök túllépésére kerül sor. Az említett (al)kategóriájú járművekben használt OBD I. fázisú rendszereknek azt is jelezniük kell, ha a jármű olyan üzemmódba vált, amely jelentősen csökkenti a motornyomatékot.</w:t>
      </w:r>
    </w:p>
    <w:p>
      <w:pPr>
        <w:pStyle w:val="ManualNumPar2"/>
        <w:rPr>
          <w:noProof/>
        </w:rPr>
      </w:pPr>
      <w:r>
        <w:rPr>
          <w:noProof/>
        </w:rPr>
        <w:t>(4)</w:t>
      </w:r>
      <w:r>
        <w:rPr>
          <w:noProof/>
        </w:rPr>
        <w:tab/>
        <w:t>A IV. melléklet 1.8.3. pontjában meghatározott időpontoktól kezdve az L3, L4e, L5e és L7e (al)kategóriájú járműveket OBD I. fázisú rendszerrel kell felszerelni, amely ellenőrzi a kibocsátáscsökkentési rendszert mindenféle áramköri vagy elektronikai meghibásodás szempontjából, és működésbe lép, ha a VI. melléklet B2. táblázatában megállapított kibocsátási küszöbök túllépésére kerül sor. Az említett (al)kategóriájú járművekben használt OBD I. fázisú rendszereknek azt is jelezniük kell, ha a jármű olyan üzemmódba vált, amely jelentősen csökkenti a motornyomatékot.</w:t>
      </w:r>
    </w:p>
    <w:p>
      <w:pPr>
        <w:pStyle w:val="ManualNumPar2"/>
        <w:rPr>
          <w:noProof/>
        </w:rPr>
      </w:pPr>
      <w:r>
        <w:rPr>
          <w:noProof/>
        </w:rPr>
        <w:t>(5)</w:t>
      </w:r>
      <w:r>
        <w:rPr>
          <w:noProof/>
        </w:rPr>
        <w:tab/>
        <w:t>A IV. melléklet 1.8.4. pontjában meghatározott időpontoktól kezdve az L3e, L4e, L5e-A és L7e-A (al)kategóriájú járműveket ezenkívül OBD II. fázisú rendszerrel is fel kell szerelni, amely a katalizátor kivételével ellenőrzi a kibocsátáscsökkentő rendszer hibáit és elhasználódását, és jelzi, amennyiben ezek a VI. melléklet B1. táblázatában az OBD-rendszerrel kapcsolatban megállapított kibocsátási küszöbértékek túllépéséhez vezetnek.</w:t>
      </w:r>
    </w:p>
    <w:p>
      <w:pPr>
        <w:pStyle w:val="ManualNumPar2"/>
        <w:rPr>
          <w:noProof/>
        </w:rPr>
      </w:pPr>
      <w:r>
        <w:rPr>
          <w:noProof/>
        </w:rPr>
        <w:t>(6)</w:t>
      </w:r>
      <w:r>
        <w:rPr>
          <w:noProof/>
        </w:rPr>
        <w:tab/>
        <w:t>A IV. melléklet 1.8.5. pontjában meghatározott időpontoktól kezdve az L3e, L4e, L5e-A és L7e-A (al)kategóriájú járműveket ezenkívül OBD II. fázisú rendszerrel is fel kell szerelni, amely ellenőrzi a kibocsátáscsökkentő rendszer hibáit és elhasználódását, és jelzi, amennyiben ezek a VI. melléklet B2. táblázatában az OBD-rendszerrel kapcsolatban megállapított kibocsátási küszöbértékek túllépéséhez vezetnek.</w:t>
      </w:r>
    </w:p>
    <w:p>
      <w:pPr>
        <w:pStyle w:val="ManualNumPar2"/>
        <w:rPr>
          <w:noProof/>
        </w:rPr>
      </w:pPr>
      <w:r>
        <w:rPr>
          <w:noProof/>
        </w:rPr>
        <w:t>(7)</w:t>
      </w:r>
      <w:r>
        <w:rPr>
          <w:noProof/>
        </w:rPr>
        <w:tab/>
        <w:t>Az (5) és (6) bekezdés nem vonatkozik az L3e-AxE kategóriájú Enduro motorkerékpárokra és az L3e-AxT kategóriájú Triál motorkerékpárokra.</w:t>
      </w:r>
    </w:p>
    <w:p>
      <w:pPr>
        <w:pStyle w:val="ManualNumPar2"/>
        <w:rPr>
          <w:noProof/>
        </w:rPr>
      </w:pPr>
      <w:r>
        <w:rPr>
          <w:noProof/>
        </w:rPr>
        <w:t>(8)</w:t>
      </w:r>
      <w:r>
        <w:rPr>
          <w:noProof/>
        </w:rPr>
        <w:tab/>
        <w:t>Az OBD-rendszer funkcionális biztonsággal vagy a kibocsátáscsökkentő rendszerrel kapcsolatos hibajelzéseinek harmonizációja, valamint az eredményes és hatékony járműjavítás elősegítése érdekében a Bizottság felhatalmazást kap arra, hogy a 75. cikknek megfelelően felhatalmazáson alapuló jogi aktusokat fogadjon el a fedélzeti diagnosztikai rendszerre vonatkozó részletes műszaki követelmények tekintetében, a II. mellékletben található táblázat „A jármű szerkezetére és az általános típusjóváhagyásra vonatkozó követelmények” című C1. részének 11. sorában meghatározott egyes jármű-kategóriák vonatkozásában, ideértve az OBD-rendszerre vonatkozó funkcionális követelményeket és az e cikk (1)–(7) bekezdésében felsorolt tárgykörök tekintetében meghatározott vizsgálati eljárásokat, valamint az V. mellékletben említett VIII. típusú vizsgálattal kapcsolatos részletes műszaki követelmények tekintetében.”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A 23. cikk (3) bekezdésének c) pontja helyébe a következő szöveg lép:</w:t>
      </w:r>
    </w:p>
    <w:p>
      <w:pPr>
        <w:pStyle w:val="Text1"/>
        <w:rPr>
          <w:noProof/>
        </w:rPr>
      </w:pPr>
      <w:r>
        <w:rPr>
          <w:noProof/>
        </w:rPr>
        <w:t>„c) matematikai tartóssági eljárás:</w:t>
      </w:r>
    </w:p>
    <w:p>
      <w:pPr>
        <w:pStyle w:val="Text2"/>
        <w:rPr>
          <w:noProof/>
        </w:rPr>
      </w:pPr>
      <w:r>
        <w:rPr>
          <w:noProof/>
        </w:rPr>
        <w:t>2024. december 31-ig a VII. melléklet B. táblázatában meghatározott romlási tényezőkkel való szorzás eredményei, valamint a gyártósorról való lekerülés utáni első indítás óta több mint 100 km-t megtett jármű környezeti teljesítményére vonatkozó vizsgálati eredmények a kibocsátás egyik összetevője tekintetében sem érhetik el a VI. melléklet A. részében a környezeti teljesítményre vonatkozóan megállapított határértéket.</w:t>
      </w:r>
    </w:p>
    <w:p>
      <w:pPr>
        <w:pStyle w:val="Text2"/>
        <w:rPr>
          <w:noProof/>
        </w:rPr>
      </w:pPr>
      <w:r>
        <w:rPr>
          <w:noProof/>
        </w:rPr>
        <w:t>Az első albekezdéstől függetlenül az új járműtípusok esetében 2020. január 1-jétől, meglévő járműtípusok esetében pedig a 2021. január 1-jétől 2024. december 31-ig tartó időszakban a VII. melléklet B. táblázatában meghatározott romlási tényezőkkel való szorzás eredményei és a gyártósorról való lekerülés utáni első indítás óta több mint 2 500 km-t megtett, 130 km/h-nál kisebb legnagyobb sebességű jármű, illetve több mint 3 500 km-t megtett, legalább 130 km/h legnagyobb sebességű jármű környezeti teljesítményére vonatkozó vizsgálati eredmények a kibocsátás egyik összetevője tekintetében sem érhetik el a VI. melléklet A. részében a környezeti teljesítményre vonatkozóan megállapított határértéket.”</w:t>
      </w:r>
    </w:p>
    <w:p>
      <w:pPr>
        <w:pStyle w:val="ManualNumPar2"/>
        <w:rPr>
          <w:noProof/>
        </w:rPr>
      </w:pPr>
      <w:r>
        <w:rPr>
          <w:noProof/>
        </w:rPr>
        <w:t>3.</w:t>
      </w:r>
      <w:r>
        <w:rPr>
          <w:noProof/>
        </w:rPr>
        <w:tab/>
        <w:t>A 75. cikk (2) bekezdésének helyébe a következő szöveg lép:</w:t>
      </w:r>
    </w:p>
    <w:p>
      <w:pPr>
        <w:pStyle w:val="Text1"/>
        <w:rPr>
          <w:noProof/>
        </w:rPr>
      </w:pPr>
      <w:r>
        <w:rPr>
          <w:noProof/>
        </w:rPr>
        <w:t>„(2) A Bizottságnak a 18. cikk (3) bekezdésében, a 20. cikk (2) bekezdésében, a 21. cikk (8) bekezdésében, a 22. cikk (5) és (6) bekezdésében, a 23. cikk (6) és (12) bekezdésében, a 24. cikk (3) bekezdésében, a 25. cikk (8) bekezdésében, a 32. cikk (6) bekezdésében, a 33. cikk (6) bekezdésében, az 50. cikk (4) bekezdésében, az 54. cikk (3) bekezdésében, a 57. cikk (12) bekezdésében, a 65. cikkben és a 74. cikkben említett, felhatalmazáson alapuló jogi aktusok elfogadására vonatkozó felhatalmazása tízéves időtartamra szól, 2013. március 22-től kezdődő hatállyal.</w:t>
      </w:r>
      <w:r>
        <w:rPr>
          <w:i/>
          <w:noProof/>
        </w:rPr>
        <w:t xml:space="preserve"> </w:t>
      </w:r>
      <w:r>
        <w:rPr>
          <w:noProof/>
        </w:rPr>
        <w:t>Amennyiben az Európai Parlament vagy a Tanács nem ellenzi a meghosszabbítást legkésőbb három hónappal az egyes időtartamok vége előtt, akkor a felhatalmazás hallgatólagosan meghosszabbodik öt évvel. A Bizottság legkésőbb 2022. június 22-ig és azt követően kilenc hónappal a mindenkori ötéves időtartam letelte előtt jelentést készít a felhatalmazásról.”</w:t>
      </w:r>
    </w:p>
    <w:p>
      <w:pPr>
        <w:pStyle w:val="ManualNumPar2"/>
        <w:rPr>
          <w:noProof/>
        </w:rPr>
      </w:pPr>
      <w:r>
        <w:rPr>
          <w:noProof/>
        </w:rPr>
        <w:t>4.</w:t>
      </w:r>
      <w:r>
        <w:rPr>
          <w:noProof/>
        </w:rPr>
        <w:tab/>
        <w:t>A IV. melléklet e rendelet mellékletének megfelelően módosul.</w:t>
      </w:r>
    </w:p>
    <w:p>
      <w:pPr>
        <w:pStyle w:val="Titrearticle"/>
        <w:rPr>
          <w:noProof/>
        </w:rPr>
      </w:pPr>
      <w:r>
        <w:rPr>
          <w:noProof/>
        </w:rPr>
        <w:t>2. cikk</w:t>
      </w:r>
    </w:p>
    <w:p>
      <w:pPr>
        <w:rPr>
          <w:noProof/>
        </w:rPr>
      </w:pPr>
      <w:r>
        <w:rPr>
          <w:noProof/>
        </w:rPr>
        <w:t xml:space="preserve">Ez a rendelet az </w:t>
      </w:r>
      <w:r>
        <w:rPr>
          <w:i/>
          <w:noProof/>
        </w:rPr>
        <w:t>Európai Unió Hivatalos Lapjában</w:t>
      </w:r>
      <w:r>
        <w:rPr>
          <w:noProof/>
        </w:rPr>
        <w:t xml:space="preserve"> való kihirdetését követő huszadik napon lép hatályba.</w:t>
      </w:r>
    </w:p>
    <w:p>
      <w:pPr>
        <w:rPr>
          <w:noProof/>
        </w:rPr>
      </w:pPr>
      <w:r>
        <w:rPr>
          <w:noProof/>
        </w:rPr>
        <w:t>Ez a rendelet teljes egészében kötelező és közvetlenül alkalmazandó valamennyi tagállamban.</w:t>
      </w:r>
    </w:p>
    <w:p>
      <w:pPr>
        <w:pStyle w:val="Fait"/>
        <w:rPr>
          <w:noProof/>
        </w:rPr>
      </w:pPr>
      <w:r>
        <w:t>Kelt Brüsszelben, -án/-én.</w:t>
      </w:r>
    </w:p>
    <w:p>
      <w:pPr>
        <w:pStyle w:val="Institutionquisigne"/>
        <w:rPr>
          <w:noProof/>
        </w:rPr>
      </w:pPr>
      <w:r>
        <w:rPr>
          <w:noProof/>
        </w:rPr>
        <w:t>az Európai Parlament részéről</w:t>
      </w:r>
      <w:r>
        <w:rPr>
          <w:noProof/>
        </w:rPr>
        <w:tab/>
        <w:t>a Tanács részéről</w:t>
      </w:r>
    </w:p>
    <w:p>
      <w:pPr>
        <w:pStyle w:val="Personnequisigne"/>
        <w:rPr>
          <w:noProof/>
        </w:rPr>
      </w:pPr>
      <w:r>
        <w:rPr>
          <w:noProof/>
        </w:rPr>
        <w:t>az elnök</w:t>
      </w:r>
      <w:r>
        <w:rPr>
          <w:noProof/>
        </w:rPr>
        <w:tab/>
        <w:t>az elnök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HU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contextualSpacing/>
      </w:pPr>
      <w:r>
        <w:rPr>
          <w:rStyle w:val="FootnoteReference"/>
        </w:rPr>
        <w:footnoteRef/>
      </w:r>
      <w:r>
        <w:tab/>
        <w:t>Az Európai Parlament és a Tanács 168/2013/EU rendelete (2013. január 15.) a két- vagy háromkerekű járművek, valamint a négykerekű motorkerékpárok jóváhagyásáról és piacfelügyeletéről (HL L 60., 2013.3.2., 52. o.).</w:t>
      </w:r>
    </w:p>
    <w:p>
      <w:pPr>
        <w:pStyle w:val="FootnoteText"/>
        <w:contextualSpacing/>
      </w:pPr>
      <w:r>
        <w:tab/>
        <w:t>A Bizottság 134/2014/EU felhatalmazáson alapuló rendelete (2013. december 16.) a 168/2013/EU európai parlamenti és tanácsi rendeletnek a környezeti teljesítményre, valamint a meghajtóegység teljesítményére vonatkozó követelmények tekintetében történő kiegészítéséről, továbbá V. mellékletének módosításáról (HL L 53., 2014.2.21., 1. o.).</w:t>
      </w:r>
    </w:p>
    <w:p>
      <w:pPr>
        <w:pStyle w:val="FootnoteText"/>
        <w:contextualSpacing/>
      </w:pPr>
      <w:r>
        <w:tab/>
        <w:t xml:space="preserve">A Bizottság 44/2014/EU felhatalmazáson alapuló rendelete (2013. november 21.) a 168/2013/EU európai parlamenti és tanácsi rendeletnek a két- vagy háromkerekű járművek és a négykerekű motorkerékpárok jóváhagyásához szükséges járműszerkezeti és általános követelmények tekintetében történő kiegészítéséről (HL L 25., 2014.1.28., 1. o.). </w:t>
      </w:r>
    </w:p>
    <w:p>
      <w:pPr>
        <w:pStyle w:val="FootnoteText"/>
        <w:contextualSpacing/>
      </w:pPr>
      <w:r>
        <w:tab/>
        <w:t>A Bizottság 3/2014/EU felhatalmazáson alapuló rendelete (2013. október 24.) a két- vagy háromkerekű járművek, valamint a négykerekű motorkerékpárok jóváhagyásáról és piacfelügyeletéről szóló 168/2013/EU európai parlamenti és tanácsi rendeletnek a funkcionális járműbiztonsági követelményekre való tekintettel történő kiegészítéséről (HL L 7., 2014.1.10., 1. o.).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A tanulmányról készült jelentés: „Effect study of the environmental step Euro 5 for L-category vehicles” (Hatástanulmány az L kategóriájú járművek Euro 5 környezetvédelmi szintjéről), EU-Books (ET-04-17-619-EN-N).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A tanulmányról készült jelentés: „Effect study of the environmental step Euro 5 for L-category vehicles” (Hatástanulmány az L kategóriájú járművek Euro 5 környezetvédelmi szintjéről), EU-Books (ET-04-17-619-EN-N).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168/2013/EU rendelete (2013. január 15.) a két- vagy háromkerekű járművek, valamint a négykerekű motorkerékpárok jóváhagyásáról és piacfelügyeletéről (HL L 60., 2013.3.2., 52. o.).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60672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1A617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9F6A65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46234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2A0C3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184E9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AE670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60C1E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"/>
  </w:num>
  <w:num w:numId="2">
    <w:abstractNumId w:val="1"/>
  </w:num>
  <w:num w:numId="3">
    <w:abstractNumId w:val="21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09 09:24:0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54639B3B-C16F-42F6-9193-53A8D5EA2E32"/>
    <w:docVar w:name="LW_COVERPAGE_TYPE" w:val="1"/>
    <w:docVar w:name="LW_CROSSREFERENCE" w:val="&lt;UNUSED&gt;"/>
    <w:docVar w:name="LW_DocType" w:val="COM"/>
    <w:docVar w:name="LW_EMISSION" w:val="2018.3.19."/>
    <w:docVar w:name="LW_EMISSION_ISODATE" w:val="2018-03-19"/>
    <w:docVar w:name="LW_EMISSION_LOCATION" w:val="BRX"/>
    <w:docVar w:name="LW_EMISSION_PREFIX" w:val="Brüsszel, "/>
    <w:docVar w:name="LW_EMISSION_SUFFIX" w:val="&lt;EMPTY&gt;"/>
    <w:docVar w:name="LW_ID_DOCMODEL" w:val="SJ-023"/>
    <w:docVar w:name="LW_ID_DOCSIGNATURE" w:val="SJ-023"/>
    <w:docVar w:name="LW_ID_DOCSTRUCTURE" w:val="COM/PL/ORG"/>
    <w:docVar w:name="LW_ID_DOCTYPE" w:val="SJ-023"/>
    <w:docVar w:name="LW_ID_EXP.MOTIFS.NEW" w:val="EM_PL_"/>
    <w:docVar w:name="LW_ID_STATUT" w:val="SJ-023"/>
    <w:docVar w:name="LW_INTERETEEE.CP" w:val="&lt;UNUSED&gt;"/>
    <w:docVar w:name="LW_LANGUE" w:val="HU"/>
    <w:docVar w:name="LW_LEVEL_OF_SENSITIVITY" w:val="Standard treatment"/>
    <w:docVar w:name="LW_NOM.INST" w:val="EURÓPAI BIZOTTSÁG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065"/>
    <w:docVar w:name="LW_REF.II.NEW.CP_YEAR" w:val="2018"/>
    <w:docVar w:name="LW_REF.INST.NEW" w:val="COM"/>
    <w:docVar w:name="LW_REF.INST.NEW_ADOPTED" w:val="final"/>
    <w:docVar w:name="LW_REF.INST.NEW_TEXT" w:val="(2018) 1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Javaslat"/>
    <w:docVar w:name="LW_SUPERTITRE" w:val="&lt;UNUSED&gt;"/>
    <w:docVar w:name="LW_TITRE.OBJ.CP" w:val="a 168/2013/EU rendeletnek az Euro 5 környezetvédelmi szintnek a két- vagy háromkerek\u369? járm\u369?vek, valamint a négykerek\u369? motorkerékpárok típusjóváhagyásához való alkalmazása tekintetében történ\u337? módosításáról"/>
    <w:docVar w:name="LW_TYPE.DOC.CP" w:val="AZ EURÓPAI PARLAMENT ÉS A TANÁCS RENDELET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119" w:after="0"/>
      <w:ind w:left="957" w:right="958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u-HU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119" w:after="0"/>
      <w:ind w:left="957" w:right="958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u-HU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2B60-C331-447E-93CB-FE6BFD3E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8</Pages>
  <Words>2202</Words>
  <Characters>15332</Characters>
  <Application>Microsoft Office Word</Application>
  <DocSecurity>0</DocSecurity>
  <Lines>259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2018-02-13T08:26:00Z</dcterms:created>
  <dcterms:modified xsi:type="dcterms:W3CDTF">2018-03-09T08:24:00Z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SJ-023</vt:lpwstr>
  </property>
  <property fmtid="{D5CDD505-2E9C-101B-9397-08002B2CF9AE}" pid="10" name="DQCStatus">
    <vt:lpwstr>Green (DQC version 03)</vt:lpwstr>
  </property>
</Properties>
</file>