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3565B154-1E99-4B98-A727-702FDEFE8D33" style="width:450.5pt;height:392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Heading1"/>
        <w:rPr>
          <w:noProof/>
          <w:color w:val="auto"/>
        </w:rPr>
      </w:pPr>
      <w:bookmarkStart w:id="1" w:name="_GoBack"/>
      <w:bookmarkEnd w:id="1"/>
      <w:r>
        <w:rPr>
          <w:noProof/>
          <w:color w:val="auto"/>
        </w:rPr>
        <w:lastRenderedPageBreak/>
        <w:t>Anhang – Initiativen im Bereich der Besteuerung: Aktueller Stand</w:t>
      </w:r>
    </w:p>
    <w:p>
      <w:pPr>
        <w:rPr>
          <w:noProof/>
          <w:color w:val="1F497D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1357"/>
        <w:gridCol w:w="3536"/>
        <w:gridCol w:w="4889"/>
      </w:tblGrid>
      <w:tr>
        <w:trPr>
          <w:trHeight w:val="15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Zeitpunkt des Vorschlags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Maßnahme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Stand</w:t>
            </w:r>
          </w:p>
        </w:tc>
      </w:tr>
      <w:tr>
        <w:trPr>
          <w:trHeight w:val="52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Initiativen im Bereich der direkten Besteuerung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Mai 2015 und Juli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Verstärkte Maßnahmen zur Bekämpfung der Geldwäsche und für mehr Transparenz bei undurchsichtigen Unternehmensstrukturen (4. Richtlinie zur Bekämpfung der Geldwäsche)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ANGENOMMEN und TEILWEISE IN KRAFT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Oktober 2015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Transparenzvorschriften – Verpflichtung der Mitgliedstaaten zum Austausch von Informationen über Steuervorbescheide mit grenzübergreifender Wirkung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ANGENOMMEN und IN KRAFT</w:t>
            </w:r>
          </w:p>
        </w:tc>
      </w:tr>
      <w:tr>
        <w:trPr>
          <w:trHeight w:val="86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Januar 2016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Maßnahmen, mit denen die EU-Steuerbehörden verpflichtet werden, Informationen über von multinationalen Unternehmen in ihrem Land entrichtete Steuern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auszutauschen (länderspezifische Berichterstattung zwischen den Steuerbehörden)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ANGENOMMEN und IN KRAFT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Januar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Verbindliche Vorschriften zur wirksamen Bekämpfung von Steuerschlupflöchern (Richtlinie zur Bekämpfung von Steuervermeidung)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ANGENOMMEN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Januar 2016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Strategie zur Erstellung einer gemeinsamen EU-Liste nicht kooperativer Länder und Gebiete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shd w:val="clear" w:color="auto" w:fill="92D05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shd w:val="clear" w:color="auto" w:fill="92D05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ANGENOMMEN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und STÄNDIGE AKTUALISIERUNGEN</w:t>
            </w:r>
          </w:p>
          <w:p>
            <w:pPr>
              <w:shd w:val="clear" w:color="auto" w:fill="92D05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>
        <w:trPr>
          <w:trHeight w:val="69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April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Maßnahmen, mit denen multinationale Unternehmen verpflichtet werden, ihre in der EU entrichteten Steuern offenzulegen (öffentliche länderspezifische Berichterstattung)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Beratungen im Rat und im Europäischen Parlament laufen noch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Juli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Zugang der Steuerbehörden zu Informationen zur Geldwäschebekämpfung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ANGENOMMEN und IN KRAFT</w:t>
            </w:r>
          </w:p>
        </w:tc>
      </w:tr>
      <w:tr>
        <w:trPr>
          <w:trHeight w:val="67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2015 –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Historische internationale Transparenzabkommen der EU mit der Schweiz, Andorra, Liechtenstein, San Marino und Monaco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UNTERZEICHNET und IN KRAFT</w:t>
            </w:r>
          </w:p>
        </w:tc>
      </w:tr>
      <w:tr>
        <w:trPr>
          <w:trHeight w:val="33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September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Strengere Vorschriften, die verhindern sollen, dass EU-Mittel in Steueroasen investiert werden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ANGENOMMEN</w:t>
            </w:r>
          </w:p>
        </w:tc>
      </w:tr>
      <w:tr>
        <w:trPr>
          <w:trHeight w:val="69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Oktober 2016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Maßnahmen, die die Unternehmen davon abhalten sollen, Inkongruenzen zwischen den Steuersystemen der Mitgliedstaaten und von Drittländern ausnutzen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ANGENOMMEN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Oktober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Pläne für ein faires, wachstumsfreundliches und wettbewerbsfreundliches Unternehmensbesteuerungssystem in der EU (GKKB)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Beratungen im Rat laufen noch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Oktober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Neue Regeln für ein Verfahren zur zügigen und endgültigen Beilegung von Doppelbesteuerungsstreitigkeiten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ANGENOMMEN</w:t>
            </w:r>
          </w:p>
        </w:tc>
      </w:tr>
      <w:tr>
        <w:trPr>
          <w:trHeight w:val="33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2016 - 2017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Überprüfung der Patentboxen der Mitgliedstaaten, um faire Wettbewerbsregeln zu gewährleisten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LÄUFT NOCH</w:t>
            </w:r>
          </w:p>
        </w:tc>
      </w:tr>
      <w:tr>
        <w:trPr>
          <w:trHeight w:val="33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US" w:bidi="ar-SA"/>
              </w:rPr>
              <w:t>Seit 2014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Verfahren wegen illegaler staatlicher Beihilfen im Steuerbereich zur Bekämpfung von Wettbewerbsverzerrungen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LAUFEN NOCH</w:t>
            </w: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(fünf rechtskräftige Entscheidungen, vier eröffnete förmliche Prüfverfahren)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Juni 2017</w:t>
            </w: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Neue Transparenzvorschriften für in die Steuerplanung eingebundene Intermediäre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Politische Einigung im Rat</w:t>
            </w:r>
          </w:p>
        </w:tc>
      </w:tr>
      <w:tr>
        <w:trPr>
          <w:trHeight w:val="52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Initiativen im Bereich der indirekten Besteuerung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Dezember 2015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Verlängerung der Verpflichtung zur Einhaltung eines Mehrwertsteuernormalsatzes von mindestens 15 %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ANGENOMMEN und IN KRAFT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Dezember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Neue Vorschriften für die Mehrwertsteuersätze für Bücher, Zeitungen und Zeitschriften 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Beratungen im Rat laufen noch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Dezember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Neue Mehrwertsteuervorschriften für den grenzüberschreitenden elektronischen Geschäftsverkehr und zur Abschaffung des Schwellenwerts für die Steuerbefreiung für Kleinsendungen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ANGENOMMEN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Dezember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Maßnahmen für die vorübergehende Anwendung einer allgemeinen Umkehrung der Steuerschuldnerschaft (Reverse-Charge-Verfahren)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Beratungen im Rat laufen noch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Oktober 2017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Vorschriften zur Einführung des endgültigen MwSt-Systems zur Besteuerung des Handels zwischen den Mitgliedstaaten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Beratungen im Rat laufen noch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November 2017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Maßnahmen zur Stärkung der Zusammenarbeit der Verwaltungsbehörden auf dem Gebiet der Mehrwertsteuer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Beratungen im Rat laufen noch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Dezember 2017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Dauerhaft geltende Verpflichtung zur Einhaltung eines Mehrwertsteuernormalsatzes von mindestens 15 %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Beratungen im Rat laufen noch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Januar 2018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Neue Mehrwertsteuervorschriften für kleine Unternehmen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Beratungen im Rat laufen noch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Januar 2018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Neue Bestimmungen über die Mehrwertsteuersätze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Beratungen im Rat laufen noch</w:t>
            </w:r>
          </w:p>
        </w:tc>
      </w:tr>
    </w:tbl>
    <w:p>
      <w:pPr>
        <w:rPr>
          <w:noProof/>
        </w:rPr>
      </w:pPr>
    </w:p>
    <w:p>
      <w:pPr>
        <w:pStyle w:val="Heading1"/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DE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90160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r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565B154-1E99-4B98-A727-702FDEFE8D33"/>
    <w:docVar w:name="LW_COVERPAGE_TYPE" w:val="1"/>
    <w:docVar w:name="LW_CROSSREFERENCE" w:val="&lt;UNUSED&gt;"/>
    <w:docVar w:name="LW_DocType" w:val="NORMAL"/>
    <w:docVar w:name="LW_EMISSION" w:val="21.3.2018"/>
    <w:docVar w:name="LW_EMISSION_ISODATE" w:val="2018-03-21"/>
    <w:docVar w:name="LW_EMISSION_LOCATION" w:val="BRX"/>
    <w:docVar w:name="LW_EMISSION_PREFIX" w:val="Brüssel, den "/>
    <w:docVar w:name="LW_EMISSION_SUFFIX" w:val="&lt;EMPTY&gt;"/>
    <w:docVar w:name="LW_ID_DOCTYPE_NONLW" w:val="CP-039"/>
    <w:docVar w:name="LW_LANGUE" w:val="DE"/>
    <w:docVar w:name="LW_LEVEL_OF_SENSITIVITY" w:val="Standard treatment"/>
    <w:docVar w:name="LW_NOM.INST" w:val="EUROPÄISCHE KOMMISSION"/>
    <w:docVar w:name="LW_NOM.INST_JOINTDOC" w:val="&lt;EMPTY&gt;"/>
    <w:docVar w:name="LW_OBJETACTEPRINCIPAL.CP" w:val="Zeit für einen modernen, fairen und effizienten Steuerstandard für die digitale Wirtschaft"/>
    <w:docVar w:name="LW_PART_NBR" w:val="1"/>
    <w:docVar w:name="LW_PART_NBR_TOTAL" w:val="1"/>
    <w:docVar w:name="LW_REF.INST.NEW" w:val="COM"/>
    <w:docVar w:name="LW_REF.INST.NEW_ADOPTED" w:val="final"/>
    <w:docVar w:name="LW_REF.INST.NEW_TEXT" w:val="(2018) 1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HANG_x000b_"/>
    <w:docVar w:name="LW_TYPEACTEPRINCIPAL.CP" w:val="MITTEILUNG DER KOMMISSION AN DAS EUROPÄISCHE PARLAMENT UND DEN RAT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Times New Roman" w:hAnsi="Times New Roman" w:cs="Times New Roman"/>
      <w:b w:val="0"/>
      <w:bCs w:val="0"/>
      <w:color w:val="365F91" w:themeColor="accent1" w:themeShade="BF"/>
      <w:sz w:val="24"/>
      <w:szCs w:val="28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basedOn w:val="Heading1Char"/>
    <w:link w:val="FooterSensitivity"/>
    <w:rPr>
      <w:rFonts w:ascii="Times New Roman" w:eastAsia="Times New Roman" w:hAnsi="Times New Roman" w:cs="Times New Roman"/>
      <w:b/>
      <w:bCs w:val="0"/>
      <w:color w:val="365F91" w:themeColor="accent1" w:themeShade="BF"/>
      <w:sz w:val="32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Times New Roman" w:hAnsi="Times New Roman" w:cs="Times New Roman"/>
      <w:b w:val="0"/>
      <w:bCs w:val="0"/>
      <w:color w:val="365F91" w:themeColor="accent1" w:themeShade="BF"/>
      <w:sz w:val="24"/>
      <w:szCs w:val="28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basedOn w:val="Heading1Char"/>
    <w:link w:val="HeaderSensitivity"/>
    <w:rPr>
      <w:rFonts w:ascii="Times New Roman" w:eastAsia="Times New Roman" w:hAnsi="Times New Roman" w:cs="Times New Roman"/>
      <w:b/>
      <w:bCs w:val="0"/>
      <w:color w:val="365F91" w:themeColor="accent1" w:themeShade="BF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Times New Roman" w:hAnsi="Times New Roman" w:cs="Times New Roman"/>
      <w:b w:val="0"/>
      <w:bCs w:val="0"/>
      <w:color w:val="365F91" w:themeColor="accent1" w:themeShade="BF"/>
      <w:sz w:val="24"/>
      <w:szCs w:val="28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basedOn w:val="Heading1Char"/>
    <w:link w:val="FooterSensitivity"/>
    <w:rPr>
      <w:rFonts w:ascii="Times New Roman" w:eastAsia="Times New Roman" w:hAnsi="Times New Roman" w:cs="Times New Roman"/>
      <w:b/>
      <w:bCs w:val="0"/>
      <w:color w:val="365F91" w:themeColor="accent1" w:themeShade="BF"/>
      <w:sz w:val="32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Times New Roman" w:hAnsi="Times New Roman" w:cs="Times New Roman"/>
      <w:b w:val="0"/>
      <w:bCs w:val="0"/>
      <w:color w:val="365F91" w:themeColor="accent1" w:themeShade="BF"/>
      <w:sz w:val="24"/>
      <w:szCs w:val="28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basedOn w:val="Heading1Char"/>
    <w:link w:val="HeaderSensitivity"/>
    <w:rPr>
      <w:rFonts w:ascii="Times New Roman" w:eastAsia="Times New Roman" w:hAnsi="Times New Roman" w:cs="Times New Roman"/>
      <w:b/>
      <w:bCs w:val="0"/>
      <w:color w:val="365F91" w:themeColor="accent1" w:themeShade="BF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474</Words>
  <Characters>3541</Characters>
  <Application>Microsoft Office Word</Application>
  <DocSecurity>0</DocSecurity>
  <Lines>221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SOUTHWORTH Clare (TAXUD)</dc:creator>
  <cp:lastModifiedBy>DIGIT/A3</cp:lastModifiedBy>
  <cp:revision>18</cp:revision>
  <cp:lastPrinted>2018-03-16T08:20:00Z</cp:lastPrinted>
  <dcterms:created xsi:type="dcterms:W3CDTF">2018-03-16T14:32:00Z</dcterms:created>
  <dcterms:modified xsi:type="dcterms:W3CDTF">2018-03-20T20:10:00Z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