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B36" w:rsidRDefault="009F5B54">
      <w:pPr>
        <w:pStyle w:val="Pagedecouverture"/>
        <w:rPr>
          <w:noProof/>
        </w:rPr>
      </w:pPr>
      <w:bookmarkStart w:id="0" w:name="LW_BM_COVERPAGE"/>
      <w:bookmarkStart w:id="1" w:name="_GoBack"/>
      <w:bookmarkEnd w:id="1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9EFA614E-B874-453D-9B4E-5CF31E41E09A" style="width:450.75pt;height:293.25pt">
            <v:imagedata r:id="rId9" o:title=""/>
          </v:shape>
        </w:pict>
      </w:r>
    </w:p>
    <w:bookmarkEnd w:id="0"/>
    <w:p w:rsidR="00F17B36" w:rsidRDefault="00F17B36">
      <w:pPr>
        <w:jc w:val="both"/>
        <w:rPr>
          <w:noProof/>
        </w:rPr>
        <w:sectPr w:rsidR="00F17B3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40"/>
          <w:pgMar w:top="1134" w:right="1417" w:bottom="1134" w:left="1417" w:header="709" w:footer="709" w:gutter="0"/>
          <w:pgNumType w:start="2"/>
          <w:cols w:space="720"/>
          <w:docGrid w:linePitch="326"/>
        </w:sectPr>
      </w:pPr>
    </w:p>
    <w:p w:rsidR="00F17B36" w:rsidRDefault="009F5B54">
      <w:pPr>
        <w:pStyle w:val="En-tte0"/>
        <w:numPr>
          <w:ilvl w:val="0"/>
          <w:numId w:val="2"/>
        </w:numPr>
        <w:spacing w:before="0" w:after="240"/>
        <w:rPr>
          <w:noProof/>
          <w:sz w:val="26"/>
          <w:szCs w:val="26"/>
        </w:rPr>
      </w:pPr>
      <w:r>
        <w:rPr>
          <w:noProof/>
          <w:sz w:val="26"/>
        </w:rPr>
        <w:lastRenderedPageBreak/>
        <w:t>Въведение — за по-добра военна мобилност в ЕС</w:t>
      </w:r>
    </w:p>
    <w:p w:rsidR="00F17B36" w:rsidRDefault="009F5B54">
      <w:pPr>
        <w:pStyle w:val="Briefingtext"/>
        <w:spacing w:after="200" w:line="276" w:lineRule="auto"/>
        <w:rPr>
          <w:rStyle w:val="Aucun"/>
          <w:rFonts w:ascii="Times New Roman" w:hAnsi="Times New Roman" w:cs="Times New Roman"/>
          <w:noProof/>
          <w:sz w:val="24"/>
          <w:szCs w:val="24"/>
        </w:rPr>
      </w:pPr>
      <w:r>
        <w:rPr>
          <w:rStyle w:val="Aucun"/>
          <w:rFonts w:ascii="Times New Roman" w:hAnsi="Times New Roman"/>
          <w:noProof/>
          <w:sz w:val="24"/>
        </w:rPr>
        <w:t>В Речта си за състоянието на Съюза от 2017 г.</w:t>
      </w:r>
      <w:r>
        <w:rPr>
          <w:rStyle w:val="FootnoteReference"/>
          <w:rFonts w:ascii="Times New Roman" w:hAnsi="Times New Roman"/>
          <w:noProof/>
          <w:sz w:val="24"/>
        </w:rPr>
        <w:footnoteReference w:id="2"/>
      </w:r>
      <w:r>
        <w:rPr>
          <w:rStyle w:val="Aucun"/>
          <w:rFonts w:ascii="Times New Roman" w:hAnsi="Times New Roman"/>
          <w:noProof/>
          <w:sz w:val="24"/>
        </w:rPr>
        <w:t xml:space="preserve"> председателят Юнкер подчерта необходимостта до 2025 г. да бъде създаден пълноценен Европейски съюз за отбрана. ЕС вече предприема необходимите стъпки за изграждане на по-ефективен, бързо реагиращ и сплотен Съюз, способен да отстоява общите интереси и прио</w:t>
      </w:r>
      <w:r>
        <w:rPr>
          <w:rStyle w:val="Aucun"/>
          <w:rFonts w:ascii="Times New Roman" w:hAnsi="Times New Roman"/>
          <w:noProof/>
          <w:sz w:val="24"/>
        </w:rPr>
        <w:t>ритети на ЕС — насърчаване на мира и гарантиране на сигурността на гражданите и територията на Съюза, както се призовава и в Глобалната стратегия за външната политика и политиката на сигурност на ЕС</w:t>
      </w:r>
      <w:r>
        <w:rPr>
          <w:rStyle w:val="FootnoteReference"/>
          <w:rFonts w:ascii="Times New Roman" w:hAnsi="Times New Roman"/>
          <w:noProof/>
          <w:sz w:val="24"/>
        </w:rPr>
        <w:footnoteReference w:id="3"/>
      </w:r>
      <w:r>
        <w:rPr>
          <w:rStyle w:val="Aucun"/>
          <w:rFonts w:ascii="Times New Roman" w:hAnsi="Times New Roman"/>
          <w:noProof/>
          <w:sz w:val="24"/>
        </w:rPr>
        <w:t>. Европейският план за действие в областта на отбраната и</w:t>
      </w:r>
      <w:r>
        <w:rPr>
          <w:rStyle w:val="Aucun"/>
          <w:rFonts w:ascii="Times New Roman" w:hAnsi="Times New Roman"/>
          <w:noProof/>
          <w:sz w:val="24"/>
        </w:rPr>
        <w:t xml:space="preserve"> по-специално Европейският фонд за отбрана са израз на поетия от Европа ангажимент да предприеме решителни действия за подкрепа на държавите членки. Осигуряването на по-добра военна мобилност в Европейския съюз е една от практическите стъпки за постигането</w:t>
      </w:r>
      <w:r>
        <w:rPr>
          <w:rStyle w:val="Aucun"/>
          <w:rFonts w:ascii="Times New Roman" w:hAnsi="Times New Roman"/>
          <w:noProof/>
          <w:sz w:val="24"/>
        </w:rPr>
        <w:t xml:space="preserve"> на тази цел и допринася за създаването на Съюз, който закриля и реално осигурява солидарност и взаимопомощ</w:t>
      </w:r>
      <w:r>
        <w:rPr>
          <w:rStyle w:val="FootnoteReference"/>
          <w:rFonts w:ascii="Times New Roman" w:hAnsi="Times New Roman"/>
          <w:noProof/>
          <w:sz w:val="24"/>
        </w:rPr>
        <w:footnoteReference w:id="4"/>
      </w:r>
      <w:r>
        <w:rPr>
          <w:rStyle w:val="Aucun"/>
          <w:rFonts w:ascii="Times New Roman" w:hAnsi="Times New Roman"/>
          <w:noProof/>
          <w:sz w:val="24"/>
        </w:rPr>
        <w:t xml:space="preserve">. </w:t>
      </w:r>
    </w:p>
    <w:p w:rsidR="00F17B36" w:rsidRDefault="009F5B54">
      <w:pPr>
        <w:spacing w:after="200" w:line="276" w:lineRule="auto"/>
        <w:jc w:val="both"/>
        <w:rPr>
          <w:rStyle w:val="Aucun"/>
          <w:noProof/>
        </w:rPr>
      </w:pPr>
      <w:r>
        <w:rPr>
          <w:noProof/>
          <w:color w:val="000000"/>
          <w:u w:color="000000"/>
        </w:rPr>
        <w:t>Двадесет и пет държави — членки на ЕС, решиха да включат военната мобилност сред поетите от тях по-обвързващи ангажименти в рамките на постояннот</w:t>
      </w:r>
      <w:r>
        <w:rPr>
          <w:noProof/>
          <w:color w:val="000000"/>
          <w:u w:color="000000"/>
        </w:rPr>
        <w:t>о структурирано сътрудничество, чието начало бе поставено на 11 декември 2017 г.</w:t>
      </w:r>
      <w:r>
        <w:rPr>
          <w:rStyle w:val="FootnoteReference"/>
          <w:noProof/>
          <w:color w:val="000000"/>
          <w:u w:color="000000"/>
        </w:rPr>
        <w:footnoteReference w:id="5"/>
      </w:r>
      <w:r>
        <w:rPr>
          <w:noProof/>
          <w:color w:val="000000"/>
          <w:u w:color="000000"/>
        </w:rPr>
        <w:t>. На 6 март 2018 г. Съветът също така прие Препоръка относно пътна карта за осъществяване на постоянното структурирано сътрудничество и Решение за установяване на списък на пр</w:t>
      </w:r>
      <w:r>
        <w:rPr>
          <w:noProof/>
          <w:color w:val="000000"/>
          <w:u w:color="000000"/>
        </w:rPr>
        <w:t>оекти, които да бъдат разработени в рамките на постоянното структурирано сътрудничество</w:t>
      </w:r>
      <w:r>
        <w:rPr>
          <w:rStyle w:val="FootnoteReference"/>
          <w:noProof/>
          <w:color w:val="000000"/>
          <w:u w:color="000000"/>
        </w:rPr>
        <w:footnoteReference w:id="6"/>
      </w:r>
      <w:r>
        <w:rPr>
          <w:noProof/>
          <w:color w:val="000000"/>
          <w:u w:color="000000"/>
        </w:rPr>
        <w:t>. През декември 2017 г. военната мобилност беше добавена към общия пакет нови предложения</w:t>
      </w:r>
      <w:r>
        <w:rPr>
          <w:noProof/>
          <w:color w:val="000000"/>
          <w:u w:color="000000"/>
          <w:vertAlign w:val="superscript"/>
        </w:rPr>
        <w:footnoteReference w:id="7"/>
      </w:r>
      <w:r>
        <w:rPr>
          <w:noProof/>
          <w:color w:val="000000"/>
          <w:u w:color="000000"/>
        </w:rPr>
        <w:t xml:space="preserve"> за прилагането на Съвместната декларация на ЕС и НАТО от юли 2016 г.</w:t>
      </w:r>
      <w:r>
        <w:rPr>
          <w:noProof/>
          <w:color w:val="000000"/>
          <w:u w:color="000000"/>
          <w:vertAlign w:val="superscript"/>
        </w:rPr>
        <w:footnoteReference w:id="8"/>
      </w:r>
      <w:r>
        <w:rPr>
          <w:noProof/>
          <w:color w:val="000000"/>
          <w:u w:color="000000"/>
        </w:rPr>
        <w:t>. През д</w:t>
      </w:r>
      <w:r>
        <w:rPr>
          <w:noProof/>
          <w:color w:val="000000"/>
          <w:u w:color="000000"/>
        </w:rPr>
        <w:t>екември 2017 г. Европейският съвет прикани върховния представител, Комисията и държавите членки да постигнат напредък в областта на военната мобилност както в рамките на постоянното структурирано сътрудничество, така и в рамките на сътрудничеството между Е</w:t>
      </w:r>
      <w:r>
        <w:rPr>
          <w:noProof/>
          <w:color w:val="000000"/>
          <w:u w:color="000000"/>
        </w:rPr>
        <w:t>С и НАТО</w:t>
      </w:r>
      <w:r>
        <w:rPr>
          <w:rStyle w:val="FootnoteReference"/>
          <w:noProof/>
          <w:color w:val="000000"/>
          <w:u w:color="000000"/>
        </w:rPr>
        <w:footnoteReference w:id="9"/>
      </w:r>
      <w:r>
        <w:rPr>
          <w:noProof/>
          <w:color w:val="000000"/>
          <w:u w:color="000000"/>
        </w:rPr>
        <w:t>.</w:t>
      </w:r>
    </w:p>
    <w:p w:rsidR="00F17B36" w:rsidRDefault="009F5B54">
      <w:pPr>
        <w:pStyle w:val="Briefingtext"/>
        <w:keepNext/>
        <w:spacing w:before="240" w:line="276" w:lineRule="auto"/>
        <w:rPr>
          <w:rStyle w:val="Aucun"/>
          <w:rFonts w:ascii="Times New Roman" w:hAnsi="Times New Roman" w:cs="Times New Roman"/>
          <w:b/>
          <w:noProof/>
          <w:sz w:val="24"/>
          <w:szCs w:val="24"/>
        </w:rPr>
      </w:pPr>
      <w:r>
        <w:rPr>
          <w:rStyle w:val="Aucun"/>
          <w:rFonts w:ascii="Times New Roman" w:hAnsi="Times New Roman"/>
          <w:b/>
          <w:noProof/>
          <w:sz w:val="24"/>
        </w:rPr>
        <w:lastRenderedPageBreak/>
        <w:t xml:space="preserve">Водещи принципи в подхода на ЕС </w:t>
      </w:r>
    </w:p>
    <w:p w:rsidR="00F17B36" w:rsidRDefault="009F5B54">
      <w:pPr>
        <w:pStyle w:val="Briefingtext"/>
        <w:spacing w:after="200" w:line="276" w:lineRule="auto"/>
        <w:rPr>
          <w:rStyle w:val="Aucun"/>
          <w:rFonts w:ascii="Times New Roman" w:hAnsi="Times New Roman" w:cs="Times New Roman"/>
          <w:noProof/>
          <w:sz w:val="24"/>
          <w:szCs w:val="24"/>
        </w:rPr>
      </w:pPr>
      <w:r>
        <w:rPr>
          <w:rStyle w:val="Aucun"/>
          <w:rFonts w:ascii="Times New Roman" w:hAnsi="Times New Roman"/>
          <w:noProof/>
          <w:sz w:val="24"/>
        </w:rPr>
        <w:t>Въз основа на Съвместното съобщение относно подобряването на военната мобилност в ЕС от ноември 2017 г.</w:t>
      </w:r>
      <w:r>
        <w:rPr>
          <w:rStyle w:val="FootnoteReference"/>
          <w:rFonts w:ascii="Times New Roman" w:hAnsi="Times New Roman"/>
          <w:noProof/>
          <w:sz w:val="24"/>
        </w:rPr>
        <w:footnoteReference w:id="10"/>
      </w:r>
      <w:r>
        <w:rPr>
          <w:rFonts w:ascii="Times New Roman" w:hAnsi="Times New Roman"/>
          <w:noProof/>
        </w:rPr>
        <w:t xml:space="preserve"> </w:t>
      </w:r>
      <w:r>
        <w:rPr>
          <w:rStyle w:val="Aucun"/>
          <w:rFonts w:ascii="Times New Roman" w:hAnsi="Times New Roman"/>
          <w:noProof/>
          <w:sz w:val="24"/>
        </w:rPr>
        <w:t>и пътната карта за военна мобилност, разработена от специалната работна група за трансгранично транспортно осигуряване на въоръжените сили към Европейската агенция по отбрана, целта на изложения тук план за действие е да осигури съгласувана рамка за текущи</w:t>
      </w:r>
      <w:r>
        <w:rPr>
          <w:rStyle w:val="Aucun"/>
          <w:rFonts w:ascii="Times New Roman" w:hAnsi="Times New Roman"/>
          <w:noProof/>
          <w:sz w:val="24"/>
        </w:rPr>
        <w:t xml:space="preserve"> и бъдещи програми, проекти, инициативи и дейности. Това ще даде възможност за по-съгласуван подход на ЕС и ще засили солидарността между държавите членки, което на свой ред ще повиши добавената стойност от участието в ЕС. </w:t>
      </w:r>
    </w:p>
    <w:p w:rsidR="00F17B36" w:rsidRDefault="009F5B54">
      <w:pPr>
        <w:pStyle w:val="Briefingtext"/>
        <w:spacing w:after="200" w:line="276" w:lineRule="auto"/>
        <w:rPr>
          <w:rStyle w:val="Aucun"/>
          <w:rFonts w:ascii="Times New Roman" w:hAnsi="Times New Roman" w:cs="Times New Roman"/>
          <w:noProof/>
          <w:sz w:val="24"/>
          <w:szCs w:val="24"/>
        </w:rPr>
      </w:pPr>
      <w:r>
        <w:rPr>
          <w:rStyle w:val="Aucun"/>
          <w:rFonts w:ascii="Times New Roman" w:hAnsi="Times New Roman"/>
          <w:noProof/>
          <w:sz w:val="24"/>
        </w:rPr>
        <w:t>По-добрата мобилност на въоръжен</w:t>
      </w:r>
      <w:r>
        <w:rPr>
          <w:rStyle w:val="Aucun"/>
          <w:rFonts w:ascii="Times New Roman" w:hAnsi="Times New Roman"/>
          <w:noProof/>
          <w:sz w:val="24"/>
        </w:rPr>
        <w:t>ите сили в ЕС и извън него ще укрепи сигурността в Европа, тъй като държавите от ЕС ще могат да реагират по-бързо в зависимост от своите потребности и отговорности в областта на отбраната — както при мисии и операции в рамките на общата политика за сигурно</w:t>
      </w:r>
      <w:r>
        <w:rPr>
          <w:rStyle w:val="Aucun"/>
          <w:rFonts w:ascii="Times New Roman" w:hAnsi="Times New Roman"/>
          <w:noProof/>
          <w:sz w:val="24"/>
        </w:rPr>
        <w:t xml:space="preserve">ст и отбрана, така и при национални и многонационални действия (например в рамките на НАТО). </w:t>
      </w:r>
    </w:p>
    <w:p w:rsidR="00F17B36" w:rsidRDefault="009F5B54">
      <w:pPr>
        <w:pStyle w:val="Briefingtext"/>
        <w:spacing w:after="200" w:line="276" w:lineRule="auto"/>
        <w:rPr>
          <w:rStyle w:val="Aucun"/>
          <w:rFonts w:ascii="Times New Roman" w:hAnsi="Times New Roman" w:cs="Times New Roman"/>
          <w:noProof/>
          <w:sz w:val="24"/>
          <w:szCs w:val="24"/>
        </w:rPr>
      </w:pPr>
      <w:r>
        <w:rPr>
          <w:rStyle w:val="Aucun"/>
          <w:rFonts w:ascii="Times New Roman" w:hAnsi="Times New Roman"/>
          <w:noProof/>
          <w:sz w:val="24"/>
        </w:rPr>
        <w:t>Тясното сътрудничество с държавите от ЕС и с всички съществени партньори в тях е ключов фактор за изпълнението на настоящия план за действие. То ще се осъществява</w:t>
      </w:r>
      <w:r>
        <w:rPr>
          <w:rStyle w:val="Aucun"/>
          <w:rFonts w:ascii="Times New Roman" w:hAnsi="Times New Roman"/>
          <w:noProof/>
          <w:sz w:val="24"/>
        </w:rPr>
        <w:t xml:space="preserve"> при пълно зачитане на суверенитета на държавите — членки на ЕС, по отношение на тяхната национална територия и националния ред за вземане на решения относно придвижването на военни части. Съответно действията за задълбочаване на сътрудничеството между инс</w:t>
      </w:r>
      <w:r>
        <w:rPr>
          <w:rStyle w:val="Aucun"/>
          <w:rFonts w:ascii="Times New Roman" w:hAnsi="Times New Roman"/>
          <w:noProof/>
          <w:sz w:val="24"/>
        </w:rPr>
        <w:t>титуциите, агенциите и органите на Съюза и компетентните национални органи в държавите — членки на ЕС, ще бъдат изцяло съобразени с различната сфера на компетентност на всички участници. За взаимно допълване на резултатите дейностите по настоящия план за д</w:t>
      </w:r>
      <w:r>
        <w:rPr>
          <w:rStyle w:val="Aucun"/>
          <w:rFonts w:ascii="Times New Roman" w:hAnsi="Times New Roman"/>
          <w:noProof/>
          <w:sz w:val="24"/>
        </w:rPr>
        <w:t>ействие трябва да бъдат тясно съгласувани с проекта за военна мобилност в рамките на постоянното структурирано сътрудничество.</w:t>
      </w:r>
    </w:p>
    <w:p w:rsidR="00F17B36" w:rsidRDefault="009F5B54">
      <w:pPr>
        <w:pStyle w:val="Briefingtext"/>
        <w:spacing w:after="200" w:line="276" w:lineRule="auto"/>
        <w:rPr>
          <w:rStyle w:val="Aucun"/>
          <w:rFonts w:ascii="Times New Roman" w:hAnsi="Times New Roman" w:cs="Times New Roman"/>
          <w:noProof/>
          <w:sz w:val="24"/>
          <w:szCs w:val="24"/>
        </w:rPr>
      </w:pPr>
      <w:r>
        <w:rPr>
          <w:rStyle w:val="Aucun"/>
          <w:rFonts w:ascii="Times New Roman" w:hAnsi="Times New Roman"/>
          <w:noProof/>
          <w:sz w:val="24"/>
        </w:rPr>
        <w:t>Също толкова важно е по-нататъшното сътрудничество с НАТО в областта на военната мобилност като част от изпълнението на съвместната декларация. В съответствие със заключенията на Съвета от декември 2017 г. сътрудничеството и консултациите с НАТО се осъщест</w:t>
      </w:r>
      <w:r>
        <w:rPr>
          <w:rStyle w:val="Aucun"/>
          <w:rFonts w:ascii="Times New Roman" w:hAnsi="Times New Roman"/>
          <w:noProof/>
          <w:sz w:val="24"/>
        </w:rPr>
        <w:t>вяват на равнище служители чрез редовни заседания по въпросите на военната мобилност във всички области (по суша, вода и въздух). Стремежът е да се осигурят съгласуван подход и полезни взаимодействия между ЕС и НАТО за ефикасно преодоляване на съществуващи</w:t>
      </w:r>
      <w:r>
        <w:rPr>
          <w:rStyle w:val="Aucun"/>
          <w:rFonts w:ascii="Times New Roman" w:hAnsi="Times New Roman"/>
          <w:noProof/>
          <w:sz w:val="24"/>
        </w:rPr>
        <w:t>те пречки — в т.ч. от правен, инфраструктурен и процедурен характер, така че да се улеснят и ускорят придвижването и трансграничното преминаване на личен състав и материални средства за военни цели при пълно зачитане на суверенните решения на национално ра</w:t>
      </w:r>
      <w:r>
        <w:rPr>
          <w:rStyle w:val="Aucun"/>
          <w:rFonts w:ascii="Times New Roman" w:hAnsi="Times New Roman"/>
          <w:noProof/>
          <w:sz w:val="24"/>
        </w:rPr>
        <w:t>внище. Сътрудничеството ще се задълбочава при пълна откритост и прозрачност, пълно зачитане на самостоятелното вземане на решения и на процедурите на двете организации, приобщаване и реципрочност, без да се засяга специфичният характер на политиката за сиг</w:t>
      </w:r>
      <w:r>
        <w:rPr>
          <w:rStyle w:val="Aucun"/>
          <w:rFonts w:ascii="Times New Roman" w:hAnsi="Times New Roman"/>
          <w:noProof/>
          <w:sz w:val="24"/>
        </w:rPr>
        <w:t xml:space="preserve">урност и отбрана на която и да е държава — членка на ЕС. Чрез обмен с всички заинтересовани страни ще се търсят оптимална координация и ефективност, за да се оползотворят всички възможности за полезно взаимодействие. </w:t>
      </w:r>
    </w:p>
    <w:p w:rsidR="00F17B36" w:rsidRDefault="009F5B54">
      <w:pPr>
        <w:pStyle w:val="Briefingtext"/>
        <w:keepNext/>
        <w:spacing w:before="240" w:line="276" w:lineRule="auto"/>
        <w:rPr>
          <w:rStyle w:val="Aucun"/>
          <w:rFonts w:ascii="Times New Roman" w:hAnsi="Times New Roman" w:cs="Times New Roman"/>
          <w:b/>
          <w:noProof/>
          <w:sz w:val="24"/>
          <w:szCs w:val="24"/>
        </w:rPr>
      </w:pPr>
      <w:r>
        <w:rPr>
          <w:rStyle w:val="Aucun"/>
          <w:rFonts w:ascii="Times New Roman" w:hAnsi="Times New Roman"/>
          <w:b/>
          <w:noProof/>
          <w:sz w:val="24"/>
        </w:rPr>
        <w:t>Резултати от работата на специалната р</w:t>
      </w:r>
      <w:r>
        <w:rPr>
          <w:rStyle w:val="Aucun"/>
          <w:rFonts w:ascii="Times New Roman" w:hAnsi="Times New Roman"/>
          <w:b/>
          <w:noProof/>
          <w:sz w:val="24"/>
        </w:rPr>
        <w:t>аботна група за трансгранично транспортно осигуряване на въоръжените сили</w:t>
      </w:r>
    </w:p>
    <w:p w:rsidR="00F17B36" w:rsidRDefault="009F5B54">
      <w:pPr>
        <w:spacing w:before="120" w:after="120" w:line="276" w:lineRule="auto"/>
        <w:jc w:val="both"/>
        <w:rPr>
          <w:rStyle w:val="Hyperlink"/>
          <w:rFonts w:eastAsia="Arial"/>
          <w:noProof/>
        </w:rPr>
      </w:pPr>
      <w:r>
        <w:rPr>
          <w:rStyle w:val="Aucun"/>
          <w:noProof/>
        </w:rPr>
        <w:t>Настоящият план за действие е изготвен въз основа на пътната карта за военна мобилност, разработена от специалната работна група, създадена към Европейската агенция по отбрана с реше</w:t>
      </w:r>
      <w:r>
        <w:rPr>
          <w:rStyle w:val="Aucun"/>
          <w:noProof/>
        </w:rPr>
        <w:t>ние на управителния съвет от септември 2017 г. В изготвената от специалната работна група пътна карта се посочват задачите, отговорностите и амбициозни срокове за постигане на по-добра военна мобилност в следните четири аспекта — правни аспекти; митници; в</w:t>
      </w:r>
      <w:r>
        <w:rPr>
          <w:rStyle w:val="Aucun"/>
          <w:noProof/>
        </w:rPr>
        <w:t>оенни изисквания, в т.ч. военни стандарти по отношение на инфраструктурата; разрешения за трансгранично придвижване, в т.ч. дипломатически разрешения. На 9 февруари 2018 г. управителният съвет на Европейската агенция по отбрана приветства представената път</w:t>
      </w:r>
      <w:r>
        <w:rPr>
          <w:rStyle w:val="Aucun"/>
          <w:noProof/>
        </w:rPr>
        <w:t>на карта и възложи на агенцията да продължи работата за подобряване на военната мобилност, включително като част от изпълнението на настоящия план за действие, като представя ежегоден доклад за напредъка.</w:t>
      </w:r>
      <w:r>
        <w:rPr>
          <w:rStyle w:val="Hyperlink"/>
          <w:noProof/>
        </w:rPr>
        <w:t xml:space="preserve"> </w:t>
      </w:r>
    </w:p>
    <w:p w:rsidR="00F17B36" w:rsidRDefault="009F5B54">
      <w:pPr>
        <w:spacing w:before="120" w:after="120" w:line="276" w:lineRule="auto"/>
        <w:jc w:val="both"/>
        <w:rPr>
          <w:noProof/>
        </w:rPr>
      </w:pPr>
      <w:r>
        <w:rPr>
          <w:rStyle w:val="Aucun"/>
          <w:noProof/>
        </w:rPr>
        <w:t>Държавите от ЕС участват също така в редица проект</w:t>
      </w:r>
      <w:r>
        <w:rPr>
          <w:rStyle w:val="Aucun"/>
          <w:noProof/>
        </w:rPr>
        <w:t>и и инициативи за сътрудничество, подпомагани от Европейската агенция по отбрана —</w:t>
      </w:r>
      <w:r>
        <w:rPr>
          <w:noProof/>
        </w:rPr>
        <w:t xml:space="preserve"> проектния екип „Движение и транспорт“</w:t>
      </w:r>
      <w:r>
        <w:rPr>
          <w:rStyle w:val="FootnoteReference"/>
          <w:noProof/>
        </w:rPr>
        <w:footnoteReference w:id="11"/>
      </w:r>
      <w:r>
        <w:rPr>
          <w:noProof/>
        </w:rPr>
        <w:t>, Центъра на ЕС за мултимодален транспорт</w:t>
      </w:r>
      <w:r>
        <w:rPr>
          <w:rStyle w:val="FootnoteReference"/>
          <w:noProof/>
        </w:rPr>
        <w:footnoteReference w:id="12"/>
      </w:r>
      <w:r>
        <w:rPr>
          <w:noProof/>
        </w:rPr>
        <w:t xml:space="preserve"> и техническата договореност за предоставяне на дипломатически разрешения</w:t>
      </w:r>
      <w:r>
        <w:rPr>
          <w:rStyle w:val="FootnoteReference"/>
          <w:noProof/>
        </w:rPr>
        <w:footnoteReference w:id="13"/>
      </w:r>
      <w:r>
        <w:rPr>
          <w:noProof/>
        </w:rPr>
        <w:t xml:space="preserve">. </w:t>
      </w:r>
    </w:p>
    <w:p w:rsidR="00F17B36" w:rsidRDefault="00F17B36">
      <w:pPr>
        <w:pStyle w:val="Briefingtext"/>
        <w:spacing w:after="200" w:line="276" w:lineRule="auto"/>
        <w:rPr>
          <w:rStyle w:val="Aucun"/>
          <w:rFonts w:ascii="Times New Roman" w:hAnsi="Times New Roman" w:cs="Times New Roman"/>
          <w:noProof/>
          <w:sz w:val="2"/>
          <w:szCs w:val="2"/>
        </w:rPr>
      </w:pPr>
    </w:p>
    <w:p w:rsidR="00F17B36" w:rsidRDefault="009F5B54">
      <w:pPr>
        <w:pStyle w:val="En-tte0"/>
        <w:spacing w:before="240" w:after="240"/>
        <w:ind w:left="0" w:firstLine="0"/>
        <w:rPr>
          <w:noProof/>
          <w:sz w:val="26"/>
          <w:szCs w:val="26"/>
        </w:rPr>
      </w:pPr>
      <w:r>
        <w:rPr>
          <w:noProof/>
          <w:sz w:val="26"/>
        </w:rPr>
        <w:t>2.</w:t>
      </w:r>
      <w:r>
        <w:rPr>
          <w:noProof/>
        </w:rPr>
        <w:tab/>
      </w:r>
      <w:r>
        <w:rPr>
          <w:noProof/>
          <w:sz w:val="26"/>
        </w:rPr>
        <w:t xml:space="preserve">Набелязани действия </w:t>
      </w:r>
    </w:p>
    <w:p w:rsidR="00F17B36" w:rsidRDefault="009F5B54">
      <w:pPr>
        <w:pStyle w:val="Sous-section2"/>
        <w:numPr>
          <w:ilvl w:val="0"/>
          <w:numId w:val="0"/>
        </w:numPr>
        <w:spacing w:before="240" w:after="240"/>
        <w:ind w:left="709"/>
        <w:rPr>
          <w:noProof/>
        </w:rPr>
      </w:pPr>
      <w:r>
        <w:rPr>
          <w:noProof/>
        </w:rPr>
        <w:t>2.1</w:t>
      </w:r>
      <w:r>
        <w:rPr>
          <w:noProof/>
        </w:rPr>
        <w:tab/>
        <w:t xml:space="preserve">Военни изисквания </w:t>
      </w:r>
    </w:p>
    <w:p w:rsidR="00F17B36" w:rsidRDefault="009F5B54">
      <w:pPr>
        <w:pStyle w:val="Text2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Установяването и постигането на съгласие по военните изисквания, отразяващи потребностите на ЕС и на държавите членки, е отправна точка за постигането на ефикасен подход в целия ЕС, който обхваща всички останали </w:t>
      </w:r>
      <w:r>
        <w:rPr>
          <w:rFonts w:ascii="Times New Roman" w:hAnsi="Times New Roman"/>
          <w:noProof/>
          <w:sz w:val="24"/>
        </w:rPr>
        <w:t>действия, описани в разделите по-долу. Като част от изискванията следва да се определи и необходимата инфраструктура за военна мобилност. За целта е необходимо държавите от ЕС да прилагат подход с участието на цялата администрация и на компетентните национ</w:t>
      </w:r>
      <w:r>
        <w:rPr>
          <w:rFonts w:ascii="Times New Roman" w:hAnsi="Times New Roman"/>
          <w:noProof/>
          <w:sz w:val="24"/>
        </w:rPr>
        <w:t>ални органи освен министерствата на отбраната.</w:t>
      </w:r>
    </w:p>
    <w:p w:rsidR="00F17B36" w:rsidRDefault="009F5B54">
      <w:pPr>
        <w:keepNext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before="60" w:after="60" w:line="276" w:lineRule="auto"/>
        <w:jc w:val="both"/>
        <w:rPr>
          <w:rFonts w:eastAsia="Calibri"/>
          <w:b/>
          <w:bCs/>
          <w:noProof/>
          <w:color w:val="000000"/>
          <w:u w:color="000000"/>
        </w:rPr>
      </w:pPr>
      <w:r>
        <w:rPr>
          <w:b/>
          <w:noProof/>
          <w:color w:val="000000"/>
          <w:u w:color="000000"/>
        </w:rPr>
        <w:t xml:space="preserve">Основни действия на равнището на ЕС: </w:t>
      </w:r>
    </w:p>
    <w:p w:rsidR="00F17B36" w:rsidRDefault="009F5B54">
      <w:pPr>
        <w:pStyle w:val="Text1"/>
        <w:numPr>
          <w:ilvl w:val="0"/>
          <w:numId w:val="6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before="60" w:after="6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Европейската служба за външна дейност/Военният секретариат на ЕС ще изготвят военните изисквания в тясно сътрудничество с държавите — членки на ЕС, с Комисията и </w:t>
      </w:r>
      <w:r>
        <w:rPr>
          <w:rFonts w:ascii="Times New Roman" w:hAnsi="Times New Roman"/>
          <w:noProof/>
          <w:sz w:val="24"/>
        </w:rPr>
        <w:t>съответните агенции и органи на Съюза (в т.ч. Европейската агенция по отбрана), както и — ако е целесъобразно — след консултации с НАТО.</w:t>
      </w:r>
    </w:p>
    <w:p w:rsidR="00F17B36" w:rsidRDefault="009F5B54">
      <w:pPr>
        <w:pStyle w:val="Text1"/>
        <w:keepLines/>
        <w:numPr>
          <w:ilvl w:val="0"/>
          <w:numId w:val="6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before="60" w:after="6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Съветът се приканва да разгледа и утвърди военните изисквания до средата на 2018 г. с участието на съответните подготви</w:t>
      </w:r>
      <w:r>
        <w:rPr>
          <w:rFonts w:ascii="Times New Roman" w:hAnsi="Times New Roman"/>
          <w:noProof/>
          <w:sz w:val="24"/>
        </w:rPr>
        <w:t xml:space="preserve">телни органи, в т.ч. Военния комитет на ЕС. </w:t>
      </w:r>
    </w:p>
    <w:p w:rsidR="00F17B36" w:rsidRDefault="009F5B54">
      <w:pPr>
        <w:pStyle w:val="Sous-section2"/>
        <w:numPr>
          <w:ilvl w:val="0"/>
          <w:numId w:val="0"/>
        </w:numPr>
        <w:spacing w:before="240" w:after="240"/>
        <w:ind w:left="709"/>
        <w:rPr>
          <w:noProof/>
        </w:rPr>
      </w:pPr>
      <w:r>
        <w:rPr>
          <w:noProof/>
        </w:rPr>
        <w:t xml:space="preserve">2.2 </w:t>
      </w:r>
      <w:r>
        <w:rPr>
          <w:noProof/>
        </w:rPr>
        <w:tab/>
        <w:t>Транспортна инфраструктура</w:t>
      </w:r>
    </w:p>
    <w:p w:rsidR="00F17B36" w:rsidRDefault="009F5B54">
      <w:pPr>
        <w:spacing w:after="200" w:line="276" w:lineRule="auto"/>
        <w:jc w:val="both"/>
        <w:rPr>
          <w:rStyle w:val="Aucun"/>
          <w:noProof/>
        </w:rPr>
      </w:pPr>
      <w:r>
        <w:rPr>
          <w:rStyle w:val="Aucun"/>
          <w:noProof/>
        </w:rPr>
        <w:t xml:space="preserve">Политиката относно транспортната инфраструктура предлага безспорна възможност за по-голямо взаимодействие между потребностите в областта на отбраната и съществуващите политики на </w:t>
      </w:r>
      <w:r>
        <w:rPr>
          <w:rStyle w:val="Aucun"/>
          <w:noProof/>
        </w:rPr>
        <w:t>Съюза, по-специално трансевропейската транспортна мрежа (TEN-T)</w:t>
      </w:r>
      <w:r>
        <w:rPr>
          <w:rStyle w:val="FootnoteReference"/>
          <w:noProof/>
        </w:rPr>
        <w:footnoteReference w:id="14"/>
      </w:r>
      <w:r>
        <w:rPr>
          <w:rStyle w:val="Aucun"/>
          <w:noProof/>
        </w:rPr>
        <w:t>. В тази област</w:t>
      </w:r>
      <w:r>
        <w:rPr>
          <w:noProof/>
        </w:rPr>
        <w:t xml:space="preserve"> </w:t>
      </w:r>
      <w:r>
        <w:rPr>
          <w:rStyle w:val="Aucun"/>
          <w:noProof/>
        </w:rPr>
        <w:t>може да се демонстрира добавената стойност на ЕС</w:t>
      </w:r>
      <w:r>
        <w:rPr>
          <w:noProof/>
        </w:rPr>
        <w:t xml:space="preserve"> </w:t>
      </w:r>
      <w:r>
        <w:rPr>
          <w:rStyle w:val="Aucun"/>
          <w:noProof/>
        </w:rPr>
        <w:t>и да се обезпечи по-ефективно използване на публичните средства.</w:t>
      </w:r>
    </w:p>
    <w:p w:rsidR="00F17B36" w:rsidRDefault="009F5B54">
      <w:pPr>
        <w:pStyle w:val="Briefingtext"/>
        <w:keepNext/>
        <w:spacing w:before="240"/>
        <w:rPr>
          <w:rStyle w:val="Aucun"/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Style w:val="Aucun"/>
          <w:rFonts w:ascii="Times New Roman" w:hAnsi="Times New Roman"/>
          <w:b/>
          <w:noProof/>
          <w:sz w:val="24"/>
        </w:rPr>
        <w:t>Пилотен преглед</w:t>
      </w:r>
    </w:p>
    <w:p w:rsidR="00F17B36" w:rsidRDefault="009F5B54">
      <w:pPr>
        <w:spacing w:after="200" w:line="276" w:lineRule="auto"/>
        <w:jc w:val="both"/>
        <w:rPr>
          <w:rStyle w:val="Aucun"/>
          <w:noProof/>
        </w:rPr>
      </w:pPr>
      <w:r>
        <w:rPr>
          <w:rStyle w:val="Aucun"/>
          <w:noProof/>
        </w:rPr>
        <w:t>Като проверка на осъществимостта за общоевропе</w:t>
      </w:r>
      <w:r>
        <w:rPr>
          <w:rStyle w:val="Aucun"/>
          <w:noProof/>
        </w:rPr>
        <w:t>йски подход през 2017 г. Естонското председателство започна пилотен анализ за държавите от Северноморско-Балтийския коридор на трансевропейската транспортна мрежа</w:t>
      </w:r>
      <w:r>
        <w:rPr>
          <w:rStyle w:val="FootnoteReference"/>
          <w:noProof/>
        </w:rPr>
        <w:footnoteReference w:id="15"/>
      </w:r>
      <w:r>
        <w:rPr>
          <w:rStyle w:val="Aucun"/>
          <w:noProof/>
        </w:rPr>
        <w:t xml:space="preserve"> с участието на техните представители в областта на отбраната и транспорта. Целта на анализа </w:t>
      </w:r>
      <w:r>
        <w:rPr>
          <w:rStyle w:val="Aucun"/>
          <w:noProof/>
        </w:rPr>
        <w:t>е да се предприемат описаните по-долу стъпки, за да се установят предварителните елементи, които могат да бъдат полезни за извършването на цялостен анализ.</w:t>
      </w:r>
    </w:p>
    <w:p w:rsidR="00F17B36" w:rsidRDefault="009F5B54">
      <w:pPr>
        <w:spacing w:after="200" w:line="276" w:lineRule="auto"/>
        <w:jc w:val="both"/>
        <w:rPr>
          <w:rStyle w:val="Aucun"/>
          <w:noProof/>
        </w:rPr>
      </w:pPr>
      <w:r>
        <w:rPr>
          <w:rStyle w:val="Aucun"/>
          <w:noProof/>
        </w:rPr>
        <w:t>Пилотният преглед доказа полезността си. Участващите държави членки вече набелязаха слаби звена в тр</w:t>
      </w:r>
      <w:r>
        <w:rPr>
          <w:rStyle w:val="Aucun"/>
          <w:noProof/>
        </w:rPr>
        <w:t>анспортната си мрежа от гледна точка на използването ѝ за военни цели — като съответните участъци трябва да бъдат модернизирани — и съставиха списък с приоритети.</w:t>
      </w:r>
    </w:p>
    <w:p w:rsidR="00F17B36" w:rsidRDefault="009F5B54">
      <w:pPr>
        <w:spacing w:after="200" w:line="276" w:lineRule="auto"/>
        <w:jc w:val="both"/>
        <w:rPr>
          <w:rStyle w:val="Aucun"/>
          <w:noProof/>
        </w:rPr>
      </w:pPr>
      <w:r>
        <w:rPr>
          <w:rStyle w:val="Aucun"/>
          <w:noProof/>
        </w:rPr>
        <w:t>Два конкретни примера — анализът показа, че в пътната мрежа на няколко държави от ЕС максимал</w:t>
      </w:r>
      <w:r>
        <w:rPr>
          <w:rStyle w:val="Aucun"/>
          <w:noProof/>
        </w:rPr>
        <w:t>ният вертикален габарит на пътни мостове, както и носимоспособността на някои мостове не са достатъчни за извънгабаритни или тежки военни превозни средства; в някои случаи при железопътния транспорт също няма достатъчна товароносимост за превоз на извънгаб</w:t>
      </w:r>
      <w:r>
        <w:rPr>
          <w:rStyle w:val="Aucun"/>
          <w:noProof/>
        </w:rPr>
        <w:t xml:space="preserve">аритна военна техника. </w:t>
      </w:r>
    </w:p>
    <w:p w:rsidR="00F17B36" w:rsidRDefault="009F5B54">
      <w:pPr>
        <w:spacing w:after="200" w:line="276" w:lineRule="auto"/>
        <w:jc w:val="both"/>
        <w:rPr>
          <w:rStyle w:val="Aucun"/>
          <w:noProof/>
        </w:rPr>
      </w:pPr>
      <w:r>
        <w:rPr>
          <w:rStyle w:val="Aucun"/>
          <w:noProof/>
        </w:rPr>
        <w:t>Пилотният преглед разкри големи възможности за използване на инфраструктура с двойно предназначение за граждански и военни цели, в т.ч. мултимодални платформи, позволяващи бързо прехвърляне на активи от пристанища и летища към желез</w:t>
      </w:r>
      <w:r>
        <w:rPr>
          <w:rStyle w:val="Aucun"/>
          <w:noProof/>
        </w:rPr>
        <w:t>опътни и шосейни мрежи; подобряване на капацитета на вътрешните терминали; и осигуряване на подходящи товарни габарити по товарните железопътни линии. Всичко това следва да бъде прецизирано с помощта на заложените в настоящия план действия, но пилотният пр</w:t>
      </w:r>
      <w:r>
        <w:rPr>
          <w:rStyle w:val="Aucun"/>
          <w:noProof/>
        </w:rPr>
        <w:t>еглед потвърди, че описаната в карето по-долу методология дава резултат.</w:t>
      </w:r>
    </w:p>
    <w:p w:rsidR="00F17B36" w:rsidRDefault="009F5B54">
      <w:pPr>
        <w:keepNext/>
        <w:spacing w:before="240" w:after="240" w:line="276" w:lineRule="auto"/>
        <w:jc w:val="both"/>
        <w:rPr>
          <w:rFonts w:eastAsia="Times New Roman"/>
          <w:b/>
          <w:noProof/>
        </w:rPr>
      </w:pPr>
      <w:r>
        <w:rPr>
          <w:b/>
          <w:noProof/>
        </w:rPr>
        <w:t>Използване на транспортната инфраструктура на ЕС с двойно предназначение за граждански и военни цели</w:t>
      </w:r>
    </w:p>
    <w:p w:rsidR="00F17B36" w:rsidRDefault="009F5B54">
      <w:pPr>
        <w:spacing w:after="200" w:line="276" w:lineRule="auto"/>
        <w:jc w:val="both"/>
        <w:rPr>
          <w:rStyle w:val="Aucun"/>
          <w:noProof/>
        </w:rPr>
      </w:pPr>
      <w:r>
        <w:rPr>
          <w:rStyle w:val="Aucun"/>
          <w:noProof/>
        </w:rPr>
        <w:t xml:space="preserve">Както се посочва в пътната карта, изготвена от специалната работна група, </w:t>
      </w:r>
      <w:r>
        <w:rPr>
          <w:rStyle w:val="Aucun"/>
          <w:noProof/>
        </w:rPr>
        <w:t>стремежът е пилотният преглед да се разшири и задълбочи, за да се направи оценка до каква степен съществуващата транспортна инфраструктура, изведена като приоритет за всички видове транспорт в Регламента относно трансевропейската транспортна мрежа, и свърз</w:t>
      </w:r>
      <w:r>
        <w:rPr>
          <w:rStyle w:val="Aucun"/>
          <w:noProof/>
        </w:rPr>
        <w:t>аните с нея технически изисквания са подходящи и достатъчни за придвижване на личен състав и активи за военни цели, както и — в случаите, когато отговорът на този въпрос е незадоволителен — да се проучат и разработят допълнителни инфраструктурни участъци и</w:t>
      </w:r>
      <w:r>
        <w:rPr>
          <w:rStyle w:val="Aucun"/>
          <w:noProof/>
        </w:rPr>
        <w:t xml:space="preserve"> елементи, а съответните изисквания да се актуализират.</w:t>
      </w:r>
    </w:p>
    <w:p w:rsidR="00F17B36" w:rsidRDefault="009F5B54">
      <w:pPr>
        <w:pStyle w:val="Text1"/>
        <w:keepNext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before="60" w:after="60"/>
        <w:ind w:left="0"/>
        <w:jc w:val="both"/>
        <w:rPr>
          <w:rStyle w:val="Aucun"/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>
        <w:rPr>
          <w:rStyle w:val="Aucun"/>
          <w:rFonts w:ascii="Times New Roman" w:hAnsi="Times New Roman"/>
          <w:b/>
          <w:noProof/>
          <w:sz w:val="24"/>
        </w:rPr>
        <w:t>Основни действия на равнището на ЕС:</w:t>
      </w:r>
    </w:p>
    <w:p w:rsidR="00F17B36" w:rsidRDefault="009F5B54">
      <w:pPr>
        <w:pStyle w:val="Text1"/>
        <w:keepLines/>
        <w:numPr>
          <w:ilvl w:val="0"/>
          <w:numId w:val="6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before="60" w:after="6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До края на 2018 г. в сътрудничество с държавите — членки на ЕС, Европейската служба за външна дейност/Военния секретариат на ЕС и Европейската агенция по отбрана </w:t>
      </w:r>
      <w:r>
        <w:rPr>
          <w:rFonts w:ascii="Times New Roman" w:hAnsi="Times New Roman"/>
          <w:noProof/>
          <w:sz w:val="24"/>
        </w:rPr>
        <w:t>Комисията ще установи разминаванията между приложимите понастоящем технически изисквания за трансевропейската транспортна мрежа, от една страна, и целесъобразните изисквания за транспортно осигуряване за военни цели. Ще бъдат набелязани и пропуските от гле</w:t>
      </w:r>
      <w:r>
        <w:rPr>
          <w:rFonts w:ascii="Times New Roman" w:hAnsi="Times New Roman"/>
          <w:noProof/>
          <w:sz w:val="24"/>
        </w:rPr>
        <w:t>дна точка на географския обхват.</w:t>
      </w:r>
    </w:p>
    <w:p w:rsidR="00F17B36" w:rsidRDefault="009F5B54">
      <w:pPr>
        <w:pStyle w:val="Text1"/>
        <w:keepLines/>
        <w:numPr>
          <w:ilvl w:val="0"/>
          <w:numId w:val="6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before="60" w:after="6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До 2019 г. службите на Комисията ще набележат частите от трансевропейската транспортна мрежа, които са подходящи за военен транспорт, както и необходимите за целта подобрения на съществуващата инфраструктура. Ще бъдат набел</w:t>
      </w:r>
      <w:r>
        <w:rPr>
          <w:rFonts w:ascii="Times New Roman" w:hAnsi="Times New Roman"/>
          <w:noProof/>
          <w:sz w:val="24"/>
        </w:rPr>
        <w:t>язани конкретни проекти с двойно предназначение и съответните разходи ще бъдат количествено определени. Въз основа на направените констатации ще бъде съставен списък с приоритетни проекти. Ще бъде изготвен и разчет за общия размер на инвестициите за военни</w:t>
      </w:r>
      <w:r>
        <w:rPr>
          <w:rFonts w:ascii="Times New Roman" w:hAnsi="Times New Roman"/>
          <w:noProof/>
          <w:sz w:val="24"/>
        </w:rPr>
        <w:t xml:space="preserve"> нужди в рамките на трансевропейската транспортна мрежа.</w:t>
      </w:r>
    </w:p>
    <w:p w:rsidR="00F17B36" w:rsidRDefault="009F5B54">
      <w:pPr>
        <w:pStyle w:val="Text1"/>
        <w:keepLines/>
        <w:numPr>
          <w:ilvl w:val="0"/>
          <w:numId w:val="6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before="60" w:after="6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До 2020 г. Комисията ще направи оценка</w:t>
      </w:r>
      <w:r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  <w:sz w:val="24"/>
        </w:rPr>
        <w:t>на необходимостта Регламентът относно трансевропейската транспортна мрежа да се адаптира с цел да бъдат включени актуализираните технически изисквания, евентуал</w:t>
      </w:r>
      <w:r>
        <w:rPr>
          <w:rFonts w:ascii="Times New Roman" w:hAnsi="Times New Roman"/>
          <w:noProof/>
          <w:sz w:val="24"/>
        </w:rPr>
        <w:t>но като бъдат застъпени и военни изисквания.</w:t>
      </w:r>
    </w:p>
    <w:p w:rsidR="00F17B36" w:rsidRDefault="009F5B54">
      <w:pPr>
        <w:pStyle w:val="Text1"/>
        <w:keepLines/>
        <w:numPr>
          <w:ilvl w:val="0"/>
          <w:numId w:val="6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before="60" w:after="6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До края на 2019 г. в сътрудничество със съответните заинтересовани страни Комисията ще определи доколко е осъществимо военните и гражданските бази данни в системата TENtec да бъдат свързани, и евентуалния обхват</w:t>
      </w:r>
      <w:r>
        <w:rPr>
          <w:rFonts w:ascii="Times New Roman" w:hAnsi="Times New Roman"/>
          <w:noProof/>
          <w:sz w:val="24"/>
        </w:rPr>
        <w:t xml:space="preserve"> на такива действия. Въз основа на това Комисията ще определи необходимите за целта допълнителни адаптации на функционалните възможности на системата TENtec и ще установи процедура за постоянна актуализация на базите данни.</w:t>
      </w:r>
    </w:p>
    <w:p w:rsidR="00F17B36" w:rsidRDefault="009F5B54">
      <w:pPr>
        <w:pStyle w:val="Text1"/>
        <w:keepLines/>
        <w:numPr>
          <w:ilvl w:val="0"/>
          <w:numId w:val="6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before="60" w:after="60"/>
        <w:jc w:val="both"/>
        <w:rPr>
          <w:rStyle w:val="Aucun"/>
          <w:rFonts w:ascii="Times New Roman" w:eastAsia="Times New Roman" w:hAnsi="Times New Roman" w:cs="Times New Roman"/>
          <w:noProof/>
          <w:sz w:val="2"/>
          <w:szCs w:val="2"/>
        </w:rPr>
      </w:pPr>
      <w:r>
        <w:rPr>
          <w:rFonts w:ascii="Times New Roman" w:hAnsi="Times New Roman"/>
          <w:noProof/>
          <w:sz w:val="24"/>
        </w:rPr>
        <w:t>Текущо: Комисията ще продължи да</w:t>
      </w:r>
      <w:r>
        <w:rPr>
          <w:rFonts w:ascii="Times New Roman" w:hAnsi="Times New Roman"/>
          <w:noProof/>
          <w:sz w:val="24"/>
        </w:rPr>
        <w:t xml:space="preserve"> търси и развива полезни взаимодействия между трансевропейската транспортна мрежа и космическите си програми (като Европейската геостационарна служба за навигационно покритие EGNOS и „Галилео“).</w:t>
      </w:r>
    </w:p>
    <w:p w:rsidR="00F17B36" w:rsidRDefault="009F5B54">
      <w:pPr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spacing w:before="60" w:after="60" w:line="276" w:lineRule="auto"/>
        <w:jc w:val="both"/>
        <w:rPr>
          <w:rStyle w:val="Aucun"/>
          <w:rFonts w:eastAsia="Times New Roman"/>
          <w:b/>
          <w:bCs/>
          <w:noProof/>
        </w:rPr>
      </w:pPr>
      <w:r>
        <w:rPr>
          <w:rStyle w:val="Aucun"/>
          <w:b/>
          <w:noProof/>
        </w:rPr>
        <w:t>Държавите от ЕС се приканват:</w:t>
      </w:r>
    </w:p>
    <w:p w:rsidR="00F17B36" w:rsidRDefault="009F5B54">
      <w:pPr>
        <w:pStyle w:val="ListParagraph"/>
        <w:keepLines/>
        <w:numPr>
          <w:ilvl w:val="0"/>
          <w:numId w:val="1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spacing w:before="60" w:after="60"/>
        <w:ind w:left="36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да определят възможно най-бързо</w:t>
      </w:r>
      <w:r>
        <w:rPr>
          <w:rFonts w:ascii="Times New Roman" w:hAnsi="Times New Roman"/>
          <w:noProof/>
          <w:sz w:val="24"/>
        </w:rPr>
        <w:t xml:space="preserve"> единно звено за контакт за информация относно достъпа до транспортна инфраструктура за военни цели;</w:t>
      </w:r>
    </w:p>
    <w:p w:rsidR="00F17B36" w:rsidRDefault="009F5B54">
      <w:pPr>
        <w:pStyle w:val="ListParagraph"/>
        <w:keepLines/>
        <w:numPr>
          <w:ilvl w:val="0"/>
          <w:numId w:val="1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spacing w:before="60" w:after="60"/>
        <w:ind w:left="36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последователно да вземат предвид военните изисквания при изграждането на транспортна инфраструктура.</w:t>
      </w:r>
    </w:p>
    <w:p w:rsidR="00F17B36" w:rsidRDefault="009F5B54">
      <w:pPr>
        <w:pStyle w:val="Sous-section2"/>
        <w:numPr>
          <w:ilvl w:val="0"/>
          <w:numId w:val="0"/>
        </w:numPr>
        <w:spacing w:before="240" w:after="240"/>
        <w:ind w:left="709"/>
        <w:rPr>
          <w:noProof/>
        </w:rPr>
      </w:pPr>
      <w:r>
        <w:rPr>
          <w:noProof/>
        </w:rPr>
        <w:t>2.3</w:t>
      </w:r>
      <w:r>
        <w:rPr>
          <w:noProof/>
        </w:rPr>
        <w:tab/>
        <w:t>Нормативни и процедурни въпроси</w:t>
      </w:r>
    </w:p>
    <w:p w:rsidR="00F17B36" w:rsidRDefault="009F5B54">
      <w:pPr>
        <w:pStyle w:val="Briefingtext"/>
        <w:keepNext/>
        <w:spacing w:before="240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2.3.1</w:t>
      </w:r>
      <w:r>
        <w:rPr>
          <w:noProof/>
        </w:rPr>
        <w:tab/>
      </w:r>
      <w:r>
        <w:rPr>
          <w:rFonts w:ascii="Times New Roman" w:hAnsi="Times New Roman"/>
          <w:b/>
          <w:noProof/>
          <w:sz w:val="24"/>
        </w:rPr>
        <w:t>Опасни товар</w:t>
      </w:r>
      <w:r>
        <w:rPr>
          <w:rFonts w:ascii="Times New Roman" w:hAnsi="Times New Roman"/>
          <w:b/>
          <w:noProof/>
          <w:sz w:val="24"/>
        </w:rPr>
        <w:t>и</w:t>
      </w:r>
    </w:p>
    <w:p w:rsidR="00F17B36" w:rsidRDefault="009F5B54">
      <w:pPr>
        <w:spacing w:after="200" w:line="276" w:lineRule="auto"/>
        <w:jc w:val="both"/>
        <w:rPr>
          <w:rFonts w:eastAsia="Times New Roman"/>
          <w:noProof/>
          <w:u w:color="000000"/>
        </w:rPr>
      </w:pPr>
      <w:r>
        <w:rPr>
          <w:noProof/>
        </w:rPr>
        <w:t xml:space="preserve">Сухопътният превоз на опасни товари е област, в която държавите от ЕС и Комисията активно участват при договарянето на комплексен набор от международни конвенции и препоръки на ООН. Те обаче се прилагат само за граждански цели, а при искане да предоставят </w:t>
      </w:r>
      <w:r>
        <w:rPr>
          <w:noProof/>
        </w:rPr>
        <w:t xml:space="preserve">свобода на движение за транспортно осигуряване за военни цели, в т.ч. превоз на опасни товари, държавите — членки на ЕС, прилагат своите национални правила. Различието спрямо правилата относно превоза за граждански цели налага да се предоставят разрешения </w:t>
      </w:r>
      <w:r>
        <w:rPr>
          <w:noProof/>
        </w:rPr>
        <w:t xml:space="preserve">за всеки отделен случай и води до забавяния. </w:t>
      </w:r>
    </w:p>
    <w:p w:rsidR="00F17B36" w:rsidRDefault="009F5B54">
      <w:pPr>
        <w:spacing w:after="200" w:line="276" w:lineRule="auto"/>
        <w:jc w:val="both"/>
        <w:rPr>
          <w:rFonts w:eastAsia="Times New Roman"/>
          <w:noProof/>
          <w:u w:color="000000"/>
        </w:rPr>
      </w:pPr>
      <w:r>
        <w:rPr>
          <w:noProof/>
        </w:rPr>
        <w:t>Приравняването на приложимите правила за въоръжените сили със съществуващото законодателство на ЕС може да повиши безопасността и да доведе до полезни взаимодействия и съгласуваност при превоза на опасни товари</w:t>
      </w:r>
      <w:r>
        <w:rPr>
          <w:noProof/>
        </w:rPr>
        <w:t xml:space="preserve"> за военни цели, без да уронва гражданските стандарти.  </w:t>
      </w:r>
    </w:p>
    <w:p w:rsidR="00F17B36" w:rsidRDefault="00F17B36">
      <w:pPr>
        <w:spacing w:before="120" w:after="120" w:line="276" w:lineRule="auto"/>
        <w:jc w:val="both"/>
        <w:rPr>
          <w:rFonts w:eastAsia="Times New Roman"/>
          <w:noProof/>
          <w:sz w:val="2"/>
          <w:szCs w:val="2"/>
          <w:u w:color="000000"/>
        </w:rPr>
      </w:pPr>
    </w:p>
    <w:p w:rsidR="00F17B36" w:rsidRDefault="009F5B54">
      <w:pPr>
        <w:pStyle w:val="Text1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spacing w:before="60" w:after="60"/>
        <w:ind w:left="0"/>
        <w:jc w:val="both"/>
        <w:rPr>
          <w:rFonts w:ascii="Times New Roman" w:hAnsi="Times New Roman" w:cs="Times New Roman"/>
          <w:b/>
          <w:noProof/>
          <w:color w:val="auto"/>
          <w:sz w:val="24"/>
          <w:szCs w:val="24"/>
        </w:rPr>
      </w:pPr>
      <w:r>
        <w:rPr>
          <w:rFonts w:ascii="Times New Roman" w:hAnsi="Times New Roman"/>
          <w:b/>
          <w:noProof/>
          <w:color w:val="auto"/>
          <w:sz w:val="24"/>
        </w:rPr>
        <w:t>Основни действия на равнището на ЕС:</w:t>
      </w:r>
    </w:p>
    <w:p w:rsidR="00F17B36" w:rsidRDefault="009F5B54">
      <w:pPr>
        <w:pStyle w:val="Text1"/>
        <w:keepLines/>
        <w:numPr>
          <w:ilvl w:val="0"/>
          <w:numId w:val="1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spacing w:before="60" w:after="60"/>
        <w:jc w:val="both"/>
        <w:rPr>
          <w:rFonts w:ascii="Times New Roman" w:hAnsi="Times New Roman" w:cs="Times New Roman"/>
          <w:noProof/>
          <w:color w:val="auto"/>
          <w:sz w:val="24"/>
          <w:szCs w:val="24"/>
        </w:rPr>
      </w:pPr>
      <w:r>
        <w:rPr>
          <w:rFonts w:ascii="Times New Roman" w:hAnsi="Times New Roman"/>
          <w:noProof/>
          <w:color w:val="auto"/>
          <w:sz w:val="24"/>
        </w:rPr>
        <w:t>До пролетта на 2019 г. в тясно сътрудничество с Европейската служба за външна дейност/Военния секретариат на ЕС и с всички други участващи органи Европейската агенция по отбрана ще проведе проучване, което ще обхване следните аспекти — разпоредби на национ</w:t>
      </w:r>
      <w:r>
        <w:rPr>
          <w:rFonts w:ascii="Times New Roman" w:hAnsi="Times New Roman"/>
          <w:noProof/>
          <w:color w:val="auto"/>
          <w:sz w:val="24"/>
        </w:rPr>
        <w:t>ално равнище, определяне на потребностите, целесъобразност на съществуващите хармонизирани правила за граждански цели и евентуална необходимост от допълнителни разпоредби или корекции. Държавите — членки на ЕС, се приканват активно да подпомагат този проце</w:t>
      </w:r>
      <w:r>
        <w:rPr>
          <w:rFonts w:ascii="Times New Roman" w:hAnsi="Times New Roman"/>
          <w:noProof/>
          <w:color w:val="auto"/>
          <w:sz w:val="24"/>
        </w:rPr>
        <w:t xml:space="preserve">с. </w:t>
      </w:r>
    </w:p>
    <w:p w:rsidR="00F17B36" w:rsidRDefault="009F5B54">
      <w:pPr>
        <w:pStyle w:val="Text1"/>
        <w:keepLines/>
        <w:numPr>
          <w:ilvl w:val="0"/>
          <w:numId w:val="1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spacing w:before="60" w:after="60"/>
        <w:jc w:val="both"/>
        <w:rPr>
          <w:rFonts w:ascii="Times New Roman" w:hAnsi="Times New Roman" w:cs="Times New Roman"/>
          <w:noProof/>
          <w:color w:val="auto"/>
          <w:sz w:val="24"/>
          <w:szCs w:val="24"/>
        </w:rPr>
      </w:pPr>
      <w:r>
        <w:rPr>
          <w:rFonts w:ascii="Times New Roman" w:hAnsi="Times New Roman"/>
          <w:noProof/>
          <w:color w:val="auto"/>
          <w:sz w:val="24"/>
        </w:rPr>
        <w:t>Текущо: В тясно сътрудничество с Европейската служба за външна дейност/Военния секретариат на ЕС и с подкрепата на Европейската агенция по отбрана службите на Комисията ще продължат да улесняват обмена на знания между граждански и военни експерти относ</w:t>
      </w:r>
      <w:r>
        <w:rPr>
          <w:rFonts w:ascii="Times New Roman" w:hAnsi="Times New Roman"/>
          <w:noProof/>
          <w:color w:val="auto"/>
          <w:sz w:val="24"/>
        </w:rPr>
        <w:t xml:space="preserve">но превоза на опасни товари. </w:t>
      </w:r>
    </w:p>
    <w:p w:rsidR="00F17B36" w:rsidRDefault="009F5B54">
      <w:pPr>
        <w:pStyle w:val="Text1"/>
        <w:keepLines/>
        <w:numPr>
          <w:ilvl w:val="0"/>
          <w:numId w:val="1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spacing w:before="60" w:after="60"/>
        <w:jc w:val="both"/>
        <w:rPr>
          <w:rFonts w:ascii="Times New Roman" w:hAnsi="Times New Roman" w:cs="Times New Roman"/>
          <w:noProof/>
          <w:color w:val="auto"/>
          <w:sz w:val="24"/>
          <w:szCs w:val="24"/>
        </w:rPr>
      </w:pPr>
      <w:r>
        <w:rPr>
          <w:rFonts w:ascii="Times New Roman" w:hAnsi="Times New Roman"/>
          <w:noProof/>
          <w:color w:val="auto"/>
          <w:sz w:val="24"/>
        </w:rPr>
        <w:t>До 2020 г. в тясно сътрудничество с Европейската служба за външна дейност/Военния секретариат на ЕС и с Европейската агенция по отбрана службите на Комисията ще направят оценка на осъществимостта и необходимостта от по-нататъш</w:t>
      </w:r>
      <w:r>
        <w:rPr>
          <w:rFonts w:ascii="Times New Roman" w:hAnsi="Times New Roman"/>
          <w:noProof/>
          <w:color w:val="auto"/>
          <w:sz w:val="24"/>
        </w:rPr>
        <w:t>ни действия на равнището на ЕС.</w:t>
      </w:r>
    </w:p>
    <w:p w:rsidR="00F17B36" w:rsidRDefault="009F5B54">
      <w:pPr>
        <w:pStyle w:val="Text1"/>
        <w:keepLines/>
        <w:numPr>
          <w:ilvl w:val="0"/>
          <w:numId w:val="1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spacing w:before="60" w:after="60"/>
        <w:jc w:val="both"/>
        <w:rPr>
          <w:rFonts w:ascii="Times New Roman" w:hAnsi="Times New Roman" w:cs="Times New Roman"/>
          <w:noProof/>
          <w:color w:val="auto"/>
          <w:sz w:val="24"/>
          <w:szCs w:val="24"/>
        </w:rPr>
      </w:pPr>
      <w:r>
        <w:rPr>
          <w:rFonts w:ascii="Times New Roman" w:hAnsi="Times New Roman"/>
          <w:noProof/>
          <w:color w:val="auto"/>
          <w:sz w:val="24"/>
        </w:rPr>
        <w:t>Също така до лятото на 2019 г. в тясно сътрудничество с държавите членки и с Европейската служба за външна дейност/Военния секретариат на ЕС Европейската агенция по отбрана ще проучи доколко е осъществимо да се подобри съгла</w:t>
      </w:r>
      <w:r>
        <w:rPr>
          <w:rFonts w:ascii="Times New Roman" w:hAnsi="Times New Roman"/>
          <w:noProof/>
          <w:color w:val="auto"/>
          <w:sz w:val="24"/>
        </w:rPr>
        <w:t xml:space="preserve">суваността на правилата и процедурите относно въздушния превоз за военни цели (транспорт и обработка) на територията на държавите членки. </w:t>
      </w:r>
    </w:p>
    <w:p w:rsidR="00F17B36" w:rsidRDefault="009F5B54">
      <w:pPr>
        <w:keepNext/>
        <w:tabs>
          <w:tab w:val="left" w:pos="720"/>
        </w:tabs>
        <w:spacing w:before="240" w:after="240" w:line="276" w:lineRule="auto"/>
        <w:jc w:val="both"/>
        <w:outlineLvl w:val="1"/>
        <w:rPr>
          <w:b/>
          <w:bCs/>
          <w:noProof/>
          <w:color w:val="000000"/>
          <w:u w:color="000000"/>
        </w:rPr>
      </w:pPr>
      <w:r>
        <w:rPr>
          <w:b/>
          <w:noProof/>
          <w:color w:val="000000"/>
          <w:u w:color="000000"/>
        </w:rPr>
        <w:t>2.3.2</w:t>
      </w:r>
      <w:r>
        <w:rPr>
          <w:b/>
          <w:noProof/>
          <w:color w:val="000000"/>
          <w:u w:color="000000"/>
        </w:rPr>
        <w:tab/>
        <w:t xml:space="preserve">Митници и данък върху добавената стойност  </w:t>
      </w:r>
    </w:p>
    <w:p w:rsidR="00F17B36" w:rsidRDefault="009F5B54">
      <w:pPr>
        <w:pStyle w:val="Briefingtext"/>
        <w:spacing w:after="200" w:line="276" w:lineRule="auto"/>
        <w:rPr>
          <w:rStyle w:val="Aucun"/>
          <w:rFonts w:ascii="Times New Roman" w:hAnsi="Times New Roman" w:cs="Times New Roman"/>
          <w:noProof/>
          <w:color w:val="auto"/>
          <w:sz w:val="24"/>
          <w:szCs w:val="24"/>
          <w:u w:color="1F497D"/>
        </w:rPr>
      </w:pPr>
      <w:r>
        <w:rPr>
          <w:rStyle w:val="Aucun"/>
          <w:rFonts w:ascii="Times New Roman" w:hAnsi="Times New Roman"/>
          <w:noProof/>
          <w:color w:val="auto"/>
          <w:sz w:val="24"/>
          <w:u w:color="1F497D"/>
        </w:rPr>
        <w:t>По време на разискванията на специалната работна група някои държав</w:t>
      </w:r>
      <w:r>
        <w:rPr>
          <w:rStyle w:val="Aucun"/>
          <w:rFonts w:ascii="Times New Roman" w:hAnsi="Times New Roman"/>
          <w:noProof/>
          <w:color w:val="auto"/>
          <w:sz w:val="24"/>
          <w:u w:color="1F497D"/>
        </w:rPr>
        <w:t>и — членки на ЕС, съобщиха за оперативни затруднения поради липсата на яснота относно използването на формуляр 302 за временен износ и повторен внос на стоки с военно предназначение от или от името на въоръжените сили на държавите от ЕС.</w:t>
      </w:r>
    </w:p>
    <w:p w:rsidR="00F17B36" w:rsidRDefault="009F5B54">
      <w:pPr>
        <w:pStyle w:val="Briefingtext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spacing w:before="60" w:after="60" w:line="276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Style w:val="Aucun"/>
          <w:rFonts w:ascii="Times New Roman" w:hAnsi="Times New Roman"/>
          <w:b/>
          <w:noProof/>
          <w:color w:val="auto"/>
          <w:sz w:val="24"/>
        </w:rPr>
        <w:t xml:space="preserve">Основни действия </w:t>
      </w:r>
      <w:r>
        <w:rPr>
          <w:rStyle w:val="Aucun"/>
          <w:rFonts w:ascii="Times New Roman" w:hAnsi="Times New Roman"/>
          <w:b/>
          <w:noProof/>
          <w:color w:val="auto"/>
          <w:sz w:val="24"/>
        </w:rPr>
        <w:t>на равнището на ЕС:</w:t>
      </w:r>
    </w:p>
    <w:p w:rsidR="00F17B36" w:rsidRDefault="009F5B54">
      <w:pPr>
        <w:pStyle w:val="Text1"/>
        <w:keepLines/>
        <w:numPr>
          <w:ilvl w:val="0"/>
          <w:numId w:val="1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spacing w:before="60" w:after="60"/>
        <w:jc w:val="both"/>
        <w:rPr>
          <w:rStyle w:val="Aucun"/>
          <w:rFonts w:ascii="Times New Roman" w:hAnsi="Times New Roman" w:cs="Times New Roman"/>
          <w:noProof/>
          <w:color w:val="auto"/>
          <w:sz w:val="24"/>
          <w:szCs w:val="24"/>
        </w:rPr>
      </w:pPr>
      <w:r>
        <w:rPr>
          <w:rFonts w:ascii="Times New Roman" w:hAnsi="Times New Roman"/>
          <w:noProof/>
          <w:color w:val="auto"/>
          <w:sz w:val="24"/>
        </w:rPr>
        <w:t xml:space="preserve">До края на 2018 г. съвместно с държавите — членки на ЕС, Европейската служба за външна дейност/Военния секретариат на ЕС и Европейската агенция по отбрана службите на Комисията ще проучат и опишат митническите дейности, които трябва да </w:t>
      </w:r>
      <w:r>
        <w:rPr>
          <w:rFonts w:ascii="Times New Roman" w:hAnsi="Times New Roman"/>
          <w:noProof/>
          <w:color w:val="auto"/>
          <w:sz w:val="24"/>
        </w:rPr>
        <w:t>бъдат обхванати от формуляр 302. Също така</w:t>
      </w:r>
      <w:r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  <w:color w:val="auto"/>
          <w:sz w:val="24"/>
        </w:rPr>
        <w:t>в тясно сътрудничество с Европейската агенция по отбрана службите на Комисията ще направят оценка на необходимостта да се изготви образец на формуляр 302 за случаите, в които съществуващият формуляр 302 не може да</w:t>
      </w:r>
      <w:r>
        <w:rPr>
          <w:rFonts w:ascii="Times New Roman" w:hAnsi="Times New Roman"/>
          <w:noProof/>
          <w:color w:val="auto"/>
          <w:sz w:val="24"/>
        </w:rPr>
        <w:t xml:space="preserve"> се използва. Оценката ще включва евентуалното отражение върху сега действащото митническо законодателство.</w:t>
      </w:r>
    </w:p>
    <w:p w:rsidR="00F17B36" w:rsidRDefault="009F5B54">
      <w:pPr>
        <w:pStyle w:val="Text1"/>
        <w:keepLines/>
        <w:numPr>
          <w:ilvl w:val="0"/>
          <w:numId w:val="1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spacing w:before="60" w:after="60"/>
        <w:jc w:val="both"/>
        <w:rPr>
          <w:rFonts w:ascii="Times New Roman" w:hAnsi="Times New Roman" w:cs="Times New Roman"/>
          <w:noProof/>
          <w:color w:val="auto"/>
          <w:sz w:val="24"/>
          <w:szCs w:val="24"/>
        </w:rPr>
      </w:pPr>
      <w:r>
        <w:rPr>
          <w:rFonts w:ascii="Times New Roman" w:hAnsi="Times New Roman"/>
          <w:noProof/>
          <w:color w:val="auto"/>
          <w:sz w:val="24"/>
        </w:rPr>
        <w:t>До края на 2018 г. Комисията ще проучи евентуални възможности за оптимизиране и опростяване на митническите формалности във връзка с митническите де</w:t>
      </w:r>
      <w:r>
        <w:rPr>
          <w:rFonts w:ascii="Times New Roman" w:hAnsi="Times New Roman"/>
          <w:noProof/>
          <w:color w:val="auto"/>
          <w:sz w:val="24"/>
        </w:rPr>
        <w:t>йности при военни операции.</w:t>
      </w:r>
      <w:r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  <w:color w:val="auto"/>
          <w:sz w:val="24"/>
        </w:rPr>
        <w:t>Тя ще осигури също така еднакво прилагане и изпълнение на съответните митнически разпоредби.</w:t>
      </w:r>
    </w:p>
    <w:p w:rsidR="00F17B36" w:rsidRDefault="009F5B54">
      <w:pPr>
        <w:pStyle w:val="Text1"/>
        <w:keepLines/>
        <w:numPr>
          <w:ilvl w:val="0"/>
          <w:numId w:val="1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spacing w:before="60" w:after="60"/>
        <w:jc w:val="both"/>
        <w:rPr>
          <w:rFonts w:ascii="Times New Roman" w:hAnsi="Times New Roman" w:cs="Times New Roman"/>
          <w:noProof/>
          <w:color w:val="auto"/>
          <w:sz w:val="24"/>
          <w:szCs w:val="24"/>
        </w:rPr>
      </w:pPr>
      <w:r>
        <w:rPr>
          <w:rFonts w:ascii="Times New Roman" w:hAnsi="Times New Roman"/>
          <w:noProof/>
          <w:color w:val="auto"/>
          <w:sz w:val="24"/>
        </w:rPr>
        <w:t>До края на 2018 г. Комисията ще установи кои актове следва да бъдат изменени, ако има такива. Ако е необходимо и въз основа на това Ком</w:t>
      </w:r>
      <w:r>
        <w:rPr>
          <w:rFonts w:ascii="Times New Roman" w:hAnsi="Times New Roman"/>
          <w:noProof/>
          <w:color w:val="auto"/>
          <w:sz w:val="24"/>
        </w:rPr>
        <w:t>исията по своя инициатива ще предложи изменения в нормативната уредба относно митниците, по-специално в актовете на Комисията</w:t>
      </w:r>
      <w:r>
        <w:rPr>
          <w:rFonts w:ascii="Times New Roman" w:hAnsi="Times New Roman"/>
          <w:noProof/>
          <w:color w:val="auto"/>
          <w:sz w:val="24"/>
          <w:vertAlign w:val="superscript"/>
        </w:rPr>
        <w:footnoteReference w:id="16"/>
      </w:r>
      <w:r>
        <w:rPr>
          <w:rFonts w:ascii="Times New Roman" w:hAnsi="Times New Roman"/>
          <w:noProof/>
          <w:color w:val="auto"/>
          <w:sz w:val="24"/>
        </w:rPr>
        <w:t xml:space="preserve"> във връзка с Митническия кодекс на Съюза, с цел да се изясни използването на формуляр 302 при набелязаните митнически дейности. </w:t>
      </w:r>
    </w:p>
    <w:p w:rsidR="00F17B36" w:rsidRDefault="009F5B54">
      <w:pPr>
        <w:pStyle w:val="Text1"/>
        <w:keepLines/>
        <w:numPr>
          <w:ilvl w:val="0"/>
          <w:numId w:val="1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spacing w:before="60" w:after="60"/>
        <w:jc w:val="both"/>
        <w:rPr>
          <w:rFonts w:ascii="Times New Roman" w:hAnsi="Times New Roman" w:cs="Times New Roman"/>
          <w:noProof/>
          <w:color w:val="auto"/>
          <w:sz w:val="24"/>
          <w:szCs w:val="24"/>
        </w:rPr>
      </w:pPr>
      <w:r>
        <w:rPr>
          <w:rFonts w:ascii="Times New Roman" w:hAnsi="Times New Roman"/>
          <w:noProof/>
          <w:color w:val="auto"/>
          <w:sz w:val="24"/>
        </w:rPr>
        <w:t xml:space="preserve">С участието на Европейската служба за външна дейност/Военния секретариат на ЕС и Европейската агенция по отбрана Комисията ще изготви насоки с цел да се гарантира правилното и еднакво прилагане на митническото законодателство по въпроси, свързани с военни </w:t>
      </w:r>
      <w:r>
        <w:rPr>
          <w:rFonts w:ascii="Times New Roman" w:hAnsi="Times New Roman"/>
          <w:noProof/>
          <w:color w:val="auto"/>
          <w:sz w:val="24"/>
        </w:rPr>
        <w:t>дейности. Срокът за това ще зависи от приемането на посочените по-горе изменения.</w:t>
      </w:r>
    </w:p>
    <w:p w:rsidR="00F17B36" w:rsidRDefault="009F5B54">
      <w:pPr>
        <w:pStyle w:val="Text1"/>
        <w:keepLines/>
        <w:numPr>
          <w:ilvl w:val="0"/>
          <w:numId w:val="1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spacing w:before="60" w:after="60"/>
        <w:jc w:val="both"/>
        <w:rPr>
          <w:rFonts w:ascii="Times New Roman" w:hAnsi="Times New Roman" w:cs="Times New Roman"/>
          <w:noProof/>
          <w:color w:val="auto"/>
          <w:sz w:val="24"/>
          <w:szCs w:val="24"/>
        </w:rPr>
      </w:pPr>
      <w:r>
        <w:rPr>
          <w:rFonts w:ascii="Times New Roman" w:hAnsi="Times New Roman"/>
          <w:noProof/>
          <w:color w:val="auto"/>
          <w:sz w:val="24"/>
        </w:rPr>
        <w:t>Ако управителният ѝ съвет вземе решение за това, до лятото на 2018 г. Европейската агенция по отбрана ще подготви проект категория А относно митниците, като постоянно координ</w:t>
      </w:r>
      <w:r>
        <w:rPr>
          <w:rFonts w:ascii="Times New Roman" w:hAnsi="Times New Roman"/>
          <w:noProof/>
          <w:color w:val="auto"/>
          <w:sz w:val="24"/>
        </w:rPr>
        <w:t>ира работата по него с Европейската служба за външна дейност/Военния секретариат на ЕС, службите на Комисията и военни и митнически експерти от държавите членки, без това да засяга законодателната инициатива на Комисията относно митническия съюз.</w:t>
      </w:r>
    </w:p>
    <w:p w:rsidR="00F17B36" w:rsidRDefault="00F17B36">
      <w:pPr>
        <w:pStyle w:val="Briefingtext"/>
        <w:spacing w:after="200" w:line="276" w:lineRule="auto"/>
        <w:rPr>
          <w:rStyle w:val="Aucun"/>
          <w:rFonts w:ascii="Times New Roman" w:hAnsi="Times New Roman" w:cs="Times New Roman"/>
          <w:noProof/>
          <w:color w:val="auto"/>
          <w:sz w:val="2"/>
          <w:szCs w:val="2"/>
          <w:u w:color="1F497D"/>
        </w:rPr>
      </w:pPr>
    </w:p>
    <w:p w:rsidR="00F17B36" w:rsidRDefault="009F5B54">
      <w:pPr>
        <w:pStyle w:val="Briefingtext"/>
        <w:numPr>
          <w:ilvl w:val="0"/>
          <w:numId w:val="1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spacing w:before="60" w:after="60" w:line="276" w:lineRule="auto"/>
        <w:rPr>
          <w:rFonts w:ascii="Times New Roman" w:hAnsi="Times New Roman" w:cs="Times New Roman"/>
          <w:b/>
          <w:noProof/>
          <w:color w:val="auto"/>
          <w:sz w:val="24"/>
          <w:szCs w:val="24"/>
        </w:rPr>
      </w:pPr>
      <w:r>
        <w:rPr>
          <w:rFonts w:ascii="Times New Roman" w:hAnsi="Times New Roman"/>
          <w:b/>
          <w:noProof/>
          <w:color w:val="auto"/>
          <w:sz w:val="24"/>
        </w:rPr>
        <w:t>Държавите — членки на ЕС, се приканват</w:t>
      </w:r>
      <w:r>
        <w:rPr>
          <w:rFonts w:ascii="Times New Roman" w:hAnsi="Times New Roman"/>
          <w:noProof/>
          <w:color w:val="auto"/>
          <w:sz w:val="24"/>
        </w:rPr>
        <w:t xml:space="preserve"> до края на 2020 г. да направят оценка на необходимостта да се разработят електронни системи, в т.ч. като се използват космическите технологии на ЕС, за управление на митнически дейности от въоръжените сили и митническ</w:t>
      </w:r>
      <w:r>
        <w:rPr>
          <w:rFonts w:ascii="Times New Roman" w:hAnsi="Times New Roman"/>
          <w:noProof/>
          <w:color w:val="auto"/>
          <w:sz w:val="24"/>
        </w:rPr>
        <w:t>ите органи.</w:t>
      </w:r>
    </w:p>
    <w:p w:rsidR="00F17B36" w:rsidRDefault="00F17B36">
      <w:pPr>
        <w:pStyle w:val="Briefingtext"/>
        <w:spacing w:after="200" w:line="276" w:lineRule="auto"/>
        <w:rPr>
          <w:rStyle w:val="Aucun"/>
          <w:rFonts w:ascii="Times New Roman" w:hAnsi="Times New Roman" w:cs="Times New Roman"/>
          <w:noProof/>
          <w:color w:val="auto"/>
          <w:sz w:val="10"/>
          <w:szCs w:val="10"/>
          <w:u w:color="1F497D"/>
        </w:rPr>
      </w:pPr>
    </w:p>
    <w:p w:rsidR="00F17B36" w:rsidRDefault="009F5B54">
      <w:pPr>
        <w:pStyle w:val="Briefingtext"/>
        <w:spacing w:after="200" w:line="276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Улесняването на военната мобилност засяга и сега действащите правила относно данъка върху добавената стойност. Дейностите за отбрана и по-специално военната мобилност по необходимост са свързани с редица доставки — като обучение, материални средства за уче</w:t>
      </w:r>
      <w:r>
        <w:rPr>
          <w:rFonts w:ascii="Times New Roman" w:hAnsi="Times New Roman"/>
          <w:noProof/>
          <w:sz w:val="24"/>
        </w:rPr>
        <w:t>ния, настаняване, доставка на провизии/столово обслужване, доставка на горива и др. По принцип тези доставки се облагат с данък върху добавената стойност. В рамките на специалната работна група за военна мобилност държавите членки откроиха необходимостта д</w:t>
      </w:r>
      <w:r>
        <w:rPr>
          <w:rFonts w:ascii="Times New Roman" w:hAnsi="Times New Roman"/>
          <w:noProof/>
          <w:sz w:val="24"/>
        </w:rPr>
        <w:t xml:space="preserve">ейностите за отбрана да се третират по еднакъв начин с цел да се намали административната тежест — това би предотвратило забавяния и разходи във връзка с военната мобилност и би било стимул за държавите членки да си сътрудничат. </w:t>
      </w:r>
    </w:p>
    <w:p w:rsidR="00F17B36" w:rsidRDefault="009F5B54">
      <w:pPr>
        <w:pStyle w:val="Text1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spacing w:before="60" w:after="60"/>
        <w:ind w:left="0"/>
        <w:jc w:val="both"/>
        <w:rPr>
          <w:rFonts w:ascii="Times New Roman" w:hAnsi="Times New Roman" w:cs="Times New Roman"/>
          <w:b/>
          <w:noProof/>
          <w:color w:val="auto"/>
          <w:sz w:val="24"/>
          <w:szCs w:val="24"/>
        </w:rPr>
      </w:pPr>
      <w:r>
        <w:rPr>
          <w:rFonts w:ascii="Times New Roman" w:hAnsi="Times New Roman"/>
          <w:b/>
          <w:noProof/>
          <w:color w:val="auto"/>
          <w:sz w:val="24"/>
        </w:rPr>
        <w:t>Основни действия на равнищ</w:t>
      </w:r>
      <w:r>
        <w:rPr>
          <w:rFonts w:ascii="Times New Roman" w:hAnsi="Times New Roman"/>
          <w:b/>
          <w:noProof/>
          <w:color w:val="auto"/>
          <w:sz w:val="24"/>
        </w:rPr>
        <w:t>ето на ЕС във връзка с данъка върху добавената стойност:</w:t>
      </w:r>
    </w:p>
    <w:p w:rsidR="00F17B36" w:rsidRDefault="009F5B54">
      <w:pPr>
        <w:pStyle w:val="Text1"/>
        <w:keepLines/>
        <w:numPr>
          <w:ilvl w:val="0"/>
          <w:numId w:val="1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spacing w:before="60" w:after="60"/>
        <w:jc w:val="both"/>
        <w:rPr>
          <w:rFonts w:ascii="Times New Roman" w:hAnsi="Times New Roman" w:cs="Times New Roman"/>
          <w:noProof/>
          <w:color w:val="auto"/>
          <w:sz w:val="24"/>
          <w:szCs w:val="24"/>
        </w:rPr>
      </w:pPr>
      <w:r>
        <w:rPr>
          <w:rFonts w:ascii="Times New Roman" w:hAnsi="Times New Roman"/>
          <w:noProof/>
          <w:color w:val="auto"/>
          <w:sz w:val="24"/>
        </w:rPr>
        <w:t>След консултации с държавите от ЕС и в тясно сътрудничество със съответните партньори на равнището на Съюза до края на 2018 г. Комисията ще направи оценка на вариантите за намаляване на административ</w:t>
      </w:r>
      <w:r>
        <w:rPr>
          <w:rFonts w:ascii="Times New Roman" w:hAnsi="Times New Roman"/>
          <w:noProof/>
          <w:color w:val="auto"/>
          <w:sz w:val="24"/>
        </w:rPr>
        <w:t xml:space="preserve">ната тежест, както и на това доколко е осъществимо третирането на дейностите за отбрана, предприети в рамките на ЕС и НАТО, да се уеднакви с оглед на данъка върху добавената стойност.  </w:t>
      </w:r>
    </w:p>
    <w:p w:rsidR="00F17B36" w:rsidRDefault="009F5B54">
      <w:pPr>
        <w:pStyle w:val="Sous-section2"/>
        <w:numPr>
          <w:ilvl w:val="0"/>
          <w:numId w:val="0"/>
        </w:numPr>
        <w:tabs>
          <w:tab w:val="clear" w:pos="1429"/>
          <w:tab w:val="left" w:pos="720"/>
        </w:tabs>
        <w:spacing w:before="240" w:after="240"/>
        <w:rPr>
          <w:noProof/>
        </w:rPr>
      </w:pPr>
      <w:r>
        <w:rPr>
          <w:noProof/>
        </w:rPr>
        <w:t xml:space="preserve">2.3.3 </w:t>
      </w:r>
      <w:r>
        <w:rPr>
          <w:noProof/>
        </w:rPr>
        <w:tab/>
        <w:t>Разрешение за трансгранично придвижване</w:t>
      </w:r>
    </w:p>
    <w:p w:rsidR="00F17B36" w:rsidRDefault="009F5B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both"/>
        <w:rPr>
          <w:rFonts w:eastAsia="Calibri"/>
          <w:noProof/>
          <w:bdr w:val="none" w:sz="0" w:space="0" w:color="auto"/>
        </w:rPr>
      </w:pPr>
      <w:r>
        <w:rPr>
          <w:noProof/>
        </w:rPr>
        <w:t>Съгласно предложението в пътната карта, изготвена от специалната работна група, предоставянето на разрешение за трансгранично придвижване (в т.ч. дипломатическо разрешение) е област, в която държавите — членки на ЕС, могат да си сътрудничат, за да постигна</w:t>
      </w:r>
      <w:r>
        <w:rPr>
          <w:noProof/>
        </w:rPr>
        <w:t>т по-голяма последователност и/или ефективност на прилаганите от тях процедури. Предоставянето на разрешение за трансгранично придвижване е свързано с реда за получаване на разрешение за преминаване на граница. Със сега действащото дипломатическо разрешени</w:t>
      </w:r>
      <w:r>
        <w:rPr>
          <w:noProof/>
        </w:rPr>
        <w:t>е се намаляват административната тежест и необходимото време, за да може да се осъществи военна мобилност. Съществуващата техническа договореност за предоставяне на дипломатическо разрешение доказа своята стойност конкретно в областта на въздушния транспор</w:t>
      </w:r>
      <w:r>
        <w:rPr>
          <w:noProof/>
        </w:rPr>
        <w:t>т, както и във връзка с ясно въведените отделни ограничения, наложени от подписалите договореността страни, например за изключване на определени блокове във въздушното пространство и определени летища или за отказ на определени мисии. Ежегодно издаваните о</w:t>
      </w:r>
      <w:r>
        <w:rPr>
          <w:noProof/>
        </w:rPr>
        <w:t xml:space="preserve">т участващите държави от ЕС номера на дипломатическо разрешение, както и ограниченията и информацията за часовете, през които може/не може да се осъществи контакт, се управляват и показват с помощта на специализиран уебпортал. </w:t>
      </w:r>
    </w:p>
    <w:p w:rsidR="00F17B36" w:rsidRDefault="009F5B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both"/>
        <w:rPr>
          <w:rFonts w:eastAsia="Calibri"/>
          <w:noProof/>
          <w:bdr w:val="none" w:sz="0" w:space="0" w:color="auto"/>
        </w:rPr>
      </w:pPr>
      <w:r>
        <w:rPr>
          <w:noProof/>
        </w:rPr>
        <w:t xml:space="preserve">Постигането на договореност </w:t>
      </w:r>
      <w:r>
        <w:rPr>
          <w:noProof/>
        </w:rPr>
        <w:t xml:space="preserve">за предоставяне на разрешение за трансгранично наземно придвижване би дало възможност за по-голяма военна мобилност по автомобилните, железопътните и вътрешните водни пътища. Чрез такава договореност може отчасти да се определят административни процедури, </w:t>
      </w:r>
      <w:r>
        <w:rPr>
          <w:noProof/>
        </w:rPr>
        <w:t xml:space="preserve">осигуряващи общ ред и правила, по-специално за мисии и операции в рамките на общата политика за сигурност и отбрана, както и за дейности по други инициативи, а също за учения и ежедневно придвижване. </w:t>
      </w:r>
    </w:p>
    <w:p w:rsidR="00F17B36" w:rsidRDefault="009F5B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both"/>
        <w:rPr>
          <w:rFonts w:eastAsia="Calibri"/>
          <w:noProof/>
          <w:bdr w:val="none" w:sz="0" w:space="0" w:color="auto"/>
        </w:rPr>
      </w:pPr>
      <w:r>
        <w:rPr>
          <w:noProof/>
        </w:rPr>
        <w:t xml:space="preserve">Всяко въздушно движение, което се осъществява съгласно </w:t>
      </w:r>
      <w:r>
        <w:rPr>
          <w:noProof/>
        </w:rPr>
        <w:t>правилата за общото въздушно движение, трябва да е в съответствие с нормативната уредба относно единното европейско небе. За полети, извършвани съгласно националните правила за оперативното въздушно движение, държавите членки трябва да се позовават на двус</w:t>
      </w:r>
      <w:r>
        <w:rPr>
          <w:noProof/>
        </w:rPr>
        <w:t>транни споразумения или на техническата договореност за предоставяне на дипломатическо разрешение за трансгранични операции. Своевременното представяне на доклади с точна информация относно безопасността на европейско равнище би било от полза, за да се удо</w:t>
      </w:r>
      <w:r>
        <w:rPr>
          <w:noProof/>
        </w:rPr>
        <w:t>стовери спазването на всички изисквания във връзка с безопасността. Също така наличието на определени съоръжения и услуги би допринесло за безопасността, редовното обслужване и ефикасността на световната система за въздухоплаване, както и за съобразяване с</w:t>
      </w:r>
      <w:r>
        <w:rPr>
          <w:noProof/>
        </w:rPr>
        <w:t xml:space="preserve"> изискванията при военно-въздушни операции. Това може да се постигне чрез изграждане на общо разбиране за основните принципи, обмен на добри практики и наблюдение на практическото им изпълнение.</w:t>
      </w:r>
    </w:p>
    <w:p w:rsidR="00F17B36" w:rsidRDefault="009F5B54">
      <w:pPr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spacing w:before="60" w:after="60" w:line="276" w:lineRule="auto"/>
        <w:jc w:val="both"/>
        <w:rPr>
          <w:rFonts w:eastAsia="Times New Roman"/>
          <w:b/>
          <w:noProof/>
          <w:u w:color="000000"/>
        </w:rPr>
      </w:pPr>
      <w:r>
        <w:rPr>
          <w:b/>
          <w:noProof/>
          <w:u w:color="000000"/>
        </w:rPr>
        <w:t xml:space="preserve">Основни действия на равнището на ЕС: </w:t>
      </w:r>
    </w:p>
    <w:p w:rsidR="00F17B36" w:rsidRDefault="009F5B54">
      <w:pPr>
        <w:keepLines/>
        <w:numPr>
          <w:ilvl w:val="0"/>
          <w:numId w:val="17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spacing w:before="60" w:after="60" w:line="276" w:lineRule="auto"/>
        <w:ind w:left="360"/>
        <w:jc w:val="both"/>
        <w:rPr>
          <w:rFonts w:eastAsia="Times New Roman"/>
          <w:noProof/>
          <w:u w:color="000000"/>
        </w:rPr>
      </w:pPr>
      <w:r>
        <w:rPr>
          <w:noProof/>
        </w:rPr>
        <w:t>Ако управителният ѝ съв</w:t>
      </w:r>
      <w:r>
        <w:rPr>
          <w:noProof/>
        </w:rPr>
        <w:t>ет вземе решение за това, до лятото на 2018 г. Европейската агенция по отбрана ще подготви проект категория А относно предоставянето на разрешение за трансгранично придвижване с цел държавите от ЕС да се подпомогнат да постигнат договорености за предоставя</w:t>
      </w:r>
      <w:r>
        <w:rPr>
          <w:noProof/>
        </w:rPr>
        <w:t xml:space="preserve">нето на трансгранични разрешения. </w:t>
      </w:r>
    </w:p>
    <w:p w:rsidR="00F17B36" w:rsidRDefault="009F5B54">
      <w:pPr>
        <w:keepLines/>
        <w:numPr>
          <w:ilvl w:val="0"/>
          <w:numId w:val="17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spacing w:before="60" w:after="60" w:line="276" w:lineRule="auto"/>
        <w:ind w:left="360"/>
        <w:jc w:val="both"/>
        <w:rPr>
          <w:rFonts w:eastAsia="Times New Roman"/>
          <w:noProof/>
          <w:u w:color="000000"/>
        </w:rPr>
      </w:pPr>
      <w:r>
        <w:rPr>
          <w:noProof/>
        </w:rPr>
        <w:t>Чрез проектния екип „Движение и транспорт“ Европейската агенция по отбрана ще осигури платформа за обмен на становища между държавите от ЕС, Европейската служба за външна дейност/Военния секретариат на ЕС и НАТО относно т</w:t>
      </w:r>
      <w:r>
        <w:rPr>
          <w:noProof/>
        </w:rPr>
        <w:t xml:space="preserve">ехнологичното време за наземно придвижване. </w:t>
      </w:r>
    </w:p>
    <w:p w:rsidR="00F17B36" w:rsidRDefault="00F17B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both"/>
        <w:rPr>
          <w:rFonts w:eastAsia="Calibri"/>
          <w:noProof/>
          <w:sz w:val="2"/>
          <w:szCs w:val="2"/>
          <w:bdr w:val="none" w:sz="0" w:space="0" w:color="auto"/>
        </w:rPr>
      </w:pPr>
    </w:p>
    <w:p w:rsidR="00F17B36" w:rsidRDefault="009F5B54">
      <w:pPr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spacing w:before="60" w:after="60" w:line="276" w:lineRule="auto"/>
        <w:jc w:val="both"/>
        <w:rPr>
          <w:rFonts w:eastAsia="Times New Roman"/>
          <w:b/>
          <w:noProof/>
          <w:u w:color="000000"/>
        </w:rPr>
      </w:pPr>
      <w:r>
        <w:rPr>
          <w:b/>
          <w:noProof/>
          <w:u w:color="000000"/>
        </w:rPr>
        <w:t>Държавите от ЕС се приканват:</w:t>
      </w:r>
    </w:p>
    <w:p w:rsidR="00F17B36" w:rsidRDefault="009F5B54">
      <w:pPr>
        <w:keepLines/>
        <w:numPr>
          <w:ilvl w:val="0"/>
          <w:numId w:val="17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spacing w:before="60" w:after="60" w:line="276" w:lineRule="auto"/>
        <w:ind w:left="360"/>
        <w:jc w:val="both"/>
        <w:rPr>
          <w:rFonts w:eastAsia="Times New Roman"/>
          <w:noProof/>
          <w:u w:color="000000"/>
        </w:rPr>
      </w:pPr>
      <w:r>
        <w:rPr>
          <w:noProof/>
        </w:rPr>
        <w:t xml:space="preserve">да проучат и опишат действащата национална уредба, свързана с възможността да се допуснат операции на чужди военни средства в държави — членки на ЕС, по-специално от гледна точка на предвидените ограничения; </w:t>
      </w:r>
    </w:p>
    <w:p w:rsidR="00F17B36" w:rsidRDefault="009F5B54">
      <w:pPr>
        <w:keepLines/>
        <w:numPr>
          <w:ilvl w:val="0"/>
          <w:numId w:val="17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spacing w:before="60" w:after="60" w:line="276" w:lineRule="auto"/>
        <w:ind w:left="360"/>
        <w:jc w:val="both"/>
        <w:rPr>
          <w:rFonts w:eastAsia="Times New Roman"/>
          <w:noProof/>
          <w:u w:color="000000"/>
        </w:rPr>
      </w:pPr>
      <w:r>
        <w:rPr>
          <w:noProof/>
        </w:rPr>
        <w:t xml:space="preserve">да допринесат за определянето на специфични за </w:t>
      </w:r>
      <w:r>
        <w:rPr>
          <w:noProof/>
        </w:rPr>
        <w:t>конкретни области оперативни изисквания относно движението на активи, съобразени с военните изисквания;</w:t>
      </w:r>
    </w:p>
    <w:p w:rsidR="00F17B36" w:rsidRDefault="009F5B54">
      <w:pPr>
        <w:keepLines/>
        <w:numPr>
          <w:ilvl w:val="0"/>
          <w:numId w:val="17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spacing w:before="60" w:after="60" w:line="276" w:lineRule="auto"/>
        <w:ind w:left="360"/>
        <w:jc w:val="both"/>
        <w:rPr>
          <w:rFonts w:eastAsia="Times New Roman"/>
          <w:noProof/>
          <w:u w:color="000000"/>
        </w:rPr>
      </w:pPr>
      <w:r>
        <w:rPr>
          <w:noProof/>
        </w:rPr>
        <w:t>да установят ограниченията в националната нормативна база и обуславящите ги политически съображения;</w:t>
      </w:r>
    </w:p>
    <w:p w:rsidR="00F17B36" w:rsidRDefault="009F5B54">
      <w:pPr>
        <w:keepLines/>
        <w:numPr>
          <w:ilvl w:val="0"/>
          <w:numId w:val="17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spacing w:before="60" w:after="60" w:line="276" w:lineRule="auto"/>
        <w:ind w:left="360"/>
        <w:jc w:val="both"/>
        <w:rPr>
          <w:rFonts w:eastAsia="Times New Roman"/>
          <w:noProof/>
          <w:u w:color="000000"/>
        </w:rPr>
      </w:pPr>
      <w:r>
        <w:rPr>
          <w:noProof/>
        </w:rPr>
        <w:t>да разработят решения, като използват съществуващит</w:t>
      </w:r>
      <w:r>
        <w:rPr>
          <w:noProof/>
        </w:rPr>
        <w:t>е работни направления и продукти и като постигнат баланс между оперативните изисквания и рационалните политически ограничения, така че да могат да предоставят (дипломатически) разрешения, като сведат до необходимия минимум националните ограничения;</w:t>
      </w:r>
    </w:p>
    <w:p w:rsidR="00F17B36" w:rsidRDefault="009F5B54">
      <w:pPr>
        <w:keepLines/>
        <w:numPr>
          <w:ilvl w:val="0"/>
          <w:numId w:val="17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spacing w:before="60" w:after="60" w:line="276" w:lineRule="auto"/>
        <w:ind w:left="360"/>
        <w:jc w:val="both"/>
        <w:rPr>
          <w:rFonts w:eastAsia="Times New Roman"/>
          <w:noProof/>
          <w:u w:color="000000"/>
        </w:rPr>
      </w:pPr>
      <w:r>
        <w:rPr>
          <w:noProof/>
        </w:rPr>
        <w:t>да уста</w:t>
      </w:r>
      <w:r>
        <w:rPr>
          <w:noProof/>
        </w:rPr>
        <w:t>новят необходимостта да се адаптира националната нормативна база в случаите, когато съответните изменения могат да повишат военната мобилност, като същевременно запазят съществените ограничения, които не са мотивирани от съображения с военен характер, само</w:t>
      </w:r>
      <w:r>
        <w:rPr>
          <w:noProof/>
        </w:rPr>
        <w:t xml:space="preserve"> когато е необходимо;</w:t>
      </w:r>
    </w:p>
    <w:p w:rsidR="00F17B36" w:rsidRDefault="009F5B54">
      <w:pPr>
        <w:keepLines/>
        <w:numPr>
          <w:ilvl w:val="0"/>
          <w:numId w:val="17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spacing w:before="60" w:after="60" w:line="276" w:lineRule="auto"/>
        <w:ind w:left="360"/>
        <w:jc w:val="both"/>
        <w:rPr>
          <w:rFonts w:eastAsia="Times New Roman"/>
          <w:noProof/>
          <w:u w:color="000000"/>
        </w:rPr>
      </w:pPr>
      <w:r>
        <w:rPr>
          <w:noProof/>
        </w:rPr>
        <w:t xml:space="preserve">да сключат споразумения в конкретни области, с които се хармонизират процедурите и се осигурява възможност предварително да се разреши предоставянето на разрешения за трансгранично придвижване за военни цели. </w:t>
      </w:r>
    </w:p>
    <w:p w:rsidR="00F17B36" w:rsidRDefault="00F17B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276" w:lineRule="auto"/>
        <w:jc w:val="both"/>
        <w:rPr>
          <w:rFonts w:eastAsia="Calibri"/>
          <w:noProof/>
          <w:sz w:val="2"/>
          <w:szCs w:val="2"/>
          <w:bdr w:val="none" w:sz="0" w:space="0" w:color="auto"/>
        </w:rPr>
      </w:pPr>
    </w:p>
    <w:p w:rsidR="00F17B36" w:rsidRDefault="009F5B54">
      <w:pPr>
        <w:keepNext/>
        <w:spacing w:before="240" w:after="240"/>
        <w:rPr>
          <w:b/>
          <w:noProof/>
        </w:rPr>
      </w:pPr>
      <w:r>
        <w:rPr>
          <w:b/>
          <w:noProof/>
        </w:rPr>
        <w:t>2.3.4</w:t>
      </w:r>
      <w:r>
        <w:rPr>
          <w:noProof/>
        </w:rPr>
        <w:tab/>
      </w:r>
      <w:r>
        <w:rPr>
          <w:b/>
          <w:noProof/>
        </w:rPr>
        <w:t xml:space="preserve">Други въпроси </w:t>
      </w:r>
    </w:p>
    <w:p w:rsidR="00F17B36" w:rsidRDefault="009F5B54">
      <w:pPr>
        <w:tabs>
          <w:tab w:val="left" w:pos="1429"/>
        </w:tabs>
        <w:spacing w:after="200" w:line="276" w:lineRule="auto"/>
        <w:jc w:val="both"/>
        <w:outlineLvl w:val="1"/>
        <w:rPr>
          <w:noProof/>
        </w:rPr>
      </w:pPr>
      <w:r>
        <w:rPr>
          <w:noProof/>
        </w:rPr>
        <w:t>Въ</w:t>
      </w:r>
      <w:r>
        <w:rPr>
          <w:noProof/>
        </w:rPr>
        <w:t>преки че списъкът не е изчерпателен, в изготвената от специалната работна група пътна карта се посочват и други области на действие във връзка с нормативни и процедурни въпроси, в т.ч. правни аспекти. Това включва и допълнително изясняване на възможното от</w:t>
      </w:r>
      <w:r>
        <w:rPr>
          <w:noProof/>
        </w:rPr>
        <w:t xml:space="preserve">ражение, което споразумението относно статута на силите на ЕС може да окаже върху военната мобилност, след като влезе в сила. </w:t>
      </w:r>
    </w:p>
    <w:p w:rsidR="00F17B36" w:rsidRDefault="009F5B54">
      <w:pPr>
        <w:tabs>
          <w:tab w:val="left" w:pos="1429"/>
        </w:tabs>
        <w:spacing w:after="200" w:line="276" w:lineRule="auto"/>
        <w:jc w:val="both"/>
        <w:outlineLvl w:val="1"/>
        <w:rPr>
          <w:noProof/>
        </w:rPr>
      </w:pPr>
      <w:r>
        <w:rPr>
          <w:noProof/>
        </w:rPr>
        <w:t xml:space="preserve">При осигуряването на по-добра военна мобилност в ЕС трябва също така да се отчитат заплахи от хибридно естество. С оглед на това </w:t>
      </w:r>
      <w:r>
        <w:rPr>
          <w:noProof/>
        </w:rPr>
        <w:t>при изпълнението на съответните действия по съвместната рамка за борба с хибридните заплахи</w:t>
      </w:r>
      <w:r>
        <w:rPr>
          <w:rStyle w:val="FootnoteReference"/>
          <w:noProof/>
        </w:rPr>
        <w:footnoteReference w:id="17"/>
      </w:r>
      <w:r>
        <w:rPr>
          <w:noProof/>
        </w:rPr>
        <w:t xml:space="preserve"> трябва да се обърне внимание на военната мобилност.</w:t>
      </w:r>
    </w:p>
    <w:p w:rsidR="00F17B36" w:rsidRDefault="009F5B54">
      <w:pPr>
        <w:pStyle w:val="Text1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D9D9D9" w:themeFill="background1" w:themeFillShade="D9"/>
        <w:spacing w:before="60" w:after="60"/>
        <w:ind w:left="0"/>
        <w:jc w:val="both"/>
        <w:rPr>
          <w:rFonts w:ascii="Times New Roman" w:hAnsi="Times New Roman" w:cs="Times New Roman"/>
          <w:b/>
          <w:noProof/>
          <w:color w:val="auto"/>
          <w:sz w:val="24"/>
          <w:szCs w:val="24"/>
        </w:rPr>
      </w:pPr>
      <w:r>
        <w:rPr>
          <w:rFonts w:ascii="Times New Roman" w:hAnsi="Times New Roman"/>
          <w:b/>
          <w:noProof/>
          <w:color w:val="auto"/>
          <w:sz w:val="24"/>
        </w:rPr>
        <w:t>Основни действия на равнището на ЕС:</w:t>
      </w:r>
    </w:p>
    <w:p w:rsidR="00F17B36" w:rsidRDefault="009F5B54">
      <w:pPr>
        <w:pStyle w:val="Text1"/>
        <w:keepLines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D9D9D9" w:themeFill="background1" w:themeFillShade="D9"/>
        <w:spacing w:before="60" w:after="60"/>
        <w:jc w:val="both"/>
        <w:rPr>
          <w:rFonts w:ascii="Times New Roman" w:hAnsi="Times New Roman" w:cs="Times New Roman"/>
          <w:noProof/>
          <w:color w:val="auto"/>
          <w:sz w:val="24"/>
          <w:szCs w:val="24"/>
        </w:rPr>
      </w:pPr>
      <w:r>
        <w:rPr>
          <w:rFonts w:ascii="Times New Roman" w:hAnsi="Times New Roman"/>
          <w:noProof/>
          <w:color w:val="auto"/>
          <w:sz w:val="24"/>
        </w:rPr>
        <w:t xml:space="preserve">До пролетта на 2019 г. Европейската агенция по отбрана ще проведе </w:t>
      </w:r>
      <w:r>
        <w:rPr>
          <w:rFonts w:ascii="Times New Roman" w:hAnsi="Times New Roman"/>
          <w:noProof/>
          <w:color w:val="auto"/>
          <w:sz w:val="24"/>
        </w:rPr>
        <w:t>проучване по посочените други въпроси с участието на компетентните органи на държавите членки, службите на Комисията и Европейската служба за външна дейност/Военния секретариат на ЕС, когато е целесъобразно, с цел да се установят възможни допълнителни обла</w:t>
      </w:r>
      <w:r>
        <w:rPr>
          <w:rFonts w:ascii="Times New Roman" w:hAnsi="Times New Roman"/>
          <w:noProof/>
          <w:color w:val="auto"/>
          <w:sz w:val="24"/>
        </w:rPr>
        <w:t>сти на действие.</w:t>
      </w:r>
    </w:p>
    <w:p w:rsidR="00F17B36" w:rsidRDefault="009F5B54">
      <w:pPr>
        <w:pStyle w:val="Text1"/>
        <w:keepLines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D9D9D9" w:themeFill="background1" w:themeFillShade="D9"/>
        <w:spacing w:before="60" w:after="60"/>
        <w:jc w:val="both"/>
        <w:rPr>
          <w:rFonts w:ascii="Times New Roman" w:hAnsi="Times New Roman" w:cs="Times New Roman"/>
          <w:noProof/>
          <w:color w:val="auto"/>
          <w:sz w:val="24"/>
          <w:szCs w:val="24"/>
        </w:rPr>
      </w:pPr>
      <w:r>
        <w:rPr>
          <w:rFonts w:ascii="Times New Roman" w:hAnsi="Times New Roman"/>
          <w:noProof/>
          <w:color w:val="auto"/>
          <w:sz w:val="24"/>
        </w:rPr>
        <w:t xml:space="preserve">Текущо: При изпълнението на съвместната рамка за борба с хибридните заплахи ще бъде обърнато особено внимание на военната мобилност, особено във връзка с капацитета за анализ на разузнавателни данни (чрез звеното за синтез на информацията </w:t>
      </w:r>
      <w:r>
        <w:rPr>
          <w:rFonts w:ascii="Times New Roman" w:hAnsi="Times New Roman"/>
          <w:noProof/>
          <w:color w:val="auto"/>
          <w:sz w:val="24"/>
        </w:rPr>
        <w:t>за хибридните заплахи), вземането на решения в случай на заплахи и устойчивостта на критичната инфраструктура.</w:t>
      </w:r>
    </w:p>
    <w:p w:rsidR="00F17B36" w:rsidRDefault="00F17B36">
      <w:pPr>
        <w:pStyle w:val="Briefingtext"/>
        <w:spacing w:after="200" w:line="276" w:lineRule="auto"/>
        <w:ind w:left="357"/>
        <w:rPr>
          <w:rStyle w:val="Aucun"/>
          <w:rFonts w:ascii="Times New Roman" w:hAnsi="Times New Roman" w:cs="Times New Roman"/>
          <w:noProof/>
          <w:color w:val="auto"/>
          <w:sz w:val="2"/>
          <w:szCs w:val="2"/>
          <w:u w:color="1F497D"/>
        </w:rPr>
      </w:pPr>
    </w:p>
    <w:p w:rsidR="00F17B36" w:rsidRDefault="009F5B54">
      <w:pPr>
        <w:pStyle w:val="Briefingtext"/>
        <w:numPr>
          <w:ilvl w:val="0"/>
          <w:numId w:val="1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spacing w:before="60" w:after="60" w:line="276" w:lineRule="auto"/>
        <w:rPr>
          <w:rFonts w:ascii="Times New Roman" w:hAnsi="Times New Roman" w:cs="Times New Roman"/>
          <w:noProof/>
          <w:color w:val="auto"/>
          <w:sz w:val="24"/>
          <w:szCs w:val="24"/>
        </w:rPr>
      </w:pPr>
      <w:r>
        <w:rPr>
          <w:rFonts w:ascii="Times New Roman" w:hAnsi="Times New Roman"/>
          <w:b/>
          <w:noProof/>
          <w:color w:val="auto"/>
          <w:sz w:val="24"/>
        </w:rPr>
        <w:t>Държавите — членки на ЕС, се приканват</w:t>
      </w:r>
      <w:r>
        <w:rPr>
          <w:rFonts w:ascii="Times New Roman" w:hAnsi="Times New Roman"/>
          <w:noProof/>
          <w:color w:val="auto"/>
          <w:sz w:val="24"/>
        </w:rPr>
        <w:t xml:space="preserve"> да разгледат споразумението относно статута на силите на ЕС и след влизането му в сила — неговото прилагане по отношение на военната мобилност.</w:t>
      </w:r>
    </w:p>
    <w:p w:rsidR="00F17B36" w:rsidRDefault="009F5B54">
      <w:pPr>
        <w:pStyle w:val="En-tte0"/>
        <w:spacing w:before="240" w:after="240"/>
        <w:ind w:left="0" w:firstLine="0"/>
        <w:rPr>
          <w:noProof/>
        </w:rPr>
      </w:pPr>
      <w:r>
        <w:rPr>
          <w:noProof/>
        </w:rPr>
        <w:t>3.</w:t>
      </w:r>
      <w:r>
        <w:rPr>
          <w:noProof/>
        </w:rPr>
        <w:tab/>
        <w:t>Отражение върху бюджета</w:t>
      </w:r>
    </w:p>
    <w:p w:rsidR="00F17B36" w:rsidRDefault="009F5B54">
      <w:pPr>
        <w:pStyle w:val="Text1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Настоящият план за действие няма да окаже отражение върху бюджета на ЕС, с изключени</w:t>
      </w:r>
      <w:r>
        <w:rPr>
          <w:rFonts w:ascii="Times New Roman" w:hAnsi="Times New Roman"/>
          <w:noProof/>
          <w:sz w:val="24"/>
        </w:rPr>
        <w:t>е на евентуално осигуряване на средства за инфраструктура с двойно предназначение в бъдеще съгласно посоченото в раздел 2.2 по-горе. С оглед на това евентуалната допълнителна финансова подкрепа от ЕС за изпълнението на проекти с двойно предназначение ще за</w:t>
      </w:r>
      <w:r>
        <w:rPr>
          <w:rFonts w:ascii="Times New Roman" w:hAnsi="Times New Roman"/>
          <w:noProof/>
          <w:sz w:val="24"/>
        </w:rPr>
        <w:t>легне в предстоящото предложение на Комисията за многогодишната финансова рамка.</w:t>
      </w:r>
    </w:p>
    <w:p w:rsidR="00F17B36" w:rsidRDefault="009F5B54">
      <w:pPr>
        <w:pStyle w:val="En-tte0"/>
        <w:spacing w:before="240" w:after="240"/>
        <w:ind w:left="0" w:firstLine="0"/>
        <w:rPr>
          <w:noProof/>
        </w:rPr>
      </w:pPr>
      <w:r>
        <w:rPr>
          <w:noProof/>
        </w:rPr>
        <w:t>4.</w:t>
      </w:r>
      <w:r>
        <w:rPr>
          <w:noProof/>
        </w:rPr>
        <w:tab/>
        <w:t>Предстоящи стъпки</w:t>
      </w:r>
    </w:p>
    <w:p w:rsidR="00F17B36" w:rsidRDefault="009F5B54">
      <w:pPr>
        <w:pStyle w:val="Text1"/>
        <w:spacing w:after="0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Върховният представител и Комисията представят плана за действие относно военната мобилност за преглед и одобрение от държавите — членки на ЕС, за да може</w:t>
      </w:r>
      <w:r>
        <w:rPr>
          <w:rFonts w:ascii="Times New Roman" w:hAnsi="Times New Roman"/>
          <w:noProof/>
          <w:sz w:val="24"/>
        </w:rPr>
        <w:t xml:space="preserve"> да се пристъпи към своевременното му и съгласувано изпълнение. Планът трябва да се разглежда като начинание в непрекъснато развитие и ако е целесъобразно, впоследствие може да бъде преработван.</w:t>
      </w:r>
    </w:p>
    <w:p w:rsidR="00F17B36" w:rsidRDefault="009F5B54">
      <w:pPr>
        <w:pStyle w:val="Text1"/>
        <w:spacing w:before="120" w:after="120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Върховният представител и Комисията периодично и по целесъобр</w:t>
      </w:r>
      <w:r>
        <w:rPr>
          <w:rFonts w:ascii="Times New Roman" w:hAnsi="Times New Roman"/>
          <w:noProof/>
          <w:sz w:val="24"/>
        </w:rPr>
        <w:t>азност ще представят на държавите — членки на ЕС, доклади за напредъка по изпълнението на настоящия план за действие, първият от които трябва да бъде представен до лятото на 2019 г.; тези доклади се представят независимо от годишните доклади на Европейскат</w:t>
      </w:r>
      <w:r>
        <w:rPr>
          <w:rFonts w:ascii="Times New Roman" w:hAnsi="Times New Roman"/>
          <w:noProof/>
          <w:sz w:val="24"/>
        </w:rPr>
        <w:t>а агенция по отбрана до министрите на отбраната на държавите членки и ги допълват.</w:t>
      </w:r>
    </w:p>
    <w:sectPr w:rsidR="00F17B3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40"/>
      <w:pgMar w:top="1620" w:right="1620" w:bottom="1620" w:left="1620" w:header="300" w:footer="300" w:gutter="0"/>
      <w:pgNumType w:start="1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E4D47D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E4D47D4" w16cid:durableId="1E48657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B36" w:rsidRDefault="009F5B54">
      <w:r>
        <w:separator/>
      </w:r>
    </w:p>
  </w:endnote>
  <w:endnote w:type="continuationSeparator" w:id="0">
    <w:p w:rsidR="00F17B36" w:rsidRDefault="009F5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B36" w:rsidRDefault="00F17B3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B36" w:rsidRDefault="009F5B54">
    <w:pPr>
      <w:pStyle w:val="FooterCoverPage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  <w:lang w:val="fr-BE"/>
      </w:rPr>
      <w:tab/>
    </w:r>
    <w:r>
      <w:rPr>
        <w:rFonts w:ascii="Arial" w:hAnsi="Arial" w:cs="Arial"/>
        <w:b/>
        <w:sz w:val="48"/>
      </w:rPr>
      <w:t>BG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tab/>
    </w:r>
    <w:proofErr w:type="spellStart"/>
    <w:r>
      <w:rPr>
        <w:rFonts w:ascii="Arial" w:hAnsi="Arial" w:cs="Arial"/>
        <w:b/>
        <w:sz w:val="48"/>
      </w:rPr>
      <w:t>BG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B36" w:rsidRDefault="00F17B36">
    <w:pPr>
      <w:pStyle w:val="FooterCover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B36" w:rsidRDefault="00F17B36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09953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7B36" w:rsidRDefault="009F5B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17B36" w:rsidRDefault="00F17B36">
    <w:pPr>
      <w:pStyle w:val="Footer"/>
      <w:tabs>
        <w:tab w:val="clear" w:pos="9071"/>
        <w:tab w:val="clear" w:pos="9921"/>
        <w:tab w:val="right" w:pos="8593"/>
        <w:tab w:val="right" w:pos="8593"/>
      </w:tabs>
      <w:jc w:val="cen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B36" w:rsidRDefault="00F17B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B36" w:rsidRDefault="009F5B54">
      <w:r>
        <w:separator/>
      </w:r>
    </w:p>
  </w:footnote>
  <w:footnote w:type="continuationSeparator" w:id="0">
    <w:p w:rsidR="00F17B36" w:rsidRDefault="009F5B54">
      <w:r>
        <w:continuationSeparator/>
      </w:r>
    </w:p>
  </w:footnote>
  <w:footnote w:type="continuationNotice" w:id="1">
    <w:p w:rsidR="00F17B36" w:rsidRDefault="00F17B36"/>
  </w:footnote>
  <w:footnote w:id="2">
    <w:p w:rsidR="00F17B36" w:rsidRDefault="009F5B54">
      <w:pPr>
        <w:pStyle w:val="FootnoteText"/>
        <w:spacing w:after="0" w:line="240" w:lineRule="auto"/>
        <w:ind w:left="360" w:hanging="360"/>
        <w:jc w:val="both"/>
        <w:rPr>
          <w:rFonts w:ascii="Times New Roman" w:hAnsi="Times New Roman" w:cs="Times New Roman"/>
          <w:lang w:val="ru-RU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tab/>
      </w:r>
      <w:r>
        <w:rPr>
          <w:rFonts w:ascii="Times New Roman" w:hAnsi="Times New Roman"/>
        </w:rPr>
        <w:t xml:space="preserve">Реч за състоянието на Съюза от 2017 г., 13 септември 2017 г.: </w:t>
      </w:r>
      <w:hyperlink r:id="rId1">
        <w:r>
          <w:rPr>
            <w:rStyle w:val="Hyperlink"/>
            <w:rFonts w:ascii="Times New Roman" w:hAnsi="Times New Roman"/>
          </w:rPr>
          <w:t>http://europa.eu/rapid/press-release_SPEECH-17-3165_bg.htm</w:t>
        </w:r>
      </w:hyperlink>
      <w:r>
        <w:rPr>
          <w:rFonts w:ascii="Times New Roman" w:hAnsi="Times New Roman"/>
        </w:rPr>
        <w:t>.</w:t>
      </w:r>
    </w:p>
  </w:footnote>
  <w:footnote w:id="3">
    <w:p w:rsidR="00F17B36" w:rsidRDefault="009F5B54">
      <w:pPr>
        <w:pStyle w:val="FootnoteText"/>
        <w:spacing w:after="0" w:line="240" w:lineRule="auto"/>
        <w:ind w:left="360" w:hanging="360"/>
        <w:jc w:val="both"/>
        <w:rPr>
          <w:rFonts w:ascii="Times New Roman" w:hAnsi="Times New Roman" w:cs="Times New Roman"/>
          <w:lang w:val="ru-RU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tab/>
      </w:r>
      <w:r>
        <w:rPr>
          <w:rFonts w:ascii="Times New Roman" w:hAnsi="Times New Roman"/>
        </w:rPr>
        <w:t>Глобална стратегия за външната политика и политиката на сигурност на Европейския съюз, Заключения на Съвета по външни</w:t>
      </w:r>
      <w:r>
        <w:rPr>
          <w:rFonts w:ascii="Times New Roman" w:hAnsi="Times New Roman"/>
        </w:rPr>
        <w:t xml:space="preserve"> работи, 14 ноември 2016 г.</w:t>
      </w:r>
    </w:p>
  </w:footnote>
  <w:footnote w:id="4">
    <w:p w:rsidR="00F17B36" w:rsidRDefault="009F5B54">
      <w:pPr>
        <w:pStyle w:val="FootnoteText"/>
        <w:spacing w:after="0" w:line="240" w:lineRule="auto"/>
        <w:ind w:left="360" w:hanging="360"/>
        <w:rPr>
          <w:rFonts w:ascii="Times New Roman" w:hAnsi="Times New Roman" w:cs="Times New Roman"/>
          <w:lang w:val="ru-RU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tab/>
      </w:r>
      <w:r>
        <w:rPr>
          <w:rFonts w:ascii="Times New Roman" w:hAnsi="Times New Roman"/>
        </w:rPr>
        <w:t>Член 42, параграф 7 от ДЕС.</w:t>
      </w:r>
    </w:p>
  </w:footnote>
  <w:footnote w:id="5">
    <w:p w:rsidR="00F17B36" w:rsidRDefault="009F5B54">
      <w:pPr>
        <w:pStyle w:val="FootnoteText"/>
        <w:spacing w:after="0" w:line="240" w:lineRule="auto"/>
        <w:ind w:left="360" w:hanging="360"/>
        <w:rPr>
          <w:rFonts w:ascii="Times New Roman" w:hAnsi="Times New Roman" w:cs="Times New Roman"/>
          <w:lang w:val="ru-RU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tab/>
      </w:r>
      <w:r>
        <w:rPr>
          <w:rFonts w:ascii="Times New Roman" w:hAnsi="Times New Roman"/>
        </w:rPr>
        <w:t>http://www.consilium.europa.eu/media/32000/st14866en17.pdf</w:t>
      </w:r>
    </w:p>
  </w:footnote>
  <w:footnote w:id="6">
    <w:p w:rsidR="00F17B36" w:rsidRDefault="009F5B54">
      <w:pPr>
        <w:pStyle w:val="FootnoteText"/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tab/>
      </w:r>
      <w:r>
        <w:rPr>
          <w:rFonts w:ascii="Times New Roman" w:hAnsi="Times New Roman"/>
        </w:rPr>
        <w:t>http://www.consilium.europa.eu/media/33064/council-recommendation.pdf</w:t>
      </w:r>
    </w:p>
    <w:p w:rsidR="00F17B36" w:rsidRDefault="009F5B54">
      <w:pPr>
        <w:pStyle w:val="FootnoteText"/>
        <w:spacing w:after="0" w:line="240" w:lineRule="auto"/>
        <w:ind w:left="360" w:firstLine="0"/>
        <w:rPr>
          <w:rFonts w:ascii="Times New Roman" w:hAnsi="Times New Roman" w:cs="Times New Roman"/>
        </w:rPr>
      </w:pPr>
      <w:r>
        <w:rPr>
          <w:rStyle w:val="Hyperlink"/>
          <w:rFonts w:ascii="Times New Roman" w:hAnsi="Times New Roman"/>
        </w:rPr>
        <w:t>http://data.consilium.europa.eu/doc/document/ST-6393-2018-INIT</w:t>
      </w:r>
      <w:r>
        <w:rPr>
          <w:rStyle w:val="Hyperlink"/>
          <w:rFonts w:ascii="Times New Roman" w:hAnsi="Times New Roman"/>
        </w:rPr>
        <w:t>/</w:t>
      </w:r>
      <w:proofErr w:type="spellStart"/>
      <w:r>
        <w:rPr>
          <w:rStyle w:val="Hyperlink"/>
          <w:rFonts w:ascii="Times New Roman" w:hAnsi="Times New Roman"/>
          <w:lang w:val="en-GB"/>
        </w:rPr>
        <w:t>bg</w:t>
      </w:r>
      <w:proofErr w:type="spellEnd"/>
      <w:r>
        <w:rPr>
          <w:rStyle w:val="Hyperlink"/>
          <w:rFonts w:ascii="Times New Roman" w:hAnsi="Times New Roman"/>
        </w:rPr>
        <w:t>/</w:t>
      </w:r>
      <w:proofErr w:type="spellStart"/>
      <w:r>
        <w:rPr>
          <w:rStyle w:val="Hyperlink"/>
          <w:rFonts w:ascii="Times New Roman" w:hAnsi="Times New Roman"/>
        </w:rPr>
        <w:t>pdf</w:t>
      </w:r>
      <w:proofErr w:type="spellEnd"/>
    </w:p>
  </w:footnote>
  <w:footnote w:id="7">
    <w:p w:rsidR="00F17B36" w:rsidRDefault="009F5B54">
      <w:pPr>
        <w:pStyle w:val="FootnoteText"/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 </w:t>
      </w:r>
      <w:r>
        <w:tab/>
      </w:r>
      <w:r>
        <w:rPr>
          <w:rFonts w:ascii="Times New Roman" w:hAnsi="Times New Roman"/>
        </w:rPr>
        <w:t>http://www.consilium.europa.eu/media/31947/st14802en17.pdf</w:t>
      </w:r>
    </w:p>
  </w:footnote>
  <w:footnote w:id="8">
    <w:p w:rsidR="00F17B36" w:rsidRDefault="009F5B54">
      <w:pPr>
        <w:pStyle w:val="FootnoteText"/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tab/>
      </w:r>
      <w:hyperlink r:id="rId2">
        <w:r>
          <w:rPr>
            <w:rStyle w:val="Hyperlink"/>
            <w:rFonts w:ascii="Times New Roman" w:hAnsi="Times New Roman"/>
            <w:u w:val="none"/>
          </w:rPr>
          <w:t>http://www.consilium.europa.eu/media/21481/nato-eu-declaration-8-july-en-final.p</w:t>
        </w:r>
        <w:r>
          <w:rPr>
            <w:rStyle w:val="Hyperlink"/>
            <w:rFonts w:ascii="Times New Roman" w:hAnsi="Times New Roman"/>
            <w:u w:val="none"/>
          </w:rPr>
          <w:t>df</w:t>
        </w:r>
      </w:hyperlink>
    </w:p>
    <w:p w:rsidR="00F17B36" w:rsidRDefault="009F5B54">
      <w:pPr>
        <w:pStyle w:val="FootnoteText"/>
        <w:spacing w:after="0" w:line="240" w:lineRule="auto"/>
        <w:ind w:left="360" w:firstLine="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http://www.consilium.europa.eu/media/31947/st14802en17.pdf.</w:t>
      </w:r>
    </w:p>
  </w:footnote>
  <w:footnote w:id="9">
    <w:p w:rsidR="00F17B36" w:rsidRDefault="009F5B54">
      <w:pPr>
        <w:pStyle w:val="FootnoteText"/>
        <w:spacing w:after="0" w:line="240" w:lineRule="auto"/>
        <w:ind w:left="360" w:hanging="360"/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tab/>
      </w:r>
      <w:r>
        <w:rPr>
          <w:rFonts w:ascii="Times New Roman" w:hAnsi="Times New Roman"/>
        </w:rPr>
        <w:t>http://www.consilium.europa.eu/media/32204/14-final-conclusions-rev1-en.pdf.</w:t>
      </w:r>
    </w:p>
  </w:footnote>
  <w:footnote w:id="10">
    <w:p w:rsidR="00F17B36" w:rsidRDefault="009F5B54">
      <w:pPr>
        <w:pStyle w:val="FootnoteText"/>
        <w:spacing w:after="0" w:line="240" w:lineRule="auto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 </w:t>
      </w:r>
      <w:r>
        <w:tab/>
      </w:r>
      <w:hyperlink r:id="rId3">
        <w:r>
          <w:rPr>
            <w:rStyle w:val="Hyperlink"/>
            <w:rFonts w:ascii="Times New Roman" w:hAnsi="Times New Roman"/>
            <w:u w:val="none"/>
          </w:rPr>
          <w:t>https://eeas.europa.eu/sites/eeas/files/joint_communication_to_the_european_parliament_and_the_</w:t>
        </w:r>
      </w:hyperlink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council_-_improving_military_mobility_in_the_european_union</w:t>
      </w:r>
      <w:proofErr w:type="spellEnd"/>
      <w:r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</w:rPr>
        <w:t>pdf</w:t>
      </w:r>
      <w:proofErr w:type="spellEnd"/>
    </w:p>
  </w:footnote>
  <w:footnote w:id="11">
    <w:p w:rsidR="00F17B36" w:rsidRDefault="009F5B54">
      <w:pPr>
        <w:pStyle w:val="FootnoteText"/>
        <w:spacing w:after="0"/>
        <w:ind w:left="360" w:hanging="360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tab/>
      </w:r>
      <w:r>
        <w:rPr>
          <w:rFonts w:ascii="Times New Roman" w:hAnsi="Times New Roman"/>
        </w:rPr>
        <w:t>Проектен екип „Движение и транспорт“ обединява експерти от държавите — членки на ЕС, ка</w:t>
      </w:r>
      <w:r>
        <w:rPr>
          <w:rFonts w:ascii="Times New Roman" w:hAnsi="Times New Roman"/>
        </w:rPr>
        <w:t>то целта е да се набележат потенциални сфери на сътрудничество, да се оцени доколко осъществими са съвместните дейности, и да се осигури по-тясна съгласуваност на потребностите на въоръжените сили. Проектът представлява платформа за обмен на информация меж</w:t>
      </w:r>
      <w:r>
        <w:rPr>
          <w:rFonts w:ascii="Times New Roman" w:hAnsi="Times New Roman"/>
        </w:rPr>
        <w:t>ду държавите от ЕС за всякакви текущи дейности в областта на движението и транспорта с цел да се извлече полза от изпълняваните към момента инициативи и да се избегне опасността от дублиране на усилията.</w:t>
      </w:r>
    </w:p>
  </w:footnote>
  <w:footnote w:id="12">
    <w:p w:rsidR="00F17B36" w:rsidRDefault="009F5B54">
      <w:pPr>
        <w:pStyle w:val="FootnoteText"/>
        <w:spacing w:after="0"/>
        <w:ind w:left="360" w:hanging="360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tab/>
      </w:r>
      <w:hyperlink r:id="rId4">
        <w:r>
          <w:rPr>
            <w:rStyle w:val="Hyperlink"/>
            <w:rFonts w:ascii="Times New Roman" w:hAnsi="Times New Roman"/>
          </w:rPr>
          <w:t>https://www.eda.europa.eu/what-we-do/activities/activities-search/eu-multimodal-transport-hubs</w:t>
        </w:r>
      </w:hyperlink>
      <w:r>
        <w:rPr>
          <w:rFonts w:ascii="Times New Roman" w:hAnsi="Times New Roman"/>
        </w:rPr>
        <w:t xml:space="preserve"> </w:t>
      </w:r>
    </w:p>
  </w:footnote>
  <w:footnote w:id="13">
    <w:p w:rsidR="00F17B36" w:rsidRDefault="009F5B54">
      <w:pPr>
        <w:pStyle w:val="FootnoteText"/>
        <w:spacing w:after="0"/>
        <w:ind w:left="360" w:hanging="360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tab/>
      </w:r>
      <w:hyperlink r:id="rId5">
        <w:r>
          <w:rPr>
            <w:rStyle w:val="Hyperlink"/>
            <w:rFonts w:ascii="Times New Roman" w:hAnsi="Times New Roman"/>
          </w:rPr>
          <w:t>https://www.eda.europa.eu/docs/default-source/documents/dic-ip.pdf</w:t>
        </w:r>
      </w:hyperlink>
      <w:r>
        <w:rPr>
          <w:rFonts w:ascii="Times New Roman" w:hAnsi="Times New Roman"/>
        </w:rPr>
        <w:t xml:space="preserve"> </w:t>
      </w:r>
    </w:p>
  </w:footnote>
  <w:footnote w:id="14">
    <w:p w:rsidR="00F17B36" w:rsidRDefault="009F5B54">
      <w:pPr>
        <w:pStyle w:val="FootnoteText"/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tab/>
      </w:r>
      <w:r>
        <w:rPr>
          <w:rStyle w:val="Aucun"/>
          <w:rFonts w:ascii="Times New Roman" w:hAnsi="Times New Roman"/>
        </w:rPr>
        <w:t xml:space="preserve">Регламент (ЕС) № 1315/2013 на Европейския парламент и на Съвета от 11 декември 2013 г. относно насоките на Съюза за развитието на </w:t>
      </w:r>
      <w:proofErr w:type="spellStart"/>
      <w:r>
        <w:rPr>
          <w:rStyle w:val="Aucun"/>
          <w:rFonts w:ascii="Times New Roman" w:hAnsi="Times New Roman"/>
        </w:rPr>
        <w:t>трансевропейската</w:t>
      </w:r>
      <w:proofErr w:type="spellEnd"/>
      <w:r>
        <w:rPr>
          <w:rStyle w:val="Aucun"/>
          <w:rFonts w:ascii="Times New Roman" w:hAnsi="Times New Roman"/>
        </w:rPr>
        <w:t xml:space="preserve"> транспортна мрежа и за отмяна на Реше</w:t>
      </w:r>
      <w:r>
        <w:rPr>
          <w:rStyle w:val="Aucun"/>
          <w:rFonts w:ascii="Times New Roman" w:hAnsi="Times New Roman"/>
        </w:rPr>
        <w:t>ние № 661/2010/ЕС (ОВ L 348, 20.12.2013 г., стр. 1).</w:t>
      </w:r>
    </w:p>
  </w:footnote>
  <w:footnote w:id="15">
    <w:p w:rsidR="00F17B36" w:rsidRDefault="009F5B54">
      <w:pPr>
        <w:pStyle w:val="FootnoteText"/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tab/>
      </w:r>
      <w:r>
        <w:rPr>
          <w:rFonts w:ascii="Times New Roman" w:hAnsi="Times New Roman"/>
        </w:rPr>
        <w:t>Нидерландия, Белгия, Германия, Полша, Литва, Латвия, Естония и Финландия.</w:t>
      </w:r>
    </w:p>
  </w:footnote>
  <w:footnote w:id="16">
    <w:p w:rsidR="00F17B36" w:rsidRDefault="009F5B54">
      <w:pPr>
        <w:pStyle w:val="FootnoteText"/>
        <w:spacing w:after="0" w:line="24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tab/>
      </w:r>
      <w:r>
        <w:rPr>
          <w:rFonts w:ascii="Times New Roman" w:hAnsi="Times New Roman"/>
        </w:rPr>
        <w:t>Делегиран регламент (ЕС) 2015/2446 на Комисията от 28 юли 2015 г. за допълнение на Регламент (ЕС) № 952/2013 на Европейския</w:t>
      </w:r>
      <w:r>
        <w:rPr>
          <w:rFonts w:ascii="Times New Roman" w:hAnsi="Times New Roman"/>
        </w:rPr>
        <w:t xml:space="preserve"> парламент и на Съвета за определяне на подробни правила за някои от разпоредбите на Митническия кодекс на Съюза (ОВ L 343,29, </w:t>
      </w:r>
      <w:proofErr w:type="spellStart"/>
      <w:r>
        <w:rPr>
          <w:rFonts w:ascii="Times New Roman" w:hAnsi="Times New Roman"/>
        </w:rPr>
        <w:t>29</w:t>
      </w:r>
      <w:proofErr w:type="spellEnd"/>
      <w:r>
        <w:rPr>
          <w:rFonts w:ascii="Times New Roman" w:hAnsi="Times New Roman"/>
        </w:rPr>
        <w:t>.12.2015 г., стр. 1) и Регламент за изпълнение (ЕС) 2015/2447 на Комисията от 24 ноември 2015 г. за определяне на подробни прав</w:t>
      </w:r>
      <w:r>
        <w:rPr>
          <w:rFonts w:ascii="Times New Roman" w:hAnsi="Times New Roman"/>
        </w:rPr>
        <w:t>ила за прилагането на някои разпоредби на Регламент (ЕС) № 952/2013 на Европейския парламент и на Съвета за създаване на Митнически кодекс на Съюза (OВ L 343, 29.12.2015 г., стр. 558).</w:t>
      </w:r>
    </w:p>
  </w:footnote>
  <w:footnote w:id="17">
    <w:p w:rsidR="00F17B36" w:rsidRDefault="009F5B5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" w:history="1">
        <w:r>
          <w:rPr>
            <w:rStyle w:val="Hyperlink"/>
            <w:rFonts w:ascii="Times New Roman" w:hAnsi="Times New Roman"/>
          </w:rPr>
          <w:t>http://eur-lex.europa.eu/legal-content/</w:t>
        </w:r>
        <w:r>
          <w:rPr>
            <w:rStyle w:val="Hyperlink"/>
            <w:rFonts w:ascii="Times New Roman" w:hAnsi="Times New Roman"/>
            <w:lang w:val="en-GB"/>
          </w:rPr>
          <w:t>BG</w:t>
        </w:r>
        <w:r>
          <w:rPr>
            <w:rStyle w:val="Hyperlink"/>
            <w:rFonts w:ascii="Times New Roman" w:hAnsi="Times New Roman"/>
          </w:rPr>
          <w:t>/TXT/?</w:t>
        </w:r>
        <w:proofErr w:type="spellStart"/>
        <w:r>
          <w:rPr>
            <w:rStyle w:val="Hyperlink"/>
            <w:rFonts w:ascii="Times New Roman" w:hAnsi="Times New Roman"/>
          </w:rPr>
          <w:t>uri</w:t>
        </w:r>
        <w:proofErr w:type="spellEnd"/>
        <w:r>
          <w:rPr>
            <w:rStyle w:val="Hyperlink"/>
            <w:rFonts w:ascii="Times New Roman" w:hAnsi="Times New Roman"/>
          </w:rPr>
          <w:t>=CELEX:52016JC0018.</w:t>
        </w:r>
      </w:hyperlink>
      <w:r>
        <w:rPr>
          <w:rFonts w:ascii="Times New Roman" w:hAnsi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B36" w:rsidRDefault="00F17B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B36" w:rsidRDefault="00F17B36">
    <w:pPr>
      <w:pStyle w:val="HeaderCoverPag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B36" w:rsidRDefault="00F17B36">
    <w:pPr>
      <w:pStyle w:val="HeaderCoverPag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B36" w:rsidRDefault="00F17B36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B36" w:rsidRDefault="00F17B36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B36" w:rsidRDefault="00F17B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F69CC"/>
    <w:multiLevelType w:val="hybridMultilevel"/>
    <w:tmpl w:val="11DC9056"/>
    <w:styleLink w:val="Style12import"/>
    <w:lvl w:ilvl="0" w:tplc="9800B0EE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4A92425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AAA640AA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1960FC54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BB48334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8368D36C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6F04904A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D4660C2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4A5E71D0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">
    <w:nsid w:val="061A4B70"/>
    <w:multiLevelType w:val="hybridMultilevel"/>
    <w:tmpl w:val="7426652C"/>
    <w:styleLink w:val="Style2import"/>
    <w:lvl w:ilvl="0" w:tplc="AFB2EC6C">
      <w:start w:val="1"/>
      <w:numFmt w:val="bullet"/>
      <w:lvlText w:val="-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A1E2F540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E605844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D6F8C8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9303F82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7AE8050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6FCBF98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3E0B88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506742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0F6E2E1F"/>
    <w:multiLevelType w:val="hybridMultilevel"/>
    <w:tmpl w:val="1C80BB92"/>
    <w:styleLink w:val="Style6import"/>
    <w:lvl w:ilvl="0" w:tplc="529EEA5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4A9FBE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4A4616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394F060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826FF4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E26F8E6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06E1B34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54EC7E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28281A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0FA31AAD"/>
    <w:multiLevelType w:val="hybridMultilevel"/>
    <w:tmpl w:val="0AC6A03A"/>
    <w:styleLink w:val="Style7import"/>
    <w:lvl w:ilvl="0" w:tplc="7682C82E">
      <w:start w:val="1"/>
      <w:numFmt w:val="bullet"/>
      <w:lvlText w:val="-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39B2B430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868379E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B870DA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AC1D2E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76DBA0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3DEE6AC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002B3A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FAAEB8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22B64FFB"/>
    <w:multiLevelType w:val="hybridMultilevel"/>
    <w:tmpl w:val="1F682B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54B6130"/>
    <w:multiLevelType w:val="hybridMultilevel"/>
    <w:tmpl w:val="64101E0C"/>
    <w:lvl w:ilvl="0" w:tplc="3C70EE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50EC1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</w:rPr>
    </w:lvl>
    <w:lvl w:ilvl="2" w:tplc="3DCC2E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58A2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F8A9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A2F7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FC9D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D2C4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9676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E5956E2"/>
    <w:multiLevelType w:val="hybridMultilevel"/>
    <w:tmpl w:val="A3B6F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C42CB6"/>
    <w:multiLevelType w:val="hybridMultilevel"/>
    <w:tmpl w:val="E6B65C44"/>
    <w:styleLink w:val="Style5import"/>
    <w:lvl w:ilvl="0" w:tplc="F84AF436">
      <w:start w:val="1"/>
      <w:numFmt w:val="bullet"/>
      <w:lvlText w:val="-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4372DA4C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9466E4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BF8D01A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DC57B4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42CD1A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DF66A9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1D62E48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976A91C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3E54601D"/>
    <w:multiLevelType w:val="hybridMultilevel"/>
    <w:tmpl w:val="0128A55C"/>
    <w:lvl w:ilvl="0" w:tplc="52B8BA80">
      <w:start w:val="1"/>
      <w:numFmt w:val="bullet"/>
      <w:lvlText w:val="·"/>
      <w:lvlJc w:val="left"/>
      <w:pPr>
        <w:ind w:left="35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1EE3A38">
      <w:start w:val="1"/>
      <w:numFmt w:val="bullet"/>
      <w:lvlText w:val="o"/>
      <w:lvlJc w:val="left"/>
      <w:pPr>
        <w:ind w:left="107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7A6C24">
      <w:start w:val="1"/>
      <w:numFmt w:val="bullet"/>
      <w:lvlText w:val="▪"/>
      <w:lvlJc w:val="left"/>
      <w:pPr>
        <w:ind w:left="179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52E930">
      <w:start w:val="1"/>
      <w:numFmt w:val="bullet"/>
      <w:lvlText w:val="·"/>
      <w:lvlJc w:val="left"/>
      <w:pPr>
        <w:ind w:left="251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AB62CA8">
      <w:start w:val="1"/>
      <w:numFmt w:val="bullet"/>
      <w:lvlText w:val="o"/>
      <w:lvlJc w:val="left"/>
      <w:pPr>
        <w:ind w:left="323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29A983C">
      <w:start w:val="1"/>
      <w:numFmt w:val="bullet"/>
      <w:lvlText w:val="▪"/>
      <w:lvlJc w:val="left"/>
      <w:pPr>
        <w:ind w:left="395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AC0C06">
      <w:start w:val="1"/>
      <w:numFmt w:val="bullet"/>
      <w:lvlText w:val="·"/>
      <w:lvlJc w:val="left"/>
      <w:pPr>
        <w:ind w:left="467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53241B8">
      <w:start w:val="1"/>
      <w:numFmt w:val="bullet"/>
      <w:lvlText w:val="o"/>
      <w:lvlJc w:val="left"/>
      <w:pPr>
        <w:ind w:left="539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D5AC5A0">
      <w:start w:val="1"/>
      <w:numFmt w:val="bullet"/>
      <w:lvlText w:val="▪"/>
      <w:lvlJc w:val="left"/>
      <w:pPr>
        <w:ind w:left="611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45DD7359"/>
    <w:multiLevelType w:val="hybridMultilevel"/>
    <w:tmpl w:val="E6EA4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0A41F1"/>
    <w:multiLevelType w:val="hybridMultilevel"/>
    <w:tmpl w:val="01EAC4C2"/>
    <w:lvl w:ilvl="0" w:tplc="A454B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8A1330"/>
    <w:multiLevelType w:val="multilevel"/>
    <w:tmpl w:val="7862DCDA"/>
    <w:numStyleLink w:val="Style1import"/>
  </w:abstractNum>
  <w:abstractNum w:abstractNumId="12">
    <w:nsid w:val="58B436CE"/>
    <w:multiLevelType w:val="hybridMultilevel"/>
    <w:tmpl w:val="89CCB6E6"/>
    <w:styleLink w:val="Style3import"/>
    <w:lvl w:ilvl="0" w:tplc="411A1370">
      <w:start w:val="1"/>
      <w:numFmt w:val="bullet"/>
      <w:lvlText w:val="-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D2EA5DA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93E7C5A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4F2A18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60116A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E6F4A8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FE69BC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EC41788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8A51EA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5A636426"/>
    <w:multiLevelType w:val="hybridMultilevel"/>
    <w:tmpl w:val="BBE032A8"/>
    <w:lvl w:ilvl="0" w:tplc="DE1A4F2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EE99A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205E3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1E003F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0886C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7E4777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F08D2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942311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B2154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69E4264B"/>
    <w:multiLevelType w:val="hybridMultilevel"/>
    <w:tmpl w:val="9E3A9144"/>
    <w:styleLink w:val="Style13import"/>
    <w:lvl w:ilvl="0" w:tplc="761209EE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44A2773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D842DA1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7B2CD4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2BA0152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D8BC33F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B3CE8D0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423AFEA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A1A0E6C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5">
    <w:nsid w:val="6C5A7E85"/>
    <w:multiLevelType w:val="hybridMultilevel"/>
    <w:tmpl w:val="FAFACCB6"/>
    <w:styleLink w:val="Style4import"/>
    <w:lvl w:ilvl="0" w:tplc="FAE8386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3A8604A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9285A0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2D6F52C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E05D60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F0302A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48227BC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52DEFC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5CE9536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710F2000"/>
    <w:multiLevelType w:val="hybridMultilevel"/>
    <w:tmpl w:val="FAFACCB6"/>
    <w:numStyleLink w:val="Style4import"/>
  </w:abstractNum>
  <w:abstractNum w:abstractNumId="17">
    <w:nsid w:val="73BB11B6"/>
    <w:multiLevelType w:val="multilevel"/>
    <w:tmpl w:val="7862DCDA"/>
    <w:styleLink w:val="Style1import"/>
    <w:lvl w:ilvl="0">
      <w:start w:val="1"/>
      <w:numFmt w:val="decimal"/>
      <w:pStyle w:val="HeaderSensitivity"/>
      <w:lvlText w:val="%1."/>
      <w:lvlJc w:val="left"/>
      <w:pPr>
        <w:ind w:left="48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pStyle w:val="Sous-section2"/>
      <w:lvlText w:val="%1.%2."/>
      <w:lvlJc w:val="left"/>
      <w:pPr>
        <w:ind w:left="1429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9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1.%2.%3.%4.(%5)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1.%2.%3.%4.(%5)(%6)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(%5)(%6)%7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1.%2.%3.%4.(%5)(%6)%7.%8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1.%2.%3.%4.(%5)(%6)%7.%8.%9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75CF638A"/>
    <w:multiLevelType w:val="hybridMultilevel"/>
    <w:tmpl w:val="DEC27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D16C50"/>
    <w:multiLevelType w:val="hybridMultilevel"/>
    <w:tmpl w:val="EA0080AE"/>
    <w:lvl w:ilvl="0" w:tplc="A454B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6F7E5D"/>
    <w:multiLevelType w:val="hybridMultilevel"/>
    <w:tmpl w:val="33B62D4E"/>
    <w:styleLink w:val="Style14import"/>
    <w:lvl w:ilvl="0" w:tplc="83665AFC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F8D6C7F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0924272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0CDA5DC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0CFEE0B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B24ED9B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C57247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844A6EA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1C86C73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1">
    <w:nsid w:val="7E5427AE"/>
    <w:multiLevelType w:val="hybridMultilevel"/>
    <w:tmpl w:val="F15AA88A"/>
    <w:styleLink w:val="Style11import"/>
    <w:lvl w:ilvl="0" w:tplc="63506E6E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F170F29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3434029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24D0B72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37FAD47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8D58135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F45CF8C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39E21EC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2B18AB1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17"/>
  </w:num>
  <w:num w:numId="2">
    <w:abstractNumId w:val="11"/>
  </w:num>
  <w:num w:numId="3">
    <w:abstractNumId w:val="1"/>
  </w:num>
  <w:num w:numId="4">
    <w:abstractNumId w:val="12"/>
  </w:num>
  <w:num w:numId="5">
    <w:abstractNumId w:val="15"/>
  </w:num>
  <w:num w:numId="6">
    <w:abstractNumId w:val="16"/>
  </w:num>
  <w:num w:numId="7">
    <w:abstractNumId w:val="7"/>
  </w:num>
  <w:num w:numId="8">
    <w:abstractNumId w:val="2"/>
  </w:num>
  <w:num w:numId="9">
    <w:abstractNumId w:val="3"/>
  </w:num>
  <w:num w:numId="10">
    <w:abstractNumId w:val="8"/>
  </w:num>
  <w:num w:numId="11">
    <w:abstractNumId w:val="13"/>
  </w:num>
  <w:num w:numId="12">
    <w:abstractNumId w:val="21"/>
  </w:num>
  <w:num w:numId="13">
    <w:abstractNumId w:val="0"/>
  </w:num>
  <w:num w:numId="14">
    <w:abstractNumId w:val="14"/>
  </w:num>
  <w:num w:numId="15">
    <w:abstractNumId w:val="20"/>
  </w:num>
  <w:num w:numId="16">
    <w:abstractNumId w:val="9"/>
  </w:num>
  <w:num w:numId="17">
    <w:abstractNumId w:val="18"/>
  </w:num>
  <w:num w:numId="18">
    <w:abstractNumId w:val="19"/>
  </w:num>
  <w:num w:numId="19">
    <w:abstractNumId w:val="5"/>
  </w:num>
  <w:num w:numId="20">
    <w:abstractNumId w:val="6"/>
  </w:num>
  <w:num w:numId="21">
    <w:abstractNumId w:val="10"/>
  </w:num>
  <w:num w:numId="22">
    <w:abstractNumId w:val="4"/>
  </w:num>
  <w:numIdMacAtCleanup w:val="2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assilis Tsiamis">
    <w15:presenceInfo w15:providerId="Windows Live" w15:userId="500e4b6cadaa2f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removePersonalInformation/>
  <w:removeDateAndTime/>
  <w:hideSpellingErrors/>
  <w:hideGrammaticalErrors/>
  <w:proofState w:spelling="clean" w:grammar="clean"/>
  <w:doNotTrackFormatting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4"/>
  </w:compat>
  <w:docVars>
    <w:docVar w:name="DocStatus" w:val="Red"/>
    <w:docVar w:name="LW_CORRIGENDUM" w:val="&lt;UNUSED&gt;"/>
    <w:docVar w:name="LW_COVERPAGE_EXISTS" w:val="True"/>
    <w:docVar w:name="LW_COVERPAGE_GUID" w:val="9EFA614E-B874-453D-9B4E-5CF31E41E09A"/>
    <w:docVar w:name="LW_COVERPAGE_TYPE" w:val="1"/>
    <w:docVar w:name="LW_CROSSREFERENCE" w:val="&lt;UNUSED&gt;"/>
    <w:docVar w:name="LW_DocType" w:val="NORMAL"/>
    <w:docVar w:name="LW_EMISSION" w:val="28.3.2018"/>
    <w:docVar w:name="LW_EMISSION_ISODATE" w:val="2018-03-28"/>
    <w:docVar w:name="LW_EMISSION_LOCATION" w:val="BRX"/>
    <w:docVar w:name="LW_EMISSION_PREFIX" w:val="Брюксел, "/>
    <w:docVar w:name="LW_EMISSION_SUFFIX" w:val="\u1075?."/>
    <w:docVar w:name="LW_ID_DOCTYPE_NONLW" w:val="CP-015"/>
    <w:docVar w:name="LW_LANGUE" w:val="BG"/>
    <w:docVar w:name="LW_LEVEL_OF_SENSITIVITY" w:val="Standard treatment"/>
    <w:docVar w:name="LW_NOM.INST" w:val="\u1045?\u1042?\u1056?\u1054?\u1055?\u1045?\u1049?\u1057?\u1050?\u1040? \u1050?\u1054?\u1052?\u1048?\u1057?\u1048?\u1071?"/>
    <w:docVar w:name="LW_NOM.INST_JOINTDOC" w:val="\u1042?\u1066?\u1056?\u1061?\u1054?\u1042?\u1045?\u1053? \u1055?\u1056?\u1045?\u1044?\u1057?\u1058?\u1040?\u1042?\u1048?\u1058?\u1045?\u1051? _x000b_\u1053?\u1040? \u1057?\u1066?\u1070?\u1047?A \u1055?\u1054? \u1042?\u1066?\u1055?\u1056?\u1054?\u1057?\u1048?\u1058?\u1045?_x000b_\u1053?\u1040? \u1042?\u1066?\u1053?\u1064?\u1053?\u1048?\u1058?\u1045? \u1056?\u1040?\u1041?\u1054?\u1058?\u1048? \u1048?_x000b_\u1055?\u1054?\u1051?\u1048?\u1058?\u1048?\u1050?\u1040?\u1058?\u1040? \u1053?\u1040? \u1057?\u1048?\u1043?\u1059?\u1056?\u1053?\u1054?\u1057?\u1058?"/>
    <w:docVar w:name="LW_PART_NBR" w:val="1"/>
    <w:docVar w:name="LW_PART_NBR_TOTAL" w:val="1"/>
    <w:docVar w:name="LW_REF.INST.NEW" w:val="JOIN"/>
    <w:docVar w:name="LW_REF.INST.NEW_ADOPTED" w:val="final"/>
    <w:docVar w:name="LW_REF.INST.NEW_TEXT" w:val="(2018) 5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 xsi:nil=&quot;true&quot; /&gt;_x000d__x000a_  &lt;limited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footnote xsi:nil=&quot;true&quot; /&gt;_x000d__x000a_  &lt;isRestricted&gt;false&lt;/isRestricted&gt;_x000d__x000a_&lt;/SensitivityLevel&gt;"/>
    <w:docVar w:name="LW_SUPERTITRE" w:val="&lt;UNUSED&gt;"/>
    <w:docVar w:name="LW_TITRE.OBJ.CP" w:val="\u1086?\u1090?\u1085?\u1086?\u1089?\u1085?\u1086? \u1087?\u1083?\u1072?\u1085? \u1079?\u1072? \u1076?\u1077?\u1081?\u1089?\u1090?\u1074?\u1080?\u1077? \u1079?\u1072? \u1074?\u1086?\u1077?\u1085?\u1085?\u1072?\u1090?\u1072? \u1084?\u1086?\u1073?\u1080?\u1083?\u1085?\u1086?\u1089?\u1090?"/>
    <w:docVar w:name="LW_TYPE.DOC.CP" w:val="\u1057?\u1066?\u1042?\u1052?\u1045?\u1057?\u1058?\u1053?\u1054? \u1057?\u1066?\u1054?\u1041?\u1065?\u1045?\u1053?\u1048?\u1045? \u1044?\u1054? \u1045?\u1042?\u1056?\u1054?\u1055?\u1045?\u1049?\u1057?\u1050?\u1048?\u1071? \u1055?\u1040?\u1056?\u1051?\u1040?\u1052?\u1045?\u1053?\u1058? \u1048? \u1057?\u1066?\u1042?\u1045?\u1058?\u1040?"/>
    <w:docVar w:name="LW_TYPE.DOC.CP.USERTEXT" w:val="&lt;EMPTY&gt;"/>
  </w:docVars>
  <w:rsids>
    <w:rsidRoot w:val="00F17B36"/>
    <w:rsid w:val="009F5B54"/>
    <w:rsid w:val="00F1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bg-BG" w:eastAsia="bg-BG" w:bidi="bg-BG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next w:val="Text4"/>
    <w:qFormat/>
    <w:pPr>
      <w:keepNext/>
      <w:tabs>
        <w:tab w:val="left" w:pos="1920"/>
      </w:tabs>
      <w:spacing w:after="200" w:line="276" w:lineRule="auto"/>
      <w:outlineLvl w:val="3"/>
    </w:pPr>
    <w:rPr>
      <w:rFonts w:cs="Arial Unicode MS"/>
      <w:color w:val="000000"/>
      <w:sz w:val="22"/>
      <w:szCs w:val="2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En-tte">
    <w:name w:val="En-têt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link w:val="FooterChar"/>
    <w:uiPriority w:val="99"/>
    <w:pPr>
      <w:tabs>
        <w:tab w:val="center" w:pos="4535"/>
        <w:tab w:val="right" w:pos="9071"/>
        <w:tab w:val="right" w:pos="9921"/>
      </w:tabs>
      <w:spacing w:before="360"/>
    </w:pPr>
    <w:rPr>
      <w:rFonts w:cs="Arial Unicode MS"/>
      <w:color w:val="000000"/>
      <w:sz w:val="24"/>
      <w:szCs w:val="24"/>
      <w:u w:color="000000"/>
    </w:rPr>
  </w:style>
  <w:style w:type="paragraph" w:customStyle="1" w:styleId="En-tte0">
    <w:name w:val="En-tête"/>
    <w:next w:val="Text1"/>
    <w:link w:val="En-tteChar"/>
    <w:pPr>
      <w:keepNext/>
      <w:shd w:val="clear" w:color="auto" w:fill="FFFFFF"/>
      <w:tabs>
        <w:tab w:val="left" w:pos="480"/>
      </w:tabs>
      <w:spacing w:before="200" w:after="200" w:line="276" w:lineRule="auto"/>
      <w:ind w:left="482" w:hanging="482"/>
      <w:jc w:val="both"/>
      <w:outlineLvl w:val="0"/>
    </w:pPr>
    <w:rPr>
      <w:b/>
      <w:bCs/>
      <w:smallCaps/>
      <w:color w:val="000000"/>
      <w:sz w:val="24"/>
      <w:szCs w:val="24"/>
      <w:u w:color="000000"/>
    </w:rPr>
  </w:style>
  <w:style w:type="paragraph" w:customStyle="1" w:styleId="Text1">
    <w:name w:val="Text 1"/>
    <w:pPr>
      <w:spacing w:after="200" w:line="276" w:lineRule="auto"/>
      <w:ind w:left="482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Style1import">
    <w:name w:val="Style 1 importé"/>
    <w:pPr>
      <w:numPr>
        <w:numId w:val="1"/>
      </w:numPr>
    </w:pPr>
  </w:style>
  <w:style w:type="character" w:customStyle="1" w:styleId="Aucun">
    <w:name w:val="Aucun"/>
    <w:rPr>
      <w:lang w:val="bg-BG"/>
    </w:rPr>
  </w:style>
  <w:style w:type="paragraph" w:styleId="FootnoteText">
    <w:name w:val="footnote text"/>
    <w:link w:val="FootnoteTextChar"/>
    <w:uiPriority w:val="99"/>
    <w:pPr>
      <w:spacing w:after="200" w:line="276" w:lineRule="auto"/>
      <w:ind w:left="357" w:hanging="357"/>
    </w:pPr>
    <w:rPr>
      <w:rFonts w:ascii="Calibri" w:eastAsia="Calibri" w:hAnsi="Calibri" w:cs="Calibri"/>
      <w:color w:val="000000"/>
      <w:u w:color="000000"/>
    </w:rPr>
  </w:style>
  <w:style w:type="paragraph" w:customStyle="1" w:styleId="Sous-section2">
    <w:name w:val="Sous-section 2"/>
    <w:next w:val="Text2"/>
    <w:pPr>
      <w:keepNext/>
      <w:numPr>
        <w:ilvl w:val="1"/>
        <w:numId w:val="2"/>
      </w:numPr>
      <w:tabs>
        <w:tab w:val="left" w:pos="1429"/>
      </w:tabs>
      <w:spacing w:after="200" w:line="276" w:lineRule="auto"/>
      <w:jc w:val="both"/>
      <w:outlineLvl w:val="1"/>
    </w:pPr>
    <w:rPr>
      <w:b/>
      <w:bCs/>
      <w:color w:val="000000"/>
      <w:sz w:val="24"/>
      <w:szCs w:val="24"/>
      <w:u w:color="000000"/>
    </w:rPr>
  </w:style>
  <w:style w:type="paragraph" w:customStyle="1" w:styleId="Text2">
    <w:name w:val="Text 2"/>
    <w:pPr>
      <w:tabs>
        <w:tab w:val="left" w:pos="2302"/>
      </w:tabs>
      <w:spacing w:after="200" w:line="276" w:lineRule="auto"/>
      <w:ind w:left="1202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Ss-section3">
    <w:name w:val="Ss-section 3"/>
    <w:next w:val="Corps"/>
    <w:pPr>
      <w:keepNext/>
      <w:tabs>
        <w:tab w:val="left" w:pos="720"/>
      </w:tabs>
      <w:spacing w:after="200" w:line="276" w:lineRule="auto"/>
      <w:outlineLvl w:val="2"/>
    </w:pPr>
    <w:rPr>
      <w:rFonts w:ascii="Calibri" w:eastAsia="Calibri" w:hAnsi="Calibri" w:cs="Calibri"/>
      <w:i/>
      <w:iCs/>
      <w:color w:val="000000"/>
      <w:sz w:val="22"/>
      <w:szCs w:val="22"/>
      <w:u w:color="000000"/>
    </w:rPr>
  </w:style>
  <w:style w:type="paragraph" w:customStyle="1" w:styleId="Corps">
    <w:name w:val="Corps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Text4">
    <w:name w:val="Text 4"/>
    <w:pPr>
      <w:tabs>
        <w:tab w:val="left" w:pos="2302"/>
      </w:tabs>
      <w:spacing w:after="200" w:line="276" w:lineRule="auto"/>
      <w:ind w:left="1202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Style2import">
    <w:name w:val="Style 2 importé"/>
    <w:pPr>
      <w:numPr>
        <w:numId w:val="3"/>
      </w:numPr>
    </w:pPr>
  </w:style>
  <w:style w:type="numbering" w:customStyle="1" w:styleId="Style3import">
    <w:name w:val="Style 3 importé"/>
    <w:pPr>
      <w:numPr>
        <w:numId w:val="4"/>
      </w:numPr>
    </w:pPr>
  </w:style>
  <w:style w:type="numbering" w:customStyle="1" w:styleId="Style4import">
    <w:name w:val="Style 4 importé"/>
    <w:pPr>
      <w:numPr>
        <w:numId w:val="5"/>
      </w:numPr>
    </w:pPr>
  </w:style>
  <w:style w:type="numbering" w:customStyle="1" w:styleId="Style5import">
    <w:name w:val="Style 5 importé"/>
    <w:pPr>
      <w:numPr>
        <w:numId w:val="7"/>
      </w:numPr>
    </w:pPr>
  </w:style>
  <w:style w:type="numbering" w:customStyle="1" w:styleId="Style6import">
    <w:name w:val="Style 6 importé"/>
    <w:pPr>
      <w:numPr>
        <w:numId w:val="8"/>
      </w:numPr>
    </w:pPr>
  </w:style>
  <w:style w:type="numbering" w:customStyle="1" w:styleId="Style7import">
    <w:name w:val="Style 7 importé"/>
    <w:pPr>
      <w:numPr>
        <w:numId w:val="9"/>
      </w:numPr>
    </w:pPr>
  </w:style>
  <w:style w:type="paragraph" w:customStyle="1" w:styleId="Briefingtext">
    <w:name w:val="Briefing text"/>
    <w:link w:val="BriefingtextChar"/>
    <w:pPr>
      <w:spacing w:after="240"/>
      <w:jc w:val="both"/>
    </w:pPr>
    <w:rPr>
      <w:rFonts w:ascii="Arial" w:eastAsia="Arial" w:hAnsi="Arial" w:cs="Arial"/>
      <w:color w:val="000000"/>
      <w:sz w:val="22"/>
      <w:szCs w:val="22"/>
      <w:u w:color="000000"/>
    </w:rPr>
  </w:style>
  <w:style w:type="numbering" w:customStyle="1" w:styleId="Style11import">
    <w:name w:val="Style 11 importé"/>
    <w:pPr>
      <w:numPr>
        <w:numId w:val="12"/>
      </w:numPr>
    </w:pPr>
  </w:style>
  <w:style w:type="numbering" w:customStyle="1" w:styleId="Style12import">
    <w:name w:val="Style 12 importé"/>
    <w:pPr>
      <w:numPr>
        <w:numId w:val="13"/>
      </w:numPr>
    </w:pPr>
  </w:style>
  <w:style w:type="numbering" w:customStyle="1" w:styleId="Style13import">
    <w:name w:val="Style 13 importé"/>
    <w:pPr>
      <w:numPr>
        <w:numId w:val="14"/>
      </w:numPr>
    </w:pPr>
  </w:style>
  <w:style w:type="numbering" w:customStyle="1" w:styleId="Style14import">
    <w:name w:val="Style 14 importé"/>
    <w:pPr>
      <w:numPr>
        <w:numId w:val="1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bg-BG" w:eastAsia="bg-BG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lang w:val="bg-BG" w:eastAsia="bg-BG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Calibri" w:eastAsia="Calibri" w:hAnsi="Calibri" w:cs="Calibri"/>
      <w:color w:val="000000"/>
      <w:u w:color="000000"/>
      <w:lang w:val="bg-BG"/>
    </w:rPr>
  </w:style>
  <w:style w:type="numbering" w:customStyle="1" w:styleId="Style2import1">
    <w:name w:val="Style 2 importé1"/>
  </w:style>
  <w:style w:type="numbering" w:customStyle="1" w:styleId="Style2import2">
    <w:name w:val="Style 2 importé2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-BG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bg-BG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bg-BG"/>
    </w:rPr>
  </w:style>
  <w:style w:type="table" w:styleId="TableGrid">
    <w:name w:val="Table Grid"/>
    <w:basedOn w:val="TableNormal"/>
    <w:uiPriority w:val="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Theme="minorHAnsi"/>
      <w:szCs w:val="22"/>
      <w:bdr w:val="none" w:sz="0" w:space="0" w:color="auto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sz w:val="24"/>
      <w:szCs w:val="24"/>
      <w:lang w:val="bg-BG"/>
    </w:rPr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/>
      <w:ind w:left="-850" w:right="-850" w:hanging="480"/>
    </w:pPr>
  </w:style>
  <w:style w:type="character" w:customStyle="1" w:styleId="En-tteChar">
    <w:name w:val="En-tête Char"/>
    <w:basedOn w:val="DefaultParagraphFont"/>
    <w:link w:val="En-tte0"/>
    <w:rPr>
      <w:b/>
      <w:bCs/>
      <w:smallCaps/>
      <w:color w:val="000000"/>
      <w:sz w:val="24"/>
      <w:szCs w:val="24"/>
      <w:u w:color="000000"/>
      <w:shd w:val="clear" w:color="auto" w:fill="FFFFFF"/>
    </w:rPr>
  </w:style>
  <w:style w:type="character" w:customStyle="1" w:styleId="FooterCoverPageChar">
    <w:name w:val="Footer Cover Page Char"/>
    <w:basedOn w:val="En-tteChar"/>
    <w:link w:val="FooterCoverPage"/>
    <w:rPr>
      <w:b w:val="0"/>
      <w:bCs w:val="0"/>
      <w:smallCaps w:val="0"/>
      <w:color w:val="000000"/>
      <w:sz w:val="24"/>
      <w:szCs w:val="24"/>
      <w:u w:color="000000"/>
      <w:shd w:val="clear" w:color="auto" w:fill="FFFFFF"/>
    </w:rPr>
  </w:style>
  <w:style w:type="paragraph" w:customStyle="1" w:styleId="FooterSensitivity">
    <w:name w:val="Footer Sensitivity"/>
    <w:basedOn w:val="Normal"/>
    <w:link w:val="Foot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/>
      <w:ind w:left="113" w:right="113" w:hanging="480"/>
      <w:jc w:val="center"/>
    </w:pPr>
    <w:rPr>
      <w:b/>
      <w:sz w:val="32"/>
    </w:rPr>
  </w:style>
  <w:style w:type="character" w:customStyle="1" w:styleId="FooterSensitivityChar">
    <w:name w:val="Footer Sensitivity Char"/>
    <w:basedOn w:val="En-tteChar"/>
    <w:link w:val="FooterSensitivity"/>
    <w:rPr>
      <w:b/>
      <w:bCs w:val="0"/>
      <w:smallCaps w:val="0"/>
      <w:color w:val="000000"/>
      <w:sz w:val="32"/>
      <w:szCs w:val="24"/>
      <w:u w:color="000000"/>
      <w:shd w:val="clear" w:color="auto" w:fill="FFFFFF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/>
      <w:ind w:hanging="480"/>
      <w:jc w:val="both"/>
    </w:pPr>
  </w:style>
  <w:style w:type="character" w:customStyle="1" w:styleId="HeaderCoverPageChar">
    <w:name w:val="Header Cover Page Char"/>
    <w:basedOn w:val="En-tteChar"/>
    <w:link w:val="HeaderCoverPage"/>
    <w:rPr>
      <w:b w:val="0"/>
      <w:bCs w:val="0"/>
      <w:smallCaps w:val="0"/>
      <w:color w:val="000000"/>
      <w:sz w:val="24"/>
      <w:szCs w:val="24"/>
      <w:u w:color="000000"/>
      <w:shd w:val="clear" w:color="auto" w:fill="FFFFFF"/>
    </w:rPr>
  </w:style>
  <w:style w:type="paragraph" w:customStyle="1" w:styleId="HeaderSensitivity">
    <w:name w:val="Header Sensitivity"/>
    <w:basedOn w:val="Normal"/>
    <w:link w:val="HeaderSensitivityChar"/>
    <w:pPr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ind w:left="113" w:right="113"/>
      <w:jc w:val="center"/>
    </w:pPr>
    <w:rPr>
      <w:b/>
      <w:sz w:val="32"/>
    </w:rPr>
  </w:style>
  <w:style w:type="character" w:customStyle="1" w:styleId="HeaderSensitivityChar">
    <w:name w:val="Header Sensitivity Char"/>
    <w:basedOn w:val="En-tteChar"/>
    <w:link w:val="HeaderSensitivity"/>
    <w:rPr>
      <w:b/>
      <w:bCs w:val="0"/>
      <w:smallCaps w:val="0"/>
      <w:color w:val="000000"/>
      <w:sz w:val="32"/>
      <w:szCs w:val="24"/>
      <w:u w:color="000000"/>
      <w:shd w:val="clear" w:color="auto" w:fill="FFFFFF"/>
    </w:rPr>
  </w:style>
  <w:style w:type="numbering" w:customStyle="1" w:styleId="Style4import1">
    <w:name w:val="Style 4 importé1"/>
  </w:style>
  <w:style w:type="paragraph" w:styleId="Revision">
    <w:name w:val="Revision"/>
    <w:hidden/>
    <w:uiPriority w:val="99"/>
    <w:semiHidden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Pr>
      <w:rFonts w:cs="Arial Unicode MS"/>
      <w:color w:val="000000"/>
      <w:sz w:val="24"/>
      <w:szCs w:val="24"/>
      <w:u w:color="000000"/>
      <w:lang w:val="bg-BG"/>
    </w:rPr>
  </w:style>
  <w:style w:type="character" w:customStyle="1" w:styleId="BriefingtextChar">
    <w:name w:val="Briefing text Char"/>
    <w:link w:val="Briefingtext"/>
    <w:rPr>
      <w:rFonts w:ascii="Arial" w:eastAsia="Arial" w:hAnsi="Arial" w:cs="Arial"/>
      <w:color w:val="000000"/>
      <w:sz w:val="22"/>
      <w:szCs w:val="22"/>
      <w:u w:color="000000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bg-BG" w:eastAsia="bg-BG" w:bidi="bg-BG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next w:val="Text4"/>
    <w:qFormat/>
    <w:pPr>
      <w:keepNext/>
      <w:tabs>
        <w:tab w:val="left" w:pos="1920"/>
      </w:tabs>
      <w:spacing w:after="200" w:line="276" w:lineRule="auto"/>
      <w:outlineLvl w:val="3"/>
    </w:pPr>
    <w:rPr>
      <w:rFonts w:cs="Arial Unicode MS"/>
      <w:color w:val="000000"/>
      <w:sz w:val="22"/>
      <w:szCs w:val="2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En-tte">
    <w:name w:val="En-têt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link w:val="FooterChar"/>
    <w:uiPriority w:val="99"/>
    <w:pPr>
      <w:tabs>
        <w:tab w:val="center" w:pos="4535"/>
        <w:tab w:val="right" w:pos="9071"/>
        <w:tab w:val="right" w:pos="9921"/>
      </w:tabs>
      <w:spacing w:before="360"/>
    </w:pPr>
    <w:rPr>
      <w:rFonts w:cs="Arial Unicode MS"/>
      <w:color w:val="000000"/>
      <w:sz w:val="24"/>
      <w:szCs w:val="24"/>
      <w:u w:color="000000"/>
    </w:rPr>
  </w:style>
  <w:style w:type="paragraph" w:customStyle="1" w:styleId="En-tte0">
    <w:name w:val="En-tête"/>
    <w:next w:val="Text1"/>
    <w:link w:val="En-tteChar"/>
    <w:pPr>
      <w:keepNext/>
      <w:shd w:val="clear" w:color="auto" w:fill="FFFFFF"/>
      <w:tabs>
        <w:tab w:val="left" w:pos="480"/>
      </w:tabs>
      <w:spacing w:before="200" w:after="200" w:line="276" w:lineRule="auto"/>
      <w:ind w:left="482" w:hanging="482"/>
      <w:jc w:val="both"/>
      <w:outlineLvl w:val="0"/>
    </w:pPr>
    <w:rPr>
      <w:b/>
      <w:bCs/>
      <w:smallCaps/>
      <w:color w:val="000000"/>
      <w:sz w:val="24"/>
      <w:szCs w:val="24"/>
      <w:u w:color="000000"/>
    </w:rPr>
  </w:style>
  <w:style w:type="paragraph" w:customStyle="1" w:styleId="Text1">
    <w:name w:val="Text 1"/>
    <w:pPr>
      <w:spacing w:after="200" w:line="276" w:lineRule="auto"/>
      <w:ind w:left="482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Style1import">
    <w:name w:val="Style 1 importé"/>
    <w:pPr>
      <w:numPr>
        <w:numId w:val="1"/>
      </w:numPr>
    </w:pPr>
  </w:style>
  <w:style w:type="character" w:customStyle="1" w:styleId="Aucun">
    <w:name w:val="Aucun"/>
    <w:rPr>
      <w:lang w:val="bg-BG"/>
    </w:rPr>
  </w:style>
  <w:style w:type="paragraph" w:styleId="FootnoteText">
    <w:name w:val="footnote text"/>
    <w:link w:val="FootnoteTextChar"/>
    <w:uiPriority w:val="99"/>
    <w:pPr>
      <w:spacing w:after="200" w:line="276" w:lineRule="auto"/>
      <w:ind w:left="357" w:hanging="357"/>
    </w:pPr>
    <w:rPr>
      <w:rFonts w:ascii="Calibri" w:eastAsia="Calibri" w:hAnsi="Calibri" w:cs="Calibri"/>
      <w:color w:val="000000"/>
      <w:u w:color="000000"/>
    </w:rPr>
  </w:style>
  <w:style w:type="paragraph" w:customStyle="1" w:styleId="Sous-section2">
    <w:name w:val="Sous-section 2"/>
    <w:next w:val="Text2"/>
    <w:pPr>
      <w:keepNext/>
      <w:numPr>
        <w:ilvl w:val="1"/>
        <w:numId w:val="2"/>
      </w:numPr>
      <w:tabs>
        <w:tab w:val="left" w:pos="1429"/>
      </w:tabs>
      <w:spacing w:after="200" w:line="276" w:lineRule="auto"/>
      <w:jc w:val="both"/>
      <w:outlineLvl w:val="1"/>
    </w:pPr>
    <w:rPr>
      <w:b/>
      <w:bCs/>
      <w:color w:val="000000"/>
      <w:sz w:val="24"/>
      <w:szCs w:val="24"/>
      <w:u w:color="000000"/>
    </w:rPr>
  </w:style>
  <w:style w:type="paragraph" w:customStyle="1" w:styleId="Text2">
    <w:name w:val="Text 2"/>
    <w:pPr>
      <w:tabs>
        <w:tab w:val="left" w:pos="2302"/>
      </w:tabs>
      <w:spacing w:after="200" w:line="276" w:lineRule="auto"/>
      <w:ind w:left="1202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Ss-section3">
    <w:name w:val="Ss-section 3"/>
    <w:next w:val="Corps"/>
    <w:pPr>
      <w:keepNext/>
      <w:tabs>
        <w:tab w:val="left" w:pos="720"/>
      </w:tabs>
      <w:spacing w:after="200" w:line="276" w:lineRule="auto"/>
      <w:outlineLvl w:val="2"/>
    </w:pPr>
    <w:rPr>
      <w:rFonts w:ascii="Calibri" w:eastAsia="Calibri" w:hAnsi="Calibri" w:cs="Calibri"/>
      <w:i/>
      <w:iCs/>
      <w:color w:val="000000"/>
      <w:sz w:val="22"/>
      <w:szCs w:val="22"/>
      <w:u w:color="000000"/>
    </w:rPr>
  </w:style>
  <w:style w:type="paragraph" w:customStyle="1" w:styleId="Corps">
    <w:name w:val="Corps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Text4">
    <w:name w:val="Text 4"/>
    <w:pPr>
      <w:tabs>
        <w:tab w:val="left" w:pos="2302"/>
      </w:tabs>
      <w:spacing w:after="200" w:line="276" w:lineRule="auto"/>
      <w:ind w:left="1202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Style2import">
    <w:name w:val="Style 2 importé"/>
    <w:pPr>
      <w:numPr>
        <w:numId w:val="3"/>
      </w:numPr>
    </w:pPr>
  </w:style>
  <w:style w:type="numbering" w:customStyle="1" w:styleId="Style3import">
    <w:name w:val="Style 3 importé"/>
    <w:pPr>
      <w:numPr>
        <w:numId w:val="4"/>
      </w:numPr>
    </w:pPr>
  </w:style>
  <w:style w:type="numbering" w:customStyle="1" w:styleId="Style4import">
    <w:name w:val="Style 4 importé"/>
    <w:pPr>
      <w:numPr>
        <w:numId w:val="5"/>
      </w:numPr>
    </w:pPr>
  </w:style>
  <w:style w:type="numbering" w:customStyle="1" w:styleId="Style5import">
    <w:name w:val="Style 5 importé"/>
    <w:pPr>
      <w:numPr>
        <w:numId w:val="7"/>
      </w:numPr>
    </w:pPr>
  </w:style>
  <w:style w:type="numbering" w:customStyle="1" w:styleId="Style6import">
    <w:name w:val="Style 6 importé"/>
    <w:pPr>
      <w:numPr>
        <w:numId w:val="8"/>
      </w:numPr>
    </w:pPr>
  </w:style>
  <w:style w:type="numbering" w:customStyle="1" w:styleId="Style7import">
    <w:name w:val="Style 7 importé"/>
    <w:pPr>
      <w:numPr>
        <w:numId w:val="9"/>
      </w:numPr>
    </w:pPr>
  </w:style>
  <w:style w:type="paragraph" w:customStyle="1" w:styleId="Briefingtext">
    <w:name w:val="Briefing text"/>
    <w:link w:val="BriefingtextChar"/>
    <w:pPr>
      <w:spacing w:after="240"/>
      <w:jc w:val="both"/>
    </w:pPr>
    <w:rPr>
      <w:rFonts w:ascii="Arial" w:eastAsia="Arial" w:hAnsi="Arial" w:cs="Arial"/>
      <w:color w:val="000000"/>
      <w:sz w:val="22"/>
      <w:szCs w:val="22"/>
      <w:u w:color="000000"/>
    </w:rPr>
  </w:style>
  <w:style w:type="numbering" w:customStyle="1" w:styleId="Style11import">
    <w:name w:val="Style 11 importé"/>
    <w:pPr>
      <w:numPr>
        <w:numId w:val="12"/>
      </w:numPr>
    </w:pPr>
  </w:style>
  <w:style w:type="numbering" w:customStyle="1" w:styleId="Style12import">
    <w:name w:val="Style 12 importé"/>
    <w:pPr>
      <w:numPr>
        <w:numId w:val="13"/>
      </w:numPr>
    </w:pPr>
  </w:style>
  <w:style w:type="numbering" w:customStyle="1" w:styleId="Style13import">
    <w:name w:val="Style 13 importé"/>
    <w:pPr>
      <w:numPr>
        <w:numId w:val="14"/>
      </w:numPr>
    </w:pPr>
  </w:style>
  <w:style w:type="numbering" w:customStyle="1" w:styleId="Style14import">
    <w:name w:val="Style 14 importé"/>
    <w:pPr>
      <w:numPr>
        <w:numId w:val="1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bg-BG" w:eastAsia="bg-BG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lang w:val="bg-BG" w:eastAsia="bg-BG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Calibri" w:eastAsia="Calibri" w:hAnsi="Calibri" w:cs="Calibri"/>
      <w:color w:val="000000"/>
      <w:u w:color="000000"/>
      <w:lang w:val="bg-BG"/>
    </w:rPr>
  </w:style>
  <w:style w:type="numbering" w:customStyle="1" w:styleId="Style2import1">
    <w:name w:val="Style 2 importé1"/>
  </w:style>
  <w:style w:type="numbering" w:customStyle="1" w:styleId="Style2import2">
    <w:name w:val="Style 2 importé2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-BG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bg-BG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bg-BG"/>
    </w:rPr>
  </w:style>
  <w:style w:type="table" w:styleId="TableGrid">
    <w:name w:val="Table Grid"/>
    <w:basedOn w:val="TableNormal"/>
    <w:uiPriority w:val="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Theme="minorHAnsi"/>
      <w:szCs w:val="22"/>
      <w:bdr w:val="none" w:sz="0" w:space="0" w:color="auto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sz w:val="24"/>
      <w:szCs w:val="24"/>
      <w:lang w:val="bg-BG"/>
    </w:rPr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/>
      <w:ind w:left="-850" w:right="-850" w:hanging="480"/>
    </w:pPr>
  </w:style>
  <w:style w:type="character" w:customStyle="1" w:styleId="En-tteChar">
    <w:name w:val="En-tête Char"/>
    <w:basedOn w:val="DefaultParagraphFont"/>
    <w:link w:val="En-tte0"/>
    <w:rPr>
      <w:b/>
      <w:bCs/>
      <w:smallCaps/>
      <w:color w:val="000000"/>
      <w:sz w:val="24"/>
      <w:szCs w:val="24"/>
      <w:u w:color="000000"/>
      <w:shd w:val="clear" w:color="auto" w:fill="FFFFFF"/>
    </w:rPr>
  </w:style>
  <w:style w:type="character" w:customStyle="1" w:styleId="FooterCoverPageChar">
    <w:name w:val="Footer Cover Page Char"/>
    <w:basedOn w:val="En-tteChar"/>
    <w:link w:val="FooterCoverPage"/>
    <w:rPr>
      <w:b w:val="0"/>
      <w:bCs w:val="0"/>
      <w:smallCaps w:val="0"/>
      <w:color w:val="000000"/>
      <w:sz w:val="24"/>
      <w:szCs w:val="24"/>
      <w:u w:color="000000"/>
      <w:shd w:val="clear" w:color="auto" w:fill="FFFFFF"/>
    </w:rPr>
  </w:style>
  <w:style w:type="paragraph" w:customStyle="1" w:styleId="FooterSensitivity">
    <w:name w:val="Footer Sensitivity"/>
    <w:basedOn w:val="Normal"/>
    <w:link w:val="Foot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/>
      <w:ind w:left="113" w:right="113" w:hanging="480"/>
      <w:jc w:val="center"/>
    </w:pPr>
    <w:rPr>
      <w:b/>
      <w:sz w:val="32"/>
    </w:rPr>
  </w:style>
  <w:style w:type="character" w:customStyle="1" w:styleId="FooterSensitivityChar">
    <w:name w:val="Footer Sensitivity Char"/>
    <w:basedOn w:val="En-tteChar"/>
    <w:link w:val="FooterSensitivity"/>
    <w:rPr>
      <w:b/>
      <w:bCs w:val="0"/>
      <w:smallCaps w:val="0"/>
      <w:color w:val="000000"/>
      <w:sz w:val="32"/>
      <w:szCs w:val="24"/>
      <w:u w:color="000000"/>
      <w:shd w:val="clear" w:color="auto" w:fill="FFFFFF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/>
      <w:ind w:hanging="480"/>
      <w:jc w:val="both"/>
    </w:pPr>
  </w:style>
  <w:style w:type="character" w:customStyle="1" w:styleId="HeaderCoverPageChar">
    <w:name w:val="Header Cover Page Char"/>
    <w:basedOn w:val="En-tteChar"/>
    <w:link w:val="HeaderCoverPage"/>
    <w:rPr>
      <w:b w:val="0"/>
      <w:bCs w:val="0"/>
      <w:smallCaps w:val="0"/>
      <w:color w:val="000000"/>
      <w:sz w:val="24"/>
      <w:szCs w:val="24"/>
      <w:u w:color="000000"/>
      <w:shd w:val="clear" w:color="auto" w:fill="FFFFFF"/>
    </w:rPr>
  </w:style>
  <w:style w:type="paragraph" w:customStyle="1" w:styleId="HeaderSensitivity">
    <w:name w:val="Header Sensitivity"/>
    <w:basedOn w:val="Normal"/>
    <w:link w:val="HeaderSensitivityChar"/>
    <w:pPr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ind w:left="113" w:right="113"/>
      <w:jc w:val="center"/>
    </w:pPr>
    <w:rPr>
      <w:b/>
      <w:sz w:val="32"/>
    </w:rPr>
  </w:style>
  <w:style w:type="character" w:customStyle="1" w:styleId="HeaderSensitivityChar">
    <w:name w:val="Header Sensitivity Char"/>
    <w:basedOn w:val="En-tteChar"/>
    <w:link w:val="HeaderSensitivity"/>
    <w:rPr>
      <w:b/>
      <w:bCs w:val="0"/>
      <w:smallCaps w:val="0"/>
      <w:color w:val="000000"/>
      <w:sz w:val="32"/>
      <w:szCs w:val="24"/>
      <w:u w:color="000000"/>
      <w:shd w:val="clear" w:color="auto" w:fill="FFFFFF"/>
    </w:rPr>
  </w:style>
  <w:style w:type="numbering" w:customStyle="1" w:styleId="Style4import1">
    <w:name w:val="Style 4 importé1"/>
  </w:style>
  <w:style w:type="paragraph" w:styleId="Revision">
    <w:name w:val="Revision"/>
    <w:hidden/>
    <w:uiPriority w:val="99"/>
    <w:semiHidden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Pr>
      <w:rFonts w:cs="Arial Unicode MS"/>
      <w:color w:val="000000"/>
      <w:sz w:val="24"/>
      <w:szCs w:val="24"/>
      <w:u w:color="000000"/>
      <w:lang w:val="bg-BG"/>
    </w:rPr>
  </w:style>
  <w:style w:type="character" w:customStyle="1" w:styleId="BriefingtextChar">
    <w:name w:val="Briefing text Char"/>
    <w:link w:val="Briefingtext"/>
    <w:rPr>
      <w:rFonts w:ascii="Arial" w:eastAsia="Arial" w:hAnsi="Arial" w:cs="Arial"/>
      <w:color w:val="000000"/>
      <w:sz w:val="22"/>
      <w:szCs w:val="22"/>
      <w:u w:color="000000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0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Relationship Id="rId22" Type="http://schemas.openxmlformats.org/officeDocument/2006/relationships/fontTable" Target="fontTable.xml"/><Relationship Id="rId27" Type="http://schemas.microsoft.com/office/2011/relationships/commentsExtended" Target="commentsExtended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eas.europa.eu/sites/eeas/files/joint_communication_to_the_european_parliament_and_the_" TargetMode="External"/><Relationship Id="rId2" Type="http://schemas.openxmlformats.org/officeDocument/2006/relationships/hyperlink" Target="http://www.consilium.europa.eu/media/21481/nato-eu-declaration-8-july-en-final.pdf" TargetMode="External"/><Relationship Id="rId1" Type="http://schemas.openxmlformats.org/officeDocument/2006/relationships/hyperlink" Target="http://europa.eu/rapid/press-release_SPEECH-17-3165_bg.htm" TargetMode="External"/><Relationship Id="rId6" Type="http://schemas.openxmlformats.org/officeDocument/2006/relationships/hyperlink" Target="http://eur-lex.europa.eu/legal-content/BG/TXT/?uri=CELEX:52016JC0018." TargetMode="External"/><Relationship Id="rId5" Type="http://schemas.openxmlformats.org/officeDocument/2006/relationships/hyperlink" Target="https://www.eda.europa.eu/docs/default-source/documents/dic-ip.pdf" TargetMode="External"/><Relationship Id="rId4" Type="http://schemas.openxmlformats.org/officeDocument/2006/relationships/hyperlink" Target="https://www.eda.europa.eu/what-we-do/activities/activities-search/eu-multimodal-transport-hubs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ECBAA-180B-4AB3-BD80-39E13DD07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3890</Words>
  <Characters>22174</Characters>
  <Application>Microsoft Office Word</Application>
  <DocSecurity>0</DocSecurity>
  <Lines>184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2018-03-27T08:48:00Z</dcterms:created>
  <dcterms:modified xsi:type="dcterms:W3CDTF">2018-04-05T08:54:00Z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tatus">
    <vt:lpwstr>Red</vt:lpwstr>
  </property>
  <property fmtid="{D5CDD505-2E9C-101B-9397-08002B2CF9AE}" pid="3" name="Level of sensitivity">
    <vt:lpwstr>Standard treatment</vt:lpwstr>
  </property>
  <property fmtid="{D5CDD505-2E9C-101B-9397-08002B2CF9AE}" pid="4" name="Part">
    <vt:lpwstr>1</vt:lpwstr>
  </property>
  <property fmtid="{D5CDD505-2E9C-101B-9397-08002B2CF9AE}" pid="5" name="Total parts">
    <vt:lpwstr>1</vt:lpwstr>
  </property>
</Properties>
</file>