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24D246-F5A9-4CF8-87D5-1D0D8E35FFD5" style="width:449.7pt;height:366.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rFonts w:eastAsia="Calibri"/>
          <w:noProof/>
        </w:rPr>
      </w:pPr>
      <w:r>
        <w:t>1.</w:t>
      </w:r>
      <w:r>
        <w:tab/>
      </w:r>
      <w:r>
        <w:rPr>
          <w:noProof/>
        </w:rPr>
        <w:t>CONTEXTUL PROPUNERII</w:t>
      </w:r>
    </w:p>
    <w:p>
      <w:pPr>
        <w:pStyle w:val="ManualHeading2"/>
        <w:rPr>
          <w:rFonts w:eastAsia="Arial Unicode MS"/>
          <w:noProof/>
        </w:rPr>
      </w:pPr>
      <w:r>
        <w:rPr>
          <w:noProof/>
        </w:rPr>
        <w:t>•</w:t>
      </w:r>
      <w:r>
        <w:rPr>
          <w:noProof/>
        </w:rPr>
        <w:tab/>
        <w:t>Motivele și obiectivele propunerii</w:t>
      </w:r>
    </w:p>
    <w:p>
      <w:pPr>
        <w:pBdr>
          <w:top w:val="nil"/>
          <w:left w:val="nil"/>
          <w:bottom w:val="nil"/>
          <w:right w:val="nil"/>
          <w:between w:val="nil"/>
          <w:bar w:val="nil"/>
        </w:pBdr>
        <w:spacing w:before="0" w:after="240"/>
        <w:rPr>
          <w:noProof/>
        </w:rPr>
      </w:pPr>
      <w:r>
        <w:rPr>
          <w:noProof/>
        </w:rPr>
        <w:t>Este necesar să se fixeze contingente tarifare autonome pentru anumite produse atunci când producția în Uniunea Europeană nu este suficientă pentru a satisface necesitățile industriei utilizatoare din Uniune. Ar trebui deschise contingente tarifare ale Uniunii cu un nivel redus sau zero al taxelor vamale pentru volumele corespunzătoare, fără a cauza o perturbare a piețelor acestor produse.</w:t>
      </w:r>
    </w:p>
    <w:p>
      <w:pPr>
        <w:pBdr>
          <w:top w:val="nil"/>
          <w:left w:val="nil"/>
          <w:bottom w:val="nil"/>
          <w:right w:val="nil"/>
          <w:between w:val="nil"/>
          <w:bar w:val="nil"/>
        </w:pBdr>
        <w:spacing w:before="0" w:after="240"/>
        <w:rPr>
          <w:noProof/>
        </w:rPr>
      </w:pPr>
      <w:r>
        <w:rPr>
          <w:noProof/>
        </w:rPr>
        <w:t>La 17 decembrie 2013, Consiliul Uniunii Europene a adoptat Regulamentul (UE) nr. 1388/2013 privind deschiderea și modul de gestionare a unor contingente tarifare autonome ale Uniunii pentru anumite produse agricole și industriale, pentru a satisface în cele mai bune condiții cererea Uniunii pentru produsele în cauză.</w:t>
      </w:r>
    </w:p>
    <w:p>
      <w:pPr>
        <w:pBdr>
          <w:top w:val="nil"/>
          <w:left w:val="nil"/>
          <w:bottom w:val="nil"/>
          <w:right w:val="nil"/>
          <w:between w:val="nil"/>
          <w:bar w:val="nil"/>
        </w:pBdr>
        <w:spacing w:before="0" w:after="240"/>
        <w:rPr>
          <w:noProof/>
        </w:rPr>
      </w:pPr>
      <w:r>
        <w:rPr>
          <w:noProof/>
        </w:rPr>
        <w:t>Regulamentul este actualizat din șase în șase luni pentru a răspunde necesităților industriei din Uniune. Comisia, asistată de Grupul pentru economie tarifară, a analizat toate cererile de contingente tarifare autonome prezentate de către statele membre.</w:t>
      </w:r>
    </w:p>
    <w:p>
      <w:pPr>
        <w:pBdr>
          <w:top w:val="nil"/>
          <w:left w:val="nil"/>
          <w:bottom w:val="nil"/>
          <w:right w:val="nil"/>
          <w:between w:val="nil"/>
          <w:bar w:val="nil"/>
        </w:pBdr>
        <w:spacing w:before="0" w:after="240"/>
        <w:rPr>
          <w:noProof/>
        </w:rPr>
      </w:pPr>
      <w:r>
        <w:rPr>
          <w:noProof/>
        </w:rPr>
        <w:t>În urma acestei analize, Comisia consideră că deschiderea de contingente tarifare autonome este justificată pentru anumite produse noi, care nu sunt incluse în prezent în anexa la Regulamentul (UE) nr. 1388/2013 al Consiliului. În ceea ce privește alte produse, trebuie modificată descrierea produsului pentru a ține seama de cele mai recente evoluții tehnice sau trebuie ajustat volumul contingentului inițial.</w:t>
      </w:r>
    </w:p>
    <w:p>
      <w:pPr>
        <w:pStyle w:val="ManualHeading2"/>
        <w:rPr>
          <w:rFonts w:eastAsia="Arial Unicode MS"/>
          <w:noProof/>
          <w:u w:color="000000"/>
          <w:bdr w:val="nil"/>
        </w:rPr>
      </w:pPr>
      <w:r>
        <w:rPr>
          <w:noProof/>
        </w:rPr>
        <w:t>•</w:t>
      </w:r>
      <w:r>
        <w:rPr>
          <w:noProof/>
        </w:rPr>
        <w:tab/>
        <w:t>Coerența cu dispozițiile existente în domeniul de politică</w:t>
      </w:r>
    </w:p>
    <w:p>
      <w:pPr>
        <w:rPr>
          <w:noProof/>
        </w:rPr>
      </w:pPr>
      <w:r>
        <w:rPr>
          <w:noProof/>
        </w:rPr>
        <w:t>Prezenta propunere nu are efecte asupra țărilor care au un acord comercial preferențial cu Uniunea, nici asupra țărilor candidate sau a țărilor potențial candidate pentru acorduri preferențiale cu Uniunea (de exemplu, sistemul generalizat de preferințe, regimul comercial al grupului statelor din Africa, zona Caraibilor și Pacific, acordurile de liber schimb).</w:t>
      </w:r>
    </w:p>
    <w:p>
      <w:pPr>
        <w:pStyle w:val="ManualHeading2"/>
        <w:rPr>
          <w:rFonts w:eastAsia="Arial Unicode MS"/>
          <w:noProof/>
          <w:u w:color="000000"/>
          <w:bdr w:val="nil"/>
        </w:rPr>
      </w:pPr>
      <w:r>
        <w:rPr>
          <w:noProof/>
        </w:rPr>
        <w:t>•</w:t>
      </w:r>
      <w:r>
        <w:rPr>
          <w:noProof/>
        </w:rPr>
        <w:tab/>
        <w:t>Coerența cu alte politici ale Uniunii</w:t>
      </w:r>
    </w:p>
    <w:p>
      <w:pPr>
        <w:pBdr>
          <w:top w:val="nil"/>
          <w:left w:val="nil"/>
          <w:bottom w:val="nil"/>
          <w:right w:val="nil"/>
          <w:between w:val="nil"/>
          <w:bar w:val="nil"/>
        </w:pBdr>
        <w:spacing w:before="0" w:after="240"/>
        <w:rPr>
          <w:rFonts w:eastAsia="Arial Unicode MS"/>
          <w:noProof/>
        </w:rPr>
      </w:pPr>
      <w:r>
        <w:rPr>
          <w:noProof/>
        </w:rPr>
        <w:t>Propunerea este conformă cu politicile Uniunii în domeniul agriculturii, al comerțului, al întreprinderilor, al dezvoltării, al mediului și al relațiilor externe.</w:t>
      </w:r>
    </w:p>
    <w:p>
      <w:pPr>
        <w:pStyle w:val="ManualHeading1"/>
        <w:rPr>
          <w:rFonts w:eastAsia="Calibri"/>
          <w:noProof/>
        </w:rPr>
      </w:pPr>
      <w:r>
        <w:t>2.</w:t>
      </w:r>
      <w:r>
        <w:tab/>
      </w:r>
      <w:r>
        <w:rPr>
          <w:noProof/>
        </w:rPr>
        <w:t>TEMEI JURIDIC, SUBSIDIARITATE ȘI PROPORȚIONALITATE</w:t>
      </w:r>
    </w:p>
    <w:p>
      <w:pPr>
        <w:pStyle w:val="ManualHeading2"/>
        <w:rPr>
          <w:rFonts w:eastAsia="Arial Unicode MS"/>
          <w:noProof/>
          <w:u w:color="000000"/>
          <w:bdr w:val="nil"/>
        </w:rPr>
      </w:pPr>
      <w:r>
        <w:rPr>
          <w:noProof/>
        </w:rPr>
        <w:t>•</w:t>
      </w:r>
      <w:r>
        <w:rPr>
          <w:noProof/>
        </w:rPr>
        <w:tab/>
        <w:t>Temeiul juridic</w:t>
      </w:r>
    </w:p>
    <w:p>
      <w:pPr>
        <w:pBdr>
          <w:top w:val="nil"/>
          <w:left w:val="nil"/>
          <w:bottom w:val="nil"/>
          <w:right w:val="nil"/>
          <w:between w:val="nil"/>
          <w:bar w:val="nil"/>
        </w:pBdr>
        <w:spacing w:before="0" w:after="240"/>
        <w:rPr>
          <w:rFonts w:eastAsia="Arial Unicode MS"/>
          <w:noProof/>
        </w:rPr>
      </w:pPr>
      <w:r>
        <w:rPr>
          <w:noProof/>
        </w:rPr>
        <w:t>Temeiul juridic al prezentei propuneri este articolul 31 din Tratatul privind funcționarea Uniunii Europene (TFUE).</w:t>
      </w:r>
    </w:p>
    <w:p>
      <w:pPr>
        <w:pStyle w:val="ManualHeading2"/>
        <w:rPr>
          <w:rFonts w:eastAsia="Arial Unicode MS"/>
          <w:noProof/>
          <w:u w:color="000000"/>
          <w:bdr w:val="nil"/>
        </w:rPr>
      </w:pPr>
      <w:r>
        <w:rPr>
          <w:noProof/>
        </w:rPr>
        <w:t>•</w:t>
      </w:r>
      <w:r>
        <w:rPr>
          <w:noProof/>
        </w:rPr>
        <w:tab/>
        <w:t>Subsidiaritate (în cazul competențelor neexclusive)</w:t>
      </w:r>
    </w:p>
    <w:p>
      <w:pPr>
        <w:rPr>
          <w:noProof/>
        </w:rPr>
      </w:pPr>
      <w:r>
        <w:rPr>
          <w:noProof/>
        </w:rPr>
        <w:t>Propunerea intră în sfera competenței exclusive a Uniunii. În consecință, principiul subsidiarității nu se aplică.</w:t>
      </w:r>
    </w:p>
    <w:p>
      <w:pPr>
        <w:pStyle w:val="ManualHeading2"/>
        <w:rPr>
          <w:rFonts w:eastAsia="Arial Unicode MS"/>
          <w:noProof/>
          <w:u w:color="000000"/>
          <w:bdr w:val="nil"/>
        </w:rPr>
      </w:pPr>
      <w:r>
        <w:rPr>
          <w:noProof/>
        </w:rPr>
        <w:t>•</w:t>
      </w:r>
      <w:r>
        <w:rPr>
          <w:noProof/>
        </w:rPr>
        <w:tab/>
        <w:t>Proporționalitate</w:t>
      </w:r>
    </w:p>
    <w:p>
      <w:pPr>
        <w:pBdr>
          <w:top w:val="nil"/>
          <w:left w:val="nil"/>
          <w:bottom w:val="nil"/>
          <w:right w:val="nil"/>
          <w:between w:val="nil"/>
          <w:bar w:val="nil"/>
        </w:pBdr>
        <w:spacing w:before="0" w:after="240"/>
        <w:rPr>
          <w:rFonts w:eastAsia="Arial Unicode MS"/>
          <w:noProof/>
        </w:rPr>
      </w:pPr>
      <w:r>
        <w:rPr>
          <w:noProof/>
        </w:rPr>
        <w:t xml:space="preserve">Propunerea respectă principiul proporționalității. Măsurile propuse sunt conforme cu principiile instituite în scopul simplificării procedurilor pentru operatorii care desfășoară activități de comerț exterior, astfel cum se menționează în comunicarea Comisiei privind </w:t>
      </w:r>
      <w:r>
        <w:rPr>
          <w:noProof/>
        </w:rPr>
        <w:lastRenderedPageBreak/>
        <w:t>suspendările și contingentele tarifare autonome</w:t>
      </w:r>
      <w:r>
        <w:rPr>
          <w:rStyle w:val="FootnoteReference"/>
          <w:noProof/>
        </w:rPr>
        <w:footnoteReference w:id="1"/>
      </w:r>
      <w:r>
        <w:rPr>
          <w:noProof/>
        </w:rPr>
        <w:t>. Prezentul regulament nu depășește ceea ce este necesar pentru realizarea obiectivelor urmărite, în conformitate cu articolul 5 alineatul (4) din Tratatul privind Uniunea Europeană (TUE).</w:t>
      </w:r>
    </w:p>
    <w:p>
      <w:pPr>
        <w:pStyle w:val="ManualHeading2"/>
        <w:rPr>
          <w:rFonts w:eastAsia="Arial Unicode MS"/>
          <w:noProof/>
          <w:u w:color="000000"/>
          <w:bdr w:val="nil"/>
        </w:rPr>
      </w:pPr>
      <w:r>
        <w:rPr>
          <w:noProof/>
        </w:rPr>
        <w:t>•</w:t>
      </w:r>
      <w:r>
        <w:rPr>
          <w:noProof/>
        </w:rPr>
        <w:tab/>
        <w:t>Alegerea instrumentului</w:t>
      </w:r>
    </w:p>
    <w:p>
      <w:pPr>
        <w:rPr>
          <w:noProof/>
        </w:rPr>
      </w:pPr>
      <w:r>
        <w:rPr>
          <w:noProof/>
        </w:rPr>
        <w:t xml:space="preserve">În temeiul articolului 31 din Tratatul privind funcționarea Uniunii Europene (TFUE), „taxele prevăzute de Tariful Vamal Comun se stabilesc de către Consiliu, care hotărăște, la propunerea Comisiei”. Prin urmare, instrumentul adecvat este un regulament. </w:t>
      </w:r>
    </w:p>
    <w:p>
      <w:pPr>
        <w:pStyle w:val="ManualHeading1"/>
        <w:rPr>
          <w:rFonts w:eastAsia="Calibri"/>
          <w:noProof/>
        </w:rPr>
      </w:pPr>
      <w:r>
        <w:t>3.</w:t>
      </w:r>
      <w:r>
        <w:tab/>
      </w:r>
      <w:r>
        <w:rPr>
          <w:noProof/>
        </w:rPr>
        <w:t>REZULTATELE EVALUĂRILOR EX POST, ALE CONSULTĂRILOR CU PĂRȚILE INTERESATE ȘI ALE EVALUĂRII IMPACTULUI</w:t>
      </w:r>
    </w:p>
    <w:p>
      <w:pPr>
        <w:pStyle w:val="ManualHeading2"/>
        <w:rPr>
          <w:rFonts w:eastAsia="Arial Unicode MS"/>
          <w:noProof/>
          <w:u w:color="000000"/>
          <w:bdr w:val="nil"/>
        </w:rPr>
      </w:pPr>
      <w:r>
        <w:rPr>
          <w:noProof/>
        </w:rPr>
        <w:t>•</w:t>
      </w:r>
      <w:r>
        <w:rPr>
          <w:noProof/>
        </w:rPr>
        <w:tab/>
        <w:t>Evaluări ex post/verificări ale adecvării legislației existente</w:t>
      </w:r>
    </w:p>
    <w:p>
      <w:pPr>
        <w:pBdr>
          <w:top w:val="nil"/>
          <w:left w:val="nil"/>
          <w:bottom w:val="nil"/>
          <w:right w:val="nil"/>
          <w:between w:val="nil"/>
          <w:bar w:val="nil"/>
        </w:pBdr>
        <w:spacing w:before="0" w:after="240"/>
        <w:rPr>
          <w:noProof/>
        </w:rPr>
      </w:pPr>
      <w:r>
        <w:rPr>
          <w:noProof/>
        </w:rPr>
        <w:t>Sistemul de contingente tarifare autonome a făcut obiectul unui studiu de evaluare privind suspendările tarifare autonome efectuat în 2013</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Motivul a fost asemănarea dintre cele două măsuri, cu excepția faptului că volumele importurilor sunt limitate în cazul contingentelor. Concluzia evaluării a fost că motivația esențială care stă la baza acestui sistem rămâne valabilă. Economiile de costuri pentru întreprinderile din Uniune care importă mărfuri în cadrul sistemului pot fi semnificative. La rândul lor, în funcție de produs, de întreprindere și de sector, aceste economii pot avea beneficii mai ample, precum stimularea competitivității, eficientizarea metodelor de producție, crearea sau menținerea de locuri de muncă în Uniune. Fișa financiară legislativă anexată conține detalii privind economiile aferente prezentului regulament.</w:t>
      </w:r>
    </w:p>
    <w:p>
      <w:pPr>
        <w:pStyle w:val="ManualHeading2"/>
        <w:rPr>
          <w:rFonts w:eastAsia="Arial Unicode MS"/>
          <w:noProof/>
          <w:u w:color="000000"/>
          <w:bdr w:val="nil"/>
        </w:rPr>
      </w:pPr>
      <w:r>
        <w:rPr>
          <w:noProof/>
        </w:rPr>
        <w:t>•</w:t>
      </w:r>
      <w:r>
        <w:rPr>
          <w:noProof/>
        </w:rPr>
        <w:tab/>
        <w:t>Consultări cu părțile interesate</w:t>
      </w:r>
    </w:p>
    <w:p>
      <w:pPr>
        <w:rPr>
          <w:noProof/>
        </w:rPr>
      </w:pPr>
      <w:r>
        <w:rPr>
          <w:noProof/>
        </w:rPr>
        <w:t>Grupul pentru economie tarifară, care este compus din delegați din toate statele membre, plus Turcia, a oferit asistență Comisiei pentru evaluarea prezentei propuneri. Grupul s-a reunit de trei ori înainte de a conveni cu privire la modificările aduse prin prezenta propunere.</w:t>
      </w:r>
    </w:p>
    <w:p>
      <w:pPr>
        <w:rPr>
          <w:noProof/>
        </w:rPr>
      </w:pPr>
      <w:r>
        <w:rPr>
          <w:noProof/>
        </w:rPr>
        <w:t>Grupul a evaluat cu atenție fiecare cerere (nouă sau de modificare). El a examinat fiecare caz în special pentru a se asigura că nu se aduc prejudicii producătorilor din Uniune și competitivitatea producției Uniunii este întărită. Evaluarea a fost efectuată prin discuții în cadrul Grupului pentru economie tarifară și prin consultarea, de către statele membre, a industriilor, a asociațiilor, a camerelor de comerț și a altor părți interesate implicate.</w:t>
      </w:r>
    </w:p>
    <w:p>
      <w:pPr>
        <w:rPr>
          <w:noProof/>
        </w:rPr>
      </w:pPr>
      <w:r>
        <w:rPr>
          <w:noProof/>
        </w:rPr>
        <w:t>Toate contingentele enumerate reflectă acordurile sau compromisurile la care s-a ajuns în urma discuțiilor care au avut loc în cadrul Grupului pentru economie tarifară. Nu s-a menționat existența niciunui risc potențial grav cu consecințe ireversibile.</w:t>
      </w:r>
    </w:p>
    <w:p>
      <w:pPr>
        <w:pStyle w:val="ManualHeading2"/>
        <w:rPr>
          <w:rFonts w:eastAsia="Arial Unicode MS"/>
          <w:noProof/>
          <w:u w:color="000000"/>
          <w:bdr w:val="nil"/>
        </w:rPr>
      </w:pPr>
      <w:r>
        <w:rPr>
          <w:noProof/>
        </w:rPr>
        <w:t>•</w:t>
      </w:r>
      <w:r>
        <w:rPr>
          <w:noProof/>
        </w:rPr>
        <w:tab/>
        <w:t>Evaluarea impactului</w:t>
      </w:r>
    </w:p>
    <w:p>
      <w:pPr>
        <w:rPr>
          <w:noProof/>
        </w:rPr>
      </w:pPr>
      <w:r>
        <w:rPr>
          <w:noProof/>
        </w:rPr>
        <w:t>Modificarea propusă este de natură pur tehnică și vizează doar domeniul de aplicare al contingentelor enumerate în anexa la Regulamentul (UE) nr. 1388/2013. Prin urmare, nu s-a efectuat nicio evaluare a impactului pentru această propunere.</w:t>
      </w:r>
    </w:p>
    <w:p>
      <w:pPr>
        <w:pStyle w:val="ManualHeading2"/>
        <w:rPr>
          <w:rFonts w:eastAsia="Arial Unicode MS"/>
          <w:noProof/>
          <w:u w:color="000000"/>
          <w:bdr w:val="nil"/>
        </w:rPr>
      </w:pPr>
      <w:r>
        <w:rPr>
          <w:noProof/>
        </w:rPr>
        <w:t>•</w:t>
      </w:r>
      <w:r>
        <w:rPr>
          <w:noProof/>
        </w:rPr>
        <w:tab/>
        <w:t>Drepturi fundamentale</w:t>
      </w:r>
    </w:p>
    <w:p>
      <w:pPr>
        <w:pBdr>
          <w:top w:val="nil"/>
          <w:left w:val="nil"/>
          <w:bottom w:val="nil"/>
          <w:right w:val="nil"/>
          <w:between w:val="nil"/>
          <w:bar w:val="nil"/>
        </w:pBdr>
        <w:spacing w:before="0" w:after="240"/>
        <w:rPr>
          <w:rFonts w:eastAsia="Arial Unicode MS"/>
          <w:noProof/>
        </w:rPr>
      </w:pPr>
      <w:r>
        <w:rPr>
          <w:noProof/>
        </w:rPr>
        <w:t>Propunerea nu are consecințe asupra drepturilor fundamentale.</w:t>
      </w:r>
    </w:p>
    <w:p>
      <w:pPr>
        <w:pStyle w:val="ManualHeading1"/>
        <w:rPr>
          <w:rFonts w:eastAsia="Calibri"/>
          <w:noProof/>
        </w:rPr>
      </w:pPr>
      <w:r>
        <w:lastRenderedPageBreak/>
        <w:t>4.</w:t>
      </w:r>
      <w:r>
        <w:tab/>
      </w:r>
      <w:r>
        <w:rPr>
          <w:noProof/>
        </w:rPr>
        <w:t>IMPLICAȚII BUGETARE</w:t>
      </w:r>
    </w:p>
    <w:p>
      <w:pPr>
        <w:rPr>
          <w:noProof/>
        </w:rPr>
      </w:pPr>
      <w:r>
        <w:rPr>
          <w:noProof/>
        </w:rPr>
        <w:t>Prezenta propunere nu are implicații financiare asupra cheltuielilor, dar are implicații financiare asupra veniturilor, și anume taxe vamale nepercepute în cuantum total de aproximativ 0,8 milioane EUR/an. Efectul negativ asupra resurselor proprii tradiționale ale bugetului este de 0,6 milioane EUR/an (80 % din 0,8 milioane EUR/an).</w:t>
      </w:r>
    </w:p>
    <w:p>
      <w:pPr>
        <w:rPr>
          <w:noProof/>
          <w:szCs w:val="24"/>
        </w:rPr>
      </w:pPr>
      <w:r>
        <w:rPr>
          <w:noProof/>
        </w:rPr>
        <w:t>Pierderea de venituri din resursele proprii tradiționale se compensează din contribuțiile statelor membre din resurse proprii vărsate pe baza venitului național brut.</w:t>
      </w:r>
    </w:p>
    <w:p>
      <w:pPr>
        <w:pStyle w:val="ManualHeading1"/>
        <w:rPr>
          <w:rFonts w:eastAsia="Calibri"/>
          <w:noProof/>
        </w:rPr>
      </w:pPr>
      <w:r>
        <w:t>5.</w:t>
      </w:r>
      <w:r>
        <w:tab/>
      </w:r>
      <w:r>
        <w:rPr>
          <w:noProof/>
        </w:rPr>
        <w:t>ALTE ELEMENTE</w:t>
      </w:r>
    </w:p>
    <w:p>
      <w:pPr>
        <w:pStyle w:val="ManualHeading2"/>
        <w:rPr>
          <w:rFonts w:eastAsia="Arial Unicode MS"/>
          <w:noProof/>
          <w:u w:color="000000"/>
          <w:bdr w:val="nil"/>
        </w:rPr>
      </w:pPr>
      <w:r>
        <w:rPr>
          <w:noProof/>
        </w:rPr>
        <w:t>•</w:t>
      </w:r>
      <w:r>
        <w:rPr>
          <w:noProof/>
        </w:rPr>
        <w:tab/>
        <w:t>Planuri de punere în aplicare și măsuri de monitorizare, evaluare și raportare</w:t>
      </w:r>
    </w:p>
    <w:p>
      <w:pPr>
        <w:pBdr>
          <w:top w:val="nil"/>
          <w:left w:val="nil"/>
          <w:bottom w:val="nil"/>
          <w:right w:val="nil"/>
          <w:between w:val="nil"/>
          <w:bar w:val="nil"/>
        </w:pBdr>
        <w:spacing w:before="0" w:after="240"/>
        <w:rPr>
          <w:noProof/>
        </w:rPr>
      </w:pPr>
      <w:r>
        <w:rPr>
          <w:noProof/>
        </w:rPr>
        <w:t>Măsurile propuse sunt gestionate în cadrul Tarifului vamal integrat al Uniunii Europene (TARIC) și sunt aplicate de administrațiile vamale ale statelor membre.</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2018/0125 (NLE)</w:t>
      </w:r>
    </w:p>
    <w:p>
      <w:pPr>
        <w:pStyle w:val="Statut"/>
        <w:rPr>
          <w:noProof/>
        </w:rPr>
      </w:pPr>
      <w:r>
        <w:rPr>
          <w:noProof/>
        </w:rPr>
        <w:t>Propunere de</w:t>
      </w:r>
    </w:p>
    <w:p>
      <w:pPr>
        <w:pStyle w:val="Typedudocument"/>
        <w:rPr>
          <w:noProof/>
        </w:rPr>
      </w:pPr>
      <w:r>
        <w:rPr>
          <w:noProof/>
        </w:rPr>
        <w:t>REGULAMENT AL CONSILIULUI</w:t>
      </w:r>
    </w:p>
    <w:p>
      <w:pPr>
        <w:pStyle w:val="Titreobjet"/>
        <w:rPr>
          <w:noProof/>
        </w:rPr>
      </w:pPr>
      <w:r>
        <w:rPr>
          <w:noProof/>
        </w:rPr>
        <w:t>de modificare a Regulamentului (UE) nr. 1388/2013 privind deschiderea și modul de gestionare a unor contingente tarifare autonome ale Uniunii pentru anumite produse agricole și industriale</w:t>
      </w:r>
    </w:p>
    <w:p>
      <w:pPr>
        <w:pStyle w:val="Institutionquiagit"/>
        <w:rPr>
          <w:noProof/>
        </w:rPr>
      </w:pPr>
      <w:r>
        <w:rPr>
          <w:noProof/>
        </w:rPr>
        <w:t>CONSILIUL UNIUNII EUROPENE,</w:t>
      </w:r>
    </w:p>
    <w:p>
      <w:pPr>
        <w:rPr>
          <w:noProof/>
        </w:rPr>
      </w:pPr>
      <w:r>
        <w:rPr>
          <w:noProof/>
        </w:rPr>
        <w:t>având în vedere Tratatul privind funcționarea Uniunii Europene, în special articolul 31,</w:t>
      </w:r>
    </w:p>
    <w:p>
      <w:pPr>
        <w:rPr>
          <w:noProof/>
        </w:rPr>
      </w:pPr>
      <w:r>
        <w:rPr>
          <w:noProof/>
        </w:rPr>
        <w:t>având în vedere propunerea Comisiei Europene,</w:t>
      </w:r>
    </w:p>
    <w:p>
      <w:pPr>
        <w:rPr>
          <w:noProof/>
        </w:rPr>
      </w:pPr>
      <w:r>
        <w:rPr>
          <w:noProof/>
        </w:rPr>
        <w:t>întrucât:</w:t>
      </w:r>
    </w:p>
    <w:p>
      <w:pPr>
        <w:pStyle w:val="ManualConsidrant"/>
        <w:rPr>
          <w:noProof/>
        </w:rPr>
      </w:pPr>
      <w:r>
        <w:t>(1)</w:t>
      </w:r>
      <w:r>
        <w:tab/>
      </w:r>
      <w:r>
        <w:rPr>
          <w:noProof/>
        </w:rPr>
        <w:t>Pentru a se asigura furnizarea suficientă și neîntreruptă a anumitor produse agricole și industriale care sunt fabricate în cantități insuficiente în Uniune și pentru a se evita astfel perturbarea pieței produselor respective, au fost deschise contingente tarifare autonome prin Regulamentul (UE) nr. 1388/2013 al Consiliului</w:t>
      </w:r>
      <w:bookmarkStart w:id="1" w:name="_Ref384194496"/>
      <w:r>
        <w:rPr>
          <w:rStyle w:val="FootnoteReference"/>
          <w:noProof/>
        </w:rPr>
        <w:footnoteReference w:id="3"/>
      </w:r>
      <w:bookmarkEnd w:id="1"/>
      <w:r>
        <w:rPr>
          <w:noProof/>
        </w:rPr>
        <w:t>. În cadrul acestor contingente tarifare, produsele pot fi importate în Uniune cu un nivel redus sau zero al taxelor.</w:t>
      </w:r>
    </w:p>
    <w:p>
      <w:pPr>
        <w:pStyle w:val="ManualConsidrant"/>
        <w:rPr>
          <w:noProof/>
        </w:rPr>
      </w:pPr>
      <w:r>
        <w:t>(2)</w:t>
      </w:r>
      <w:r>
        <w:tab/>
      </w:r>
      <w:r>
        <w:rPr>
          <w:noProof/>
        </w:rPr>
        <w:t xml:space="preserve">Întrucât este în interesul Uniunii și având în vedere faptul că nu sunt fabricate produse identice, echivalente sau de substituție în cantități suficiente în Uniune, este necesar să se deschidă contingente tarifare cu un nivel zero al taxelor pentru cantitățile corespunzătoare în ceea ce privește șapte produse noi, care sunt enumerate în anexa I la prezentul regulament. </w:t>
      </w:r>
    </w:p>
    <w:p>
      <w:pPr>
        <w:pStyle w:val="ManualConsidrant"/>
        <w:rPr>
          <w:noProof/>
        </w:rPr>
      </w:pPr>
      <w:r>
        <w:t>(3)</w:t>
      </w:r>
      <w:r>
        <w:tab/>
      </w:r>
      <w:r>
        <w:rPr>
          <w:noProof/>
        </w:rPr>
        <w:t>În cazul a opt produse suplimentare cu numerele de ordine 09.2700, 09.2624, 09.2647, 09.2648, 09.2682, 09.2696, 09.2697 și 09.2643, volumele contingentelor ar trebui majorate, deoarece o majorare este în interesul operatorilor economici din Uniune. În cazul a trei produse cu numerele de ordine 09.2676, 09.2876 și 09.2721, descrierea ar trebui modificată.</w:t>
      </w:r>
    </w:p>
    <w:p>
      <w:pPr>
        <w:pStyle w:val="ManualConsidrant"/>
        <w:rPr>
          <w:noProof/>
        </w:rPr>
      </w:pPr>
      <w:r>
        <w:t>(4)</w:t>
      </w:r>
      <w:r>
        <w:tab/>
      </w:r>
      <w:r>
        <w:rPr>
          <w:noProof/>
        </w:rPr>
        <w:t xml:space="preserve">Prin urmare, Regulamentul (UE) nr. 1388/2013 ar trebui modificat în consecință. Pentru a se evita orice întrerupere a aplicării sistemului de contingente, modificările prevăzute în prezentul regulament referitoare la contingentele pentru produsele în cauză ar trebui să se aplice de la 1 iulie 2018. Prin urmare, prezentul regulament ar trebui să intre în vigoare de urgență, </w:t>
      </w:r>
    </w:p>
    <w:p>
      <w:pPr>
        <w:pStyle w:val="Formuledadoption"/>
        <w:rPr>
          <w:noProof/>
        </w:rPr>
      </w:pPr>
      <w:r>
        <w:rPr>
          <w:noProof/>
        </w:rPr>
        <w:t>ADOPTĂ PREZENTUL REGULAMENT:</w:t>
      </w:r>
    </w:p>
    <w:p>
      <w:pPr>
        <w:pStyle w:val="Titrearticle"/>
        <w:rPr>
          <w:noProof/>
        </w:rPr>
      </w:pPr>
      <w:r>
        <w:rPr>
          <w:noProof/>
        </w:rPr>
        <w:t>Articolul 1</w:t>
      </w:r>
    </w:p>
    <w:p>
      <w:pPr>
        <w:rPr>
          <w:rFonts w:cs="EUAlbertina"/>
          <w:noProof/>
        </w:rPr>
      </w:pPr>
      <w:r>
        <w:rPr>
          <w:noProof/>
        </w:rPr>
        <w:t>Tabelul din anexa la Regulamentul (UE) nr. 1388/2013 se modifică după cum urmează:</w:t>
      </w:r>
    </w:p>
    <w:p>
      <w:pPr>
        <w:pStyle w:val="ManualNumPar1"/>
        <w:ind w:left="1440" w:hanging="720"/>
        <w:rPr>
          <w:noProof/>
        </w:rPr>
      </w:pPr>
      <w:r>
        <w:rPr>
          <w:noProof/>
        </w:rPr>
        <w:lastRenderedPageBreak/>
        <w:t>1.</w:t>
      </w:r>
      <w:r>
        <w:rPr>
          <w:noProof/>
        </w:rPr>
        <w:tab/>
        <w:t>în prima coloană, toate asteriscurile (*) se elimină;</w:t>
      </w:r>
    </w:p>
    <w:p>
      <w:pPr>
        <w:pStyle w:val="Text1"/>
        <w:ind w:left="1440" w:hanging="720"/>
        <w:rPr>
          <w:noProof/>
        </w:rPr>
      </w:pPr>
      <w:r>
        <w:rPr>
          <w:noProof/>
        </w:rPr>
        <w:t>2.</w:t>
      </w:r>
      <w:r>
        <w:rPr>
          <w:noProof/>
        </w:rPr>
        <w:tab/>
        <w:t>rândurile referitoare la contingentele tarifare cu numerele de ordine 09.2726, 09.2728, 09.2684, 09.2730, 09.2732, 09.2734 și 09.2736 prevăzute în anexa I la prezentul regulament se introduc respectând ordinea codurilor NC indicate în a doua coloană a tabelului respectiv;</w:t>
      </w:r>
    </w:p>
    <w:p>
      <w:pPr>
        <w:pStyle w:val="Text1"/>
        <w:ind w:left="1440" w:hanging="720"/>
        <w:rPr>
          <w:noProof/>
        </w:rPr>
      </w:pPr>
      <w:r>
        <w:rPr>
          <w:noProof/>
        </w:rPr>
        <w:t>3.</w:t>
      </w:r>
      <w:r>
        <w:rPr>
          <w:noProof/>
        </w:rPr>
        <w:tab/>
        <w:t>rândurile referitoare la contingentele tarifare cu numerele de ordine 09.2700, 09. 2624, 09.2647, 09.2648, 09.2682, 09.2696, 09.2697, 09.2676, 09.2876, 09.2721, și 09.2643 se înlocuiesc cu rândurile corespunzătoare prevăzute în anexa II la prezentul regulament.</w:t>
      </w:r>
    </w:p>
    <w:p>
      <w:pPr>
        <w:pStyle w:val="Titrearticle"/>
        <w:rPr>
          <w:noProof/>
        </w:rPr>
      </w:pPr>
      <w:r>
        <w:rPr>
          <w:noProof/>
        </w:rPr>
        <w:t>Articolul 2</w:t>
      </w:r>
    </w:p>
    <w:p>
      <w:pPr>
        <w:rPr>
          <w:i/>
          <w:iCs/>
          <w:noProof/>
        </w:rPr>
      </w:pPr>
      <w:r>
        <w:rPr>
          <w:noProof/>
        </w:rPr>
        <w:t xml:space="preserve">Prezentul regulament intră în vigoare în ziua următoare datei publicării în </w:t>
      </w:r>
      <w:r>
        <w:rPr>
          <w:i/>
          <w:noProof/>
        </w:rPr>
        <w:t>Jurnalul Oficial al Uniunii Europene</w:t>
      </w:r>
      <w:r>
        <w:rPr>
          <w:noProof/>
        </w:rPr>
        <w:t>.</w:t>
      </w:r>
    </w:p>
    <w:p>
      <w:pPr>
        <w:rPr>
          <w:noProof/>
        </w:rPr>
      </w:pPr>
      <w:r>
        <w:rPr>
          <w:noProof/>
        </w:rPr>
        <w:t>Se aplică de la 1 iulie 2018.</w:t>
      </w:r>
    </w:p>
    <w:p>
      <w:pPr>
        <w:pStyle w:val="Applicationdirecte"/>
        <w:rPr>
          <w:noProof/>
        </w:rPr>
      </w:pPr>
      <w:r>
        <w:rPr>
          <w:noProof/>
        </w:rPr>
        <w:t>Prezentul regulament este obligatoriu în toate elementele sale și se aplică direct în toate statele membre.</w:t>
      </w:r>
    </w:p>
    <w:p>
      <w:pPr>
        <w:pStyle w:val="Fait"/>
        <w:rPr>
          <w:noProof/>
        </w:rPr>
      </w:pPr>
      <w:r>
        <w:t>Adoptat la Bruxelles,</w:t>
      </w:r>
    </w:p>
    <w:p>
      <w:pPr>
        <w:pStyle w:val="Institutionquisigne"/>
        <w:rPr>
          <w:noProof/>
        </w:rPr>
      </w:pPr>
      <w:r>
        <w:rPr>
          <w:noProof/>
        </w:rPr>
        <w:tab/>
        <w:t>Pentru Consiliu</w:t>
      </w:r>
    </w:p>
    <w:p>
      <w:pPr>
        <w:pStyle w:val="Personnequisigne"/>
        <w:rPr>
          <w:noProof/>
        </w:rPr>
      </w:pPr>
      <w:r>
        <w:rPr>
          <w:noProof/>
        </w:rPr>
        <w:tab/>
        <w:t>Președintele</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FIȘĂ FINANCIARĂ LEGISLATIVĂ</w:t>
      </w:r>
    </w:p>
    <w:p>
      <w:pPr>
        <w:keepNext/>
        <w:spacing w:before="360"/>
        <w:outlineLvl w:val="0"/>
        <w:rPr>
          <w:b/>
          <w:smallCaps/>
          <w:noProof/>
        </w:rPr>
      </w:pPr>
      <w:r>
        <w:rPr>
          <w:b/>
          <w:smallCaps/>
          <w:noProof/>
        </w:rPr>
        <w:t>1.</w:t>
      </w:r>
      <w:r>
        <w:rPr>
          <w:noProof/>
        </w:rPr>
        <w:tab/>
      </w:r>
      <w:r>
        <w:rPr>
          <w:b/>
          <w:smallCaps/>
          <w:noProof/>
        </w:rPr>
        <w:t>TITLUL PROPUNERII:</w:t>
      </w:r>
    </w:p>
    <w:p>
      <w:pPr>
        <w:rPr>
          <w:noProof/>
        </w:rPr>
      </w:pPr>
      <w:r>
        <w:rPr>
          <w:noProof/>
        </w:rPr>
        <w:t>Regulament al Consiliului de modificare a Regulamentului (UE) nr. 1388/2013 privind deschiderea și modul de gestionare a unor contingente tarifare autonome ale Uniunii pentru anumite produse agricole și industriale</w:t>
      </w:r>
    </w:p>
    <w:p>
      <w:pPr>
        <w:keepNext/>
        <w:spacing w:before="360"/>
        <w:outlineLvl w:val="0"/>
        <w:rPr>
          <w:b/>
          <w:smallCaps/>
          <w:noProof/>
        </w:rPr>
      </w:pPr>
      <w:r>
        <w:rPr>
          <w:b/>
          <w:smallCaps/>
          <w:noProof/>
        </w:rPr>
        <w:t>2.</w:t>
      </w:r>
      <w:r>
        <w:rPr>
          <w:noProof/>
        </w:rPr>
        <w:tab/>
      </w:r>
      <w:r>
        <w:rPr>
          <w:b/>
          <w:smallCaps/>
          <w:noProof/>
        </w:rPr>
        <w:t>LINII BUGETARE</w:t>
      </w:r>
    </w:p>
    <w:p>
      <w:pPr>
        <w:spacing w:before="100" w:beforeAutospacing="1" w:after="100" w:afterAutospacing="1"/>
        <w:jc w:val="left"/>
        <w:rPr>
          <w:rFonts w:eastAsia="Times New Roman"/>
          <w:noProof/>
          <w:szCs w:val="24"/>
        </w:rPr>
      </w:pPr>
      <w:r>
        <w:rPr>
          <w:noProof/>
        </w:rPr>
        <w:t>Capitolul și articolul:</w:t>
      </w:r>
      <w:r>
        <w:rPr>
          <w:noProof/>
        </w:rPr>
        <w:br/>
        <w:t>Capitolul 12 și articolul 120 – Taxe vamale și alte taxe menționate la articolul 2 alineatul (1) litera (a) din Decizia 2014/335/UE, Euratom.</w:t>
      </w:r>
    </w:p>
    <w:p>
      <w:pPr>
        <w:spacing w:before="100" w:beforeAutospacing="1" w:after="100" w:afterAutospacing="1"/>
        <w:jc w:val="left"/>
        <w:rPr>
          <w:rFonts w:eastAsia="Times New Roman"/>
          <w:noProof/>
          <w:szCs w:val="24"/>
        </w:rPr>
      </w:pPr>
      <w:r>
        <w:rPr>
          <w:noProof/>
        </w:rPr>
        <w:t>Suma înscrisă în buget pentru exercițiul financiar 2018 (22 844 000 000 EUR)</w:t>
      </w:r>
    </w:p>
    <w:p>
      <w:pPr>
        <w:keepNext/>
        <w:spacing w:before="360"/>
        <w:outlineLvl w:val="0"/>
        <w:rPr>
          <w:b/>
          <w:smallCaps/>
          <w:noProof/>
        </w:rPr>
      </w:pPr>
      <w:r>
        <w:rPr>
          <w:b/>
          <w:smallCaps/>
          <w:noProof/>
        </w:rPr>
        <w:t>3.</w:t>
      </w:r>
      <w:r>
        <w:rPr>
          <w:noProof/>
        </w:rPr>
        <w:tab/>
      </w:r>
      <w:r>
        <w:rPr>
          <w:b/>
          <w:smallCaps/>
          <w:noProof/>
        </w:rPr>
        <w:t>IMPLICAȚII FINANCIARE</w:t>
      </w:r>
    </w:p>
    <w:p>
      <w:pPr>
        <w:rPr>
          <w:noProof/>
        </w:rPr>
      </w:pPr>
      <w:r>
        <w:rPr>
          <w:noProof/>
        </w:rPr>
        <w:sym w:font="Wingdings" w:char="F0A8"/>
      </w:r>
      <w:r>
        <w:rPr>
          <w:noProof/>
        </w:rPr>
        <w:tab/>
        <w:t>Propunerea nu are implicații financiare</w:t>
      </w:r>
    </w:p>
    <w:p>
      <w:pPr>
        <w:rPr>
          <w:noProof/>
        </w:rPr>
      </w:pPr>
      <w:r>
        <w:rPr>
          <w:noProof/>
        </w:rPr>
        <w:t>X</w:t>
      </w:r>
      <w:r>
        <w:rPr>
          <w:noProof/>
        </w:rPr>
        <w:tab/>
        <w:t>Propunerea nu are implicații financiare asupra cheltuielilor, dar are implicații financiare asupra veniturilor. Efectul este următorul:</w:t>
      </w:r>
    </w:p>
    <w:p>
      <w:pPr>
        <w:jc w:val="right"/>
        <w:rPr>
          <w:noProof/>
          <w:sz w:val="18"/>
        </w:rPr>
      </w:pPr>
      <w:r>
        <w:rPr>
          <w:noProof/>
        </w:rPr>
        <w:t>(milioane EUR cu o zecimală)</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Linia bugetară</w:t>
            </w:r>
          </w:p>
        </w:tc>
        <w:tc>
          <w:tcPr>
            <w:tcW w:w="2879" w:type="dxa"/>
          </w:tcPr>
          <w:p>
            <w:pPr>
              <w:jc w:val="center"/>
              <w:rPr>
                <w:noProof/>
              </w:rPr>
            </w:pPr>
            <w:r>
              <w:rPr>
                <w:noProof/>
              </w:rPr>
              <w:t>Venituri</w:t>
            </w:r>
            <w:r>
              <w:rPr>
                <w:rStyle w:val="FootnoteReference"/>
                <w:noProof/>
              </w:rPr>
              <w:footnoteReference w:id="4"/>
            </w:r>
          </w:p>
        </w:tc>
        <w:tc>
          <w:tcPr>
            <w:tcW w:w="2040" w:type="dxa"/>
          </w:tcPr>
          <w:p>
            <w:pPr>
              <w:jc w:val="center"/>
              <w:rPr>
                <w:noProof/>
              </w:rPr>
            </w:pPr>
            <w:r>
              <w:rPr>
                <w:noProof/>
              </w:rPr>
              <w:t>perioadă de 6 luni începând cu zz/ll/aaaa</w:t>
            </w:r>
          </w:p>
        </w:tc>
        <w:tc>
          <w:tcPr>
            <w:tcW w:w="2160" w:type="dxa"/>
          </w:tcPr>
          <w:p>
            <w:pPr>
              <w:jc w:val="center"/>
              <w:rPr>
                <w:noProof/>
              </w:rPr>
            </w:pPr>
            <w:r>
              <w:rPr>
                <w:noProof/>
              </w:rPr>
              <w:t>[Anul: al doilea semestru al anului 2018]</w:t>
            </w:r>
          </w:p>
        </w:tc>
      </w:tr>
      <w:tr>
        <w:tc>
          <w:tcPr>
            <w:tcW w:w="1321" w:type="dxa"/>
          </w:tcPr>
          <w:p>
            <w:pPr>
              <w:rPr>
                <w:noProof/>
              </w:rPr>
            </w:pPr>
            <w:r>
              <w:rPr>
                <w:noProof/>
              </w:rPr>
              <w:t>Articolul 120</w:t>
            </w:r>
          </w:p>
        </w:tc>
        <w:tc>
          <w:tcPr>
            <w:tcW w:w="2879" w:type="dxa"/>
          </w:tcPr>
          <w:p>
            <w:pPr>
              <w:jc w:val="center"/>
              <w:rPr>
                <w:i/>
                <w:noProof/>
              </w:rPr>
            </w:pPr>
            <w:r>
              <w:rPr>
                <w:i/>
                <w:noProof/>
              </w:rPr>
              <w:t>Implicații asupra resurselor proprii</w:t>
            </w:r>
          </w:p>
        </w:tc>
        <w:tc>
          <w:tcPr>
            <w:tcW w:w="2040" w:type="dxa"/>
          </w:tcPr>
          <w:p>
            <w:pPr>
              <w:jc w:val="center"/>
              <w:rPr>
                <w:noProof/>
              </w:rPr>
            </w:pPr>
            <w:r>
              <w:rPr>
                <w:noProof/>
              </w:rPr>
              <w:t>1.7.2018</w:t>
            </w:r>
          </w:p>
        </w:tc>
        <w:tc>
          <w:tcPr>
            <w:tcW w:w="2160" w:type="dxa"/>
          </w:tcPr>
          <w:p>
            <w:pPr>
              <w:jc w:val="center"/>
              <w:rPr>
                <w:noProof/>
              </w:rPr>
            </w:pPr>
            <w:r>
              <w:rPr>
                <w:noProof/>
              </w:rPr>
              <w:t>- 0,6</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rPr>
        <w:t xml:space="preserve">Anexa I conține 7 produse noi. Taxele vamale nepercepute corespunzătoare acestor contingente, calculate pe baza previziunilor statului membru solicitant pentru perioada 1.7.2018-31.12.2018, se ridică la 0,6 milioane EUR. </w:t>
      </w:r>
    </w:p>
    <w:p>
      <w:pPr>
        <w:spacing w:before="100" w:beforeAutospacing="1" w:after="100" w:afterAutospacing="1"/>
        <w:rPr>
          <w:noProof/>
          <w:szCs w:val="24"/>
        </w:rPr>
      </w:pPr>
      <w:r>
        <w:rPr>
          <w:noProof/>
        </w:rPr>
        <w:t>Pe baza celor de mai sus, impactul asupra pierderii de venituri pentru bugetul UE care rezultă din prezentul regulament este estimat la 700 820 EUR (cuantum brut, incluzând cheltuielile de colectare) x 0,8 = 560 656 EUR pe semestru (cuantum net).</w:t>
      </w:r>
    </w:p>
    <w:p>
      <w:pPr>
        <w:rPr>
          <w:noProof/>
        </w:rPr>
      </w:pPr>
      <w:r>
        <w:rPr>
          <w:noProof/>
        </w:rPr>
        <w:t>4.</w:t>
      </w:r>
      <w:r>
        <w:rPr>
          <w:noProof/>
        </w:rPr>
        <w:tab/>
      </w:r>
      <w:r>
        <w:rPr>
          <w:b/>
          <w:noProof/>
        </w:rPr>
        <w:t>MĂSURI ANTIFRAUDĂ</w:t>
      </w:r>
    </w:p>
    <w:p>
      <w:pPr>
        <w:rPr>
          <w:noProof/>
        </w:rPr>
      </w:pPr>
      <w:r>
        <w:rPr>
          <w:noProof/>
        </w:rPr>
        <w:t>Controlul utilizării finale a anumitor produse care fac obiectul prezentului regulament al Consiliului se va efectua în conformitate cu articolul 254 din Regulamentul (UE) nr. 952/2013 al Parlamentului European și al Consiliului din 9 octombrie 2013 de stabilire a Codului vamal al Uniunii.</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i-FI"/>
        </w:rPr>
      </w:pPr>
      <w:r>
        <w:rPr>
          <w:rStyle w:val="FootnoteReference"/>
        </w:rPr>
        <w:footnoteRef/>
      </w:r>
      <w:r>
        <w:tab/>
        <w:t>JO C 363, 13.12.2011, p. 6.</w:t>
      </w:r>
    </w:p>
  </w:footnote>
  <w:footnote w:id="2">
    <w:p>
      <w:pPr>
        <w:pStyle w:val="FootnoteText"/>
        <w:rPr>
          <w:lang w:val="fi-FI"/>
        </w:rPr>
      </w:pPr>
      <w:r>
        <w:rPr>
          <w:rStyle w:val="FootnoteReference"/>
        </w:rPr>
        <w:footnoteRef/>
      </w:r>
      <w:r>
        <w:tab/>
      </w:r>
      <w:hyperlink r:id="rId1">
        <w:r>
          <w:rPr>
            <w:rStyle w:val="Hyperlink"/>
          </w:rPr>
          <w:t>http://ec.europa.eu/taxation_customs/common/publications/studies/index_en.htm</w:t>
        </w:r>
      </w:hyperlink>
    </w:p>
  </w:footnote>
  <w:footnote w:id="3">
    <w:p>
      <w:pPr>
        <w:pStyle w:val="FootnoteText"/>
      </w:pPr>
      <w:r>
        <w:rPr>
          <w:rStyle w:val="FootnoteReference"/>
        </w:rPr>
        <w:footnoteRef/>
      </w:r>
      <w:r>
        <w:tab/>
        <w:t xml:space="preserve">Regulamentul (UE) nr. 1388/2013 al Consiliului din 17 decembrie 2013 privind deschiderea și modul de gestionare a unor contingente tarifare autonome ale Uniunii pentru anumite produse agricole și industriale și de abrogare a Regulamentului (UE) nr. 7/2010 (JO L 354, 28.12.2013, p. 319). </w:t>
      </w:r>
    </w:p>
  </w:footnote>
  <w:footnote w:id="4">
    <w:p>
      <w:pPr>
        <w:pStyle w:val="FootnoteText"/>
      </w:pPr>
      <w:r>
        <w:rPr>
          <w:rStyle w:val="FootnoteReference"/>
        </w:rPr>
        <w:footnoteRef/>
      </w:r>
      <w:r>
        <w:tab/>
        <w:t>În ceea ce privește resursele proprii tradiționale (taxe agricole, cotizații pentru zahăr, taxe vamale), sumele indicate trebuie să fie sume nete, și anume sume brute după deducerea a 20 % reprezentând cheltuieli de colectare.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1"/>
  </w:num>
  <w:num w:numId="16">
    <w:abstractNumId w:val="10"/>
  </w:num>
  <w:num w:numId="17">
    <w:abstractNumId w:val="12"/>
  </w:num>
  <w:num w:numId="18">
    <w:abstractNumId w:val="8"/>
  </w:num>
  <w:num w:numId="19">
    <w:abstractNumId w:val="20"/>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3:2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24D246-F5A9-4CF8-87D5-1D0D8E35FFD5"/>
    <w:docVar w:name="LW_COVERPAGE_TYPE" w:val="1"/>
    <w:docVar w:name="LW_CROSSREFERENCE" w:val="&lt;UNUSED&gt;"/>
    <w:docVar w:name="LW_DocType" w:val="COM"/>
    <w:docVar w:name="LW_EMISSION" w:val="7.5.2018"/>
    <w:docVar w:name="LW_EMISSION_ISODATE" w:val="2018-05-07"/>
    <w:docVar w:name="LW_EMISSION_LOCATION" w:val="BRX"/>
    <w:docVar w:name="LW_EMISSION_PREFIX" w:val="Bruxelle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NLE"/>
    <w:docVar w:name="LW_REF.II.NEW.CP_NUMBER" w:val="0125"/>
    <w:docVar w:name="LW_REF.II.NEW.CP_YEAR" w:val="2018"/>
    <w:docVar w:name="LW_REF.INST.NEW" w:val="COM"/>
    <w:docVar w:name="LW_REF.INST.NEW_ADOPTED" w:val="final"/>
    <w:docVar w:name="LW_REF.INST.NEW_TEXT" w:val="(2018) 2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unere de"/>
    <w:docVar w:name="LW_SUPERTITRE" w:val="&lt;UNUSED&gt;"/>
    <w:docVar w:name="LW_TITRE.OBJ.CP" w:val="de modificare a Regulamentului (UE) nr. 1388/2013 privind deschiderea \u537?i modul de gestionare a unor contingente tarifare autonome ale Uniunii pentru anumite produse agricole \u537?i industriale"/>
    <w:docVar w:name="LW_TITRE.OBJ.CP_PREVIOUS" w:val="&lt;UNUSED&gt;"/>
    <w:docVar w:name="LW_TYPE.DOC.CP" w:val="REGULAMENT AL CONSILIULUI"/>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ro-RO"/>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ro-RO"/>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B8AB-BA40-460B-8FE3-88DA2FB5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1560</Words>
  <Characters>9599</Characters>
  <Application>Microsoft Office Word</Application>
  <DocSecurity>0</DocSecurity>
  <Lines>188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11061</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2018-04-06T12:37:00Z</cp:lastPrinted>
  <dcterms:created xsi:type="dcterms:W3CDTF">2018-04-25T11:40:00Z</dcterms:created>
  <dcterms:modified xsi:type="dcterms:W3CDTF">2018-05-02T11:23:00Z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 Build 20171009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