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3731ADB-E489-441E-8488-C57756BEA7A1" style="width:450.4pt;height:351.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alHeading2"/>
        <w:rPr>
          <w:rFonts w:eastAsia="Arial Unicode MS"/>
          <w:noProof/>
        </w:rPr>
      </w:pPr>
      <w:r>
        <w:rPr>
          <w:noProof/>
          <w:color w:val="000000"/>
          <w:u w:color="000000"/>
          <w:bdr w:val="nil"/>
        </w:rPr>
        <w:t>•</w:t>
      </w:r>
      <w:r>
        <w:rPr>
          <w:noProof/>
        </w:rPr>
        <w:tab/>
        <w:t>Motiv och syfte med förslaget</w:t>
      </w:r>
    </w:p>
    <w:p>
      <w:pPr>
        <w:pBdr>
          <w:top w:val="nil"/>
          <w:left w:val="nil"/>
          <w:bottom w:val="nil"/>
          <w:right w:val="nil"/>
          <w:between w:val="nil"/>
          <w:bar w:val="nil"/>
        </w:pBdr>
        <w:spacing w:before="0" w:after="240"/>
        <w:rPr>
          <w:noProof/>
        </w:rPr>
      </w:pPr>
      <w:r>
        <w:rPr>
          <w:noProof/>
        </w:rPr>
        <w:t>Syftet med detta förslag är att fastställa genomförandebestämmelser i enlighet med artikel 7 i kommissionens förslag till rådets beslut om systemet för Europeiska unionens egna medel</w:t>
      </w:r>
      <w:r>
        <w:rPr>
          <w:rStyle w:val="FootnoteReference"/>
          <w:noProof/>
        </w:rPr>
        <w:footnoteReference w:id="2"/>
      </w:r>
      <w:r>
        <w:rPr>
          <w:noProof/>
        </w:rPr>
        <w:t xml:space="preserve"> i enlighet med artikel 311 fjärde stycket i fördraget om Europeiska unionens funktionssätt. Förslaget upphäver och ersätter rådets förordning (EU, Euratom) nr 608/2014</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I det föreslagna nya beslutet om egna medel kommer nuvarande tre typer av egna medel att bibehållas och göras om: traditionella egna medel, en modifierad version av egna medel som baseras på mervärdesskatt, och egna medel som baseras på bruttonationalinkomst (BNI).</w:t>
      </w:r>
    </w:p>
    <w:p>
      <w:pPr>
        <w:pBdr>
          <w:top w:val="nil"/>
          <w:left w:val="nil"/>
          <w:bottom w:val="nil"/>
          <w:right w:val="nil"/>
          <w:between w:val="nil"/>
          <w:bar w:val="nil"/>
        </w:pBdr>
        <w:spacing w:before="0" w:after="240"/>
        <w:rPr>
          <w:noProof/>
        </w:rPr>
      </w:pPr>
      <w:r>
        <w:rPr>
          <w:noProof/>
        </w:rPr>
        <w:t>Dessutom inför det föreslagna nya beslutet tre nya typer av egna medel – baserade på en gemensam konsoliderad bolagsskattebas, på Europeiska unionens system för handel med utsläppsrätter, och på plastförpackningsavfall som inte materialutnyttjas.</w:t>
      </w:r>
    </w:p>
    <w:p>
      <w:pPr>
        <w:pBdr>
          <w:top w:val="nil"/>
          <w:left w:val="nil"/>
          <w:bottom w:val="nil"/>
          <w:right w:val="nil"/>
          <w:between w:val="nil"/>
          <w:bar w:val="nil"/>
        </w:pBdr>
        <w:spacing w:before="0" w:after="240"/>
        <w:rPr>
          <w:noProof/>
        </w:rPr>
      </w:pPr>
      <w:r>
        <w:rPr>
          <w:noProof/>
        </w:rPr>
        <w:t>Detta förslag till förordning omfattar alla praktiska bestämmelser för unionens egna medel. I likhet med förordning (EU, Euratom) nr 608/2014 innehåller den föreslagna förordningen ett förenklat förfarande för att göra systemet flexibelt inom de ramar och gränser som fastställs i beslutet om egna medel.</w:t>
      </w:r>
    </w:p>
    <w:p>
      <w:pPr>
        <w:pBdr>
          <w:top w:val="nil"/>
          <w:left w:val="nil"/>
          <w:bottom w:val="nil"/>
          <w:right w:val="nil"/>
          <w:between w:val="nil"/>
          <w:bar w:val="nil"/>
        </w:pBdr>
        <w:spacing w:before="0" w:after="240"/>
        <w:rPr>
          <w:noProof/>
        </w:rPr>
      </w:pPr>
      <w:r>
        <w:rPr>
          <w:noProof/>
        </w:rPr>
        <w:t>Förslaget innehåller bestämmelser av allmän natur som är tillämpliga på alla typer av egna medel och där det är särskilt viktigt med parlamentarisk kontroll. De rör främst frågor om kontroll och övervakning av inkomsterna, inklusive relevanta rapporteringskrav och därmed sammanhängande befogenheter som ska gälla för de tjänstemän som bemyndigats av kommissionen.</w:t>
      </w:r>
    </w:p>
    <w:p>
      <w:pPr>
        <w:pBdr>
          <w:top w:val="nil"/>
          <w:left w:val="nil"/>
          <w:bottom w:val="nil"/>
          <w:right w:val="nil"/>
          <w:between w:val="nil"/>
          <w:bar w:val="nil"/>
        </w:pBdr>
        <w:spacing w:before="0" w:after="240"/>
        <w:rPr>
          <w:noProof/>
        </w:rPr>
      </w:pPr>
      <w:r>
        <w:rPr>
          <w:noProof/>
        </w:rPr>
        <w:t xml:space="preserve">Dessa genomförandebestämmelser kompletteras, i enlighet med artikel 322.2 i fördraget om Europeiska unionens funktionssätt, med förordningar som fastställer de sätt och det förfarande enligt vilka inkomsterna från egna medel ska ställas till kommissionens förfogande eller betalas till kommissionen samt nödvändiga åtgärder för att möta ett eventuellt likviditetsbehov. </w:t>
      </w:r>
    </w:p>
    <w:p>
      <w:pPr>
        <w:pBdr>
          <w:top w:val="nil"/>
          <w:left w:val="nil"/>
          <w:bottom w:val="nil"/>
          <w:right w:val="nil"/>
          <w:between w:val="nil"/>
          <w:bar w:val="nil"/>
        </w:pBdr>
        <w:spacing w:before="0" w:after="240"/>
        <w:rPr>
          <w:noProof/>
        </w:rPr>
      </w:pPr>
      <w:r>
        <w:rPr>
          <w:noProof/>
        </w:rPr>
        <w:t>Detta initiativ är en del av ett större lagstiftningspaket för egna medel som kommissionen föreslår tillsammans med en förordning om en flerårig budgetram för 2021–2027</w:t>
      </w:r>
      <w:r>
        <w:rPr>
          <w:rStyle w:val="FootnoteReference"/>
          <w:noProof/>
        </w:rPr>
        <w:footnoteReference w:id="4"/>
      </w:r>
      <w:r>
        <w:rPr>
          <w:noProof/>
        </w:rPr>
        <w:t>. I paketet ingår beslutet om egna medel som avses ovan, en särskild förordning om tillhandahållande av de nya typerna av egna medel</w:t>
      </w:r>
      <w:r>
        <w:rPr>
          <w:rStyle w:val="FootnoteReference"/>
          <w:noProof/>
        </w:rPr>
        <w:footnoteReference w:id="5"/>
      </w:r>
      <w:r>
        <w:rPr>
          <w:noProof/>
        </w:rPr>
        <w:t xml:space="preserve"> och en ändring</w:t>
      </w:r>
      <w:r>
        <w:rPr>
          <w:rStyle w:val="FootnoteReference"/>
          <w:noProof/>
        </w:rPr>
        <w:footnoteReference w:id="6"/>
      </w:r>
      <w:r>
        <w:rPr>
          <w:noProof/>
        </w:rPr>
        <w:t xml:space="preserve"> av förordningen om egna medel från </w:t>
      </w:r>
      <w:r>
        <w:rPr>
          <w:noProof/>
        </w:rPr>
        <w:lastRenderedPageBreak/>
        <w:t>mervärdesskatt</w:t>
      </w:r>
      <w:r>
        <w:rPr>
          <w:rStyle w:val="FootnoteReference"/>
          <w:noProof/>
        </w:rPr>
        <w:footnoteReference w:id="7"/>
      </w:r>
      <w:r>
        <w:rPr>
          <w:noProof/>
        </w:rPr>
        <w:t>. Initiativet ingår inte i programmet om lagstiftningens ändamålsenlighet och resultat (Refit).</w:t>
      </w:r>
    </w:p>
    <w:p>
      <w:pPr>
        <w:pBdr>
          <w:top w:val="nil"/>
          <w:left w:val="nil"/>
          <w:bottom w:val="nil"/>
          <w:right w:val="nil"/>
          <w:between w:val="nil"/>
          <w:bar w:val="nil"/>
        </w:pBdr>
        <w:spacing w:before="0" w:after="240"/>
        <w:rPr>
          <w:noProof/>
        </w:rPr>
      </w:pPr>
      <w:r>
        <w:rPr>
          <w:noProof/>
        </w:rPr>
        <w:t>Den nu gällande rådsförordningen (EU, Euratom) nr 608/2014 fastställer genomförandebestämmelser till systemet för Europeiska unionens egna medel i enlighet med artikel 9 i beslut nr 2014/33/EU, Euratom</w:t>
      </w:r>
      <w:r>
        <w:rPr>
          <w:rStyle w:val="FootnoteReference"/>
          <w:noProof/>
        </w:rPr>
        <w:footnoteReference w:id="8"/>
      </w:r>
      <w:r>
        <w:rPr>
          <w:noProof/>
        </w:rPr>
        <w:t>. Det föreslagna beslutet om egna medel omfattar nya typer av egna medel och enligt artikel 7 ska genomförandebestämmelser fastställas för följande:</w:t>
      </w:r>
    </w:p>
    <w:p>
      <w:pPr>
        <w:pStyle w:val="Point1letter"/>
        <w:numPr>
          <w:ilvl w:val="3"/>
          <w:numId w:val="10"/>
        </w:numPr>
        <w:rPr>
          <w:noProof/>
        </w:rPr>
      </w:pPr>
      <w:r>
        <w:rPr>
          <w:noProof/>
        </w:rPr>
        <w:t>närmare bestämmelser för att beräkna och fastställa beloppen för egna medel,</w:t>
      </w:r>
    </w:p>
    <w:p>
      <w:pPr>
        <w:pStyle w:val="Point1letter"/>
        <w:rPr>
          <w:noProof/>
        </w:rPr>
      </w:pPr>
      <w:r>
        <w:rPr>
          <w:noProof/>
        </w:rPr>
        <w:t>bestämmelser och arrangemang som behövs för att kontrollera och övervaka inkomsterna från egna medel,</w:t>
      </w:r>
    </w:p>
    <w:p>
      <w:pPr>
        <w:pStyle w:val="Point1letter"/>
        <w:rPr>
          <w:noProof/>
        </w:rPr>
      </w:pPr>
      <w:r>
        <w:rPr>
          <w:noProof/>
        </w:rPr>
        <w:t>referens-BNI, bestämmelser för justering av BNI och bestämmelser för att räkna om taken för betalningar och åtaganden vid betydande skillnader i BNI,</w:t>
      </w:r>
    </w:p>
    <w:p>
      <w:pPr>
        <w:pStyle w:val="Point1letter"/>
        <w:rPr>
          <w:noProof/>
        </w:rPr>
      </w:pPr>
      <w:r>
        <w:rPr>
          <w:noProof/>
        </w:rPr>
        <w:t>förfarandet för att beräkna och budgetera det årliga saldot.</w:t>
      </w:r>
    </w:p>
    <w:p>
      <w:pPr>
        <w:pBdr>
          <w:top w:val="nil"/>
          <w:left w:val="nil"/>
          <w:bottom w:val="nil"/>
          <w:right w:val="nil"/>
          <w:between w:val="nil"/>
          <w:bar w:val="nil"/>
        </w:pBdr>
        <w:spacing w:before="0" w:after="240"/>
        <w:rPr>
          <w:rFonts w:eastAsia="Arial Unicode MS"/>
          <w:noProof/>
        </w:rPr>
      </w:pPr>
      <w:r>
        <w:rPr>
          <w:noProof/>
        </w:rPr>
        <w:t>Mot denna bakgrund rör kommissionens förslag till genomförandebestämmelser följande:</w:t>
      </w:r>
    </w:p>
    <w:p>
      <w:pPr>
        <w:pStyle w:val="Tiret0"/>
        <w:numPr>
          <w:ilvl w:val="0"/>
          <w:numId w:val="11"/>
        </w:numPr>
        <w:rPr>
          <w:noProof/>
        </w:rPr>
      </w:pPr>
      <w:r>
        <w:rPr>
          <w:noProof/>
        </w:rPr>
        <w:t>Alla typer av egna medel som införs enligt artikel 2 i beslutet om egna medel, på samma sätt som nu gällande genomförandeförordning (EU, Euratom) nr 608/2014, inklusive</w:t>
      </w:r>
    </w:p>
    <w:p>
      <w:pPr>
        <w:pStyle w:val="Point1"/>
        <w:rPr>
          <w:noProof/>
        </w:rPr>
      </w:pPr>
      <w:r>
        <w:rPr>
          <w:rFonts w:ascii="Wingdings" w:hAnsi="Wingdings"/>
          <w:noProof/>
        </w:rPr>
        <w:t></w:t>
      </w:r>
      <w:r>
        <w:rPr>
          <w:noProof/>
        </w:rPr>
        <w:tab/>
        <w:t xml:space="preserve">uttagssatser, </w:t>
      </w:r>
    </w:p>
    <w:p>
      <w:pPr>
        <w:pStyle w:val="Point1"/>
        <w:rPr>
          <w:noProof/>
        </w:rPr>
      </w:pPr>
      <w:r>
        <w:rPr>
          <w:rFonts w:ascii="Wingdings" w:hAnsi="Wingdings"/>
          <w:noProof/>
        </w:rPr>
        <w:t></w:t>
      </w:r>
      <w:r>
        <w:rPr>
          <w:noProof/>
        </w:rPr>
        <w:tab/>
        <w:t>kontroll och övervakning,</w:t>
      </w:r>
    </w:p>
    <w:p>
      <w:pPr>
        <w:pStyle w:val="Point1"/>
        <w:rPr>
          <w:noProof/>
        </w:rPr>
      </w:pPr>
      <w:r>
        <w:rPr>
          <w:rFonts w:ascii="Wingdings" w:hAnsi="Wingdings"/>
          <w:noProof/>
        </w:rPr>
        <w:t></w:t>
      </w:r>
      <w:r>
        <w:rPr>
          <w:noProof/>
        </w:rPr>
        <w:tab/>
        <w:t xml:space="preserve">rapporteringskrav, </w:t>
      </w:r>
    </w:p>
    <w:p>
      <w:pPr>
        <w:pStyle w:val="Point1"/>
        <w:rPr>
          <w:noProof/>
        </w:rPr>
      </w:pPr>
      <w:r>
        <w:rPr>
          <w:rFonts w:ascii="Wingdings" w:hAnsi="Wingdings"/>
          <w:noProof/>
        </w:rPr>
        <w:t></w:t>
      </w:r>
      <w:r>
        <w:rPr>
          <w:noProof/>
        </w:rPr>
        <w:tab/>
        <w:t>befogenheter och skyldigheter för kommissionens bemyndigade tjänstemän samt förberedelse och genomförande av kontroller,</w:t>
      </w:r>
    </w:p>
    <w:p>
      <w:pPr>
        <w:pStyle w:val="Point1"/>
        <w:rPr>
          <w:noProof/>
        </w:rPr>
      </w:pPr>
      <w:r>
        <w:rPr>
          <w:rFonts w:ascii="Wingdings" w:hAnsi="Wingdings"/>
          <w:noProof/>
        </w:rPr>
        <w:t></w:t>
      </w:r>
      <w:r>
        <w:rPr>
          <w:noProof/>
        </w:rPr>
        <w:tab/>
        <w:t>kommittéförfarande.</w:t>
      </w:r>
    </w:p>
    <w:p>
      <w:pPr>
        <w:pStyle w:val="Tiret0"/>
        <w:rPr>
          <w:rFonts w:eastAsia="Arial Unicode MS"/>
          <w:noProof/>
        </w:rPr>
      </w:pPr>
      <w:r>
        <w:rPr>
          <w:noProof/>
        </w:rPr>
        <w:t>Beräkning och budgetering av överskottet.</w:t>
      </w:r>
    </w:p>
    <w:p>
      <w:pPr>
        <w:pStyle w:val="Tiret0"/>
        <w:rPr>
          <w:noProof/>
        </w:rPr>
      </w:pPr>
      <w:r>
        <w:rPr>
          <w:noProof/>
        </w:rPr>
        <w:t xml:space="preserve">Definitionen av referens-BNI och bestämmelser för att hantera betydande ändringar av det europeiska national- och regionalräkenskapssystemet, som hämtats från det nu gällande beslut 2014/335/EU, Euratom om egna medel. </w:t>
      </w:r>
    </w:p>
    <w:p>
      <w:pPr>
        <w:pBdr>
          <w:top w:val="nil"/>
          <w:left w:val="nil"/>
          <w:bottom w:val="nil"/>
          <w:right w:val="nil"/>
          <w:between w:val="nil"/>
          <w:bar w:val="nil"/>
        </w:pBdr>
        <w:spacing w:before="0" w:after="240"/>
        <w:rPr>
          <w:rFonts w:eastAsia="Arial Unicode MS"/>
          <w:noProof/>
        </w:rPr>
      </w:pPr>
      <w:r>
        <w:rPr>
          <w:noProof/>
        </w:rPr>
        <w:t>Kommissionens förslag förklaras utförligare i avsnitt 5.</w:t>
      </w:r>
    </w:p>
    <w:p>
      <w:pPr>
        <w:pStyle w:val="ManualHeading2"/>
        <w:rPr>
          <w:rFonts w:eastAsia="Arial Unicode MS"/>
          <w:noProof/>
          <w:color w:val="000000"/>
          <w:u w:color="000000"/>
          <w:bdr w:val="nil"/>
        </w:rPr>
      </w:pPr>
      <w:r>
        <w:rPr>
          <w:noProof/>
          <w:color w:val="000000"/>
          <w:u w:color="000000"/>
          <w:bdr w:val="nil"/>
        </w:rPr>
        <w:t>•</w:t>
      </w:r>
      <w:r>
        <w:rPr>
          <w:noProof/>
        </w:rPr>
        <w:tab/>
        <w:t>Förenlighet med befintliga bestämmelser inom området</w:t>
      </w:r>
    </w:p>
    <w:p>
      <w:pPr>
        <w:pBdr>
          <w:top w:val="nil"/>
          <w:left w:val="nil"/>
          <w:bottom w:val="nil"/>
          <w:right w:val="nil"/>
          <w:between w:val="nil"/>
          <w:bar w:val="nil"/>
        </w:pBdr>
        <w:spacing w:before="0" w:after="240"/>
        <w:rPr>
          <w:noProof/>
        </w:rPr>
      </w:pPr>
      <w:r>
        <w:rPr>
          <w:noProof/>
        </w:rPr>
        <w:t>Den rättsliga grunden för beslutet om egna resurser är artikel 311 i fördraget om Europeiska unionens funktionssätt. Artikel 311 fjärde stycket och artikel 322.2 i fördraget är rättslig grund för de rättsakter som fastställer genomförandebestämmelser för systemet för egna medel och för tillhandahållande av dessa egna medel.</w:t>
      </w:r>
    </w:p>
    <w:p>
      <w:pPr>
        <w:pBdr>
          <w:top w:val="nil"/>
          <w:left w:val="nil"/>
          <w:bottom w:val="nil"/>
          <w:right w:val="nil"/>
          <w:between w:val="nil"/>
          <w:bar w:val="nil"/>
        </w:pBdr>
        <w:spacing w:before="0" w:after="240"/>
        <w:rPr>
          <w:noProof/>
        </w:rPr>
      </w:pPr>
      <w:r>
        <w:rPr>
          <w:noProof/>
        </w:rPr>
        <w:t xml:space="preserve">Den här förordningens rättsliga grund är artikel 311 fjärde stycket i fördraget. Den hänvisas också till i artikel 7 i det nya beslutet om egna medel (artikel 9 i beslutet om egna medel från </w:t>
      </w:r>
      <w:r>
        <w:rPr>
          <w:noProof/>
        </w:rPr>
        <w:lastRenderedPageBreak/>
        <w:t>2014). Vidare finns det kopplingar till förordningarna om tillhandandahållande av egna medel, närmare bestämt i) den nu gällande förordning (EU, Euratom) nr 609/2014 vad gäller traditionella, momsbaserade egna medel och BNI-baserade egna medel, och ii) den föreslagna kompletterande förordningen om tillhandahållande av egna medel vad gäller de nya typerna av egna medel baserade på en gemensam konsoliderad bolagsskattebas, på Europeiska unionens system för handel med utsläppsrätter, och på plastförpackningsavfall.</w:t>
      </w:r>
    </w:p>
    <w:p>
      <w:pPr>
        <w:pStyle w:val="ManualHeading2"/>
        <w:rPr>
          <w:rFonts w:eastAsia="Arial Unicode MS"/>
          <w:noProof/>
        </w:rPr>
      </w:pPr>
      <w:r>
        <w:rPr>
          <w:noProof/>
          <w:color w:val="000000"/>
          <w:u w:color="000000"/>
          <w:bdr w:val="nil"/>
        </w:rPr>
        <w:t>•</w:t>
      </w:r>
      <w:r>
        <w:rPr>
          <w:noProof/>
        </w:rPr>
        <w:tab/>
        <w:t>Förenlighet med unionens politik inom andra områden</w:t>
      </w:r>
    </w:p>
    <w:p>
      <w:pPr>
        <w:pBdr>
          <w:top w:val="nil"/>
          <w:left w:val="nil"/>
          <w:bottom w:val="nil"/>
          <w:right w:val="nil"/>
          <w:between w:val="nil"/>
          <w:bar w:val="nil"/>
        </w:pBdr>
        <w:spacing w:before="0" w:after="240"/>
        <w:rPr>
          <w:rFonts w:eastAsia="Arial Unicode MS"/>
          <w:noProof/>
        </w:rPr>
      </w:pPr>
      <w:r>
        <w:rPr>
          <w:noProof/>
        </w:rPr>
        <w:t xml:space="preserve">Med tanke på de egna medlens natur är förvaltningen av dem beroende av en korrekt tillämpning av andra unionsbestämmelser. </w:t>
      </w:r>
    </w:p>
    <w:p>
      <w:pPr>
        <w:pStyle w:val="Tiret0"/>
        <w:rPr>
          <w:noProof/>
        </w:rPr>
      </w:pPr>
      <w:r>
        <w:rPr>
          <w:noProof/>
        </w:rPr>
        <w:t>Traditionella egna medel (som främst utgörs av tullar) är kopplade till tullunionen.</w:t>
      </w:r>
    </w:p>
    <w:p>
      <w:pPr>
        <w:pStyle w:val="Tiret0"/>
        <w:rPr>
          <w:noProof/>
        </w:rPr>
      </w:pPr>
      <w:r>
        <w:rPr>
          <w:noProof/>
        </w:rPr>
        <w:t>Egna medel baserade på mervärdesskatt och på en gemensam konsoliderad bolagsskattebas är kopplade till inre marknaden och skattepolitiken.</w:t>
      </w:r>
    </w:p>
    <w:p>
      <w:pPr>
        <w:pStyle w:val="Tiret0"/>
        <w:rPr>
          <w:noProof/>
        </w:rPr>
      </w:pPr>
      <w:r>
        <w:rPr>
          <w:noProof/>
        </w:rPr>
        <w:t>Egna medel baserade på Europeiska unionens system för handel med utsläppsrätter och på plastförpackningsavfall är kopplade till miljö- och klimatpolitiken.</w:t>
      </w:r>
    </w:p>
    <w:p>
      <w:pPr>
        <w:pStyle w:val="ManualHeading1"/>
        <w:rPr>
          <w:noProof/>
        </w:rPr>
      </w:pPr>
      <w:r>
        <w:rPr>
          <w:noProof/>
        </w:rPr>
        <w:t>2.</w:t>
      </w:r>
      <w:r>
        <w:rPr>
          <w:noProof/>
        </w:rPr>
        <w:tab/>
        <w:t>RÄTTSLIG GRUND, SUBSIDIARITETSPRINCIPEN OCH PROPORTIONALITETSPRINCIPEN</w:t>
      </w:r>
    </w:p>
    <w:p>
      <w:pPr>
        <w:pStyle w:val="ManualHeading2"/>
        <w:rPr>
          <w:rFonts w:eastAsia="Arial Unicode MS"/>
          <w:noProof/>
          <w:u w:color="000000"/>
          <w:bdr w:val="nil"/>
        </w:rPr>
      </w:pPr>
      <w:r>
        <w:rPr>
          <w:noProof/>
        </w:rPr>
        <w:t>•</w:t>
      </w:r>
      <w:r>
        <w:rPr>
          <w:noProof/>
        </w:rPr>
        <w:tab/>
        <w:t>Rättslig grund</w:t>
      </w:r>
    </w:p>
    <w:p>
      <w:pPr>
        <w:pBdr>
          <w:top w:val="nil"/>
          <w:left w:val="nil"/>
          <w:bottom w:val="nil"/>
          <w:right w:val="nil"/>
          <w:between w:val="nil"/>
          <w:bar w:val="nil"/>
        </w:pBdr>
        <w:spacing w:before="0" w:after="240"/>
        <w:rPr>
          <w:rFonts w:eastAsia="Arial Unicode MS"/>
          <w:noProof/>
        </w:rPr>
      </w:pPr>
      <w:r>
        <w:rPr>
          <w:noProof/>
        </w:rPr>
        <w:t>Den här förordningens rättsliga grund är artikel 311 fjärde stycket i fördraget om Europeiska unionens funktionssätt. Den hänvisas också till i artikel 7 i det nya beslutet om egna medel (artikel 9 i beslutet om egna medel från 2014).</w:t>
      </w:r>
    </w:p>
    <w:p>
      <w:pPr>
        <w:pStyle w:val="ManualHeading2"/>
        <w:rPr>
          <w:rFonts w:eastAsia="Arial Unicode MS"/>
          <w:noProof/>
          <w:u w:color="000000"/>
          <w:bdr w:val="nil"/>
        </w:rPr>
      </w:pPr>
      <w:r>
        <w:rPr>
          <w:noProof/>
        </w:rPr>
        <w:t>•</w:t>
      </w:r>
      <w:r>
        <w:rPr>
          <w:noProof/>
        </w:rPr>
        <w:tab/>
        <w:t xml:space="preserve">Subsidiaritetsprincipen (för icke-exklusiv befogenhet) </w:t>
      </w:r>
    </w:p>
    <w:p>
      <w:pPr>
        <w:pBdr>
          <w:top w:val="nil"/>
          <w:left w:val="nil"/>
          <w:bottom w:val="nil"/>
          <w:right w:val="nil"/>
          <w:between w:val="nil"/>
          <w:bar w:val="nil"/>
        </w:pBdr>
        <w:spacing w:before="0" w:after="240"/>
        <w:rPr>
          <w:rFonts w:eastAsia="Arial Unicode MS"/>
          <w:noProof/>
        </w:rPr>
      </w:pPr>
      <w:r>
        <w:rPr>
          <w:noProof/>
        </w:rPr>
        <w:t>Med tanke på hur unionens budget och de egna medel som utgör dess intäkter fungerar måste genomförandebestämmelser för systemet för egna medel utgå från ett unionsperspektiv, vilket inte kan uppnås av medlemsstaterna själva.</w:t>
      </w:r>
    </w:p>
    <w:p>
      <w:pPr>
        <w:pStyle w:val="ManualHeading2"/>
        <w:rPr>
          <w:rFonts w:eastAsia="Arial Unicode MS"/>
          <w:noProof/>
          <w:u w:color="000000"/>
          <w:bdr w:val="nil"/>
        </w:rPr>
      </w:pPr>
      <w:r>
        <w:rPr>
          <w:noProof/>
        </w:rPr>
        <w:t>•</w:t>
      </w:r>
      <w:r>
        <w:rPr>
          <w:noProof/>
        </w:rPr>
        <w:tab/>
        <w:t>Proportionalitetsprincipen</w:t>
      </w:r>
    </w:p>
    <w:p>
      <w:pPr>
        <w:pBdr>
          <w:top w:val="nil"/>
          <w:left w:val="nil"/>
          <w:bottom w:val="nil"/>
          <w:right w:val="nil"/>
          <w:between w:val="nil"/>
          <w:bar w:val="nil"/>
        </w:pBdr>
        <w:spacing w:before="0" w:after="240"/>
        <w:rPr>
          <w:noProof/>
        </w:rPr>
      </w:pPr>
      <w:r>
        <w:rPr>
          <w:noProof/>
        </w:rPr>
        <w:t>Detta förslag till en ny förordning tar över de flesta befintliga genomförandebestämmelser som gäller idag. Eftersom nya typer av egna medel införs genom beslutet om egna medel krävs det uppdaterad lagstiftning med genomförandebestämmelser för dessa nya egna medel och med förbättringar av de befintliga bestämmelserna.</w:t>
      </w:r>
    </w:p>
    <w:p>
      <w:pPr>
        <w:pBdr>
          <w:top w:val="nil"/>
          <w:left w:val="nil"/>
          <w:bottom w:val="nil"/>
          <w:right w:val="nil"/>
          <w:between w:val="nil"/>
          <w:bar w:val="nil"/>
        </w:pBdr>
        <w:spacing w:before="0" w:after="240"/>
        <w:rPr>
          <w:noProof/>
        </w:rPr>
      </w:pPr>
      <w:r>
        <w:rPr>
          <w:noProof/>
        </w:rPr>
        <w:t>Genomförandebestämmelserna i detta förslag följer det nuvarande systemet och även kommissionens förslag från 2011 (COM(2011) 740) samtidigt som systemet anpassas till den nya situationen med flera och nya typer av egna medel. Det ligger i unionens och dess medlemsstaters intresse att se till att systemet för egna medel fungerar väl, och bestämmelserna om kontroll och inspektioner är utformade så att smidigt samarbete mellan unionens organ och medlemsstaterna möjliggörs.</w:t>
      </w:r>
    </w:p>
    <w:p>
      <w:pPr>
        <w:pBdr>
          <w:top w:val="nil"/>
          <w:left w:val="nil"/>
          <w:bottom w:val="nil"/>
          <w:right w:val="nil"/>
          <w:between w:val="nil"/>
          <w:bar w:val="nil"/>
        </w:pBdr>
        <w:spacing w:before="0" w:after="240"/>
        <w:rPr>
          <w:rFonts w:eastAsia="Arial Unicode MS"/>
          <w:noProof/>
        </w:rPr>
      </w:pPr>
      <w:r>
        <w:rPr>
          <w:noProof/>
        </w:rPr>
        <w:t xml:space="preserve">Dessutom har bestämmelser där det är särskilt viktigt med parlamentarisk kontroll tagits med i detta förslag. </w:t>
      </w:r>
    </w:p>
    <w:p>
      <w:pPr>
        <w:pStyle w:val="ManualHeading2"/>
        <w:rPr>
          <w:rFonts w:eastAsia="Arial Unicode MS"/>
          <w:noProof/>
          <w:u w:color="000000"/>
          <w:bdr w:val="nil"/>
        </w:rPr>
      </w:pPr>
      <w:r>
        <w:rPr>
          <w:noProof/>
        </w:rPr>
        <w:lastRenderedPageBreak/>
        <w:t>•</w:t>
      </w:r>
      <w:r>
        <w:rPr>
          <w:noProof/>
        </w:rPr>
        <w:tab/>
        <w:t>Val av instrument</w:t>
      </w:r>
    </w:p>
    <w:p>
      <w:pPr>
        <w:pBdr>
          <w:top w:val="nil"/>
          <w:left w:val="nil"/>
          <w:bottom w:val="nil"/>
          <w:right w:val="nil"/>
          <w:between w:val="nil"/>
          <w:bar w:val="nil"/>
        </w:pBdr>
        <w:spacing w:before="0" w:after="240"/>
        <w:rPr>
          <w:rFonts w:eastAsia="Arial Unicode MS"/>
          <w:noProof/>
        </w:rPr>
      </w:pPr>
      <w:r>
        <w:rPr>
          <w:noProof/>
        </w:rPr>
        <w:t>I artikel 311 fjärde stycket i fördraget om Europeiska unionens funktionssätt anges det särskilt att: ”Rådet ska genom förordningar (...) för att fastställa genomförandebestämmelser för systemet med unionens egna medel”.</w:t>
      </w:r>
    </w:p>
    <w:p>
      <w:pPr>
        <w:pStyle w:val="ManualHeading1"/>
        <w:rPr>
          <w:noProof/>
        </w:rPr>
      </w:pPr>
      <w:r>
        <w:rPr>
          <w:noProof/>
        </w:rPr>
        <w:t>3.</w:t>
      </w:r>
      <w:r>
        <w:rPr>
          <w:noProof/>
        </w:rPr>
        <w:tab/>
        <w:t>RESULTAT AV EFTERHANDSUTVÄRDERINGAR, SAMRÅD MED BERÖRDA PARTER OCH KONSEKVENSBEDÖMNINGAR</w:t>
      </w:r>
    </w:p>
    <w:p>
      <w:pPr>
        <w:pBdr>
          <w:top w:val="nil"/>
          <w:left w:val="nil"/>
          <w:bottom w:val="nil"/>
          <w:right w:val="nil"/>
          <w:between w:val="nil"/>
          <w:bar w:val="nil"/>
        </w:pBdr>
        <w:spacing w:before="0" w:after="240"/>
        <w:rPr>
          <w:noProof/>
        </w:rPr>
      </w:pPr>
      <w:r>
        <w:rPr>
          <w:noProof/>
        </w:rPr>
        <w:t>I motiveringen till förslaget om ett nytt beslut om egna medel finns mer information om de senaste rapporter och handlingar som analyserar behovet av att reformera systemet för egna medel.</w:t>
      </w:r>
    </w:p>
    <w:p>
      <w:pPr>
        <w:pBdr>
          <w:top w:val="nil"/>
          <w:left w:val="nil"/>
          <w:bottom w:val="nil"/>
          <w:right w:val="nil"/>
          <w:between w:val="nil"/>
          <w:bar w:val="nil"/>
        </w:pBdr>
        <w:spacing w:before="0" w:after="240"/>
        <w:rPr>
          <w:noProof/>
        </w:rPr>
      </w:pPr>
      <w:r>
        <w:rPr>
          <w:noProof/>
        </w:rPr>
        <w:t>Av detta följer att det behövs en ny förordning om genomförandebestämmelser till systemet för egna medel, eftersom den nu gällande förordning (EU, Euratom) nr 608/2014 endast avser traditionella egna medel och egna medel baserade på mervärdesskatt och BNI, medan det föreslagna beslutet om egna medel inför nya typer av egna medel för vilka det behövs kontroll- och inspektionsbestämmelser.</w:t>
      </w:r>
    </w:p>
    <w:p>
      <w:pPr>
        <w:pBdr>
          <w:top w:val="nil"/>
          <w:left w:val="nil"/>
          <w:bottom w:val="nil"/>
          <w:right w:val="nil"/>
          <w:between w:val="nil"/>
          <w:bar w:val="nil"/>
        </w:pBdr>
        <w:spacing w:before="0" w:after="240"/>
        <w:rPr>
          <w:noProof/>
        </w:rPr>
      </w:pPr>
      <w:r>
        <w:rPr>
          <w:noProof/>
        </w:rPr>
        <w:t>Genomförandebestämmelserna följer nu gällande bestämmelser i och med att förslaget utvidgar det system som redan finns i rådets förordning (EU, Euratom) nr 608/2014 till nya typerna av egna medel. Vidare kompletterar förslaget den relevanta lagstiftningen om nya egna medel och hänvisar till densamma. De föreslagna genomförandebestämmelserna innebär därför en fortsättning på nuvarande system och utvidgar det till att även omfatta de nya typerna av egna medel.</w:t>
      </w:r>
    </w:p>
    <w:p>
      <w:pPr>
        <w:pBdr>
          <w:top w:val="nil"/>
          <w:left w:val="nil"/>
          <w:bottom w:val="nil"/>
          <w:right w:val="nil"/>
          <w:between w:val="nil"/>
          <w:bar w:val="nil"/>
        </w:pBdr>
        <w:spacing w:before="0" w:after="240"/>
        <w:rPr>
          <w:rFonts w:eastAsia="Arial Unicode MS"/>
          <w:noProof/>
        </w:rPr>
      </w:pPr>
      <w:r>
        <w:rPr>
          <w:noProof/>
        </w:rPr>
        <w:t>Detta förslag är inte kopplat till programmet för lagstiftningens ändamålsenlighet. Förslaget riktar sig till medlemsstaterna och inte till mikroföretag, små och medelstora företag eller andra aktörer. Förslaget är i princip neutralt i fråga om konkurrenskraften för unionens olika sektorer och den internationella handeln. Förslaget påverkar inte skyddet av de grundläggande rättigheterna.</w:t>
      </w:r>
    </w:p>
    <w:p>
      <w:pPr>
        <w:pStyle w:val="ManualHeading1"/>
        <w:rPr>
          <w:noProof/>
        </w:rPr>
      </w:pPr>
      <w:r>
        <w:rPr>
          <w:noProof/>
        </w:rPr>
        <w:t>4.</w:t>
      </w:r>
      <w:r>
        <w:rPr>
          <w:noProof/>
        </w:rPr>
        <w:tab/>
        <w:t>BUDGETKONSEKVENSER</w:t>
      </w:r>
    </w:p>
    <w:p>
      <w:pPr>
        <w:spacing w:after="240"/>
        <w:rPr>
          <w:noProof/>
        </w:rPr>
      </w:pPr>
      <w:r>
        <w:rPr>
          <w:noProof/>
        </w:rPr>
        <w:t>Budgetkonsekvenserna av detta förslag och lagstiftningspaketet om egna medel ingår i den finansieringsöversikt för rättsakter som biläggs förslaget till ny förordning om tillhandahållande av egna medel. Det reformerade systemet för egna medel kan genomföras med samma administrativa anslag och personal som det aktuella systemet.</w:t>
      </w:r>
    </w:p>
    <w:p>
      <w:pPr>
        <w:pStyle w:val="ManualHeading1"/>
        <w:rPr>
          <w:noProof/>
        </w:rPr>
      </w:pPr>
      <w:r>
        <w:rPr>
          <w:noProof/>
        </w:rPr>
        <w:t>5.</w:t>
      </w:r>
      <w:r>
        <w:rPr>
          <w:noProof/>
        </w:rPr>
        <w:tab/>
        <w:t>ÖVRIGA INSLAG</w:t>
      </w:r>
    </w:p>
    <w:p>
      <w:pPr>
        <w:pBdr>
          <w:top w:val="nil"/>
          <w:left w:val="nil"/>
          <w:bottom w:val="nil"/>
          <w:right w:val="nil"/>
          <w:between w:val="nil"/>
          <w:bar w:val="nil"/>
        </w:pBdr>
        <w:spacing w:before="0" w:after="240"/>
        <w:rPr>
          <w:rFonts w:eastAsia="Arial Unicode MS"/>
          <w:noProof/>
        </w:rPr>
      </w:pPr>
      <w:r>
        <w:rPr>
          <w:noProof/>
        </w:rPr>
        <w:t>Tillämpningen av lagstiftningen om egna medel, däribland förordningen med genomförandebestämmelser, diskuteras regelbundet i den rådgivande kommittén för egna medel.</w:t>
      </w:r>
    </w:p>
    <w:p>
      <w:pPr>
        <w:pBdr>
          <w:top w:val="nil"/>
          <w:left w:val="nil"/>
          <w:bottom w:val="nil"/>
          <w:right w:val="nil"/>
          <w:between w:val="nil"/>
          <w:bar w:val="nil"/>
        </w:pBdr>
        <w:spacing w:before="0" w:after="240"/>
        <w:rPr>
          <w:rFonts w:eastAsia="Arial Unicode MS"/>
          <w:noProof/>
        </w:rPr>
      </w:pPr>
      <w:r>
        <w:rPr>
          <w:noProof/>
        </w:rPr>
        <w:t>Nedan följer en beskrivning av kommissionens förslag i korthet.</w:t>
      </w:r>
    </w:p>
    <w:p>
      <w:pPr>
        <w:keepNext/>
        <w:pBdr>
          <w:top w:val="nil"/>
          <w:left w:val="nil"/>
          <w:bottom w:val="nil"/>
          <w:right w:val="nil"/>
          <w:between w:val="nil"/>
          <w:bar w:val="nil"/>
        </w:pBdr>
        <w:spacing w:before="0" w:after="240"/>
        <w:rPr>
          <w:rFonts w:eastAsia="Arial Unicode MS"/>
          <w:b/>
          <w:i/>
          <w:noProof/>
        </w:rPr>
      </w:pPr>
      <w:r>
        <w:rPr>
          <w:b/>
          <w:i/>
          <w:noProof/>
        </w:rPr>
        <w:t>Kapitel I ”Fastställande av egna medel”</w:t>
      </w:r>
    </w:p>
    <w:p>
      <w:pPr>
        <w:pStyle w:val="Tiret0"/>
        <w:rPr>
          <w:noProof/>
        </w:rPr>
      </w:pPr>
      <w:r>
        <w:rPr>
          <w:noProof/>
        </w:rPr>
        <w:t xml:space="preserve">Artikel 1 i förslaget – ”Tillämpliga uttagssatser”: I artikeln fastställs de enhetliga uttagssatser som ska tillämpas på de kategorier av egna medel som anges i artikel 2.1 b, c, d och e (dvs. egna medel baserade på mervärdesskatt, en gemensam konsoliderad bolagsskattebas, Europeiska unionens system för handel med </w:t>
      </w:r>
      <w:r>
        <w:rPr>
          <w:noProof/>
        </w:rPr>
        <w:lastRenderedPageBreak/>
        <w:t>utsläppsrätter och plastförpackningsavfall) i kommissionens förslag till nytt beslut om egna medel.</w:t>
      </w:r>
    </w:p>
    <w:p>
      <w:pPr>
        <w:pStyle w:val="Tiret0"/>
        <w:rPr>
          <w:noProof/>
        </w:rPr>
      </w:pPr>
      <w:r>
        <w:rPr>
          <w:noProof/>
        </w:rPr>
        <w:t>Artikel 2 i förslaget – ”Referens-BNI och betydande skillnader i denna”: Bestämmelserna i artiklarna 2.7 och 3.4 i beslut 2014/335/EU, Euratom om egna medel har överförts och uppdaterats.</w:t>
      </w:r>
    </w:p>
    <w:p>
      <w:pPr>
        <w:pStyle w:val="Tiret0"/>
        <w:rPr>
          <w:noProof/>
        </w:rPr>
      </w:pPr>
      <w:r>
        <w:rPr>
          <w:noProof/>
        </w:rPr>
        <w:t>Artikel 3 i förslaget – ”Beräkning och budgetering av saldot”: Bestämmelserna i artikel 1 i förordning (EU, Euratom) nr 608/2014 har övertagits och uppdaterats.</w:t>
      </w:r>
    </w:p>
    <w:p>
      <w:pPr>
        <w:keepNext/>
        <w:pBdr>
          <w:top w:val="nil"/>
          <w:left w:val="nil"/>
          <w:bottom w:val="nil"/>
          <w:right w:val="nil"/>
          <w:between w:val="nil"/>
          <w:bar w:val="nil"/>
        </w:pBdr>
        <w:spacing w:before="0" w:after="240"/>
        <w:rPr>
          <w:rFonts w:eastAsia="Arial Unicode MS"/>
          <w:b/>
          <w:i/>
          <w:noProof/>
        </w:rPr>
      </w:pPr>
      <w:r>
        <w:rPr>
          <w:b/>
          <w:i/>
          <w:noProof/>
        </w:rPr>
        <w:t>Kapitel II ”Bestämmelser om kontroll och övervakning och relevanta rapporteringskrav”</w:t>
      </w:r>
    </w:p>
    <w:p>
      <w:pPr>
        <w:pStyle w:val="Tiret0"/>
        <w:rPr>
          <w:noProof/>
        </w:rPr>
      </w:pPr>
      <w:r>
        <w:rPr>
          <w:noProof/>
        </w:rPr>
        <w:t>Artikel 4 i förslaget – ”Kontroll- och övervakningsåtgärder”: Bestämmelserna i artikel 2 i förordning (EU, Euratom) nr 608/2014 har övertagits och uppdaterats vad gäller de nya typer av egna medel som införs genom artikel 2.1 c, d och e i det föreslagna beslutet om egna medel. Dessutom har särskilda kontroller för egna medel baserade på mervärdesskatt övertagits från artikel 11.1 i rådets förordning (EEG, Euratom) nr 1553/89. Största möjliga förenkling har eftersträvats så att systemet i så stor utsträckning som möjligt kan tillämpas på alla typer av egna medel.</w:t>
      </w:r>
    </w:p>
    <w:p>
      <w:pPr>
        <w:pStyle w:val="Tiret0"/>
        <w:rPr>
          <w:noProof/>
        </w:rPr>
      </w:pPr>
      <w:r>
        <w:rPr>
          <w:noProof/>
        </w:rPr>
        <w:t>Artikel 5 i förslaget – ”Befogenheter och skyldigheter för de tjänstemän som bemyndigats av kommissionen”: Bestämmelserna i artikel 3 i förordning (EU, Euratom) nr 608/2014 har övertagits och uppdaterats. Största möjliga förenkling har eftersträvats så att systemet kan tillämpas på alla typer av egna medel.</w:t>
      </w:r>
    </w:p>
    <w:p>
      <w:pPr>
        <w:pStyle w:val="Tiret0"/>
        <w:rPr>
          <w:noProof/>
        </w:rPr>
      </w:pPr>
      <w:r>
        <w:rPr>
          <w:noProof/>
        </w:rPr>
        <w:t>Artikel 6 i förslaget – ”Förberedelse och genomförande av kontroller”: Bestämmelserna i artikel 4 i förordning (EU, Euratom) nr 608/2014 har övertagits och uppdaterats. Största möjliga förenkling har eftersträvats så att systemet i så stor utsträckning som möjligt kan tillämpas på alla typer av egna medel.</w:t>
      </w:r>
    </w:p>
    <w:p>
      <w:pPr>
        <w:pStyle w:val="Tiret0"/>
        <w:rPr>
          <w:noProof/>
        </w:rPr>
      </w:pPr>
      <w:r>
        <w:rPr>
          <w:noProof/>
        </w:rPr>
        <w:t>Artikel 7 i förslaget – ”Anmälan av bedrägerier och oriktigheter som påverkar anspråken på traditionella egna medel”: Bestämmelserna i artikel 5 i förordning (EU, Euratom) nr 608/2014 har bibehållits i oförändrad form, eftersom de endast är relevanta för traditionella egna medel.</w:t>
      </w:r>
    </w:p>
    <w:p>
      <w:pPr>
        <w:pStyle w:val="Tiret0"/>
        <w:rPr>
          <w:noProof/>
        </w:rPr>
      </w:pPr>
      <w:r>
        <w:rPr>
          <w:noProof/>
        </w:rPr>
        <w:t>Artikel 8 i förslaget – ”Medlemsstaternas rapportering om kontrollerna av traditionella egna medel”: Bestämmelserna i artikel 6 i förordning (EU, Euratom) nr 608/2014 har bibehållits i oförändrad form, eftersom de endast är relevanta för traditionella egna medel.</w:t>
      </w:r>
    </w:p>
    <w:p>
      <w:pPr>
        <w:keepNext/>
        <w:pBdr>
          <w:top w:val="nil"/>
          <w:left w:val="nil"/>
          <w:bottom w:val="nil"/>
          <w:right w:val="nil"/>
          <w:between w:val="nil"/>
          <w:bar w:val="nil"/>
        </w:pBdr>
        <w:spacing w:before="0" w:after="240"/>
        <w:rPr>
          <w:rFonts w:eastAsia="Arial Unicode MS"/>
          <w:b/>
          <w:i/>
          <w:noProof/>
        </w:rPr>
      </w:pPr>
      <w:r>
        <w:rPr>
          <w:b/>
          <w:i/>
          <w:noProof/>
        </w:rPr>
        <w:t>Kapitel III ”Kommitté och slutbestämmelser”</w:t>
      </w:r>
    </w:p>
    <w:p>
      <w:pPr>
        <w:pStyle w:val="Tiret0"/>
        <w:rPr>
          <w:noProof/>
        </w:rPr>
      </w:pPr>
      <w:r>
        <w:rPr>
          <w:noProof/>
        </w:rPr>
        <w:t>Artikel 9 i förslaget – ”Kommittéförfarande”: Anger de genomförandebefogenheter som kommissionen ska utöva i enlighet med förordning (EU) nr 182/2011.</w:t>
      </w:r>
    </w:p>
    <w:p>
      <w:pPr>
        <w:pStyle w:val="Tiret0"/>
        <w:rPr>
          <w:noProof/>
          <w:color w:val="0000FF"/>
        </w:rPr>
      </w:pPr>
      <w:r>
        <w:rPr>
          <w:noProof/>
        </w:rPr>
        <w:t>Artikel 10 i förslaget – ”Slutbestämmelser”: Upphäver rådets förordning (EU, Euratom) nr 608/2014.</w:t>
      </w:r>
    </w:p>
    <w:p>
      <w:pPr>
        <w:pStyle w:val="Tiret0"/>
        <w:rPr>
          <w:noProof/>
        </w:rPr>
      </w:pPr>
      <w:r>
        <w:rPr>
          <w:noProof/>
        </w:rPr>
        <w:t>Artikel 11 i förslaget – ”Ikraftträdande”: Anger att förordningen ska träda i kraft samtidigt som beslutet om egna medel. Denna förordning kommer att tillämpas retroaktivt från och med den 1 januari 2021 för de egna medel som baseras på EU:s system för handel med utsläppsrätter och på plastförpackningsavfall. Vad beträffar de egna medel som baseras på en gemensam konsoliderad bolagsskattebas ska dessa bestämmelser tillämpas från och med det andra året efter utgången av införlivandeperioden för direktivet om en gemensam konsoliderad bolagsskattebas.</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2018/0132 (APP)</w:t>
      </w:r>
    </w:p>
    <w:p>
      <w:pPr>
        <w:pStyle w:val="Statut"/>
        <w:rPr>
          <w:noProof/>
        </w:rPr>
      </w:pPr>
      <w:r>
        <w:rPr>
          <w:noProof/>
        </w:rPr>
        <w:t>Förslag till</w:t>
      </w:r>
    </w:p>
    <w:p>
      <w:pPr>
        <w:pStyle w:val="Typedudocument"/>
        <w:rPr>
          <w:noProof/>
        </w:rPr>
      </w:pPr>
      <w:r>
        <w:rPr>
          <w:noProof/>
        </w:rPr>
        <w:t>RÅDETS FÖRORDNING</w:t>
      </w:r>
    </w:p>
    <w:p>
      <w:pPr>
        <w:pStyle w:val="Titreobjet"/>
        <w:rPr>
          <w:noProof/>
        </w:rPr>
      </w:pPr>
      <w:r>
        <w:rPr>
          <w:noProof/>
        </w:rPr>
        <w:t>om genomförandebestämmelser till systemet för Europeiska unionens egna medel</w:t>
      </w:r>
      <w:r>
        <w:rPr>
          <w:noProof/>
        </w:rPr>
        <w:br/>
      </w:r>
    </w:p>
    <w:p>
      <w:pPr>
        <w:pStyle w:val="Institutionquiagit"/>
        <w:rPr>
          <w:noProof/>
        </w:rPr>
      </w:pPr>
      <w:r>
        <w:rPr>
          <w:noProof/>
        </w:rPr>
        <w:t>EUROPEISKA UNIONENS RÅD HAR ANTAGIT DENNA FÖRORDNING</w:t>
      </w:r>
    </w:p>
    <w:p>
      <w:pPr>
        <w:rPr>
          <w:noProof/>
        </w:rPr>
      </w:pPr>
      <w:r>
        <w:rPr>
          <w:noProof/>
        </w:rPr>
        <w:t>med beaktande av fördraget om Europeiska unionens funktionssätt, särskilt artikel 311 fjärde stycket,</w:t>
      </w:r>
    </w:p>
    <w:p>
      <w:pPr>
        <w:rPr>
          <w:noProof/>
        </w:rPr>
      </w:pPr>
      <w:r>
        <w:rPr>
          <w:noProof/>
        </w:rPr>
        <w:t>med beaktande av fördraget om upprättandet av Europeiska atomenergigemenskapen, särskilt artikel 106a,</w:t>
      </w:r>
    </w:p>
    <w:p>
      <w:pPr>
        <w:rPr>
          <w:noProof/>
        </w:rPr>
      </w:pPr>
      <w:r>
        <w:rPr>
          <w:noProof/>
        </w:rPr>
        <w:t>med beaktande av rådets beslut 20xx/xxxx/EU, Euratom av den [DATUM] om systemet för Europeiska unionens egna medel</w:t>
      </w:r>
      <w:r>
        <w:rPr>
          <w:rStyle w:val="FootnoteReference"/>
          <w:noProof/>
        </w:rPr>
        <w:footnoteReference w:id="9"/>
      </w:r>
      <w:r>
        <w:rPr>
          <w:noProof/>
        </w:rPr>
        <w:t>, särskilt artikel 7,</w:t>
      </w:r>
    </w:p>
    <w:p>
      <w:pPr>
        <w:rPr>
          <w:noProof/>
        </w:rPr>
      </w:pPr>
      <w:r>
        <w:rPr>
          <w:noProof/>
        </w:rPr>
        <w:t>med beaktande av Europeiska kommissionens förslag,</w:t>
      </w:r>
    </w:p>
    <w:p>
      <w:pPr>
        <w:rPr>
          <w:noProof/>
        </w:rPr>
      </w:pPr>
      <w:r>
        <w:rPr>
          <w:noProof/>
        </w:rPr>
        <w:t>efter översändande av utkastet till lagstiftningsakt till de nationella parlamenten,</w:t>
      </w:r>
    </w:p>
    <w:p>
      <w:pPr>
        <w:rPr>
          <w:noProof/>
        </w:rPr>
      </w:pPr>
      <w:r>
        <w:rPr>
          <w:noProof/>
        </w:rPr>
        <w:t>med beaktande av Europaparlamentets godkännande</w:t>
      </w:r>
      <w:r>
        <w:rPr>
          <w:rStyle w:val="FootnoteReference"/>
          <w:noProof/>
        </w:rPr>
        <w:footnoteReference w:id="10"/>
      </w:r>
      <w:r>
        <w:rPr>
          <w:noProof/>
        </w:rPr>
        <w:t>,</w:t>
      </w:r>
    </w:p>
    <w:p>
      <w:pPr>
        <w:rPr>
          <w:noProof/>
        </w:rPr>
      </w:pPr>
      <w:r>
        <w:rPr>
          <w:noProof/>
        </w:rPr>
        <w:t>i enlighet med ett särskilt lagstiftningsförfarande, och</w:t>
      </w:r>
    </w:p>
    <w:p>
      <w:pPr>
        <w:rPr>
          <w:noProof/>
        </w:rPr>
      </w:pPr>
      <w:r>
        <w:rPr>
          <w:noProof/>
        </w:rPr>
        <w:t>av följande skäl:</w:t>
      </w:r>
    </w:p>
    <w:p>
      <w:pPr>
        <w:pStyle w:val="ManualConsidrant"/>
        <w:rPr>
          <w:noProof/>
        </w:rPr>
      </w:pPr>
      <w:r>
        <w:t>(1)</w:t>
      </w:r>
      <w:r>
        <w:tab/>
      </w:r>
      <w:r>
        <w:rPr>
          <w:noProof/>
        </w:rPr>
        <w:t>Det krävs lämplig parlamentarisk kontroll, som anges i fördragen, för bestämmelser av allmän natur som är tillämpliga på alla typer av egna medel, inbegripet fastställande av de tillämpliga uttagssatserna för egna medel inom de övre gränser som anges i artikel 2.1 b–e i beslut 20xx/xxxx/EU, Euratom.</w:t>
      </w:r>
    </w:p>
    <w:p>
      <w:pPr>
        <w:pStyle w:val="ManualConsidrant"/>
        <w:rPr>
          <w:noProof/>
        </w:rPr>
      </w:pPr>
      <w:r>
        <w:t>(2)</w:t>
      </w:r>
      <w:r>
        <w:tab/>
      </w:r>
      <w:r>
        <w:rPr>
          <w:noProof/>
        </w:rPr>
        <w:t>Av konsekvensskäl bör vissa bestämmelser i rådets beslut (EU, Euratom) nr 2014/335</w:t>
      </w:r>
      <w:r>
        <w:rPr>
          <w:rStyle w:val="FootnoteReference"/>
          <w:noProof/>
        </w:rPr>
        <w:footnoteReference w:id="11"/>
      </w:r>
      <w:r>
        <w:rPr>
          <w:noProof/>
        </w:rPr>
        <w:t xml:space="preserve"> såsom hänvisningen till bruttonationalinkomst (BNI) och betydande skillnader i denna och den enhetliga uttagssatsen för de medel som avses i artikel 2.1 f i beslut 20xx/xxxx, ingå i denna förordning.</w:t>
      </w:r>
    </w:p>
    <w:p>
      <w:pPr>
        <w:pStyle w:val="ManualConsidrant"/>
        <w:rPr>
          <w:noProof/>
        </w:rPr>
      </w:pPr>
      <w:r>
        <w:t>(3)</w:t>
      </w:r>
      <w:r>
        <w:tab/>
      </w:r>
      <w:r>
        <w:rPr>
          <w:noProof/>
        </w:rPr>
        <w:t>För att beloppet för finansiella medel som ställs till unionens förfogande ska ligga på en oförändrad nivå är det lämpligt att anpassa taken för unionens egna medel för betalningar och åtaganden som fastställs i artikel 3.1 respektive 3.2 i beslut 20xx/xxxx/EU, Euratom, uttryckt i procent av bruttonationalinkomsten, i händelse av att Europaparlamentets och rådets förordning (EU) nr 549/2013</w:t>
      </w:r>
      <w:r>
        <w:rPr>
          <w:rStyle w:val="FootnoteReference"/>
          <w:noProof/>
        </w:rPr>
        <w:footnoteReference w:id="12"/>
      </w:r>
      <w:r>
        <w:rPr>
          <w:noProof/>
        </w:rPr>
        <w:t xml:space="preserve"> ändras på ett sätt som medför betydande skillnader i BNI.</w:t>
      </w:r>
    </w:p>
    <w:p>
      <w:pPr>
        <w:pStyle w:val="ManualConsidrant"/>
        <w:rPr>
          <w:noProof/>
        </w:rPr>
      </w:pPr>
      <w:r>
        <w:lastRenderedPageBreak/>
        <w:t>(4)</w:t>
      </w:r>
      <w:r>
        <w:tab/>
      </w:r>
      <w:r>
        <w:rPr>
          <w:noProof/>
        </w:rPr>
        <w:t>Av konsekvensskäl bör vissa bestämmelser i rådets förordning (EU, Euratom) nr 608/2014</w:t>
      </w:r>
      <w:r>
        <w:rPr>
          <w:rStyle w:val="FootnoteReference"/>
          <w:noProof/>
        </w:rPr>
        <w:footnoteReference w:id="13"/>
      </w:r>
      <w:r>
        <w:rPr>
          <w:noProof/>
        </w:rPr>
        <w:t xml:space="preserve"> bibehållas i den här förordningen. Dessa bestämmelser avser beräkningen och budgeteringen av budgetsaldot, kontroll och övervakning av egna medel och relevanta rapporteringskrav samt rådgivande kommittén för egna medel.</w:t>
      </w:r>
    </w:p>
    <w:p>
      <w:pPr>
        <w:pStyle w:val="ManualConsidrant"/>
        <w:rPr>
          <w:noProof/>
        </w:rPr>
      </w:pPr>
      <w:r>
        <w:t>(5)</w:t>
      </w:r>
      <w:r>
        <w:tab/>
      </w:r>
      <w:r>
        <w:rPr>
          <w:noProof/>
        </w:rPr>
        <w:t>Av konsekvensskäl bör vissa bestämmelser om kontroller i rådets förordning (EEG, Euratom) nr 1553/89 införas i den här förordningen.</w:t>
      </w:r>
    </w:p>
    <w:p>
      <w:pPr>
        <w:pStyle w:val="ManualConsidrant"/>
        <w:rPr>
          <w:noProof/>
        </w:rPr>
      </w:pPr>
      <w:r>
        <w:t>(6)</w:t>
      </w:r>
      <w:r>
        <w:tab/>
      </w:r>
      <w:r>
        <w:rPr>
          <w:noProof/>
        </w:rPr>
        <w:t xml:space="preserve">För att säkerställa en balanserad budget bör man om unionens inkomster överskrider de totala faktiska utgifterna under ett budgetår överföra dessa till närmast följande budgetår. Följaktligen bör det saldo som ska överföras fastställas. </w:t>
      </w:r>
    </w:p>
    <w:p>
      <w:pPr>
        <w:pStyle w:val="ManualConsidrant"/>
        <w:rPr>
          <w:noProof/>
        </w:rPr>
      </w:pPr>
      <w:r>
        <w:t>(7)</w:t>
      </w:r>
      <w:r>
        <w:tab/>
      </w:r>
      <w:r>
        <w:rPr>
          <w:noProof/>
        </w:rPr>
        <w:t>Medlemsstaterna bör genomföra kontroller och undersökningar av hur unionens egna medel beräknas, fastställs och tillhandahålls. För att underlätta tillämpningen av de finansiella föreskrifterna om egna medel krävs ett samarbete mellan medlemsstaterna och kommissionen.</w:t>
      </w:r>
    </w:p>
    <w:p>
      <w:pPr>
        <w:pStyle w:val="ManualConsidrant"/>
        <w:rPr>
          <w:noProof/>
        </w:rPr>
      </w:pPr>
      <w:r>
        <w:t>(8)</w:t>
      </w:r>
      <w:r>
        <w:tab/>
      </w:r>
      <w:r>
        <w:rPr>
          <w:noProof/>
        </w:rPr>
        <w:t>Överskådligheten i unionens system för egna medel bör säkerställas genom tillhandahållande av adekvat information till budgetmyndigheten. Därför bör medlemsstaterna ställa till kommissionens förfogande, och vid behov förse kommissionen med, de dokument och uppgifter som behövs för att kommissionen ska kunna utöva sina befogenheter avseende unionens egna medel.</w:t>
      </w:r>
    </w:p>
    <w:p>
      <w:pPr>
        <w:pStyle w:val="ManualConsidrant"/>
        <w:rPr>
          <w:noProof/>
        </w:rPr>
      </w:pPr>
      <w:r>
        <w:t>(9)</w:t>
      </w:r>
      <w:r>
        <w:tab/>
      </w:r>
      <w:r>
        <w:rPr>
          <w:noProof/>
        </w:rPr>
        <w:t>Av konsekvens- och tydlighetsskäl bör det fastställas bestämmelser om befogenheter och skyldigheter för de tjänstemän, övriga anställda och utsända nationella experter som deltar i kontroller av unionens egna medel. Det bör särskilt fastställas bestämmelser som alla unionens tjänstemän, övriga anställda och utsända nationella experter måste iaktta vad gäller sekretessbestämmelser och skydd av personuppgifter. Det är nödvändigt att fastställa de utsända nationella experternas ställning och möjligheten för de berörda medlemsstaterna att motsätta sig att andra medlemsstaters tjänstemän närvarar vid en inspektion.</w:t>
      </w:r>
    </w:p>
    <w:p>
      <w:pPr>
        <w:pStyle w:val="ManualConsidrant"/>
        <w:rPr>
          <w:noProof/>
        </w:rPr>
      </w:pPr>
      <w:r>
        <w:t>(10)</w:t>
      </w:r>
      <w:r>
        <w:tab/>
      </w:r>
      <w:r>
        <w:rPr>
          <w:noProof/>
        </w:rPr>
        <w:t xml:space="preserve">Ordningen med att medlemsstaterna när de utövar sitt ansvar för uppbörden av egna medel ska rapportera till kommissionen, bör göra det möjligt för kommissionen att övervaka deras åtgärder för att återkräva egna medel, särskilt vid fall av bedrägeri och oriktigheter. </w:t>
      </w:r>
    </w:p>
    <w:p>
      <w:pPr>
        <w:pStyle w:val="ManualConsidrant"/>
        <w:rPr>
          <w:noProof/>
        </w:rPr>
      </w:pPr>
      <w:r>
        <w:t>(11)</w:t>
      </w:r>
      <w:r>
        <w:tab/>
      </w:r>
      <w:r>
        <w:rPr>
          <w:noProof/>
        </w:rPr>
        <w:t>För att säkerställa enhetliga villkor för genomförandet av denna förordning bör kommissionen tilldelas genomförandebefogenheter vad gäller fastställande av närmare bestämmelser om rapportering av bedrägerier och oriktigheter som påverkar anspråken på traditionella egna medel och om medlemsstaternas årliga rapporter. Dessa befogenheter bör utövas i enlighet med Europaparlamentets och rådets förordning (EU) nr 182/2011</w:t>
      </w:r>
      <w:r>
        <w:rPr>
          <w:rStyle w:val="FootnoteReference"/>
          <w:noProof/>
        </w:rPr>
        <w:footnoteReference w:id="14"/>
      </w:r>
      <w:r>
        <w:rPr>
          <w:noProof/>
        </w:rPr>
        <w:t xml:space="preserve">. </w:t>
      </w:r>
    </w:p>
    <w:p>
      <w:pPr>
        <w:pStyle w:val="ManualConsidrant"/>
        <w:rPr>
          <w:noProof/>
        </w:rPr>
      </w:pPr>
      <w:r>
        <w:t>(12)</w:t>
      </w:r>
      <w:r>
        <w:tab/>
      </w:r>
      <w:r>
        <w:rPr>
          <w:noProof/>
        </w:rPr>
        <w:t xml:space="preserve">Det rådgivande förfarandet bör användas när genomförandeakter antas för att fastställa närmare bestämmelser om rapportering av bedrägerier och oriktigheter som påverkar anspråken på traditionella egna medel samt bestämmelser om medlemsstaternas årliga kontrollrapporter, mot bakgrund av det tekniska innehåll som krävs i dessa rättsakter för rapporteringsändamål. </w:t>
      </w:r>
    </w:p>
    <w:p>
      <w:pPr>
        <w:pStyle w:val="ManualConsidrant"/>
        <w:rPr>
          <w:noProof/>
        </w:rPr>
      </w:pPr>
      <w:r>
        <w:lastRenderedPageBreak/>
        <w:t>(13)</w:t>
      </w:r>
      <w:r>
        <w:tab/>
      </w:r>
      <w:r>
        <w:rPr>
          <w:noProof/>
        </w:rPr>
        <w:t>För konsekvensens skull och med beaktande av artikel 9 i beslut 20xx/xxxx/EU, Euratom bör denna förordning träda i kraft samma dag som det beslutet och börja tillämpas från och med den 1 januari 2021. Bestämmelserna om de egna medel som avses i artikel 2.1 c i beslut 20xx/xxxx/EU, Euratom bör tillämpas från och med den dag som fastställs i enlighet med artikel 9 i det beslutet.</w:t>
      </w:r>
    </w:p>
    <w:p>
      <w:pPr>
        <w:pStyle w:val="Formuledadoption"/>
        <w:rPr>
          <w:noProof/>
        </w:rPr>
      </w:pPr>
      <w:r>
        <w:rPr>
          <w:noProof/>
        </w:rPr>
        <w:t>HÄRIGENOM FÖRESKRIVS FÖLJANDE.</w:t>
      </w:r>
    </w:p>
    <w:p>
      <w:pPr>
        <w:pStyle w:val="Titrearticle"/>
        <w:rPr>
          <w:b/>
          <w:i w:val="0"/>
          <w:smallCaps/>
          <w:noProof/>
        </w:rPr>
      </w:pPr>
      <w:r>
        <w:rPr>
          <w:b/>
          <w:i w:val="0"/>
          <w:smallCaps/>
          <w:noProof/>
        </w:rPr>
        <w:t>Kapitel I</w:t>
      </w:r>
    </w:p>
    <w:p>
      <w:pPr>
        <w:keepNext/>
        <w:jc w:val="center"/>
        <w:rPr>
          <w:b/>
          <w:smallCaps/>
          <w:noProof/>
        </w:rPr>
      </w:pPr>
      <w:r>
        <w:rPr>
          <w:b/>
          <w:smallCaps/>
          <w:noProof/>
        </w:rPr>
        <w:t>Fastställande av egna medel</w:t>
      </w:r>
    </w:p>
    <w:p>
      <w:pPr>
        <w:pStyle w:val="Titrearticle"/>
        <w:spacing w:before="240"/>
        <w:rPr>
          <w:noProof/>
        </w:rPr>
      </w:pPr>
      <w:r>
        <w:rPr>
          <w:noProof/>
        </w:rPr>
        <w:t>Artikel 1</w:t>
      </w:r>
    </w:p>
    <w:p>
      <w:pPr>
        <w:keepNext/>
        <w:jc w:val="center"/>
        <w:rPr>
          <w:b/>
          <w:noProof/>
        </w:rPr>
      </w:pPr>
      <w:r>
        <w:rPr>
          <w:b/>
          <w:noProof/>
        </w:rPr>
        <w:t>Tillämpliga uttagssatser</w:t>
      </w:r>
    </w:p>
    <w:p>
      <w:pPr>
        <w:rPr>
          <w:noProof/>
        </w:rPr>
      </w:pPr>
      <w:r>
        <w:rPr>
          <w:noProof/>
        </w:rPr>
        <w:t>1.</w:t>
      </w:r>
      <w:r>
        <w:rPr>
          <w:noProof/>
        </w:rPr>
        <w:tab/>
        <w:t>Den enhetliga uttagssats som tillämpas på en andel av momsintäkterna som uppbärs från beskattningsbara leveranser enligt normalskattesatsen dividerad med den nationella normalskattesatsen för mervärdesskatt, som anges som egna medel i artikel 2.1 b i beslut 20xx/xxxx/EU/Euratom, ska vara 1 %.</w:t>
      </w:r>
    </w:p>
    <w:p>
      <w:pPr>
        <w:rPr>
          <w:noProof/>
        </w:rPr>
      </w:pPr>
      <w:r>
        <w:rPr>
          <w:noProof/>
        </w:rPr>
        <w:t>2.</w:t>
      </w:r>
      <w:r>
        <w:rPr>
          <w:noProof/>
        </w:rPr>
        <w:tab/>
        <w:t xml:space="preserve">Den enhetliga uttagssats som tillämpas på </w:t>
      </w:r>
      <w:r>
        <w:rPr>
          <w:rStyle w:val="Added"/>
          <w:b w:val="0"/>
          <w:noProof/>
          <w:u w:val="none"/>
        </w:rPr>
        <w:t xml:space="preserve">andelen beskattningsbara vinster som tillskrivs varje medlemsstat i enlighet med unionens regler om en </w:t>
      </w:r>
      <w:r>
        <w:rPr>
          <w:noProof/>
        </w:rPr>
        <w:t>gemensam konsoliderad bolagsskattebas, som anges som egna medel i artikel 2.1 c i beslut 20xx/xxxx/EU/Euratom, ska vara 3 %.</w:t>
      </w:r>
    </w:p>
    <w:p>
      <w:pPr>
        <w:rPr>
          <w:noProof/>
        </w:rPr>
      </w:pPr>
      <w:r>
        <w:rPr>
          <w:noProof/>
        </w:rPr>
        <w:t>3.</w:t>
      </w:r>
      <w:r>
        <w:rPr>
          <w:noProof/>
        </w:rPr>
        <w:tab/>
        <w:t>Den enhetliga uttagssats som tillämpas på belopp som utgörs av inkomster som genereras från utsläppsrätter som ska auktioneras ut och som avses i artikel 10.2 a i direktiv 2003/87/EG och marknadsvärdet av gratis utsläppsrätter för moderniseringen av energisektorn under en övergångsperiod i enlighet med artikel 10c.3 i det direktivet, som anges som egna medel i artikel 2.1 d i beslut 20xx/xxxx/EU/Euratom, ska vara 20 %.</w:t>
      </w:r>
    </w:p>
    <w:p>
      <w:pPr>
        <w:rPr>
          <w:noProof/>
        </w:rPr>
      </w:pPr>
      <w:r>
        <w:rPr>
          <w:noProof/>
        </w:rPr>
        <w:t>4.</w:t>
      </w:r>
      <w:r>
        <w:rPr>
          <w:noProof/>
        </w:rPr>
        <w:tab/>
        <w:t>Den enhetliga uttagssats som tillämpas på vikten av plastförpackningsavfall som inte materialutnyttjas och som anges som egna medel i artikel 2.1 e i beslut 20xx/xxxx/EU/Euratom, ska vara  EUR 0,80 per kilogram.</w:t>
      </w:r>
    </w:p>
    <w:p>
      <w:pPr>
        <w:spacing w:after="0"/>
        <w:rPr>
          <w:rFonts w:eastAsia="Times New Roman"/>
          <w:noProof/>
          <w:szCs w:val="24"/>
          <w:highlight w:val="green"/>
        </w:rPr>
      </w:pPr>
      <w:r>
        <w:rPr>
          <w:noProof/>
        </w:rPr>
        <w:t xml:space="preserve">Vid tillämpningen av första stycket avses med ”plast” en polymer i den mening som avses i artikel 3.5 i Europaparlamentets och rådets förordning (EG) nr 1907/2006, som kan ha tillförts tillsatser eller andra ämnen. ”Förpackningsavfall” och ”materialutnyttjande” ska ha den innebörd som anges i artikel 3 i direktiv 94/62/EG. </w:t>
      </w:r>
    </w:p>
    <w:p>
      <w:pPr>
        <w:spacing w:after="0"/>
        <w:rPr>
          <w:rFonts w:eastAsia="Times New Roman"/>
          <w:noProof/>
          <w:szCs w:val="24"/>
        </w:rPr>
      </w:pPr>
      <w:r>
        <w:rPr>
          <w:noProof/>
        </w:rPr>
        <w:t>Vikten av plastförpackningsavfall som inte materialutnyttjas ska vara skillnaden mellan vikten av plastförpackningsavfall som genereras i en medlemsstat under ett visst år och vikten av plastförpackningsavfall som materialutnyttjas under det år som fastställts i enlighet med direktiv 94/62/EG.</w:t>
      </w:r>
    </w:p>
    <w:p>
      <w:pPr>
        <w:keepNext/>
        <w:spacing w:before="240"/>
        <w:jc w:val="center"/>
        <w:rPr>
          <w:i/>
          <w:noProof/>
        </w:rPr>
      </w:pPr>
      <w:r>
        <w:rPr>
          <w:i/>
          <w:noProof/>
        </w:rPr>
        <w:t>Artikel 2</w:t>
      </w:r>
    </w:p>
    <w:p>
      <w:pPr>
        <w:keepNext/>
        <w:jc w:val="center"/>
        <w:rPr>
          <w:b/>
          <w:noProof/>
        </w:rPr>
      </w:pPr>
      <w:r>
        <w:rPr>
          <w:b/>
          <w:noProof/>
        </w:rPr>
        <w:t>Referens-BNI och betydande skillnader i denna</w:t>
      </w:r>
    </w:p>
    <w:p>
      <w:pPr>
        <w:rPr>
          <w:noProof/>
        </w:rPr>
      </w:pPr>
      <w:r>
        <w:rPr>
          <w:noProof/>
        </w:rPr>
        <w:t>1.</w:t>
      </w:r>
      <w:r>
        <w:rPr>
          <w:noProof/>
        </w:rPr>
        <w:tab/>
        <w:t>Med bruttonationalinkomst (BNI) enligt artikel 2.1 f i beslut 20xx/xxxx/EU, Euratom avses årlig BNI till marknadspriser, beräknad av kommissionen i enlighet med förordning (EU) nr 549/2013.</w:t>
      </w:r>
    </w:p>
    <w:p>
      <w:pPr>
        <w:rPr>
          <w:noProof/>
        </w:rPr>
      </w:pPr>
      <w:r>
        <w:rPr>
          <w:noProof/>
        </w:rPr>
        <w:t>2.</w:t>
      </w:r>
      <w:r>
        <w:rPr>
          <w:noProof/>
        </w:rPr>
        <w:tab/>
        <w:t xml:space="preserve">Om ändringar av förordning (EU) nr 549/2013 medför betydande skillnader i BNI ska kommissionen underrätta Europaparlamentet och rådet om resultaten av tekniska justeringar av den fleråriga budgetramen i enlighet med artikel 5 i rådets förordning (EU, Euratom) nr </w:t>
      </w:r>
      <w:r>
        <w:rPr>
          <w:noProof/>
        </w:rPr>
        <w:lastRenderedPageBreak/>
        <w:t>20xx/xxxx</w:t>
      </w:r>
      <w:r>
        <w:rPr>
          <w:rStyle w:val="FootnoteReference"/>
          <w:noProof/>
        </w:rPr>
        <w:footnoteReference w:id="15"/>
      </w:r>
      <w:r>
        <w:rPr>
          <w:noProof/>
        </w:rPr>
        <w:t xml:space="preserve"> på dagarna för tillämpningen av dessa ändringar i fråga om beslut 20xx/xxxx/EU, Euratom.</w:t>
      </w:r>
    </w:p>
    <w:p>
      <w:pPr>
        <w:rPr>
          <w:noProof/>
        </w:rPr>
      </w:pPr>
      <w:r>
        <w:rPr>
          <w:noProof/>
        </w:rPr>
        <w:t>3.</w:t>
      </w:r>
      <w:r>
        <w:rPr>
          <w:noProof/>
        </w:rPr>
        <w:tab/>
        <w:t>Om ändringar av förordning (EU) nr 549/2013 medför betydande skillnader i BNI ska anslagstaken för betalningar och åtaganden enligt artikel 3.1 och 3.2 i beslut 20xx/xxxx/EU, Euratom räknas om på nytt av kommissionen, i enlighet med följande formel:</w:t>
      </w:r>
    </w:p>
    <w:p>
      <w:pPr>
        <w:spacing w:before="0" w:after="0"/>
        <w:ind w:left="2127"/>
        <w:rPr>
          <w:i/>
          <w:noProof/>
        </w:rPr>
      </w:pPr>
      <w:r>
        <w:rPr>
          <w:i/>
          <w:noProof/>
        </w:rPr>
        <w:t>GNIt-2 + GNIt-1 + GNIt ESA nuvarande</w:t>
      </w:r>
    </w:p>
    <w:p>
      <w:pPr>
        <w:spacing w:before="0" w:after="0"/>
        <w:rPr>
          <w:i/>
          <w:noProof/>
        </w:rPr>
      </w:pPr>
      <w:r>
        <w:rPr>
          <w:i/>
          <w:noProof/>
        </w:rPr>
        <w:t>1,29 % (1,35 %) *</w:t>
      </w:r>
      <w:r>
        <w:rPr>
          <w:noProof/>
        </w:rPr>
        <w:tab/>
      </w:r>
      <w:r>
        <w:rPr>
          <w:i/>
          <w:noProof/>
        </w:rPr>
        <w:t>________________________________</w:t>
      </w:r>
    </w:p>
    <w:p>
      <w:pPr>
        <w:spacing w:before="0" w:after="0"/>
        <w:ind w:left="2127"/>
        <w:rPr>
          <w:i/>
          <w:noProof/>
        </w:rPr>
      </w:pPr>
    </w:p>
    <w:p>
      <w:pPr>
        <w:spacing w:before="0" w:after="0"/>
        <w:ind w:left="2127"/>
        <w:rPr>
          <w:i/>
          <w:noProof/>
        </w:rPr>
      </w:pPr>
      <w:r>
        <w:rPr>
          <w:i/>
          <w:noProof/>
        </w:rPr>
        <w:t>BNIt-2 + BNIt-1 + BNIt ENS ändrad</w:t>
      </w:r>
    </w:p>
    <w:p>
      <w:pPr>
        <w:rPr>
          <w:rFonts w:eastAsia="Times New Roman"/>
          <w:noProof/>
          <w:color w:val="000000"/>
        </w:rPr>
      </w:pPr>
      <w:r>
        <w:rPr>
          <w:noProof/>
          <w:color w:val="000000"/>
        </w:rPr>
        <w:t>I denna formel är ”BNI” bruttonationalinkomst, ”t” det senaste hela året för vilket uppgifter enligt rådets förordning (EG, Euratom) nr 1287/2003</w:t>
      </w:r>
      <w:r>
        <w:rPr>
          <w:rStyle w:val="FootnoteReference"/>
          <w:noProof/>
        </w:rPr>
        <w:footnoteReference w:id="16"/>
      </w:r>
      <w:r>
        <w:rPr>
          <w:noProof/>
          <w:color w:val="000000"/>
        </w:rPr>
        <w:t xml:space="preserve"> finns tillgängliga och ”ESA” är det europeiska national- och regionalräkenskapssystemet i Europeiska unionen.</w:t>
      </w:r>
    </w:p>
    <w:p>
      <w:pPr>
        <w:keepNext/>
        <w:spacing w:before="240"/>
        <w:jc w:val="center"/>
        <w:rPr>
          <w:i/>
          <w:noProof/>
        </w:rPr>
      </w:pPr>
      <w:r>
        <w:rPr>
          <w:i/>
          <w:noProof/>
        </w:rPr>
        <w:t>Artikel 3</w:t>
      </w:r>
    </w:p>
    <w:p>
      <w:pPr>
        <w:pStyle w:val="NormalCentered"/>
        <w:keepNext/>
        <w:rPr>
          <w:b/>
          <w:bCs/>
          <w:noProof/>
        </w:rPr>
      </w:pPr>
      <w:r>
        <w:rPr>
          <w:b/>
          <w:noProof/>
        </w:rPr>
        <w:t>Beräkning och budgetering av saldot</w:t>
      </w:r>
    </w:p>
    <w:p>
      <w:pPr>
        <w:rPr>
          <w:noProof/>
        </w:rPr>
      </w:pPr>
      <w:r>
        <w:rPr>
          <w:noProof/>
        </w:rPr>
        <w:t>1.</w:t>
      </w:r>
      <w:r>
        <w:rPr>
          <w:noProof/>
        </w:rPr>
        <w:tab/>
        <w:t>Vid tillämpning av artikel 5 i beslut 20xx/xxxx/EU, Euratom ska saldot för ett givet budgetår utgöras av skillnaden mellan alla inkomster som uppburits för det budgetåret och alla betalningar för anslag för det budgetåret, ökade med de anslag för samma budgetår som överförts enligt artikel 13 i Europaparlamentets och rådets förordning (EU, Euratom) nr 966/2012</w:t>
      </w:r>
      <w:r>
        <w:rPr>
          <w:rStyle w:val="FootnoteReference"/>
          <w:noProof/>
        </w:rPr>
        <w:footnoteReference w:id="17"/>
      </w:r>
      <w:r>
        <w:rPr>
          <w:noProof/>
        </w:rPr>
        <w:t xml:space="preserve"> (nedan kallad </w:t>
      </w:r>
      <w:r>
        <w:rPr>
          <w:i/>
          <w:noProof/>
        </w:rPr>
        <w:t>budgetförordningen</w:t>
      </w:r>
      <w:r>
        <w:rPr>
          <w:noProof/>
        </w:rPr>
        <w:t>).</w:t>
      </w:r>
    </w:p>
    <w:p>
      <w:pPr>
        <w:rPr>
          <w:noProof/>
        </w:rPr>
      </w:pPr>
      <w:r>
        <w:rPr>
          <w:noProof/>
        </w:rPr>
        <w:t>Denna skillnad ska ökas eller minskas med nettobeloppet av de anslag som överförts från tidigare budgetår och som inte har utnyttjats. Med avvikelse från artikel 8.1 i budgetförordningen ska skillnaden även ökas eller minskas med följande:</w:t>
      </w:r>
    </w:p>
    <w:p>
      <w:pPr>
        <w:pStyle w:val="Point0"/>
        <w:rPr>
          <w:noProof/>
        </w:rPr>
      </w:pPr>
      <w:r>
        <w:rPr>
          <w:noProof/>
        </w:rPr>
        <w:tab/>
        <w:t>a)</w:t>
      </w:r>
      <w:r>
        <w:rPr>
          <w:noProof/>
        </w:rPr>
        <w:tab/>
        <w:t>Överskridanden, i form av betalningar, av sådana icke-differentierade anslag som överförts från det föregående budgetåret enligt artikel 13.1 och 13.4 i budgetförordningen, om dessa överskridanden beror på förändringar i eurokurserna.</w:t>
      </w:r>
    </w:p>
    <w:p>
      <w:pPr>
        <w:pStyle w:val="Point0"/>
        <w:rPr>
          <w:noProof/>
        </w:rPr>
      </w:pPr>
      <w:r>
        <w:rPr>
          <w:noProof/>
        </w:rPr>
        <w:tab/>
        <w:t>b)</w:t>
      </w:r>
      <w:r>
        <w:rPr>
          <w:noProof/>
        </w:rPr>
        <w:tab/>
        <w:t>Saldot från kursvinster och kursförluster under budgetåret.</w:t>
      </w:r>
    </w:p>
    <w:p>
      <w:pPr>
        <w:rPr>
          <w:noProof/>
        </w:rPr>
      </w:pPr>
      <w:r>
        <w:rPr>
          <w:noProof/>
        </w:rPr>
        <w:t>2.</w:t>
      </w:r>
      <w:r>
        <w:rPr>
          <w:noProof/>
        </w:rPr>
        <w:tab/>
        <w:t>Kommissionen ska före utgången av oktober varje budgetår utarbeta en prognos över de egna medel som uppbärs för hela året, på grundval av de uppgifter som den då har till sitt förfogande. Om avsevärda skillnader mot den ursprungliga prognosen framkommer, kan det utarbetas en ändringsskrivelse till budgetförslaget för det följande budgetåret, eller en ändringsbudget för det pågående budgetåret.</w:t>
      </w:r>
    </w:p>
    <w:p>
      <w:pPr>
        <w:pStyle w:val="Titrearticle"/>
        <w:spacing w:before="240"/>
        <w:rPr>
          <w:b/>
          <w:i w:val="0"/>
          <w:smallCaps/>
          <w:noProof/>
        </w:rPr>
      </w:pPr>
      <w:r>
        <w:rPr>
          <w:b/>
          <w:i w:val="0"/>
          <w:smallCaps/>
          <w:noProof/>
        </w:rPr>
        <w:lastRenderedPageBreak/>
        <w:t>Kapitel II</w:t>
      </w:r>
    </w:p>
    <w:p>
      <w:pPr>
        <w:keepNext/>
        <w:jc w:val="center"/>
        <w:rPr>
          <w:noProof/>
        </w:rPr>
      </w:pPr>
      <w:r>
        <w:rPr>
          <w:b/>
          <w:smallCaps/>
          <w:noProof/>
        </w:rPr>
        <w:t>Bestämmelser om kontroll och övervakning och relevanta rapporteringskrav</w:t>
      </w:r>
    </w:p>
    <w:p>
      <w:pPr>
        <w:pStyle w:val="Titrearticle"/>
        <w:spacing w:before="240"/>
        <w:rPr>
          <w:noProof/>
        </w:rPr>
      </w:pPr>
      <w:r>
        <w:rPr>
          <w:noProof/>
        </w:rPr>
        <w:t>Artikel 4</w:t>
      </w:r>
    </w:p>
    <w:p>
      <w:pPr>
        <w:pStyle w:val="NormalCentered"/>
        <w:keepNext/>
        <w:rPr>
          <w:b/>
          <w:bCs/>
          <w:noProof/>
        </w:rPr>
      </w:pPr>
      <w:r>
        <w:rPr>
          <w:b/>
          <w:noProof/>
        </w:rPr>
        <w:t>Kontroll- och övervakningsåtgärder</w:t>
      </w:r>
    </w:p>
    <w:p>
      <w:pPr>
        <w:rPr>
          <w:noProof/>
        </w:rPr>
      </w:pPr>
      <w:r>
        <w:rPr>
          <w:noProof/>
        </w:rPr>
        <w:t>1.</w:t>
      </w:r>
      <w:r>
        <w:rPr>
          <w:noProof/>
        </w:rPr>
        <w:tab/>
        <w:t>De egna medel som avses i artikel 2.1 i beslut 20xx/xxxx/EU, Euratom ska kontrolleras i enlighet med den här förordningen, utan att det påverkar tillämpningen av rådets direktiv om den gemensamma konsoliderade bolagsskattebasen, kommissionens förordning (EU) nr 1031/2010</w:t>
      </w:r>
      <w:r>
        <w:rPr>
          <w:rStyle w:val="FootnoteReference"/>
          <w:noProof/>
        </w:rPr>
        <w:footnoteReference w:id="18"/>
      </w:r>
      <w:r>
        <w:rPr>
          <w:noProof/>
        </w:rPr>
        <w:t>och rådets förordning (EG, Euratom) nr 1287/2003</w:t>
      </w:r>
      <w:r>
        <w:rPr>
          <w:rStyle w:val="FootnoteReference"/>
          <w:noProof/>
        </w:rPr>
        <w:footnoteReference w:id="19"/>
      </w:r>
      <w:r>
        <w:rPr>
          <w:noProof/>
        </w:rPr>
        <w:t>.</w:t>
      </w:r>
    </w:p>
    <w:p>
      <w:pPr>
        <w:rPr>
          <w:noProof/>
        </w:rPr>
      </w:pPr>
      <w:r>
        <w:rPr>
          <w:noProof/>
        </w:rPr>
        <w:t>2.</w:t>
      </w:r>
      <w:r>
        <w:rPr>
          <w:noProof/>
        </w:rPr>
        <w:tab/>
        <w:t>Medlemsstaterna ska vidta alla nödvändiga åtgärder för att se till att de egna medel som avses i artikel 2.1 i beslut 20xx/xxxx/EU, Euratom tillhandahålls kommissionen. Medlemsstaterna ska förse kommissionen med vissa handlingar på begäran.</w:t>
      </w:r>
    </w:p>
    <w:p>
      <w:pPr>
        <w:rPr>
          <w:noProof/>
        </w:rPr>
      </w:pPr>
      <w:r>
        <w:rPr>
          <w:noProof/>
        </w:rPr>
        <w:t>3.</w:t>
      </w:r>
      <w:r>
        <w:rPr>
          <w:noProof/>
        </w:rPr>
        <w:tab/>
        <w:t>Medlemsstaterna ska genomföra kontrollerna och undersökningarna avseende beräkning, fastställande och tillhandahållande av egna medel som avses i artikel 2.1 a i beslut 20xx/xxxx/EU, Euratom.</w:t>
      </w:r>
    </w:p>
    <w:p>
      <w:pPr>
        <w:rPr>
          <w:noProof/>
        </w:rPr>
      </w:pPr>
      <w:r>
        <w:rPr>
          <w:noProof/>
        </w:rPr>
        <w:t>4.</w:t>
      </w:r>
      <w:r>
        <w:rPr>
          <w:noProof/>
        </w:rPr>
        <w:tab/>
        <w:t xml:space="preserve">Medlemsstaterna ska, på kommissionens begäran, genomföra ytterligare kontroller. I sin begäran ska kommissionen ange skälen för en sådan ytterligare kontroll. </w:t>
      </w:r>
    </w:p>
    <w:p>
      <w:pPr>
        <w:rPr>
          <w:noProof/>
        </w:rPr>
      </w:pPr>
      <w:r>
        <w:rPr>
          <w:noProof/>
        </w:rPr>
        <w:t>5.</w:t>
      </w:r>
      <w:r>
        <w:rPr>
          <w:noProof/>
        </w:rPr>
        <w:tab/>
        <w:t>Medlemsstaterna ska, på kommissionens begäran, låta kommissionen medverka vid de kontroller som de utför. När kommissionen medverkar vid en kontroll ska den i den utsträckning som det krävs för en korrekt tillämpning av denna förordning, få tillgång till de dokument som avser beräkning, fastställande och tillhandahållande av egna medel, samt andra relevanta dokument som har samband med dessa.</w:t>
      </w:r>
    </w:p>
    <w:p>
      <w:pPr>
        <w:rPr>
          <w:noProof/>
        </w:rPr>
      </w:pPr>
      <w:r>
        <w:rPr>
          <w:noProof/>
        </w:rPr>
        <w:t>6.</w:t>
      </w:r>
      <w:r>
        <w:rPr>
          <w:noProof/>
        </w:rPr>
        <w:tab/>
        <w:t>Kommissionen får själv utföra kontroller på plats. De tjänstemän som kommissionen bemyndigat att utföra sådana kontroller ska få tillgång till dokument på samma sätt som för kontrollerna som avses i punkt 5. Medlemsstaterna är skyldiga att underlätta dessa kontroller.</w:t>
      </w:r>
    </w:p>
    <w:p>
      <w:pPr>
        <w:rPr>
          <w:noProof/>
        </w:rPr>
      </w:pPr>
      <w:r>
        <w:rPr>
          <w:noProof/>
        </w:rPr>
        <w:t>7.</w:t>
      </w:r>
      <w:r>
        <w:rPr>
          <w:noProof/>
        </w:rPr>
        <w:tab/>
        <w:t>När kontroll- och övervakningsåtgärder rör de momsbaserade egna medel som avses i artikel 2.1 b i beslut 20xx/xxxx/EU, Euratom ska kommissionens kontroller genomföras tillsammans med de behöriga myndigheterna i medlemsstaterna. Under dessa kontroller ska kommissionen särskilt förvissa sig om att åtgärderna för att centralisera beräkningsunderlaget och de totala, uppburna momsnettoinkomsterna har utförts korrekt. Kommissionen ska även förvissa sig om att de uppgifter som använts var ändamålsenliga och att de beräkningar som gjorts för att bestämma storleken av momsbaserade egna medel enligt normalskattesats som följer av de transaktioner som avses i artikel 3.1 i rådets förordning (EEG, Euratom) nr 1553/89, överensstämmer med denna förordning.</w:t>
      </w:r>
    </w:p>
    <w:p>
      <w:pPr>
        <w:rPr>
          <w:noProof/>
        </w:rPr>
      </w:pPr>
      <w:r>
        <w:rPr>
          <w:noProof/>
        </w:rPr>
        <w:t>8.</w:t>
      </w:r>
      <w:r>
        <w:rPr>
          <w:noProof/>
        </w:rPr>
        <w:tab/>
        <w:t xml:space="preserve">När kontrollerna avser egna medel baserade på plastförpackningsavfall som inte materialutnyttjas, som avses i artikel 2.1 e i beslut 20xx/xxxx/EU, Euratom, ska kommissionen även få tillgång till dokument som avser de förfaranden och de uppgifter som avses i direktiv 94/62/EG. </w:t>
      </w:r>
    </w:p>
    <w:p>
      <w:pPr>
        <w:rPr>
          <w:noProof/>
        </w:rPr>
      </w:pPr>
      <w:r>
        <w:rPr>
          <w:noProof/>
        </w:rPr>
        <w:lastRenderedPageBreak/>
        <w:t>9.</w:t>
      </w:r>
      <w:r>
        <w:rPr>
          <w:noProof/>
        </w:rPr>
        <w:tab/>
        <w:t>När kontroll- och övervakningsåtgärder rör egna medel baserade på bruttonationalinkomst (BNI) som avses i artikel 2.1 f i beslut 20xx/xxxx/EU, Euratom ska följande gälla:</w:t>
      </w:r>
    </w:p>
    <w:p>
      <w:pPr>
        <w:pStyle w:val="Point1letter"/>
        <w:numPr>
          <w:ilvl w:val="3"/>
          <w:numId w:val="12"/>
        </w:numPr>
        <w:rPr>
          <w:noProof/>
        </w:rPr>
      </w:pPr>
      <w:r>
        <w:rPr>
          <w:noProof/>
        </w:rPr>
        <w:t xml:space="preserve">Kommissionen ska varje år tillsammans med den berörda medlemsstaten granska de totalbelopp som meddelats kommissionen för att se om de är felaktigt beräknade, särskilt i de fall som anmälts av BNI-kommittén som inrättats genom förordning (EG, Euratom) nr 1287/2003. I samband med detta får kommissionen, i enskilda fall, även granska beräkningar och grundläggande statistiska uppgifter, med undantag för uppgifter om enskilda juridiska eller fysiska personer, i de fall där en korrekt granskning annars skulle vara omöjlig. </w:t>
      </w:r>
    </w:p>
    <w:p>
      <w:pPr>
        <w:pStyle w:val="Point1letter"/>
        <w:numPr>
          <w:ilvl w:val="3"/>
          <w:numId w:val="12"/>
        </w:numPr>
        <w:rPr>
          <w:noProof/>
        </w:rPr>
      </w:pPr>
      <w:r>
        <w:rPr>
          <w:noProof/>
        </w:rPr>
        <w:t xml:space="preserve">Kommissionen ska även ha tillgång till handlingar som avser de statistiska förfaranden och statistiska grunduppgifter som avses i artikel 3 i förordning (EG, Euratom) nr 1287/2003. </w:t>
      </w:r>
    </w:p>
    <w:p>
      <w:pPr>
        <w:rPr>
          <w:noProof/>
        </w:rPr>
      </w:pPr>
      <w:r>
        <w:rPr>
          <w:noProof/>
        </w:rPr>
        <w:t>10.</w:t>
      </w:r>
      <w:r>
        <w:rPr>
          <w:noProof/>
        </w:rPr>
        <w:tab/>
        <w:t xml:space="preserve">De kontroller och undersökningar som avses i denna artikel ska inte beröra tillämpningen av följande: </w:t>
      </w:r>
    </w:p>
    <w:p>
      <w:pPr>
        <w:pStyle w:val="Point1letter"/>
        <w:numPr>
          <w:ilvl w:val="3"/>
          <w:numId w:val="13"/>
        </w:numPr>
        <w:rPr>
          <w:noProof/>
        </w:rPr>
      </w:pPr>
      <w:r>
        <w:rPr>
          <w:noProof/>
        </w:rPr>
        <w:t>Kontroller som medlemsstaterna genomför i enlighet med sina nationella lagar och andra författningar.</w:t>
      </w:r>
    </w:p>
    <w:p>
      <w:pPr>
        <w:pStyle w:val="Point1letter"/>
        <w:numPr>
          <w:ilvl w:val="3"/>
          <w:numId w:val="13"/>
        </w:numPr>
        <w:rPr>
          <w:noProof/>
        </w:rPr>
      </w:pPr>
      <w:r>
        <w:rPr>
          <w:noProof/>
        </w:rPr>
        <w:t>De åtgärder som föreskrivs i artiklarna 287 och 319 i fördraget om Europeiska unionens funktionssätt.</w:t>
      </w:r>
    </w:p>
    <w:p>
      <w:pPr>
        <w:pStyle w:val="Point1letter"/>
        <w:numPr>
          <w:ilvl w:val="3"/>
          <w:numId w:val="13"/>
        </w:numPr>
        <w:rPr>
          <w:noProof/>
        </w:rPr>
      </w:pPr>
      <w:r>
        <w:rPr>
          <w:noProof/>
        </w:rPr>
        <w:t xml:space="preserve">De kontroller som görs enligt artikel 322.1 b i fördraget om Europeiska unionens funktionssätt. </w:t>
      </w:r>
    </w:p>
    <w:p>
      <w:pPr>
        <w:rPr>
          <w:noProof/>
        </w:rPr>
      </w:pPr>
      <w:r>
        <w:rPr>
          <w:noProof/>
        </w:rPr>
        <w:t>11.</w:t>
      </w:r>
      <w:r>
        <w:rPr>
          <w:noProof/>
        </w:rPr>
        <w:tab/>
        <w:t xml:space="preserve">För kontroll- och övervakningsåtgärderna enligt denna artikel får kommissionen begära att medlemsstaterna ska översända relevanta dokument eller rapporter, eller göra dem tillgängliga för kommissionen. </w:t>
      </w:r>
    </w:p>
    <w:p>
      <w:pPr>
        <w:keepNext/>
        <w:spacing w:before="240"/>
        <w:jc w:val="center"/>
        <w:rPr>
          <w:i/>
          <w:noProof/>
        </w:rPr>
      </w:pPr>
      <w:r>
        <w:rPr>
          <w:i/>
          <w:noProof/>
        </w:rPr>
        <w:t>Artikel 5</w:t>
      </w:r>
    </w:p>
    <w:p>
      <w:pPr>
        <w:pStyle w:val="NormalCentered"/>
        <w:keepNext/>
        <w:rPr>
          <w:b/>
          <w:bCs/>
          <w:noProof/>
        </w:rPr>
      </w:pPr>
      <w:r>
        <w:rPr>
          <w:b/>
          <w:noProof/>
        </w:rPr>
        <w:t>Befogenheter och skyldigheter för de tjänstemän som bemyndigats av kommissionen</w:t>
      </w:r>
    </w:p>
    <w:p>
      <w:pPr>
        <w:rPr>
          <w:noProof/>
        </w:rPr>
      </w:pPr>
      <w:r>
        <w:rPr>
          <w:noProof/>
        </w:rPr>
        <w:t>1.</w:t>
      </w:r>
      <w:r>
        <w:rPr>
          <w:noProof/>
        </w:rPr>
        <w:tab/>
        <w:t xml:space="preserve">Kommissionen ska särskilt utse vissa tjänstemän eller övriga anställda (nedan kallade </w:t>
      </w:r>
      <w:r>
        <w:rPr>
          <w:i/>
          <w:noProof/>
        </w:rPr>
        <w:t>bemyndigade tjänstemän</w:t>
      </w:r>
      <w:r>
        <w:rPr>
          <w:noProof/>
        </w:rPr>
        <w:t>) för att genomföra de kontroller som avses i artikel 4.</w:t>
      </w:r>
    </w:p>
    <w:p>
      <w:pPr>
        <w:rPr>
          <w:noProof/>
        </w:rPr>
      </w:pPr>
      <w:r>
        <w:rPr>
          <w:noProof/>
        </w:rPr>
        <w:t>För varje kontroll ska kommissionen förse de bemyndigade tjänstemännen med en skriftlig fullmakt som anger deras namn och officiella befattning.</w:t>
      </w:r>
    </w:p>
    <w:p>
      <w:pPr>
        <w:rPr>
          <w:noProof/>
        </w:rPr>
      </w:pPr>
      <w:r>
        <w:rPr>
          <w:noProof/>
        </w:rPr>
        <w:t>Personer som medlemsstaterna ställt till kommissionens förfogande som utsända nationella experter får delta i kontrollerna.</w:t>
      </w:r>
    </w:p>
    <w:p>
      <w:pPr>
        <w:rPr>
          <w:noProof/>
        </w:rPr>
      </w:pPr>
      <w:r>
        <w:rPr>
          <w:noProof/>
        </w:rPr>
        <w:t>Efter ett uttryckligt förhandsgodkännande från den berörda medlemsstaten får kommissionen begära att tjänstemän från andra medlemsstater ska delta som observatörer. Kommissionen ska säkerställa att dessa tjänstemän uppfyller kraven i punkt 3 i den här artikeln.</w:t>
      </w:r>
    </w:p>
    <w:p>
      <w:pPr>
        <w:rPr>
          <w:noProof/>
        </w:rPr>
      </w:pPr>
      <w:r>
        <w:rPr>
          <w:noProof/>
        </w:rPr>
        <w:t>2.</w:t>
      </w:r>
      <w:r>
        <w:rPr>
          <w:noProof/>
        </w:rPr>
        <w:tab/>
        <w:t>Vid kontrollerna av egna medel enligt artikel 4 ska de bemyndigade tjänstemännen uppträda i enlighet med de bestämmelser som gäller för tjänstemän i den berörda medlemsstaten. De ska iaktta tystnadsplikt i enlighet med kraven i punkt 3 i den här artikeln.</w:t>
      </w:r>
    </w:p>
    <w:p>
      <w:pPr>
        <w:rPr>
          <w:noProof/>
        </w:rPr>
      </w:pPr>
      <w:r>
        <w:rPr>
          <w:noProof/>
        </w:rPr>
        <w:lastRenderedPageBreak/>
        <w:t>Kommissionen ska respektera principen om statistisk konfidentialitet som fastställs i Europaparlamentets och rådets förordning (EG) nr 223/2009</w:t>
      </w:r>
      <w:r>
        <w:rPr>
          <w:rStyle w:val="FootnoteReference"/>
          <w:noProof/>
        </w:rPr>
        <w:footnoteReference w:id="20"/>
      </w:r>
      <w:r>
        <w:rPr>
          <w:noProof/>
        </w:rPr>
        <w:t>.</w:t>
      </w:r>
    </w:p>
    <w:p>
      <w:pPr>
        <w:rPr>
          <w:noProof/>
        </w:rPr>
      </w:pPr>
      <w:r>
        <w:rPr>
          <w:noProof/>
        </w:rPr>
        <w:t>En bemyndigad tjänsteman har behörighet att, vid behov, ha kontakter med gäldenärer men endast inom ramen för kontrollerna av traditionella egna medel, och endast genom de behöriga myndigheter vars uppbördsförfaranden för egna medel ingår i kontrollen.</w:t>
      </w:r>
    </w:p>
    <w:p>
      <w:pPr>
        <w:rPr>
          <w:noProof/>
        </w:rPr>
      </w:pPr>
      <w:r>
        <w:rPr>
          <w:noProof/>
        </w:rPr>
        <w:t>3.</w:t>
      </w:r>
      <w:r>
        <w:rPr>
          <w:noProof/>
        </w:rPr>
        <w:tab/>
        <w:t>De uppgifter som har lämnats ut eller erhållits i enlighet med denna förordning, oavsett form, omfattas av tystnadsplikt och av det skydd som ges likartade uppgifter i den nationella lagstiftningen i den medlemsstat där de samlats in, och av motsvarande bestämmelser som är tillämpliga på unionens institutioner.</w:t>
      </w:r>
    </w:p>
    <w:p>
      <w:pPr>
        <w:rPr>
          <w:noProof/>
        </w:rPr>
      </w:pPr>
      <w:r>
        <w:rPr>
          <w:noProof/>
        </w:rPr>
        <w:t>De uppgifter som avses i första stycket ska inte lämnas ut till andra personer än de inom unionens institutioner eller i medlemsstaterna som har rätt att få sådana uppgifter i tjänsten, och ska inte heller användas i andra syften än de som avses i denna förordning, utan förhandsgodkännande från den medlemsstat från vilken de har samlats in.</w:t>
      </w:r>
    </w:p>
    <w:p>
      <w:pPr>
        <w:rPr>
          <w:noProof/>
        </w:rPr>
      </w:pPr>
      <w:r>
        <w:rPr>
          <w:noProof/>
        </w:rPr>
        <w:t>Första och andra styckena ska tillämpas på alla tjänstemän och övriga anställda i unionen, samt utsända nationella experter.</w:t>
      </w:r>
    </w:p>
    <w:p>
      <w:pPr>
        <w:rPr>
          <w:noProof/>
        </w:rPr>
      </w:pPr>
      <w:r>
        <w:rPr>
          <w:noProof/>
        </w:rPr>
        <w:t>4.</w:t>
      </w:r>
      <w:r>
        <w:rPr>
          <w:noProof/>
        </w:rPr>
        <w:tab/>
        <w:t>Kommissionen ska säkerställa att de bemyndigade tjänstemännen och andra personer som handlar under dess ledning följer bestämmelserna i Europaparlamentets och rådets förordning (EU) 2016/679</w:t>
      </w:r>
      <w:r>
        <w:rPr>
          <w:rStyle w:val="FootnoteReference"/>
          <w:noProof/>
        </w:rPr>
        <w:footnoteReference w:id="21"/>
      </w:r>
      <w:r>
        <w:rPr>
          <w:noProof/>
        </w:rPr>
        <w:t xml:space="preserve"> och Europaparlamentets och rådets förordning (EG) nr 45/2001</w:t>
      </w:r>
      <w:r>
        <w:rPr>
          <w:rStyle w:val="FootnoteReference"/>
          <w:noProof/>
        </w:rPr>
        <w:footnoteReference w:id="22"/>
      </w:r>
      <w:r>
        <w:rPr>
          <w:noProof/>
        </w:rPr>
        <w:t xml:space="preserve"> samt andra unionsbestämmelser och nationella bestämmelser om skydd av personuppgifter.</w:t>
      </w:r>
    </w:p>
    <w:p>
      <w:pPr>
        <w:pStyle w:val="Titrearticle"/>
        <w:spacing w:before="240"/>
        <w:rPr>
          <w:noProof/>
        </w:rPr>
      </w:pPr>
      <w:r>
        <w:rPr>
          <w:noProof/>
        </w:rPr>
        <w:t>Artikel 6</w:t>
      </w:r>
    </w:p>
    <w:p>
      <w:pPr>
        <w:pStyle w:val="NormalCentered"/>
        <w:keepNext/>
        <w:rPr>
          <w:b/>
          <w:bCs/>
          <w:noProof/>
        </w:rPr>
      </w:pPr>
      <w:r>
        <w:rPr>
          <w:b/>
          <w:noProof/>
        </w:rPr>
        <w:t xml:space="preserve">Förberedelse och genomförande av kontroller </w:t>
      </w:r>
    </w:p>
    <w:p>
      <w:pPr>
        <w:rPr>
          <w:noProof/>
        </w:rPr>
      </w:pPr>
      <w:r>
        <w:rPr>
          <w:noProof/>
        </w:rPr>
        <w:t>1.</w:t>
      </w:r>
      <w:r>
        <w:rPr>
          <w:noProof/>
        </w:rPr>
        <w:tab/>
        <w:t>I ett motiverat meddelande ska kommissionen i god tid anmäla en kontroll till den medlemsstat i vilken kontrollen äger rum. Tjänstemän från den berörda medlemsstaten får delta i dessa kontroller.</w:t>
      </w:r>
    </w:p>
    <w:p>
      <w:pPr>
        <w:rPr>
          <w:noProof/>
        </w:rPr>
      </w:pPr>
      <w:r>
        <w:rPr>
          <w:noProof/>
        </w:rPr>
        <w:t>2.</w:t>
      </w:r>
      <w:r>
        <w:rPr>
          <w:noProof/>
        </w:rPr>
        <w:tab/>
        <w:t>Kontroller av egna medel ska utföras av de bemyndigade tjänstemännen. När det gäller arbetsorganisationen ska dessa tjänstemän ta nödvändiga kontakter med de behöriga myndigheterna i medlemsstaterna.</w:t>
      </w:r>
    </w:p>
    <w:p>
      <w:pPr>
        <w:rPr>
          <w:noProof/>
        </w:rPr>
      </w:pPr>
      <w:r>
        <w:rPr>
          <w:noProof/>
        </w:rPr>
        <w:t>3.</w:t>
      </w:r>
      <w:r>
        <w:rPr>
          <w:noProof/>
        </w:rPr>
        <w:tab/>
        <w:t>Vid kontroller av egna medel där kommissionen medverkar ska arbetsorganisationen och kontakterna med de kontrollerade avdelningarna skötas av den myndighet som har utsetts av medlemsstaten i fråga.</w:t>
      </w:r>
    </w:p>
    <w:p>
      <w:pPr>
        <w:rPr>
          <w:noProof/>
        </w:rPr>
      </w:pPr>
      <w:r>
        <w:rPr>
          <w:noProof/>
        </w:rPr>
        <w:t>4.</w:t>
      </w:r>
      <w:r>
        <w:rPr>
          <w:noProof/>
        </w:rPr>
        <w:tab/>
        <w:t xml:space="preserve">Kontroller på plats av egna medel ska utföras av de bemyndigade tjänstemännen. När det gäller arbetsorganisationen och kontakterna med avdelningarna, och vid eventuella kontakter med de skattskyldiga som berörs av kontrollen, ska dessa tjänstemän före varje </w:t>
      </w:r>
      <w:r>
        <w:rPr>
          <w:noProof/>
        </w:rPr>
        <w:lastRenderedPageBreak/>
        <w:t>kontroll på plats ta lämpliga kontakter med de tjänstemän som har utsetts av den berörda medlemsstaten. För denna typ av kontroller ska fullmakten upprättas genom en handling som anger inspektionens syfte och ändamål.</w:t>
      </w:r>
    </w:p>
    <w:p>
      <w:pPr>
        <w:rPr>
          <w:noProof/>
        </w:rPr>
      </w:pPr>
      <w:r>
        <w:rPr>
          <w:noProof/>
        </w:rPr>
        <w:t>5.</w:t>
      </w:r>
      <w:r>
        <w:rPr>
          <w:noProof/>
        </w:rPr>
        <w:tab/>
        <w:t>Medlemsstaterna ska se till att de avdelningar eller organ som är ansvariga för att beräkna, fastställa, uppbära och tillhandahålla egna medel, samt de myndigheter som de har gett i uppgift att kontrollera detta, ger de bemyndigade tjänstemännen det stöd de behöver för att fullfölja sitt uppdrag.</w:t>
      </w:r>
    </w:p>
    <w:p>
      <w:pPr>
        <w:rPr>
          <w:noProof/>
        </w:rPr>
      </w:pPr>
      <w:r>
        <w:rPr>
          <w:noProof/>
        </w:rPr>
        <w:t>Vid kontroller på plats av egna medel ska de medlemsstater som berörs i god tid meddela kommissionen namn och befattning avseende de anställda som har utsetts att delta i kontrollerna och ge de bemyndigade tjänstemännen det stöd de behöver för att fullfölja sitt uppdrag.</w:t>
      </w:r>
    </w:p>
    <w:p>
      <w:pPr>
        <w:rPr>
          <w:noProof/>
        </w:rPr>
      </w:pPr>
      <w:r>
        <w:rPr>
          <w:noProof/>
        </w:rPr>
        <w:t>6.</w:t>
      </w:r>
      <w:r>
        <w:rPr>
          <w:noProof/>
        </w:rPr>
        <w:tab/>
        <w:t>Den medlemsstat som berörs ska inom tre månader på lämpligt sätt informeras om resultatet av de kontroller som avses i artikel 4, med undantag av kontroller som utförs av medlemsstaterna. Medlemsstaten ska lämna sina synpunkter inom tre månader efter det att rapporten mottagits. Kommissionen får dock i särskilt motiverade fall uppmana medlemsstaten att lämna synpunkter på vissa frågor inom en månad från det att rapporten mottagits. Den berörda medlemsstaten får avstå från att svara, om den meddelar vilka skäl som gör det omöjligt att tillmötesgå kommissionens begäran.</w:t>
      </w:r>
    </w:p>
    <w:p>
      <w:pPr>
        <w:rPr>
          <w:noProof/>
        </w:rPr>
      </w:pPr>
      <w:r>
        <w:rPr>
          <w:noProof/>
        </w:rPr>
        <w:t>Därefter ska samtliga medlemsstater underrättas om de resultat och synpunkter som avses i första stycket tillsammans med den sammanfattande rapport som utarbetats i samband med kontrollerna av egna medel som avses i artikel 2.1 b, c, d och e i beslut 20xx/xxxx/EU, Euratom.</w:t>
      </w:r>
    </w:p>
    <w:p>
      <w:pPr>
        <w:rPr>
          <w:noProof/>
        </w:rPr>
      </w:pPr>
      <w:r>
        <w:rPr>
          <w:noProof/>
        </w:rPr>
        <w:t>Om kontroller på plats eller de kontroller av traditionella egna medel där kommissionen medverkat pekar på ett behov av att ändra eller korrigera uppgifter i de redovisningar eller deklarationer som sänts till kommissionen avseende egna medel, och de därpå följande korrigeringarna måste göras genom en redovisning eller deklaration som gäller för innevarande period, ska de relevanta ändringarna anges genom lämpliga noter i den använda redovisningen eller deklarationen.</w:t>
      </w:r>
    </w:p>
    <w:p>
      <w:pPr>
        <w:pStyle w:val="Titrearticle"/>
        <w:spacing w:before="240"/>
        <w:rPr>
          <w:noProof/>
        </w:rPr>
      </w:pPr>
      <w:r>
        <w:rPr>
          <w:noProof/>
        </w:rPr>
        <w:t>Artikel 7</w:t>
      </w:r>
    </w:p>
    <w:p>
      <w:pPr>
        <w:pStyle w:val="NormalCentered"/>
        <w:keepNext/>
        <w:rPr>
          <w:b/>
          <w:bCs/>
          <w:noProof/>
        </w:rPr>
      </w:pPr>
      <w:r>
        <w:rPr>
          <w:b/>
          <w:noProof/>
        </w:rPr>
        <w:t>Anmälan av bedrägerier och oriktigheter som påverkar anspråken på traditionella egna medel</w:t>
      </w:r>
    </w:p>
    <w:p>
      <w:pPr>
        <w:rPr>
          <w:noProof/>
        </w:rPr>
      </w:pPr>
      <w:r>
        <w:rPr>
          <w:noProof/>
        </w:rPr>
        <w:t>1.</w:t>
      </w:r>
      <w:r>
        <w:rPr>
          <w:noProof/>
        </w:rPr>
        <w:tab/>
        <w:t>Varje medlemsstat ska inom två månader efter utgången av varje kvartal till kommissionen överlämna en beskrivning av bedrägerier och oriktigheter som uppdagats avseende anspråk på över 10 000 EUR för sådana traditionella egna medel som avses i artikel 2.1 a i beslut 20xx/xxxx/EU, Euratom.</w:t>
      </w:r>
    </w:p>
    <w:p>
      <w:pPr>
        <w:rPr>
          <w:noProof/>
        </w:rPr>
      </w:pPr>
      <w:r>
        <w:rPr>
          <w:noProof/>
        </w:rPr>
        <w:t>Inom den period som avses i första stycket ska varje medlemsstat rapportera om situationen avseende sådana bedrägerier och oriktigheter som redan har anmälts till kommissionen, men där återkrav, annullering eller avskrivning inte tidigare tagits upp.</w:t>
      </w:r>
    </w:p>
    <w:p>
      <w:pPr>
        <w:rPr>
          <w:noProof/>
        </w:rPr>
      </w:pPr>
      <w:r>
        <w:rPr>
          <w:noProof/>
        </w:rPr>
        <w:t>2.</w:t>
      </w:r>
      <w:r>
        <w:rPr>
          <w:noProof/>
        </w:rPr>
        <w:tab/>
        <w:t>Kommissionen ska anta genomförandeakter om vilka detaljer som ska finnas med i de beskrivningar som avses i punkt 1 i den här artikeln. Dessa genomförandeakter ska antas i enlighet med det rådgivande förfarande som avses i artikel 9.2.</w:t>
      </w:r>
    </w:p>
    <w:p>
      <w:pPr>
        <w:rPr>
          <w:noProof/>
        </w:rPr>
      </w:pPr>
      <w:r>
        <w:rPr>
          <w:noProof/>
        </w:rPr>
        <w:t>3.</w:t>
      </w:r>
      <w:r>
        <w:rPr>
          <w:noProof/>
        </w:rPr>
        <w:tab/>
        <w:t>En sammanfattning av de anmälningar som avses i punkt 1 i denna artikel ska ingå i den rapport från kommissionen som avses i artikel 325.5 i fördraget om Europeiska unionens funktionssätt.</w:t>
      </w:r>
    </w:p>
    <w:p>
      <w:pPr>
        <w:pStyle w:val="Titrearticle"/>
        <w:spacing w:before="240"/>
        <w:rPr>
          <w:noProof/>
        </w:rPr>
      </w:pPr>
      <w:r>
        <w:rPr>
          <w:noProof/>
        </w:rPr>
        <w:lastRenderedPageBreak/>
        <w:t>Artikel 8</w:t>
      </w:r>
    </w:p>
    <w:p>
      <w:pPr>
        <w:pStyle w:val="NormalCentered"/>
        <w:keepNext/>
        <w:rPr>
          <w:b/>
          <w:bCs/>
          <w:noProof/>
        </w:rPr>
      </w:pPr>
      <w:r>
        <w:rPr>
          <w:b/>
          <w:noProof/>
        </w:rPr>
        <w:t>Medlemsstaternas rapportering om kontrollerna av traditionella egna medel</w:t>
      </w:r>
    </w:p>
    <w:p>
      <w:pPr>
        <w:rPr>
          <w:noProof/>
        </w:rPr>
      </w:pPr>
      <w:r>
        <w:rPr>
          <w:noProof/>
        </w:rPr>
        <w:t>1.</w:t>
      </w:r>
      <w:r>
        <w:rPr>
          <w:noProof/>
        </w:rPr>
        <w:tab/>
        <w:t>Medlemsstaterna ska lämna detaljerade årliga rapporter till kommissionen om tillämpningen av kontrollåtgärderna vad avser traditionella egna medel och resultaten av dessa kontroller, sammanställa uppgifter och principfrågor avseende de största problem som kan uppstå i samband med tillämpningen av relevanta bestämmelser i genomförandebeslut 20xx/xxxx/EU, Euratom och särskilt vad gäller tvister. Rapporterna ska sändas till kommissionen senast den 1 mars året efter det berörda budgetåret. På grundval av dessa rapporter ska kommissionen utarbeta en sammanfattande rapport, som alla medlemsstater ska informeras om.</w:t>
      </w:r>
    </w:p>
    <w:p>
      <w:pPr>
        <w:rPr>
          <w:noProof/>
        </w:rPr>
      </w:pPr>
      <w:r>
        <w:rPr>
          <w:noProof/>
        </w:rPr>
        <w:t>2.</w:t>
      </w:r>
      <w:r>
        <w:rPr>
          <w:noProof/>
        </w:rPr>
        <w:tab/>
        <w:t>Kommissionen ska anta genomförandeakter om enhetlig utformning av de årliga rapporterna från medlemsstaterna enligt punkt 1 i den här artikeln. Dessa genomförandeakter ska antas i enlighet med det rådgivande förfarande som avses i artikel 9.2.</w:t>
      </w:r>
    </w:p>
    <w:p>
      <w:pPr>
        <w:rPr>
          <w:noProof/>
        </w:rPr>
      </w:pPr>
      <w:r>
        <w:rPr>
          <w:noProof/>
        </w:rPr>
        <w:t>3.</w:t>
      </w:r>
      <w:r>
        <w:rPr>
          <w:noProof/>
        </w:rPr>
        <w:tab/>
        <w:t>Kommissionen ska vart tredje år rapportera till Europaparlamentet och rådet om hur kontrollsystemet för traditionella egna medel fungerar.</w:t>
      </w:r>
    </w:p>
    <w:p>
      <w:pPr>
        <w:pStyle w:val="Titrearticle"/>
        <w:spacing w:before="240"/>
        <w:rPr>
          <w:b/>
          <w:i w:val="0"/>
          <w:smallCaps/>
          <w:noProof/>
        </w:rPr>
      </w:pPr>
      <w:r>
        <w:rPr>
          <w:b/>
          <w:i w:val="0"/>
          <w:smallCaps/>
          <w:noProof/>
        </w:rPr>
        <w:t>Kapitel III</w:t>
      </w:r>
    </w:p>
    <w:p>
      <w:pPr>
        <w:keepNext/>
        <w:jc w:val="center"/>
        <w:rPr>
          <w:noProof/>
        </w:rPr>
      </w:pPr>
      <w:r>
        <w:rPr>
          <w:b/>
          <w:smallCaps/>
          <w:noProof/>
        </w:rPr>
        <w:t xml:space="preserve">Kommitté- och slutbestämmelser </w:t>
      </w:r>
    </w:p>
    <w:p>
      <w:pPr>
        <w:pStyle w:val="Titrearticle"/>
        <w:spacing w:before="240"/>
        <w:rPr>
          <w:noProof/>
        </w:rPr>
      </w:pPr>
      <w:r>
        <w:rPr>
          <w:noProof/>
        </w:rPr>
        <w:t>Artikel 9</w:t>
      </w:r>
    </w:p>
    <w:p>
      <w:pPr>
        <w:pStyle w:val="NormalCentered"/>
        <w:keepNext/>
        <w:rPr>
          <w:b/>
          <w:bCs/>
          <w:noProof/>
        </w:rPr>
      </w:pPr>
      <w:r>
        <w:rPr>
          <w:b/>
          <w:noProof/>
        </w:rPr>
        <w:t>Kommittéförfarande</w:t>
      </w:r>
    </w:p>
    <w:p>
      <w:pPr>
        <w:rPr>
          <w:noProof/>
        </w:rPr>
      </w:pPr>
      <w:r>
        <w:rPr>
          <w:noProof/>
        </w:rPr>
        <w:t>1.</w:t>
      </w:r>
      <w:r>
        <w:rPr>
          <w:noProof/>
        </w:rPr>
        <w:tab/>
        <w:t>Kommissionen ska biträdas av en rådgivande kommitté. Denna kommitté ska vara en kommitté i den mening som avses i förordning (EU) nr 182/2011.</w:t>
      </w:r>
    </w:p>
    <w:p>
      <w:pPr>
        <w:rPr>
          <w:noProof/>
        </w:rPr>
      </w:pPr>
      <w:r>
        <w:rPr>
          <w:noProof/>
        </w:rPr>
        <w:t>2.</w:t>
      </w:r>
      <w:r>
        <w:rPr>
          <w:noProof/>
        </w:rPr>
        <w:tab/>
        <w:t>När det hänvisas till denna punkt ska artikel 4 i förordning (EU) nr 182/2011 tillämpas.</w:t>
      </w:r>
    </w:p>
    <w:p>
      <w:pPr>
        <w:pStyle w:val="Titrearticle"/>
        <w:spacing w:before="240"/>
        <w:rPr>
          <w:noProof/>
        </w:rPr>
      </w:pPr>
      <w:r>
        <w:rPr>
          <w:noProof/>
        </w:rPr>
        <w:t>Artikel 10</w:t>
      </w:r>
    </w:p>
    <w:p>
      <w:pPr>
        <w:pStyle w:val="NormalCentered"/>
        <w:keepNext/>
        <w:rPr>
          <w:b/>
          <w:bCs/>
          <w:noProof/>
        </w:rPr>
      </w:pPr>
      <w:r>
        <w:rPr>
          <w:b/>
          <w:noProof/>
        </w:rPr>
        <w:t>Slutbestämmelser</w:t>
      </w:r>
    </w:p>
    <w:p>
      <w:pPr>
        <w:rPr>
          <w:noProof/>
        </w:rPr>
      </w:pPr>
      <w:r>
        <w:rPr>
          <w:noProof/>
        </w:rPr>
        <w:t>Förordning (EG, Euratom) nr 608/2014 ska upphöra att gälla.</w:t>
      </w:r>
    </w:p>
    <w:p>
      <w:pPr>
        <w:rPr>
          <w:noProof/>
        </w:rPr>
      </w:pPr>
      <w:r>
        <w:rPr>
          <w:noProof/>
        </w:rPr>
        <w:t>Hänvisningar till den upphävda förordningen och till bestämmelserna i förordning (EG, Euratom) nr 1026/1999 och förordning (EG, Euratom) nr 1150/2000 ska anses som hänvisningar till den här förordningen.</w:t>
      </w:r>
    </w:p>
    <w:p>
      <w:pPr>
        <w:pStyle w:val="Titrearticle"/>
        <w:spacing w:before="240"/>
        <w:rPr>
          <w:noProof/>
        </w:rPr>
      </w:pPr>
      <w:r>
        <w:rPr>
          <w:noProof/>
        </w:rPr>
        <w:t>Artikel 11</w:t>
      </w:r>
    </w:p>
    <w:p>
      <w:pPr>
        <w:keepNext/>
        <w:jc w:val="center"/>
        <w:rPr>
          <w:b/>
          <w:noProof/>
        </w:rPr>
      </w:pPr>
      <w:r>
        <w:rPr>
          <w:b/>
          <w:noProof/>
        </w:rPr>
        <w:t>Ikraftträdande</w:t>
      </w:r>
    </w:p>
    <w:p>
      <w:pPr>
        <w:rPr>
          <w:noProof/>
        </w:rPr>
      </w:pPr>
      <w:r>
        <w:rPr>
          <w:noProof/>
        </w:rPr>
        <w:t>Denna förordning träder i kraft samma dag som beslut 20xx/xxxx/EU, Euratom.</w:t>
      </w:r>
    </w:p>
    <w:p>
      <w:pPr>
        <w:rPr>
          <w:noProof/>
        </w:rPr>
      </w:pPr>
      <w:r>
        <w:rPr>
          <w:noProof/>
        </w:rPr>
        <w:t>Den ska tillämpas från och med den 1 januari 2021.</w:t>
      </w:r>
    </w:p>
    <w:p>
      <w:pPr>
        <w:rPr>
          <w:noProof/>
          <w:szCs w:val="24"/>
        </w:rPr>
      </w:pPr>
      <w:r>
        <w:rPr>
          <w:noProof/>
        </w:rPr>
        <w:t>Bestämmelserna i denna förordning ska tillämpas på egna medel baserade på en gemensam konsoliderad bolagsskattebas från och med den 1 januari det andra året efter första tillämpningsdagen för nationella bestämmelser som införlivar rådets direktiv om en gemensam konsoliderad bolagsskattebas.</w:t>
      </w:r>
    </w:p>
    <w:p>
      <w:pPr>
        <w:pStyle w:val="Applicationdirecte"/>
        <w:keepNext/>
        <w:keepLines/>
        <w:rPr>
          <w:noProof/>
        </w:rPr>
      </w:pPr>
      <w:r>
        <w:rPr>
          <w:noProof/>
        </w:rPr>
        <w:lastRenderedPageBreak/>
        <w:t>Denna förordning är till alla delar bindande och direkt tillämplig i alla medlemsstater.</w:t>
      </w:r>
    </w:p>
    <w:p>
      <w:pPr>
        <w:pStyle w:val="Fait"/>
        <w:rPr>
          <w:noProof/>
        </w:rPr>
      </w:pPr>
      <w:r>
        <w:t>Utfärdad i Bryssel den</w:t>
      </w:r>
    </w:p>
    <w:p>
      <w:pPr>
        <w:pStyle w:val="Institutionquisigne"/>
        <w:jc w:val="center"/>
        <w:rPr>
          <w:noProof/>
        </w:rPr>
      </w:pPr>
      <w:r>
        <w:rPr>
          <w:noProof/>
        </w:rPr>
        <w:t>På rådets vägnar</w:t>
      </w:r>
    </w:p>
    <w:p>
      <w:pPr>
        <w:pStyle w:val="Personnequisigne"/>
        <w:spacing w:before="120" w:after="120"/>
        <w:jc w:val="center"/>
        <w:rPr>
          <w:noProof/>
        </w:rPr>
      </w:pPr>
      <w:r>
        <w:rPr>
          <w:noProof/>
        </w:rPr>
        <w:t>Ordförande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 (2018) 325 final, 2.5.2018.</w:t>
      </w:r>
    </w:p>
  </w:footnote>
  <w:footnote w:id="3">
    <w:p>
      <w:pPr>
        <w:pStyle w:val="FootnoteText"/>
      </w:pPr>
      <w:r>
        <w:rPr>
          <w:rStyle w:val="FootnoteReference"/>
        </w:rPr>
        <w:footnoteRef/>
      </w:r>
      <w:r>
        <w:tab/>
        <w:t>Rådets förordning (EU, Euratom) nr 608/2014 av den 26 maj 2014 om genomförandebestämmelser till systemet för Europeiska unionens egna medel (EUT L 168, 7.6.2014, s. 29).</w:t>
      </w:r>
    </w:p>
  </w:footnote>
  <w:footnote w:id="4">
    <w:p>
      <w:pPr>
        <w:pStyle w:val="FootnoteText"/>
      </w:pPr>
      <w:r>
        <w:rPr>
          <w:rStyle w:val="FootnoteReference"/>
        </w:rPr>
        <w:footnoteRef/>
      </w:r>
      <w:r>
        <w:tab/>
        <w:t>COM (2018) 322 final, 2.5.2018.</w:t>
      </w:r>
    </w:p>
  </w:footnote>
  <w:footnote w:id="5">
    <w:p>
      <w:pPr>
        <w:pStyle w:val="FootnoteText"/>
      </w:pPr>
      <w:r>
        <w:rPr>
          <w:rStyle w:val="FootnoteReference"/>
        </w:rPr>
        <w:footnoteRef/>
      </w:r>
      <w:r>
        <w:tab/>
        <w:t>COM (2018) 326 final, 2.5.2018 som åtföljer och kompletterar rådets förordning (EU, Euratom) nr 609/2014 av den 26 maj 2014 om metoder och förfaranden för tillhandahållande av traditionella, momsbaserade egna medel och BNI-baserade egna medel samt åtgärder för att möta likviditetsbehov (EUT L 168, 7.6.2014, s. 39).</w:t>
      </w:r>
    </w:p>
  </w:footnote>
  <w:footnote w:id="6">
    <w:p>
      <w:pPr>
        <w:pStyle w:val="FootnoteText"/>
      </w:pPr>
      <w:r>
        <w:rPr>
          <w:rStyle w:val="FootnoteReference"/>
        </w:rPr>
        <w:footnoteRef/>
      </w:r>
      <w:r>
        <w:tab/>
        <w:t>COM (2018) 328 final, 2.5.2018.</w:t>
      </w:r>
    </w:p>
  </w:footnote>
  <w:footnote w:id="7">
    <w:p>
      <w:pPr>
        <w:pStyle w:val="FootnoteText"/>
      </w:pPr>
      <w:r>
        <w:rPr>
          <w:rStyle w:val="FootnoteReference"/>
        </w:rPr>
        <w:footnoteRef/>
      </w:r>
      <w:r>
        <w:tab/>
        <w:t>Rådets förordning (EEG, Euratom) nr 1553/89 av den 29 maj 1989 om den slutliga enhetliga ordningen för uppbörd av egna medel som härrör från mervärdeskatt (EGT L 155, 7.6.1989, s. 9).</w:t>
      </w:r>
    </w:p>
  </w:footnote>
  <w:footnote w:id="8">
    <w:p>
      <w:pPr>
        <w:pStyle w:val="FootnoteText"/>
      </w:pPr>
      <w:r>
        <w:rPr>
          <w:rStyle w:val="FootnoteReference"/>
        </w:rPr>
        <w:footnoteRef/>
      </w:r>
      <w:r>
        <w:tab/>
        <w:t>Rådets beslut av den 26 maj 2014 om systemet för Europeiska unionens egna medel (2014/335/EU, Euratom) (EUT L 168, 7.6.2014, s. 105).</w:t>
      </w:r>
    </w:p>
  </w:footnote>
  <w:footnote w:id="9">
    <w:p>
      <w:pPr>
        <w:pStyle w:val="FootnoteText"/>
      </w:pPr>
      <w:r>
        <w:rPr>
          <w:rStyle w:val="FootnoteReference"/>
        </w:rPr>
        <w:footnoteRef/>
      </w:r>
      <w:r>
        <w:tab/>
        <w:t xml:space="preserve">Rådets beslut av den [DATUM] om systemet för Europeiska unionens egna medel (20xx/xxxx/EU, Euratom) (EUT L […], […], s. […]). </w:t>
      </w:r>
    </w:p>
  </w:footnote>
  <w:footnote w:id="10">
    <w:p>
      <w:pPr>
        <w:pStyle w:val="FootnoteText"/>
      </w:pPr>
      <w:r>
        <w:rPr>
          <w:rStyle w:val="FootnoteReference"/>
        </w:rPr>
        <w:footnoteRef/>
      </w:r>
      <w:r>
        <w:tab/>
        <w:t>EUT C […], […], s. […].</w:t>
      </w:r>
    </w:p>
  </w:footnote>
  <w:footnote w:id="11">
    <w:p>
      <w:pPr>
        <w:pStyle w:val="FootnoteText"/>
      </w:pPr>
      <w:r>
        <w:rPr>
          <w:rStyle w:val="FootnoteReference"/>
        </w:rPr>
        <w:footnoteRef/>
      </w:r>
      <w:r>
        <w:tab/>
        <w:t>Rådets beslut av den 26 maj 2014 om systemet för Europeiska unionens egna medel (2014/335/EU, Euratom) (EUT L 168, 7.6.2014, s. 105).</w:t>
      </w:r>
    </w:p>
  </w:footnote>
  <w:footnote w:id="12">
    <w:p>
      <w:pPr>
        <w:pStyle w:val="FootnoteText"/>
      </w:pPr>
      <w:r>
        <w:rPr>
          <w:rStyle w:val="FootnoteReference"/>
        </w:rPr>
        <w:footnoteRef/>
      </w:r>
      <w:r>
        <w:tab/>
        <w:t>Europaparlamentets och rådets förordning (EU, Euratom) nr 549/2013 av den 21 maj 2013 om det europeiska national- och regionalräkenskapssystemet i Europeiska unionen (EUT L 174, 26.6.2013, s. 1).</w:t>
      </w:r>
    </w:p>
  </w:footnote>
  <w:footnote w:id="13">
    <w:p>
      <w:pPr>
        <w:pStyle w:val="FootnoteText"/>
      </w:pPr>
      <w:r>
        <w:rPr>
          <w:rStyle w:val="FootnoteReference"/>
        </w:rPr>
        <w:footnoteRef/>
      </w:r>
      <w:r>
        <w:tab/>
        <w:t>Rådets förordning (EU, Euratom) nr 608/2014 av den 26 maj 2014 om genomförandebestämmelser till systemet för Europeiska unionens egna medel (EUT L 168, 7.6.2014, s. 29).</w:t>
      </w:r>
    </w:p>
  </w:footnote>
  <w:footnote w:id="14">
    <w:p>
      <w:pPr>
        <w:pStyle w:val="FootnoteText"/>
      </w:pPr>
      <w:r>
        <w:rPr>
          <w:rStyle w:val="FootnoteReference"/>
        </w:rPr>
        <w:footnoteRef/>
      </w:r>
      <w:r>
        <w:tab/>
        <w:t>Europaparlamentets och rådets förordning (EU) nr 182/2011 av den 16 februari 2011 om fastställande av allmänna regler och principer för medlemsstaternas kontroll av kommissionens utövande av sina genomförandebefogenheter (EUT L 55, 28.2.2011, s. 13).</w:t>
      </w:r>
    </w:p>
  </w:footnote>
  <w:footnote w:id="15">
    <w:p>
      <w:pPr>
        <w:pStyle w:val="FootnoteText"/>
      </w:pPr>
      <w:r>
        <w:rPr>
          <w:rStyle w:val="FootnoteReference"/>
        </w:rPr>
        <w:footnoteRef/>
      </w:r>
      <w:r>
        <w:tab/>
        <w:t>EUT L […], […], s. […]. [Förordning om den fleråriga budgetramen]</w:t>
      </w:r>
    </w:p>
  </w:footnote>
  <w:footnote w:id="16">
    <w:p>
      <w:pPr>
        <w:pStyle w:val="FootnoteText"/>
      </w:pPr>
      <w:r>
        <w:rPr>
          <w:rStyle w:val="FootnoteReference"/>
        </w:rPr>
        <w:footnoteRef/>
      </w:r>
      <w:r>
        <w:tab/>
        <w:t>Rådets förordning (EG, Euratom) nr 1287/2003 av den 15 juli 2003 om harmonisering av bruttonationalinkomsten till marknadspris (”BNI-förordning”) (EUT L 181, 19.7.2003, s. 1).</w:t>
      </w:r>
    </w:p>
  </w:footnote>
  <w:footnote w:id="17">
    <w:p>
      <w:pPr>
        <w:pStyle w:val="FootnoteText"/>
      </w:pPr>
      <w:r>
        <w:rPr>
          <w:rStyle w:val="FootnoteReference"/>
        </w:rPr>
        <w:footnoteRef/>
      </w:r>
      <w:r>
        <w:tab/>
        <w:t>Europaparlamentets och rådets förordning (EU, Euratom) nr 966/2012 av den 25 oktober 2012 om finansiella regler för unionens allmänna budget och om upphävande av rådets förordning (EG, Euratom) nr 1605/2002 (EUT L 298, 26.10.2012, s. 1).</w:t>
      </w:r>
    </w:p>
  </w:footnote>
  <w:footnote w:id="18">
    <w:p>
      <w:pPr>
        <w:pStyle w:val="FootnoteText"/>
      </w:pPr>
      <w:r>
        <w:rPr>
          <w:rStyle w:val="FootnoteReference"/>
        </w:rPr>
        <w:footnoteRef/>
      </w:r>
      <w:r>
        <w:tab/>
        <w:t>Kommissionens förordning (EU) nr 1031/2010 av den 12 november 2010 om tidsschema, administration och andra aspekter av auktionering av utsläppsrätter för växthusgaser i enlighet med Europaparlamentets och rådets direktiv 2003/87/EG om ett system för handel med utsläppsrätter för växthusgaser inom gemenskapen (EUT L 302, 18.11.2010, s. 1).</w:t>
      </w:r>
    </w:p>
  </w:footnote>
  <w:footnote w:id="19">
    <w:p>
      <w:pPr>
        <w:pStyle w:val="FootnoteText"/>
      </w:pPr>
      <w:r>
        <w:rPr>
          <w:rStyle w:val="FootnoteReference"/>
        </w:rPr>
        <w:footnoteRef/>
      </w:r>
      <w:r>
        <w:tab/>
        <w:t>Rådets förordning (EG, Euratom) nr 1287/2003 av den 15 juli 2003 om harmonisering av bruttonationalinkomsten till marknadspris (”BNI-förordning”) (EUT L 181, 19.7.2003, s. 1).</w:t>
      </w:r>
    </w:p>
  </w:footnote>
  <w:footnote w:id="20">
    <w:p>
      <w:pPr>
        <w:pStyle w:val="FootnoteText"/>
      </w:pPr>
      <w:r>
        <w:rPr>
          <w:rStyle w:val="FootnoteReference"/>
        </w:rPr>
        <w:footnoteRef/>
      </w:r>
      <w:r>
        <w:tab/>
        <w:t xml:space="preserve">Europaparlamentets och rådets förordning (EG) nr 223/2009 av den 11 mars 2009 om europeisk statistik och om upphävande av Europaparlamentets och rådets förordning (EG, Euratom) nr 1101/2008 om utlämnande av insynsskyddade statistiska uppgifter till Europeiska gemenskapernas statistikkontor, rådets förordning (EG) nr 322/97 om gemenskapsstatistik och rådets beslut 89/382/EEG, Euratom om inrättande av en kommitté för Europeiska gemenskapernas statistiska program (EUT L 87, 31.3.2009, s. 164). </w:t>
      </w:r>
    </w:p>
  </w:footnote>
  <w:footnote w:id="21">
    <w:p>
      <w:pPr>
        <w:pStyle w:val="FootnoteText"/>
      </w:pPr>
      <w:r>
        <w:rPr>
          <w:rStyle w:val="FootnoteReference"/>
        </w:rPr>
        <w:footnoteRef/>
      </w:r>
      <w:r>
        <w:tab/>
      </w:r>
      <w:r>
        <w:rPr>
          <w:rStyle w:val="Strong"/>
          <w:b w:val="0"/>
        </w:rPr>
        <w:t>Europaparlamentets och rådets förordning (EU) 2016/679 av den 27 april 2016</w:t>
      </w:r>
      <w:r>
        <w:rPr>
          <w:rStyle w:val="Strong"/>
        </w:rPr>
        <w:t xml:space="preserve"> </w:t>
      </w:r>
      <w:r>
        <w:t>om skydd för fysiska personer med avseende på behandling av personuppgifter och om det fria flödet av sådana uppgifter (EUT L 119, 4.5.2016, s. 1).</w:t>
      </w:r>
    </w:p>
  </w:footnote>
  <w:footnote w:id="22">
    <w:p>
      <w:pPr>
        <w:pStyle w:val="FootnoteText"/>
      </w:pPr>
      <w:r>
        <w:rPr>
          <w:rStyle w:val="FootnoteReference"/>
        </w:rPr>
        <w:footnoteRef/>
      </w:r>
      <w:r>
        <w:tab/>
        <w:t>Europaparlamentets och rådets förordning (EG) nr 45/2001 av den 18 december 2000 om skydd för enskilda då gemenskapsinstitutionerna och gemenskapsorganen behandlar personuppgifter och om den fria rörligheten för sådana uppgifter (EGT L 8, 12.1.2001,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A88F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227B0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B72C2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389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38EF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0EEE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E07AAC"/>
    <w:lvl w:ilvl="0">
      <w:start w:val="1"/>
      <w:numFmt w:val="decimal"/>
      <w:pStyle w:val="ListNumber"/>
      <w:lvlText w:val="%1."/>
      <w:lvlJc w:val="left"/>
      <w:pPr>
        <w:tabs>
          <w:tab w:val="num" w:pos="360"/>
        </w:tabs>
        <w:ind w:left="360" w:hanging="360"/>
      </w:pPr>
    </w:lvl>
  </w:abstractNum>
  <w:abstractNum w:abstractNumId="7">
    <w:nsid w:val="FFFFFF89"/>
    <w:multiLevelType w:val="singleLevel"/>
    <w:tmpl w:val="0882DD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07:28: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3731ADB-E489-441E-8488-C57756BEA7A1"/>
    <w:docVar w:name="LW_COVERPAGE_TYPE" w:val="1"/>
    <w:docVar w:name="LW_CROSSREFERENCE" w:val="&lt;UNUSED&gt;"/>
    <w:docVar w:name="LW_DocType" w:val="COM"/>
    <w:docVar w:name="LW_EMISSION" w:val="2.5.2018"/>
    <w:docVar w:name="LW_EMISSION_ISODATE" w:val="2018-05-02"/>
    <w:docVar w:name="LW_EMISSION_LOCATION" w:val="BRX"/>
    <w:docVar w:name="LW_EMISSION_PREFIX" w:val="Bryssel den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APP"/>
    <w:docVar w:name="LW_REF.II.NEW.CP_NUMBER" w:val="0132"/>
    <w:docVar w:name="LW_REF.II.NEW.CP_YEAR" w:val="2018"/>
    <w:docVar w:name="LW_REF.INST.NEW" w:val="COM"/>
    <w:docVar w:name="LW_REF.INST.NEW_ADOPTED" w:val="final"/>
    <w:docVar w:name="LW_REF.INST.NEW_TEXT" w:val="(2018)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Förslag till"/>
    <w:docVar w:name="LW_SUPERTITRE" w:val="&lt;UNUSED&gt;"/>
    <w:docVar w:name="LW_TITRE.OBJ.CP" w:val="om genomförandebestämmelser till systemet för Europeiska unionens egna medel_x000b_"/>
    <w:docVar w:name="LW_TYPE.DOC.CP" w:val="RÅDETS FÖRORDNING"/>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character" w:styleId="Hyperlink">
    <w:name w:val="Hyperlink"/>
    <w:basedOn w:val="DefaultParagraphFont"/>
    <w:uiPriority w:val="99"/>
    <w:unhideWhenUsed/>
    <w:rPr>
      <w:rFonts w:cs="Times New Roman"/>
      <w:color w:val="0000FF"/>
      <w:u w:val="single"/>
    </w:rPr>
  </w:style>
  <w:style w:type="character" w:styleId="Strong">
    <w:name w:val="Strong"/>
    <w:basedOn w:val="DefaultParagraphFont"/>
    <w:uiPriority w:val="22"/>
    <w:qFormat/>
    <w:rPr>
      <w:rFonts w:cs="Times New Roman"/>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sv-SE"/>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character" w:styleId="Hyperlink">
    <w:name w:val="Hyperlink"/>
    <w:basedOn w:val="DefaultParagraphFont"/>
    <w:uiPriority w:val="99"/>
    <w:unhideWhenUsed/>
    <w:rPr>
      <w:rFonts w:cs="Times New Roman"/>
      <w:color w:val="0000FF"/>
      <w:u w:val="single"/>
    </w:rPr>
  </w:style>
  <w:style w:type="character" w:styleId="Strong">
    <w:name w:val="Strong"/>
    <w:basedOn w:val="DefaultParagraphFont"/>
    <w:uiPriority w:val="22"/>
    <w:qFormat/>
    <w:rPr>
      <w:rFonts w:cs="Times New Roman"/>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sv-SE"/>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564">
      <w:bodyDiv w:val="1"/>
      <w:marLeft w:val="0"/>
      <w:marRight w:val="0"/>
      <w:marTop w:val="0"/>
      <w:marBottom w:val="0"/>
      <w:divBdr>
        <w:top w:val="none" w:sz="0" w:space="0" w:color="auto"/>
        <w:left w:val="none" w:sz="0" w:space="0" w:color="auto"/>
        <w:bottom w:val="none" w:sz="0" w:space="0" w:color="auto"/>
        <w:right w:val="none" w:sz="0" w:space="0" w:color="auto"/>
      </w:divBdr>
    </w:div>
    <w:div w:id="239143128">
      <w:bodyDiv w:val="1"/>
      <w:marLeft w:val="0"/>
      <w:marRight w:val="0"/>
      <w:marTop w:val="0"/>
      <w:marBottom w:val="0"/>
      <w:divBdr>
        <w:top w:val="none" w:sz="0" w:space="0" w:color="auto"/>
        <w:left w:val="none" w:sz="0" w:space="0" w:color="auto"/>
        <w:bottom w:val="none" w:sz="0" w:space="0" w:color="auto"/>
        <w:right w:val="none" w:sz="0" w:space="0" w:color="auto"/>
      </w:divBdr>
    </w:div>
    <w:div w:id="576868065">
      <w:bodyDiv w:val="1"/>
      <w:marLeft w:val="0"/>
      <w:marRight w:val="0"/>
      <w:marTop w:val="0"/>
      <w:marBottom w:val="0"/>
      <w:divBdr>
        <w:top w:val="none" w:sz="0" w:space="0" w:color="auto"/>
        <w:left w:val="none" w:sz="0" w:space="0" w:color="auto"/>
        <w:bottom w:val="none" w:sz="0" w:space="0" w:color="auto"/>
        <w:right w:val="none" w:sz="0" w:space="0" w:color="auto"/>
      </w:divBdr>
    </w:div>
    <w:div w:id="612396884">
      <w:bodyDiv w:val="1"/>
      <w:marLeft w:val="0"/>
      <w:marRight w:val="0"/>
      <w:marTop w:val="0"/>
      <w:marBottom w:val="0"/>
      <w:divBdr>
        <w:top w:val="none" w:sz="0" w:space="0" w:color="auto"/>
        <w:left w:val="none" w:sz="0" w:space="0" w:color="auto"/>
        <w:bottom w:val="none" w:sz="0" w:space="0" w:color="auto"/>
        <w:right w:val="none" w:sz="0" w:space="0" w:color="auto"/>
      </w:divBdr>
    </w:div>
    <w:div w:id="644161458">
      <w:bodyDiv w:val="1"/>
      <w:marLeft w:val="0"/>
      <w:marRight w:val="0"/>
      <w:marTop w:val="0"/>
      <w:marBottom w:val="0"/>
      <w:divBdr>
        <w:top w:val="none" w:sz="0" w:space="0" w:color="auto"/>
        <w:left w:val="none" w:sz="0" w:space="0" w:color="auto"/>
        <w:bottom w:val="none" w:sz="0" w:space="0" w:color="auto"/>
        <w:right w:val="none" w:sz="0" w:space="0" w:color="auto"/>
      </w:divBdr>
    </w:div>
    <w:div w:id="746000738">
      <w:bodyDiv w:val="1"/>
      <w:marLeft w:val="0"/>
      <w:marRight w:val="0"/>
      <w:marTop w:val="0"/>
      <w:marBottom w:val="0"/>
      <w:divBdr>
        <w:top w:val="none" w:sz="0" w:space="0" w:color="auto"/>
        <w:left w:val="none" w:sz="0" w:space="0" w:color="auto"/>
        <w:bottom w:val="none" w:sz="0" w:space="0" w:color="auto"/>
        <w:right w:val="none" w:sz="0" w:space="0" w:color="auto"/>
      </w:divBdr>
    </w:div>
    <w:div w:id="756484014">
      <w:bodyDiv w:val="1"/>
      <w:marLeft w:val="0"/>
      <w:marRight w:val="0"/>
      <w:marTop w:val="0"/>
      <w:marBottom w:val="0"/>
      <w:divBdr>
        <w:top w:val="none" w:sz="0" w:space="0" w:color="auto"/>
        <w:left w:val="none" w:sz="0" w:space="0" w:color="auto"/>
        <w:bottom w:val="none" w:sz="0" w:space="0" w:color="auto"/>
        <w:right w:val="none" w:sz="0" w:space="0" w:color="auto"/>
      </w:divBdr>
    </w:div>
    <w:div w:id="1105729136">
      <w:bodyDiv w:val="1"/>
      <w:marLeft w:val="0"/>
      <w:marRight w:val="0"/>
      <w:marTop w:val="0"/>
      <w:marBottom w:val="0"/>
      <w:divBdr>
        <w:top w:val="none" w:sz="0" w:space="0" w:color="auto"/>
        <w:left w:val="none" w:sz="0" w:space="0" w:color="auto"/>
        <w:bottom w:val="none" w:sz="0" w:space="0" w:color="auto"/>
        <w:right w:val="none" w:sz="0" w:space="0" w:color="auto"/>
      </w:divBdr>
    </w:div>
    <w:div w:id="1248660962">
      <w:bodyDiv w:val="1"/>
      <w:marLeft w:val="0"/>
      <w:marRight w:val="0"/>
      <w:marTop w:val="0"/>
      <w:marBottom w:val="0"/>
      <w:divBdr>
        <w:top w:val="none" w:sz="0" w:space="0" w:color="auto"/>
        <w:left w:val="none" w:sz="0" w:space="0" w:color="auto"/>
        <w:bottom w:val="none" w:sz="0" w:space="0" w:color="auto"/>
        <w:right w:val="none" w:sz="0" w:space="0" w:color="auto"/>
      </w:divBdr>
    </w:div>
    <w:div w:id="1633557587">
      <w:bodyDiv w:val="1"/>
      <w:marLeft w:val="0"/>
      <w:marRight w:val="0"/>
      <w:marTop w:val="0"/>
      <w:marBottom w:val="0"/>
      <w:divBdr>
        <w:top w:val="none" w:sz="0" w:space="0" w:color="auto"/>
        <w:left w:val="none" w:sz="0" w:space="0" w:color="auto"/>
        <w:bottom w:val="none" w:sz="0" w:space="0" w:color="auto"/>
        <w:right w:val="none" w:sz="0" w:space="0" w:color="auto"/>
      </w:divBdr>
    </w:div>
    <w:div w:id="1817144217">
      <w:bodyDiv w:val="1"/>
      <w:marLeft w:val="0"/>
      <w:marRight w:val="0"/>
      <w:marTop w:val="0"/>
      <w:marBottom w:val="0"/>
      <w:divBdr>
        <w:top w:val="none" w:sz="0" w:space="0" w:color="auto"/>
        <w:left w:val="none" w:sz="0" w:space="0" w:color="auto"/>
        <w:bottom w:val="none" w:sz="0" w:space="0" w:color="auto"/>
        <w:right w:val="none" w:sz="0" w:space="0" w:color="auto"/>
      </w:divBdr>
    </w:div>
    <w:div w:id="2057926159">
      <w:bodyDiv w:val="1"/>
      <w:marLeft w:val="0"/>
      <w:marRight w:val="0"/>
      <w:marTop w:val="0"/>
      <w:marBottom w:val="0"/>
      <w:divBdr>
        <w:top w:val="none" w:sz="0" w:space="0" w:color="auto"/>
        <w:left w:val="none" w:sz="0" w:space="0" w:color="auto"/>
        <w:bottom w:val="none" w:sz="0" w:space="0" w:color="auto"/>
        <w:right w:val="none" w:sz="0" w:space="0" w:color="auto"/>
      </w:divBdr>
    </w:div>
    <w:div w:id="20634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3DA8-2212-4CFC-B61C-8A35BA77BB0A}">
  <ds:schemaRefs>
    <ds:schemaRef ds:uri="http://schemas.microsoft.com/sharepoint/v3/contenttype/forms"/>
  </ds:schemaRefs>
</ds:datastoreItem>
</file>

<file path=customXml/itemProps2.xml><?xml version="1.0" encoding="utf-8"?>
<ds:datastoreItem xmlns:ds="http://schemas.openxmlformats.org/officeDocument/2006/customXml" ds:itemID="{C827FAE8-7D54-4A78-9F06-D70946733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7FFB4-BF3E-4519-B1EA-8C31F668164C}">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4b000966-a7c4-4b01-8bf4-80f725bfe09b"/>
  </ds:schemaRefs>
</ds:datastoreItem>
</file>

<file path=customXml/itemProps4.xml><?xml version="1.0" encoding="utf-8"?>
<ds:datastoreItem xmlns:ds="http://schemas.openxmlformats.org/officeDocument/2006/customXml" ds:itemID="{B27BDDC8-1D5B-41A5-8031-86282B57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16</Pages>
  <Words>5113</Words>
  <Characters>30934</Characters>
  <Application>Microsoft Office Word</Application>
  <DocSecurity>0</DocSecurity>
  <Lines>533</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2018-05-01T09:55:00Z</cp:lastPrinted>
  <dcterms:created xsi:type="dcterms:W3CDTF">2018-05-02T05:27:00Z</dcterms:created>
  <dcterms:modified xsi:type="dcterms:W3CDTF">2018-05-04T14:24:00Z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Yellow (DQC version 03)</vt:lpwstr>
  </property>
</Properties>
</file>