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5FF7167-EBBB-49F8-8B20-0240F1308F9B" style="width:450.7pt;height:379.6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keepNext/>
        <w:snapToGrid w:val="0"/>
        <w:spacing w:before="360"/>
        <w:rPr>
          <w:rFonts w:eastAsia="Times New Roman"/>
          <w:b/>
          <w:smallCaps/>
          <w:noProof/>
          <w:color w:val="000000"/>
        </w:rPr>
      </w:pPr>
      <w:r>
        <w:rPr>
          <w:rFonts w:eastAsia="Times New Roman"/>
          <w:b/>
          <w:smallCaps/>
          <w:noProof/>
          <w:color w:val="000000"/>
        </w:rPr>
        <w:t>1.</w:t>
      </w:r>
      <w:r>
        <w:rPr>
          <w:rFonts w:eastAsia="Times New Roman"/>
          <w:b/>
          <w:smallCaps/>
          <w:noProof/>
          <w:color w:val="000000"/>
        </w:rPr>
        <w:tab/>
        <w:t>CONTEXT OF THE PROPOSAL</w:t>
      </w:r>
    </w:p>
    <w:p>
      <w:pPr>
        <w:keepNext/>
        <w:snapToGrid w:val="0"/>
        <w:rPr>
          <w:rFonts w:eastAsia="Arial Unicode MS"/>
          <w:b/>
          <w:noProof/>
          <w:color w:val="000000"/>
        </w:rPr>
      </w:pPr>
      <w:r>
        <w:rPr>
          <w:rFonts w:eastAsia="Arial Unicode MS"/>
          <w:b/>
          <w:noProof/>
          <w:color w:val="000000"/>
        </w:rPr>
        <w:t>•</w:t>
      </w:r>
      <w:r>
        <w:rPr>
          <w:rFonts w:eastAsia="Arial Unicode MS"/>
          <w:b/>
          <w:noProof/>
          <w:color w:val="000000"/>
        </w:rPr>
        <w:tab/>
        <w:t>Reasons for and objectives of the proposal</w:t>
      </w:r>
    </w:p>
    <w:p>
      <w:pPr>
        <w:snapToGrid w:val="0"/>
        <w:rPr>
          <w:rFonts w:eastAsia="Times New Roman"/>
          <w:noProof/>
          <w:color w:val="000000"/>
        </w:rPr>
      </w:pPr>
      <w:r>
        <w:rPr>
          <w:rFonts w:eastAsia="Times New Roman"/>
          <w:noProof/>
          <w:color w:val="000000"/>
        </w:rPr>
        <w:t>Council Directive 96/53/EC of 25 July 1996 laying down for certain road vehicles circulating within the Community the maximum authorized dimensions in national and international traffic and the maximum authorized weights in international traffic</w:t>
      </w:r>
      <w:r>
        <w:rPr>
          <w:rStyle w:val="FootnoteReference"/>
          <w:rFonts w:eastAsia="Times New Roman"/>
          <w:noProof/>
          <w:color w:val="000000"/>
        </w:rPr>
        <w:footnoteReference w:id="1"/>
      </w:r>
      <w:r>
        <w:rPr>
          <w:rFonts w:eastAsia="Times New Roman"/>
          <w:noProof/>
          <w:color w:val="000000"/>
        </w:rPr>
        <w:t xml:space="preserve"> was last revised by Directive (EU) 2015/719 of the European Parliament and of the Council of 29 April 2015 laying down for certain road vehicles circulating within the Community the maximum authorised dimensions in national and international traffic and the maximum authorised weights in international traffic</w:t>
      </w:r>
      <w:r>
        <w:rPr>
          <w:rStyle w:val="FootnoteReference"/>
          <w:rFonts w:eastAsia="Times New Roman"/>
          <w:noProof/>
          <w:color w:val="000000"/>
        </w:rPr>
        <w:footnoteReference w:id="2"/>
      </w:r>
      <w:r>
        <w:rPr>
          <w:rFonts w:eastAsia="Times New Roman"/>
          <w:noProof/>
          <w:color w:val="000000"/>
        </w:rPr>
        <w:t xml:space="preserve">. </w:t>
      </w:r>
    </w:p>
    <w:p>
      <w:pPr>
        <w:snapToGrid w:val="0"/>
        <w:rPr>
          <w:rFonts w:eastAsia="Times New Roman"/>
          <w:noProof/>
          <w:color w:val="000000"/>
        </w:rPr>
      </w:pPr>
      <w:r>
        <w:rPr>
          <w:rFonts w:eastAsia="Times New Roman"/>
          <w:noProof/>
          <w:color w:val="000000"/>
        </w:rPr>
        <w:t xml:space="preserve">One of the aims of Directive (EU) 2015/719 was to improve the aerodynamics of motor vehicles falling within the scope of the Directive by allowing these to derogate from maximum lengths restrictions if certain conditions were respected. It was also the aim </w:t>
      </w:r>
      <w:r>
        <w:rPr>
          <w:noProof/>
        </w:rPr>
        <w:t>to adapt the legislation to technological developments and changing market needs and to facilitate intermodal transport.</w:t>
      </w:r>
    </w:p>
    <w:p>
      <w:pPr>
        <w:snapToGrid w:val="0"/>
        <w:rPr>
          <w:rFonts w:eastAsia="Times New Roman"/>
          <w:noProof/>
          <w:color w:val="000000"/>
        </w:rPr>
      </w:pPr>
      <w:r>
        <w:rPr>
          <w:rFonts w:eastAsia="Times New Roman"/>
          <w:noProof/>
          <w:color w:val="000000"/>
        </w:rPr>
        <w:t>The derogation from maximum length restrictions was granted for the rear of vehicles, for the mounting of aerodynamic devices</w:t>
      </w:r>
      <w:r>
        <w:rPr>
          <w:rStyle w:val="FootnoteReference"/>
          <w:noProof/>
        </w:rPr>
        <w:footnoteReference w:id="3"/>
      </w:r>
      <w:r>
        <w:rPr>
          <w:rFonts w:eastAsia="Times New Roman"/>
          <w:noProof/>
          <w:color w:val="000000"/>
        </w:rPr>
        <w:t>, and for the front of vehicles</w:t>
      </w:r>
      <w:r>
        <w:rPr>
          <w:rStyle w:val="FootnoteReference"/>
          <w:noProof/>
        </w:rPr>
        <w:footnoteReference w:id="4"/>
      </w:r>
      <w:r>
        <w:rPr>
          <w:rFonts w:eastAsia="Times New Roman"/>
          <w:noProof/>
          <w:color w:val="000000"/>
        </w:rPr>
        <w:t xml:space="preserve"> to allow for a more rounded and aerodynamic shape of cabs of trucks.</w:t>
      </w:r>
    </w:p>
    <w:p>
      <w:pPr>
        <w:snapToGrid w:val="0"/>
        <w:rPr>
          <w:rFonts w:eastAsia="Times New Roman"/>
          <w:noProof/>
          <w:color w:val="000000"/>
        </w:rPr>
      </w:pPr>
      <w:r>
        <w:rPr>
          <w:rFonts w:eastAsia="Times New Roman"/>
          <w:noProof/>
          <w:color w:val="000000"/>
        </w:rPr>
        <w:t>The present decision concerns the front of the vehicles, that is to say the cabs as contemplated in Article 9a of Directive 96/53/EC as amended by Directive (EU) 2015/719. This provision establishes a number of conditions, among which compliance of the vehicle with the turning radius requirements set out in point 1.5 of Annex I.</w:t>
      </w:r>
      <w:r>
        <w:rPr>
          <w:rFonts w:eastAsia="Times New Roman"/>
          <w:noProof/>
          <w:color w:val="000000"/>
        </w:rPr>
        <w:tab/>
      </w:r>
    </w:p>
    <w:p>
      <w:pPr>
        <w:snapToGrid w:val="0"/>
        <w:rPr>
          <w:rFonts w:eastAsia="Times New Roman"/>
          <w:noProof/>
          <w:color w:val="000000"/>
        </w:rPr>
      </w:pPr>
      <w:r>
        <w:rPr>
          <w:rFonts w:eastAsia="Times New Roman"/>
          <w:noProof/>
          <w:color w:val="000000"/>
        </w:rPr>
        <w:t>In its Impact Assessment</w:t>
      </w:r>
      <w:r>
        <w:rPr>
          <w:rStyle w:val="FootnoteReference"/>
          <w:noProof/>
        </w:rPr>
        <w:footnoteReference w:id="5"/>
      </w:r>
      <w:r>
        <w:rPr>
          <w:rFonts w:eastAsia="Times New Roman"/>
          <w:noProof/>
          <w:color w:val="000000"/>
        </w:rPr>
        <w:t xml:space="preserve"> accompanying the proposal for an amendment of Directive 96/53/EC</w:t>
      </w:r>
      <w:r>
        <w:rPr>
          <w:rStyle w:val="FootnoteReference"/>
          <w:noProof/>
        </w:rPr>
        <w:footnoteReference w:id="6"/>
      </w:r>
      <w:r>
        <w:rPr>
          <w:rFonts w:eastAsia="Times New Roman"/>
          <w:noProof/>
          <w:color w:val="000000"/>
        </w:rPr>
        <w:t xml:space="preserve">, the Commission identified significant benefits of granting the length derogations now contemplated in amending Directive (EU) 2015/719. Besides important aerodynamic improvements from both the aerodynamic rear devices and elongated cabs, such cabs would also provide benefits in terms of better visibility for drivers, improved safety for other road users as well as safety and comfort for drivers. </w:t>
      </w:r>
    </w:p>
    <w:p>
      <w:pPr>
        <w:snapToGrid w:val="0"/>
        <w:rPr>
          <w:rFonts w:eastAsia="Times New Roman"/>
          <w:noProof/>
          <w:color w:val="000000"/>
        </w:rPr>
      </w:pPr>
      <w:r>
        <w:rPr>
          <w:rFonts w:eastAsia="Times New Roman"/>
          <w:noProof/>
          <w:color w:val="000000"/>
        </w:rPr>
        <w:t>Whereas the Impact Assessment of the Commission did not suggest the necessity of a moratorium of the entry into force of elongated cabs, the final compromise between the legislators, as adopted in Article 9a(3) of Directive (EU) 2015/719, did include a moratorium for a period of 3 years.</w:t>
      </w:r>
    </w:p>
    <w:p>
      <w:pPr>
        <w:snapToGrid w:val="0"/>
        <w:rPr>
          <w:rFonts w:eastAsia="Times New Roman"/>
          <w:noProof/>
          <w:color w:val="000000"/>
        </w:rPr>
      </w:pPr>
      <w:r>
        <w:rPr>
          <w:rFonts w:eastAsia="Times New Roman"/>
          <w:noProof/>
          <w:color w:val="000000"/>
        </w:rPr>
        <w:t>Given the current situation, and considering that CO2 emissions from road transport represent a quarter of all CO2 emissions in the EU and that emissions from road transport are projected to grow by 6% in the period 2015 -2030, the Commission considers that the benefits of elongated cabs should be harvested as quickly as possible. The importance of this matter is confirmed by the proposal on CO2 standards for heavy goods vehicles, as proposed by the Commission as part of Mobility Package III, which specifically emphasises the importance of aerodynamic cabs</w:t>
      </w:r>
      <w:r>
        <w:rPr>
          <w:rStyle w:val="FootnoteReference"/>
          <w:rFonts w:eastAsia="Times New Roman"/>
          <w:noProof/>
          <w:color w:val="000000"/>
        </w:rPr>
        <w:footnoteReference w:id="7"/>
      </w:r>
      <w:r>
        <w:rPr>
          <w:rFonts w:eastAsia="Times New Roman"/>
          <w:noProof/>
          <w:color w:val="000000"/>
        </w:rPr>
        <w:t xml:space="preserve">. In fact, compliance with the future CO2 emission standards for heavy </w:t>
      </w:r>
      <w:r>
        <w:rPr>
          <w:rFonts w:eastAsia="Times New Roman"/>
          <w:noProof/>
          <w:color w:val="000000"/>
        </w:rPr>
        <w:lastRenderedPageBreak/>
        <w:t xml:space="preserve">goods vehicles will require the application of various technologies to improve the energy efficiency; among these the introduction of aerodynamic cabs is the most effective measure to reduce air drag.. </w:t>
      </w:r>
    </w:p>
    <w:p>
      <w:pPr>
        <w:snapToGrid w:val="0"/>
        <w:rPr>
          <w:rFonts w:eastAsia="Times New Roman"/>
          <w:noProof/>
          <w:color w:val="000000"/>
        </w:rPr>
      </w:pPr>
      <w:r>
        <w:rPr>
          <w:rFonts w:eastAsia="Times New Roman"/>
          <w:noProof/>
          <w:color w:val="000000"/>
        </w:rPr>
        <w:t xml:space="preserve">However, the moratorium included in the current legislation deters manufacturers from improving aerodynamics of cabs as a way to achieve compliance with the upcoming CO2 standards for heavy goods vehicles. Moreover, the moratorium also goes against the innovation principle and the principles of better regulation as it hinders the development of new technologies and concepts. </w:t>
      </w:r>
    </w:p>
    <w:p>
      <w:pPr>
        <w:snapToGrid w:val="0"/>
        <w:rPr>
          <w:rFonts w:eastAsia="Times New Roman"/>
          <w:noProof/>
          <w:color w:val="000000"/>
        </w:rPr>
      </w:pPr>
      <w:r>
        <w:rPr>
          <w:rFonts w:eastAsia="Times New Roman"/>
          <w:noProof/>
          <w:color w:val="000000"/>
        </w:rPr>
        <w:t>Therefore, the Commission is proposing to shorten the time limit for the transposition of Article 9a(1) of Directive 95/53/EC. The proposed new text of Article 9a(3) would still leave sufficient time for Member States to take the necessary steps.</w:t>
      </w:r>
    </w:p>
    <w:p>
      <w:pPr>
        <w:snapToGrid w:val="0"/>
        <w:rPr>
          <w:rFonts w:eastAsia="Times New Roman"/>
          <w:noProof/>
          <w:color w:val="000000"/>
        </w:rPr>
      </w:pPr>
      <w:r>
        <w:rPr>
          <w:rFonts w:eastAsia="Times New Roman"/>
          <w:noProof/>
          <w:color w:val="000000"/>
        </w:rPr>
        <w:t>In this context, account has been taken of the time necessary for the adoption of the present Decision.</w:t>
      </w:r>
    </w:p>
    <w:p>
      <w:pPr>
        <w:snapToGrid w:val="0"/>
        <w:rPr>
          <w:rFonts w:eastAsia="Times New Roman"/>
          <w:noProof/>
          <w:color w:val="000000"/>
        </w:rPr>
      </w:pPr>
      <w:r>
        <w:rPr>
          <w:rFonts w:eastAsia="Times New Roman"/>
          <w:noProof/>
          <w:color w:val="000000"/>
        </w:rPr>
        <w:t>It should also be mentioned, first, that the change to the type approval framework contemplated in Article 9a(2) can be brought about by an amendment to Commission Regulation (EU) No 1230/2012</w:t>
      </w:r>
      <w:r>
        <w:rPr>
          <w:rStyle w:val="FootnoteReference"/>
          <w:rFonts w:eastAsia="Times New Roman"/>
          <w:noProof/>
          <w:color w:val="000000"/>
        </w:rPr>
        <w:footnoteReference w:id="8"/>
      </w:r>
      <w:r>
        <w:rPr>
          <w:rFonts w:eastAsia="Times New Roman"/>
          <w:noProof/>
          <w:color w:val="000000"/>
        </w:rPr>
        <w:t>, as emerges from a closer examination of the issue. The amendment to Regulation (EU) No 1230/2012, which is estimated to be completed by end- 2018, will be carried out by an implementing measure under the General Safety Regulation</w:t>
      </w:r>
      <w:r>
        <w:rPr>
          <w:rStyle w:val="FootnoteReference"/>
          <w:rFonts w:eastAsia="Times New Roman"/>
          <w:noProof/>
          <w:color w:val="000000"/>
        </w:rPr>
        <w:footnoteReference w:id="9"/>
      </w:r>
      <w:r>
        <w:rPr>
          <w:rFonts w:eastAsia="Times New Roman"/>
          <w:noProof/>
          <w:color w:val="000000"/>
        </w:rPr>
        <w:t>. The new time as set out in this proposal takes account of this fact and should ensure that the national measures transposing Article 9a(1) of Directive 96/53/EC become applicable at about the same time as the amendment to Commission Regulation (EU) No 1230/2012.</w:t>
      </w:r>
    </w:p>
    <w:p>
      <w:pPr>
        <w:snapToGrid w:val="0"/>
        <w:rPr>
          <w:rFonts w:eastAsia="Times New Roman"/>
          <w:noProof/>
          <w:color w:val="000000"/>
        </w:rPr>
      </w:pPr>
      <w:r>
        <w:rPr>
          <w:rFonts w:eastAsia="Times New Roman"/>
          <w:noProof/>
          <w:color w:val="000000"/>
        </w:rPr>
        <w:t>Second, it is not necessary to maintain the precise sequence of changes as currently contemplated in Article 9a(3) of Directive 96/53/EC. Circulation of the vehicles concerned on the roads requires, cumulatively, changes to the type approval framework and the change as set out in article 9a(1) of Directive 96/53/EC. Transposition of the latter change does not, in and of itself, require a prior amendment to the type approval framework. It is sufficient for the national rules to provide for type approval as a condition, as set out in Article 9a(1) of Directive 96/53/EC.</w:t>
      </w:r>
    </w:p>
    <w:p>
      <w:pPr>
        <w:snapToGrid w:val="0"/>
        <w:rPr>
          <w:rFonts w:eastAsia="Times New Roman"/>
          <w:noProof/>
          <w:color w:val="000000"/>
        </w:rPr>
      </w:pPr>
      <w:r>
        <w:rPr>
          <w:rFonts w:eastAsia="Times New Roman"/>
          <w:noProof/>
          <w:color w:val="000000"/>
        </w:rPr>
        <w:t>The change proposed is fully in line with the Impact Assessment</w:t>
      </w:r>
      <w:r>
        <w:rPr>
          <w:rStyle w:val="FootnoteReference"/>
          <w:noProof/>
        </w:rPr>
        <w:footnoteReference w:id="10"/>
      </w:r>
      <w:r>
        <w:rPr>
          <w:rFonts w:eastAsia="Times New Roman"/>
          <w:noProof/>
          <w:color w:val="000000"/>
        </w:rPr>
        <w:t xml:space="preserve"> already carried out by the Commission, which – as mentioned - did not contemplate a moratorium as adopted by the co-legislators. For the same reason, there would be no need to carry out an Impact Assessment for the present proposal.</w:t>
      </w:r>
    </w:p>
    <w:p>
      <w:pPr>
        <w:keepNext/>
        <w:snapToGrid w:val="0"/>
        <w:rPr>
          <w:rFonts w:eastAsia="Arial Unicode MS"/>
          <w:b/>
          <w:noProof/>
          <w:color w:val="000000"/>
        </w:rPr>
      </w:pPr>
      <w:r>
        <w:rPr>
          <w:rFonts w:eastAsia="Arial Unicode MS"/>
          <w:b/>
          <w:noProof/>
          <w:color w:val="000000"/>
        </w:rPr>
        <w:t>•</w:t>
      </w:r>
      <w:r>
        <w:rPr>
          <w:rFonts w:eastAsia="Arial Unicode MS"/>
          <w:b/>
          <w:noProof/>
          <w:color w:val="000000"/>
        </w:rPr>
        <w:tab/>
        <w:t>Consistency with existing provisions in the policy area</w:t>
      </w:r>
    </w:p>
    <w:p>
      <w:pPr>
        <w:snapToGrid w:val="0"/>
        <w:rPr>
          <w:rFonts w:eastAsia="Times New Roman"/>
          <w:noProof/>
          <w:color w:val="000000"/>
        </w:rPr>
      </w:pPr>
      <w:r>
        <w:rPr>
          <w:rFonts w:eastAsia="Times New Roman"/>
          <w:noProof/>
          <w:color w:val="000000"/>
        </w:rPr>
        <w:t>This proposal is in line with, and supports, the existing policies regarding CO2 standards for heavy goods vehicles, as proposed today. It is also in line with existing policies intended to reduce the accidents and fatalities in road transport.</w:t>
      </w:r>
    </w:p>
    <w:p>
      <w:pPr>
        <w:snapToGrid w:val="0"/>
        <w:rPr>
          <w:rFonts w:eastAsia="Arial Unicode MS"/>
          <w:noProof/>
          <w:color w:val="000000"/>
        </w:rPr>
      </w:pPr>
      <w:r>
        <w:rPr>
          <w:rFonts w:eastAsia="Arial Unicode MS"/>
          <w:noProof/>
          <w:color w:val="000000"/>
        </w:rPr>
        <w:t>This proposal only advances the date from which on more aerodynamic and/or safer cabins may be used as already provided for since Directive 2015/719, it does therefore not impact on intermodal transport and the general objective to promote alternatives to road transport.</w:t>
      </w:r>
    </w:p>
    <w:p>
      <w:pPr>
        <w:keepNext/>
        <w:snapToGrid w:val="0"/>
        <w:rPr>
          <w:rFonts w:eastAsia="Arial Unicode MS"/>
          <w:b/>
          <w:noProof/>
          <w:color w:val="000000"/>
        </w:rPr>
      </w:pPr>
      <w:r>
        <w:rPr>
          <w:rFonts w:eastAsia="Arial Unicode MS"/>
          <w:b/>
          <w:noProof/>
          <w:color w:val="000000"/>
        </w:rPr>
        <w:lastRenderedPageBreak/>
        <w:t>•</w:t>
      </w:r>
      <w:r>
        <w:rPr>
          <w:rFonts w:eastAsia="Arial Unicode MS"/>
          <w:b/>
          <w:noProof/>
          <w:color w:val="000000"/>
        </w:rPr>
        <w:tab/>
        <w:t>Consistency with other Union policies</w:t>
      </w:r>
    </w:p>
    <w:p>
      <w:pPr>
        <w:keepNext/>
        <w:tabs>
          <w:tab w:val="left" w:pos="0"/>
        </w:tabs>
        <w:snapToGrid w:val="0"/>
        <w:rPr>
          <w:rFonts w:eastAsia="Arial Unicode MS"/>
          <w:b/>
          <w:noProof/>
          <w:color w:val="000000"/>
        </w:rPr>
      </w:pPr>
      <w:r>
        <w:rPr>
          <w:rFonts w:eastAsia="Times New Roman"/>
          <w:noProof/>
          <w:color w:val="000000"/>
        </w:rPr>
        <w:t>The proposal contributes directly to the first political priority of the Juncker Commission: Jobs, Growth and Investment</w:t>
      </w:r>
      <w:r>
        <w:rPr>
          <w:rFonts w:eastAsia="Times New Roman"/>
          <w:noProof/>
          <w:color w:val="000000"/>
        </w:rPr>
        <w:tab/>
        <w:t>by allowing truck manufacturers and equipment suppliers to innovate and produce new models of heavy goods vehicles. This proposal is also intended to contribute to the Energy Union and Climate priority, through a lowering of emissions from heavy goods vehicles.</w:t>
      </w:r>
    </w:p>
    <w:p>
      <w:pPr>
        <w:keepNext/>
        <w:snapToGrid w:val="0"/>
        <w:spacing w:before="360"/>
        <w:rPr>
          <w:rFonts w:eastAsia="Times New Roman"/>
          <w:b/>
          <w:smallCaps/>
          <w:noProof/>
          <w:color w:val="000000"/>
        </w:rPr>
      </w:pPr>
      <w:r>
        <w:rPr>
          <w:rFonts w:eastAsia="Times New Roman"/>
          <w:b/>
          <w:smallCaps/>
          <w:noProof/>
          <w:color w:val="000000"/>
        </w:rPr>
        <w:t>2.</w:t>
      </w:r>
      <w:r>
        <w:rPr>
          <w:rFonts w:eastAsia="Times New Roman"/>
          <w:b/>
          <w:smallCaps/>
          <w:noProof/>
          <w:color w:val="000000"/>
        </w:rPr>
        <w:tab/>
        <w:t>LEGAL BASIS, SUBSIDIARITY AND PROPORTIONALITY</w:t>
      </w:r>
    </w:p>
    <w:p>
      <w:pPr>
        <w:keepNext/>
        <w:snapToGrid w:val="0"/>
        <w:rPr>
          <w:rFonts w:eastAsia="Arial Unicode MS"/>
          <w:b/>
          <w:noProof/>
          <w:color w:val="000000"/>
        </w:rPr>
      </w:pPr>
      <w:r>
        <w:rPr>
          <w:rFonts w:eastAsia="Arial Unicode MS"/>
          <w:b/>
          <w:noProof/>
          <w:color w:val="000000"/>
        </w:rPr>
        <w:t>•</w:t>
      </w:r>
      <w:r>
        <w:rPr>
          <w:rFonts w:eastAsia="Arial Unicode MS"/>
          <w:b/>
          <w:noProof/>
          <w:color w:val="000000"/>
        </w:rPr>
        <w:tab/>
        <w:t>Legal basis</w:t>
      </w:r>
    </w:p>
    <w:p>
      <w:pPr>
        <w:keepNext/>
        <w:tabs>
          <w:tab w:val="left" w:pos="850"/>
        </w:tabs>
        <w:snapToGrid w:val="0"/>
        <w:rPr>
          <w:rFonts w:eastAsia="Arial Unicode MS"/>
          <w:b/>
          <w:noProof/>
          <w:color w:val="000000"/>
        </w:rPr>
      </w:pPr>
      <w:r>
        <w:rPr>
          <w:rFonts w:eastAsia="Times New Roman"/>
          <w:noProof/>
          <w:color w:val="000000"/>
        </w:rPr>
        <w:t>The legal basis for the proposed amendment is Article 91(1) of the Treaty on the Functioning of the European Union ('TFEU').</w:t>
      </w:r>
      <w:r>
        <w:rPr>
          <w:rFonts w:eastAsia="Times New Roman"/>
          <w:noProof/>
          <w:color w:val="000000"/>
          <w:sz w:val="20"/>
        </w:rPr>
        <w:t xml:space="preserve"> </w:t>
      </w:r>
    </w:p>
    <w:p>
      <w:pPr>
        <w:keepNext/>
        <w:snapToGrid w:val="0"/>
        <w:rPr>
          <w:rFonts w:eastAsia="Arial Unicode MS"/>
          <w:b/>
          <w:noProof/>
          <w:color w:val="000000"/>
        </w:rPr>
      </w:pPr>
      <w:r>
        <w:rPr>
          <w:rFonts w:eastAsia="Arial Unicode MS"/>
          <w:b/>
          <w:noProof/>
          <w:color w:val="000000"/>
        </w:rPr>
        <w:t>•</w:t>
      </w:r>
      <w:r>
        <w:rPr>
          <w:rFonts w:eastAsia="Arial Unicode MS"/>
          <w:b/>
          <w:noProof/>
          <w:color w:val="000000"/>
        </w:rPr>
        <w:tab/>
        <w:t xml:space="preserve">Subsidiarity </w:t>
      </w:r>
    </w:p>
    <w:p>
      <w:pPr>
        <w:snapToGrid w:val="0"/>
        <w:rPr>
          <w:rFonts w:eastAsia="Times New Roman"/>
          <w:noProof/>
          <w:color w:val="000000"/>
        </w:rPr>
      </w:pPr>
      <w:r>
        <w:rPr>
          <w:rFonts w:eastAsia="Times New Roman"/>
          <w:noProof/>
          <w:color w:val="000000"/>
        </w:rPr>
        <w:t xml:space="preserve">The proposal is limited to adjusting the time limit set out in Article 9a(3) of Directive 96/53/EC. Such adjustment can only be brought about by the Union itself. </w:t>
      </w:r>
    </w:p>
    <w:p>
      <w:pPr>
        <w:snapToGrid w:val="0"/>
        <w:rPr>
          <w:rFonts w:eastAsia="Times New Roman"/>
          <w:noProof/>
          <w:color w:val="000000"/>
        </w:rPr>
      </w:pPr>
      <w:r>
        <w:rPr>
          <w:rFonts w:eastAsia="Times New Roman"/>
          <w:noProof/>
          <w:color w:val="000000"/>
        </w:rPr>
        <w:t>Moreover, distortions in the internal market can only be avoided by a single date of application of the new rules. .</w:t>
      </w:r>
    </w:p>
    <w:p>
      <w:pPr>
        <w:keepNext/>
        <w:snapToGrid w:val="0"/>
        <w:rPr>
          <w:rFonts w:eastAsia="Arial Unicode MS"/>
          <w:b/>
          <w:noProof/>
          <w:color w:val="000000"/>
        </w:rPr>
      </w:pPr>
      <w:r>
        <w:rPr>
          <w:rFonts w:eastAsia="Arial Unicode MS"/>
          <w:b/>
          <w:noProof/>
          <w:color w:val="000000"/>
        </w:rPr>
        <w:t>•</w:t>
      </w:r>
      <w:r>
        <w:rPr>
          <w:rFonts w:eastAsia="Arial Unicode MS"/>
          <w:b/>
          <w:noProof/>
          <w:color w:val="000000"/>
        </w:rPr>
        <w:tab/>
        <w:t>Proportionality</w:t>
      </w:r>
    </w:p>
    <w:p>
      <w:pPr>
        <w:snapToGrid w:val="0"/>
        <w:rPr>
          <w:rFonts w:eastAsia="Times New Roman"/>
          <w:noProof/>
          <w:color w:val="000000"/>
        </w:rPr>
      </w:pPr>
      <w:r>
        <w:rPr>
          <w:rFonts w:eastAsia="Times New Roman"/>
          <w:noProof/>
          <w:color w:val="000000"/>
        </w:rPr>
        <w:t>The policy proposal is proportionate to the problems that have been identified and it does not go beyond what is needed to solve them. Specifically, the measure is confined to adjusting the time limit for the transposition of Article 9a(1) of Directive 96/53/EC and, in addition, still leaves enough time for Member States to take the necessary steps.</w:t>
      </w:r>
    </w:p>
    <w:p>
      <w:pPr>
        <w:keepNext/>
        <w:snapToGrid w:val="0"/>
        <w:rPr>
          <w:rFonts w:eastAsia="Arial Unicode MS"/>
          <w:b/>
          <w:noProof/>
          <w:color w:val="000000"/>
        </w:rPr>
      </w:pPr>
      <w:r>
        <w:rPr>
          <w:rFonts w:eastAsia="Arial Unicode MS"/>
          <w:b/>
          <w:noProof/>
          <w:color w:val="000000"/>
        </w:rPr>
        <w:t>•</w:t>
      </w:r>
      <w:r>
        <w:rPr>
          <w:rFonts w:eastAsia="Arial Unicode MS"/>
          <w:b/>
          <w:noProof/>
          <w:color w:val="000000"/>
        </w:rPr>
        <w:tab/>
        <w:t>Choice of the instrument</w:t>
      </w:r>
    </w:p>
    <w:p>
      <w:pPr>
        <w:keepNext/>
        <w:tabs>
          <w:tab w:val="left" w:pos="0"/>
        </w:tabs>
        <w:snapToGrid w:val="0"/>
        <w:rPr>
          <w:rFonts w:eastAsia="Times New Roman"/>
          <w:noProof/>
          <w:color w:val="000000"/>
        </w:rPr>
      </w:pPr>
      <w:r>
        <w:rPr>
          <w:rFonts w:eastAsia="Times New Roman"/>
          <w:noProof/>
          <w:color w:val="000000"/>
        </w:rPr>
        <w:t>Amendments to Directives should normally come in the same form, i.e. of amending Directives.</w:t>
      </w:r>
    </w:p>
    <w:p>
      <w:pPr>
        <w:keepNext/>
        <w:tabs>
          <w:tab w:val="left" w:pos="0"/>
        </w:tabs>
        <w:snapToGrid w:val="0"/>
        <w:rPr>
          <w:rFonts w:eastAsia="Times New Roman"/>
          <w:noProof/>
          <w:color w:val="000000"/>
        </w:rPr>
      </w:pPr>
      <w:r>
        <w:rPr>
          <w:rFonts w:eastAsia="Times New Roman"/>
          <w:noProof/>
          <w:color w:val="000000"/>
        </w:rPr>
        <w:t>This particular case, however, only involves the change of a time limit imposed on Member States. That change, as such, is not liable to be transposed by Member States. Consequently, it should take the form of a Decision.</w:t>
      </w:r>
    </w:p>
    <w:p>
      <w:pPr>
        <w:keepNext/>
        <w:snapToGrid w:val="0"/>
        <w:spacing w:before="360"/>
        <w:rPr>
          <w:rFonts w:eastAsia="Times New Roman"/>
          <w:b/>
          <w:smallCaps/>
          <w:noProof/>
          <w:color w:val="000000"/>
        </w:rPr>
      </w:pPr>
      <w:r>
        <w:rPr>
          <w:rFonts w:eastAsia="Times New Roman"/>
          <w:b/>
          <w:smallCaps/>
          <w:noProof/>
          <w:color w:val="000000"/>
        </w:rPr>
        <w:t>3.</w:t>
      </w:r>
      <w:r>
        <w:rPr>
          <w:rFonts w:eastAsia="Times New Roman"/>
          <w:b/>
          <w:smallCaps/>
          <w:noProof/>
          <w:color w:val="000000"/>
        </w:rPr>
        <w:tab/>
        <w:t>RESULTS OF EX-POST EVALUATIONS, STAKEHOLDER CONSULTATIONS AND IMPACT ASSESSMENTS</w:t>
      </w:r>
    </w:p>
    <w:p>
      <w:pPr>
        <w:keepNext/>
        <w:tabs>
          <w:tab w:val="left" w:pos="0"/>
        </w:tabs>
        <w:snapToGrid w:val="0"/>
        <w:rPr>
          <w:rFonts w:eastAsia="Times New Roman"/>
          <w:b/>
          <w:smallCaps/>
          <w:noProof/>
          <w:color w:val="000000"/>
        </w:rPr>
      </w:pPr>
      <w:r>
        <w:rPr>
          <w:rFonts w:eastAsia="Arial Unicode MS"/>
          <w:noProof/>
          <w:color w:val="000000"/>
        </w:rPr>
        <w:t>Considering that no additional Impact Assessment is required for this proposal, reference is made to the Impact Assessment already carried out by the Commission: SWD (2013) 108 final</w:t>
      </w:r>
    </w:p>
    <w:p>
      <w:pPr>
        <w:keepNext/>
        <w:snapToGrid w:val="0"/>
        <w:spacing w:before="360"/>
        <w:rPr>
          <w:rFonts w:eastAsia="Times New Roman"/>
          <w:b/>
          <w:smallCaps/>
          <w:noProof/>
          <w:color w:val="000000"/>
        </w:rPr>
      </w:pPr>
      <w:r>
        <w:rPr>
          <w:rFonts w:eastAsia="Times New Roman"/>
          <w:b/>
          <w:smallCaps/>
          <w:noProof/>
          <w:color w:val="000000"/>
        </w:rPr>
        <w:t>4.</w:t>
      </w:r>
      <w:r>
        <w:rPr>
          <w:rFonts w:eastAsia="Times New Roman"/>
          <w:b/>
          <w:smallCaps/>
          <w:noProof/>
          <w:color w:val="000000"/>
        </w:rPr>
        <w:tab/>
        <w:t>BUDGETARY IMPLICATIONS</w:t>
      </w:r>
    </w:p>
    <w:p>
      <w:pPr>
        <w:keepNext/>
        <w:snapToGrid w:val="0"/>
        <w:spacing w:before="360"/>
        <w:rPr>
          <w:rFonts w:eastAsia="Times New Roman"/>
          <w:b/>
          <w:smallCaps/>
          <w:noProof/>
          <w:color w:val="000000"/>
        </w:rPr>
      </w:pPr>
      <w:r>
        <w:rPr>
          <w:rFonts w:eastAsia="Times New Roman"/>
          <w:noProof/>
          <w:color w:val="000000"/>
        </w:rPr>
        <w:t>The proposed change has no implications on the Union budget.</w:t>
      </w:r>
    </w:p>
    <w:p>
      <w:pPr>
        <w:keepNext/>
        <w:snapToGrid w:val="0"/>
        <w:spacing w:before="360"/>
        <w:rPr>
          <w:rFonts w:eastAsia="Times New Roman"/>
          <w:b/>
          <w:smallCaps/>
          <w:noProof/>
          <w:color w:val="000000"/>
        </w:rPr>
      </w:pPr>
      <w:r>
        <w:rPr>
          <w:rFonts w:eastAsia="Times New Roman"/>
          <w:b/>
          <w:smallCaps/>
          <w:noProof/>
          <w:color w:val="000000"/>
        </w:rPr>
        <w:t>5.</w:t>
      </w:r>
      <w:r>
        <w:rPr>
          <w:rFonts w:eastAsia="Times New Roman"/>
          <w:b/>
          <w:smallCaps/>
          <w:noProof/>
          <w:color w:val="000000"/>
        </w:rPr>
        <w:tab/>
        <w:t>OTHER ELEMENTS</w:t>
      </w:r>
    </w:p>
    <w:p>
      <w:pPr>
        <w:keepNext/>
        <w:snapToGrid w:val="0"/>
        <w:rPr>
          <w:rFonts w:eastAsia="Arial Unicode MS"/>
          <w:b/>
          <w:noProof/>
          <w:color w:val="000000"/>
        </w:rPr>
      </w:pPr>
      <w:r>
        <w:rPr>
          <w:rFonts w:eastAsia="Arial Unicode MS"/>
          <w:b/>
          <w:noProof/>
          <w:color w:val="000000"/>
        </w:rPr>
        <w:t>•</w:t>
      </w:r>
      <w:r>
        <w:rPr>
          <w:rFonts w:eastAsia="Arial Unicode MS"/>
          <w:b/>
          <w:noProof/>
          <w:color w:val="000000"/>
        </w:rPr>
        <w:tab/>
        <w:t>Detailed explanation of the specific provisions of the proposal</w:t>
      </w:r>
    </w:p>
    <w:p>
      <w:pPr>
        <w:snapToGrid w:val="0"/>
        <w:rPr>
          <w:rFonts w:eastAsia="Times New Roman"/>
          <w:noProof/>
          <w:color w:val="000000"/>
        </w:rPr>
      </w:pPr>
      <w:r>
        <w:rPr>
          <w:rFonts w:eastAsia="Times New Roman"/>
          <w:noProof/>
          <w:color w:val="000000"/>
        </w:rPr>
        <w:t>The main elements of the proposal are the following:</w:t>
      </w:r>
    </w:p>
    <w:p>
      <w:pPr>
        <w:keepNext/>
        <w:snapToGrid w:val="0"/>
        <w:rPr>
          <w:rFonts w:eastAsia="Times New Roman"/>
          <w:b/>
          <w:noProof/>
          <w:color w:val="000000"/>
          <w:u w:val="single"/>
        </w:rPr>
      </w:pPr>
      <w:r>
        <w:rPr>
          <w:rFonts w:eastAsia="Arial Unicode MS"/>
          <w:b/>
          <w:noProof/>
          <w:color w:val="000000"/>
          <w:u w:val="single"/>
        </w:rPr>
        <w:lastRenderedPageBreak/>
        <w:t>Directive 96/53/EC</w:t>
      </w:r>
    </w:p>
    <w:p>
      <w:pPr>
        <w:keepNext/>
        <w:snapToGrid w:val="0"/>
        <w:rPr>
          <w:rFonts w:eastAsia="Times New Roman"/>
          <w:i/>
          <w:noProof/>
          <w:color w:val="000000"/>
        </w:rPr>
      </w:pPr>
      <w:r>
        <w:rPr>
          <w:rFonts w:eastAsia="Times New Roman"/>
          <w:i/>
          <w:noProof/>
          <w:color w:val="000000"/>
        </w:rPr>
        <w:t xml:space="preserve">Article 9a </w:t>
      </w:r>
    </w:p>
    <w:p>
      <w:pPr>
        <w:snapToGrid w:val="0"/>
        <w:rPr>
          <w:rFonts w:eastAsia="Times New Roman"/>
          <w:noProof/>
          <w:color w:val="000000"/>
        </w:rPr>
      </w:pPr>
      <w:r>
        <w:rPr>
          <w:rFonts w:eastAsia="Times New Roman"/>
          <w:noProof/>
          <w:color w:val="000000"/>
        </w:rPr>
        <w:t xml:space="preserve">The current Article 9a(3) includes a 3 years moratorium for the introduction of aerodynamic cabs after the date of transposition or application of the necessary amendments as regards technical type-approval requirements. </w:t>
      </w:r>
    </w:p>
    <w:p>
      <w:pPr>
        <w:snapToGrid w:val="0"/>
        <w:rPr>
          <w:rFonts w:eastAsia="Times New Roman"/>
          <w:noProof/>
          <w:color w:val="000000"/>
        </w:rPr>
      </w:pPr>
      <w:r>
        <w:rPr>
          <w:rFonts w:eastAsia="Times New Roman"/>
          <w:noProof/>
          <w:color w:val="000000"/>
        </w:rPr>
        <w:t>It is proposed to adjust Article 9a(3) so as to suppress the 3 years moratorium and to come to a shorter, but proportionate time limit.</w:t>
      </w:r>
    </w:p>
    <w:p>
      <w:pPr>
        <w:snapToGrid w:val="0"/>
        <w:rPr>
          <w:noProof/>
        </w:rPr>
        <w:sectPr>
          <w:footerReference w:type="default" r:id="rId15"/>
          <w:footerReference w:type="first" r:id="rId16"/>
          <w:pgSz w:w="11907" w:h="16839"/>
          <w:pgMar w:top="1134" w:right="1417" w:bottom="1134" w:left="1417" w:header="709" w:footer="709" w:gutter="0"/>
          <w:pgNumType w:start="1"/>
          <w:cols w:space="720"/>
          <w:docGrid w:linePitch="360"/>
        </w:sectPr>
      </w:pPr>
    </w:p>
    <w:p>
      <w:pPr>
        <w:pStyle w:val="Rfrenceinterinstitutionnelle"/>
        <w:rPr>
          <w:noProof/>
        </w:rPr>
      </w:pPr>
      <w:r>
        <w:rPr>
          <w:noProof/>
        </w:rPr>
        <w:lastRenderedPageBreak/>
        <w:t>2018/0130 (COD)</w:t>
      </w:r>
    </w:p>
    <w:p>
      <w:pPr>
        <w:pStyle w:val="Statut"/>
        <w:rPr>
          <w:noProof/>
        </w:rPr>
      </w:pPr>
      <w:r>
        <w:rPr>
          <w:noProof/>
        </w:rPr>
        <w:t>Proposal for a</w:t>
      </w:r>
    </w:p>
    <w:p>
      <w:pPr>
        <w:pStyle w:val="Typedudocument"/>
        <w:rPr>
          <w:noProof/>
        </w:rPr>
      </w:pPr>
      <w:r>
        <w:rPr>
          <w:noProof/>
        </w:rPr>
        <w:t>DECISION OF THE EUROPEAN PARLIAMENT AND OF THE COUNCIL</w:t>
      </w:r>
    </w:p>
    <w:p>
      <w:pPr>
        <w:pStyle w:val="Titreobjet"/>
        <w:rPr>
          <w:noProof/>
        </w:rPr>
      </w:pPr>
      <w:r>
        <w:rPr>
          <w:noProof/>
        </w:rPr>
        <w:t xml:space="preserve">amending Council Directive 96/53/EC as regards the time limit for the implementation of the special rules regarding maximum length in case of cabs delivering improved aerodynamic performance, energy efficiency and safety performance </w:t>
      </w:r>
      <w:r>
        <w:rPr>
          <w:noProof/>
        </w:rPr>
        <w:br/>
      </w:r>
    </w:p>
    <w:p>
      <w:pPr>
        <w:pStyle w:val="Institutionquiagit"/>
        <w:rPr>
          <w:noProof/>
        </w:rPr>
      </w:pPr>
      <w:r>
        <w:rPr>
          <w:noProof/>
        </w:rPr>
        <w:t>THE EUROPEAN PARLIAMENT AND THE COUNCIL OF THE EUROPEAN UNION,</w:t>
      </w:r>
    </w:p>
    <w:p>
      <w:pPr>
        <w:snapToGrid w:val="0"/>
        <w:rPr>
          <w:rFonts w:eastAsia="Times New Roman"/>
          <w:noProof/>
          <w:color w:val="000000"/>
        </w:rPr>
      </w:pPr>
      <w:r>
        <w:rPr>
          <w:rFonts w:eastAsia="Times New Roman"/>
          <w:noProof/>
          <w:color w:val="000000"/>
        </w:rPr>
        <w:t>Having regard to the Treaty on the Functioning of the European Union, and in particular Article 91(1) thereof,</w:t>
      </w:r>
    </w:p>
    <w:p>
      <w:pPr>
        <w:snapToGrid w:val="0"/>
        <w:rPr>
          <w:rFonts w:eastAsia="Times New Roman"/>
          <w:noProof/>
          <w:color w:val="000000"/>
        </w:rPr>
      </w:pPr>
      <w:r>
        <w:rPr>
          <w:rFonts w:eastAsia="Times New Roman"/>
          <w:noProof/>
          <w:color w:val="000000"/>
        </w:rPr>
        <w:t>Having regard to the proposal from the European Commission,</w:t>
      </w:r>
    </w:p>
    <w:p>
      <w:pPr>
        <w:snapToGrid w:val="0"/>
        <w:rPr>
          <w:rFonts w:eastAsia="Times New Roman"/>
          <w:noProof/>
          <w:color w:val="000000"/>
        </w:rPr>
      </w:pPr>
      <w:r>
        <w:rPr>
          <w:rFonts w:eastAsia="Times New Roman"/>
          <w:noProof/>
          <w:color w:val="000000"/>
        </w:rPr>
        <w:t>After transmission of the draft legislative act to the national parliaments,</w:t>
      </w:r>
    </w:p>
    <w:p>
      <w:pPr>
        <w:snapToGrid w:val="0"/>
        <w:rPr>
          <w:rFonts w:eastAsia="Times New Roman"/>
          <w:noProof/>
          <w:color w:val="000000"/>
        </w:rPr>
      </w:pPr>
      <w:r>
        <w:rPr>
          <w:rFonts w:eastAsia="Times New Roman"/>
          <w:noProof/>
          <w:color w:val="000000"/>
        </w:rPr>
        <w:t>Having regard to the opinion of the European Economic and Social Committee</w:t>
      </w:r>
      <w:r>
        <w:rPr>
          <w:rStyle w:val="FootnoteReference"/>
          <w:noProof/>
        </w:rPr>
        <w:footnoteReference w:id="11"/>
      </w:r>
      <w:r>
        <w:rPr>
          <w:rFonts w:eastAsia="Times New Roman"/>
          <w:noProof/>
          <w:color w:val="000000"/>
        </w:rPr>
        <w:t>,</w:t>
      </w:r>
    </w:p>
    <w:p>
      <w:pPr>
        <w:snapToGrid w:val="0"/>
        <w:rPr>
          <w:rFonts w:eastAsia="Times New Roman"/>
          <w:noProof/>
          <w:color w:val="000000"/>
        </w:rPr>
      </w:pPr>
      <w:r>
        <w:rPr>
          <w:rFonts w:eastAsia="Times New Roman"/>
          <w:noProof/>
          <w:color w:val="000000"/>
        </w:rPr>
        <w:t>Having regard to the opinion of the Committee of the Regions</w:t>
      </w:r>
      <w:r>
        <w:rPr>
          <w:rStyle w:val="FootnoteReference"/>
          <w:noProof/>
        </w:rPr>
        <w:footnoteReference w:id="12"/>
      </w:r>
      <w:r>
        <w:rPr>
          <w:rFonts w:eastAsia="Times New Roman"/>
          <w:noProof/>
          <w:color w:val="000000"/>
        </w:rPr>
        <w:t>,</w:t>
      </w:r>
    </w:p>
    <w:p>
      <w:pPr>
        <w:snapToGrid w:val="0"/>
        <w:rPr>
          <w:rFonts w:eastAsia="Times New Roman"/>
          <w:noProof/>
          <w:color w:val="000000"/>
        </w:rPr>
      </w:pPr>
      <w:r>
        <w:rPr>
          <w:rFonts w:eastAsia="Times New Roman"/>
          <w:noProof/>
          <w:color w:val="000000"/>
        </w:rPr>
        <w:t>Acting in accordance with the ordinary legislative procedure,</w:t>
      </w:r>
    </w:p>
    <w:p>
      <w:pPr>
        <w:snapToGrid w:val="0"/>
        <w:rPr>
          <w:rFonts w:eastAsia="Times New Roman"/>
          <w:noProof/>
          <w:color w:val="000000"/>
        </w:rPr>
      </w:pPr>
      <w:r>
        <w:rPr>
          <w:rFonts w:eastAsia="Times New Roman"/>
          <w:noProof/>
          <w:color w:val="000000"/>
        </w:rPr>
        <w:t>Whereas:</w:t>
      </w:r>
    </w:p>
    <w:p>
      <w:pPr>
        <w:pStyle w:val="ManualConsidrant"/>
        <w:rPr>
          <w:noProof/>
        </w:rPr>
      </w:pPr>
      <w:r>
        <w:rPr>
          <w:noProof/>
        </w:rPr>
        <w:t>(1)</w:t>
      </w:r>
      <w:r>
        <w:rPr>
          <w:noProof/>
        </w:rPr>
        <w:tab/>
        <w:t>Council Directive 96/53/EC of 25 July 1996 laying down for certain road vehicles circulating within the Community the maximum authorised dimensions in national and international traffic for certain road vehicles circulating within the Community and the maximum authorised weights in international traffic</w:t>
      </w:r>
      <w:r>
        <w:rPr>
          <w:rStyle w:val="FootnoteReference"/>
          <w:noProof/>
        </w:rPr>
        <w:footnoteReference w:id="13"/>
      </w:r>
      <w:r>
        <w:rPr>
          <w:noProof/>
        </w:rPr>
        <w:t xml:space="preserve"> was amended by Directive (EU) 2015/719 of the European Parliament and of the Council</w:t>
      </w:r>
      <w:r>
        <w:rPr>
          <w:rStyle w:val="FootnoteReference"/>
          <w:noProof/>
        </w:rPr>
        <w:footnoteReference w:id="14"/>
      </w:r>
      <w:r>
        <w:rPr>
          <w:noProof/>
        </w:rPr>
        <w:t xml:space="preserve"> with the aim of reducing energy consumption and greenhouse gas emissions, and to adapt the legislation to technological developments and changing market needs and to facilitate intermodal transport.</w:t>
      </w:r>
    </w:p>
    <w:p>
      <w:pPr>
        <w:pStyle w:val="ManualConsidrant"/>
        <w:rPr>
          <w:noProof/>
        </w:rPr>
      </w:pPr>
      <w:r>
        <w:rPr>
          <w:noProof/>
        </w:rPr>
        <w:t>(2)</w:t>
      </w:r>
      <w:r>
        <w:rPr>
          <w:noProof/>
        </w:rPr>
        <w:tab/>
        <w:t xml:space="preserve">The improved aerodynamics of the cabs of motor vehicles would allow significant gains on the energy performance of vehicles. However, this improvement was impossible under the maximum length restrictions set out by Directive 96/53/EC without reducing the vehicle load capacity. Therefore, a derogation from maximum length restrictions was introduced by Directive (EU) 2015/719. </w:t>
      </w:r>
    </w:p>
    <w:p>
      <w:pPr>
        <w:pStyle w:val="ManualConsidrant"/>
        <w:rPr>
          <w:noProof/>
        </w:rPr>
      </w:pPr>
      <w:r>
        <w:rPr>
          <w:noProof/>
        </w:rPr>
        <w:t>(3)</w:t>
      </w:r>
      <w:r>
        <w:rPr>
          <w:noProof/>
        </w:rPr>
        <w:tab/>
        <w:t>Directive (EU) 2015/719 also included a moratorium of three years for the introduction of aerodynamic cabs after the date of transposition or application of the necessary amendments as regards technical type-approval requirements.</w:t>
      </w:r>
    </w:p>
    <w:p>
      <w:pPr>
        <w:pStyle w:val="ManualConsidrant"/>
        <w:rPr>
          <w:noProof/>
        </w:rPr>
      </w:pPr>
      <w:r>
        <w:rPr>
          <w:noProof/>
        </w:rPr>
        <w:lastRenderedPageBreak/>
        <w:t>(4)</w:t>
      </w:r>
      <w:r>
        <w:rPr>
          <w:noProof/>
        </w:rPr>
        <w:tab/>
        <w:t>With a view for the benefits of aerodynamic cabs, in terms of energy performance of heavy goods vehicles, but also in terms of better visibility for drivers, safety to other road users as well as safety and comfort for drivers, to materialise as early as possible, it is necessary to ensure that such aerodynamic cabs can be introduced without unnecessary delay, as soon as the necessary type-approval requirements are in place.</w:t>
      </w:r>
    </w:p>
    <w:p>
      <w:pPr>
        <w:pStyle w:val="ManualConsidrant"/>
        <w:rPr>
          <w:noProof/>
        </w:rPr>
      </w:pPr>
      <w:r>
        <w:rPr>
          <w:noProof/>
        </w:rPr>
        <w:t>(5)</w:t>
      </w:r>
      <w:r>
        <w:rPr>
          <w:noProof/>
        </w:rPr>
        <w:tab/>
        <w:t>Council Directive 96/53/EC should therefore be amended accordingly,</w:t>
      </w:r>
    </w:p>
    <w:p>
      <w:pPr>
        <w:pStyle w:val="Formuledadoption"/>
        <w:rPr>
          <w:noProof/>
        </w:rPr>
      </w:pPr>
      <w:r>
        <w:rPr>
          <w:noProof/>
        </w:rPr>
        <w:t>HAVE ADOPTED THIS DECISION:</w:t>
      </w:r>
    </w:p>
    <w:p>
      <w:pPr>
        <w:pStyle w:val="Titrearticle"/>
        <w:rPr>
          <w:noProof/>
        </w:rPr>
      </w:pPr>
      <w:r>
        <w:rPr>
          <w:noProof/>
        </w:rPr>
        <w:t>Article 1</w:t>
      </w:r>
    </w:p>
    <w:p>
      <w:pPr>
        <w:tabs>
          <w:tab w:val="left" w:pos="850"/>
        </w:tabs>
        <w:snapToGrid w:val="0"/>
        <w:rPr>
          <w:rFonts w:eastAsia="Times New Roman"/>
          <w:i/>
          <w:noProof/>
          <w:color w:val="000000"/>
        </w:rPr>
      </w:pPr>
      <w:r>
        <w:rPr>
          <w:rFonts w:eastAsia="Times New Roman"/>
          <w:noProof/>
          <w:color w:val="000000"/>
        </w:rPr>
        <w:t>In Article 9a of Council Directive (EU) 96/53/EC, paragraph 3 is replaced by the following:</w:t>
      </w:r>
    </w:p>
    <w:p>
      <w:pPr>
        <w:spacing w:before="360"/>
        <w:jc w:val="center"/>
        <w:rPr>
          <w:rFonts w:eastAsia="Times New Roman"/>
          <w:noProof/>
          <w:color w:val="000000"/>
        </w:rPr>
      </w:pPr>
      <w:r>
        <w:rPr>
          <w:rFonts w:eastAsia="Times New Roman"/>
          <w:noProof/>
          <w:color w:val="000000"/>
        </w:rPr>
        <w:t xml:space="preserve">‘(3) Paragraph 1 shall apply from </w:t>
      </w:r>
      <w:r>
        <w:rPr>
          <w:noProof/>
          <w:szCs w:val="24"/>
        </w:rPr>
        <w:t>[XXX] [OP please insert date: 4 months from the entry into force of the present decision]</w:t>
      </w:r>
      <w:r>
        <w:rPr>
          <w:rFonts w:eastAsia="Times New Roman"/>
          <w:noProof/>
          <w:color w:val="000000"/>
        </w:rPr>
        <w:t>.’</w:t>
      </w:r>
    </w:p>
    <w:p>
      <w:pPr>
        <w:pStyle w:val="Titrearticle"/>
        <w:rPr>
          <w:noProof/>
        </w:rPr>
      </w:pPr>
      <w:r>
        <w:rPr>
          <w:noProof/>
        </w:rPr>
        <w:t>Article 2</w:t>
      </w:r>
    </w:p>
    <w:p>
      <w:pPr>
        <w:snapToGrid w:val="0"/>
        <w:rPr>
          <w:rFonts w:eastAsia="Times New Roman"/>
          <w:noProof/>
          <w:color w:val="000000"/>
        </w:rPr>
      </w:pPr>
      <w:r>
        <w:rPr>
          <w:rFonts w:eastAsia="Times New Roman"/>
          <w:noProof/>
          <w:color w:val="000000"/>
        </w:rPr>
        <w:t xml:space="preserve">This Decision shall enter into force on the twentieth day following that of its publication in the </w:t>
      </w:r>
      <w:r>
        <w:rPr>
          <w:rFonts w:eastAsia="Times New Roman"/>
          <w:i/>
          <w:noProof/>
          <w:color w:val="000000"/>
        </w:rPr>
        <w:t>Official Journal of the European Union</w:t>
      </w:r>
      <w:r>
        <w:rPr>
          <w:rFonts w:eastAsia="Times New Roman"/>
          <w:noProof/>
          <w:color w:val="000000"/>
        </w:rPr>
        <w:t>.</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FR"/>
        </w:rPr>
      </w:pPr>
      <w:r>
        <w:rPr>
          <w:rStyle w:val="FootnoteReference"/>
        </w:rPr>
        <w:footnoteRef/>
      </w:r>
      <w:r>
        <w:rPr>
          <w:lang w:val="fr-FR"/>
        </w:rPr>
        <w:tab/>
        <w:t>OJ L 235, 17.9.1996, p. 59.</w:t>
      </w:r>
    </w:p>
  </w:footnote>
  <w:footnote w:id="2">
    <w:p>
      <w:pPr>
        <w:pStyle w:val="FootnoteText"/>
        <w:rPr>
          <w:lang w:val="fr-FR"/>
        </w:rPr>
      </w:pPr>
      <w:r>
        <w:rPr>
          <w:rStyle w:val="FootnoteReference"/>
        </w:rPr>
        <w:footnoteRef/>
      </w:r>
      <w:r>
        <w:rPr>
          <w:lang w:val="fr-FR"/>
        </w:rPr>
        <w:tab/>
        <w:t>OJ L 115, 6.5.2015, p. 1.</w:t>
      </w:r>
    </w:p>
  </w:footnote>
  <w:footnote w:id="3">
    <w:p>
      <w:pPr>
        <w:pStyle w:val="FootnoteText"/>
        <w:rPr>
          <w:lang w:val="fr-FR"/>
        </w:rPr>
      </w:pPr>
      <w:r>
        <w:rPr>
          <w:rStyle w:val="FootnoteReference"/>
        </w:rPr>
        <w:footnoteRef/>
      </w:r>
      <w:r>
        <w:rPr>
          <w:shd w:val="clear" w:color="000000" w:fill="FCFCFC"/>
          <w:vertAlign w:val="superscript"/>
          <w:lang w:val="fr-FR"/>
        </w:rPr>
        <w:tab/>
      </w:r>
      <w:r>
        <w:rPr>
          <w:lang w:val="fr-FR"/>
        </w:rPr>
        <w:t>Article 8b</w:t>
      </w:r>
    </w:p>
  </w:footnote>
  <w:footnote w:id="4">
    <w:p>
      <w:pPr>
        <w:pStyle w:val="FootnoteText"/>
        <w:rPr>
          <w:lang w:val="pt-PT"/>
        </w:rPr>
      </w:pPr>
      <w:r>
        <w:rPr>
          <w:rStyle w:val="FootnoteReference"/>
        </w:rPr>
        <w:footnoteRef/>
      </w:r>
      <w:r>
        <w:rPr>
          <w:shd w:val="clear" w:color="000000" w:fill="FCFCFC"/>
          <w:vertAlign w:val="superscript"/>
          <w:lang w:val="pt-PT"/>
        </w:rPr>
        <w:tab/>
      </w:r>
      <w:r>
        <w:rPr>
          <w:lang w:val="pt-PT"/>
        </w:rPr>
        <w:t>Article 9a</w:t>
      </w:r>
    </w:p>
  </w:footnote>
  <w:footnote w:id="5">
    <w:p>
      <w:pPr>
        <w:pStyle w:val="FootnoteText"/>
        <w:rPr>
          <w:lang w:val="pt-PT"/>
        </w:rPr>
      </w:pPr>
      <w:r>
        <w:rPr>
          <w:rStyle w:val="FootnoteReference"/>
        </w:rPr>
        <w:footnoteRef/>
      </w:r>
      <w:r>
        <w:rPr>
          <w:shd w:val="clear" w:color="000000" w:fill="FCFCFC"/>
          <w:vertAlign w:val="superscript"/>
          <w:lang w:val="pt-PT"/>
        </w:rPr>
        <w:tab/>
      </w:r>
      <w:r>
        <w:rPr>
          <w:lang w:val="pt-PT"/>
        </w:rPr>
        <w:t>SWD(2013) 108 final</w:t>
      </w:r>
    </w:p>
  </w:footnote>
  <w:footnote w:id="6">
    <w:p>
      <w:pPr>
        <w:pStyle w:val="FootnoteText"/>
        <w:rPr>
          <w:lang w:val="pt-PT"/>
        </w:rPr>
      </w:pPr>
      <w:r>
        <w:rPr>
          <w:rStyle w:val="FootnoteReference"/>
        </w:rPr>
        <w:footnoteRef/>
      </w:r>
      <w:r>
        <w:rPr>
          <w:shd w:val="clear" w:color="000000" w:fill="FCFCFC"/>
          <w:vertAlign w:val="superscript"/>
          <w:lang w:val="pt-PT"/>
        </w:rPr>
        <w:tab/>
      </w:r>
      <w:r>
        <w:rPr>
          <w:lang w:val="pt-PT"/>
        </w:rPr>
        <w:t>COM(2013) 195 final</w:t>
      </w:r>
    </w:p>
  </w:footnote>
  <w:footnote w:id="7">
    <w:p>
      <w:pPr>
        <w:pStyle w:val="FootnoteText"/>
      </w:pPr>
      <w:r>
        <w:rPr>
          <w:rStyle w:val="FootnoteReference"/>
        </w:rPr>
        <w:footnoteRef/>
      </w:r>
      <w:r>
        <w:tab/>
        <w:t>COM(2018)284</w:t>
      </w:r>
    </w:p>
  </w:footnote>
  <w:footnote w:id="8">
    <w:p>
      <w:pPr>
        <w:pStyle w:val="FootnoteText"/>
      </w:pPr>
      <w:r>
        <w:rPr>
          <w:rStyle w:val="FootnoteReference"/>
        </w:rPr>
        <w:footnoteRef/>
      </w:r>
      <w:r>
        <w:tab/>
        <w:t>Commission Regulation (EU) No 1230/2012 of 12 December 2012 implementing Regulation (EC) No 661/2009 of the European Parliament and of the Council with regard to type-approval requirements for masses and dimensions of motor vehicles and their trailers and amending Directive 2007/46/EC of the European Parliament and of the Council, OJ L 353, 21.12.2012, p. 31.</w:t>
      </w:r>
    </w:p>
  </w:footnote>
  <w:footnote w:id="9">
    <w:p>
      <w:pPr>
        <w:pStyle w:val="FootnoteText"/>
      </w:pPr>
      <w:r>
        <w:rPr>
          <w:rStyle w:val="FootnoteReference"/>
        </w:rPr>
        <w:footnoteRef/>
      </w:r>
      <w:r>
        <w:tab/>
        <w:t xml:space="preserve">Regulation </w:t>
      </w:r>
      <w:r>
        <w:rPr>
          <w:rFonts w:eastAsia="Times New Roman"/>
          <w:color w:val="000000"/>
        </w:rPr>
        <w:t>(EU) 661/2009</w:t>
      </w:r>
    </w:p>
  </w:footnote>
  <w:footnote w:id="10">
    <w:p>
      <w:pPr>
        <w:pStyle w:val="FootnoteText"/>
      </w:pPr>
      <w:r>
        <w:rPr>
          <w:rStyle w:val="FootnoteReference"/>
        </w:rPr>
        <w:footnoteRef/>
      </w:r>
      <w:r>
        <w:rPr>
          <w:shd w:val="clear" w:color="000000" w:fill="FCFCFC"/>
          <w:vertAlign w:val="superscript"/>
        </w:rPr>
        <w:tab/>
      </w:r>
      <w:r>
        <w:t>SWD(2013) 108 final</w:t>
      </w:r>
    </w:p>
  </w:footnote>
  <w:footnote w:id="11">
    <w:p>
      <w:pPr>
        <w:pStyle w:val="FootnoteText"/>
      </w:pPr>
      <w:r>
        <w:rPr>
          <w:rStyle w:val="FootnoteReference"/>
        </w:rPr>
        <w:footnoteRef/>
      </w:r>
      <w:r>
        <w:rPr>
          <w:shd w:val="clear" w:color="000000" w:fill="FCFCFC"/>
          <w:vertAlign w:val="superscript"/>
        </w:rPr>
        <w:tab/>
      </w:r>
      <w:r>
        <w:t xml:space="preserve">OJ C </w:t>
      </w:r>
      <w:r>
        <w:rPr>
          <w:color w:val="0000FF"/>
          <w:shd w:val="clear" w:color="000000" w:fill="FCFCFC"/>
        </w:rPr>
        <w:t>[…]</w:t>
      </w:r>
      <w:r>
        <w:t xml:space="preserve">, </w:t>
      </w:r>
      <w:r>
        <w:rPr>
          <w:color w:val="0000FF"/>
          <w:shd w:val="clear" w:color="000000" w:fill="FCFCFC"/>
        </w:rPr>
        <w:t>[…]</w:t>
      </w:r>
      <w:r>
        <w:t xml:space="preserve">, p. </w:t>
      </w:r>
      <w:r>
        <w:rPr>
          <w:color w:val="0000FF"/>
          <w:shd w:val="clear" w:color="000000" w:fill="FCFCFC"/>
        </w:rPr>
        <w:t>[…]</w:t>
      </w:r>
      <w:r>
        <w:t>.</w:t>
      </w:r>
    </w:p>
  </w:footnote>
  <w:footnote w:id="12">
    <w:p>
      <w:pPr>
        <w:pStyle w:val="FootnoteText"/>
      </w:pPr>
      <w:r>
        <w:rPr>
          <w:rStyle w:val="FootnoteReference"/>
        </w:rPr>
        <w:footnoteRef/>
      </w:r>
      <w:r>
        <w:rPr>
          <w:shd w:val="clear" w:color="000000" w:fill="FCFCFC"/>
          <w:vertAlign w:val="superscript"/>
        </w:rPr>
        <w:tab/>
      </w:r>
      <w:r>
        <w:t xml:space="preserve">OJ C </w:t>
      </w:r>
      <w:r>
        <w:rPr>
          <w:color w:val="0000FF"/>
          <w:shd w:val="clear" w:color="000000" w:fill="FCFCFC"/>
        </w:rPr>
        <w:t>[…]</w:t>
      </w:r>
      <w:r>
        <w:t xml:space="preserve">, </w:t>
      </w:r>
      <w:r>
        <w:rPr>
          <w:color w:val="0000FF"/>
          <w:shd w:val="clear" w:color="000000" w:fill="FCFCFC"/>
        </w:rPr>
        <w:t>[…]</w:t>
      </w:r>
      <w:r>
        <w:t xml:space="preserve">, p. </w:t>
      </w:r>
      <w:r>
        <w:rPr>
          <w:color w:val="0000FF"/>
          <w:shd w:val="clear" w:color="000000" w:fill="FCFCFC"/>
        </w:rPr>
        <w:t>[…]</w:t>
      </w:r>
      <w:r>
        <w:t>.</w:t>
      </w:r>
    </w:p>
  </w:footnote>
  <w:footnote w:id="13">
    <w:p>
      <w:pPr>
        <w:pStyle w:val="FootnoteText"/>
      </w:pPr>
      <w:r>
        <w:rPr>
          <w:rStyle w:val="FootnoteReference"/>
        </w:rPr>
        <w:footnoteRef/>
      </w:r>
      <w:r>
        <w:tab/>
        <w:t>OJ L 235, 17.9.1996, p. 59.</w:t>
      </w:r>
    </w:p>
  </w:footnote>
  <w:footnote w:id="14">
    <w:p>
      <w:pPr>
        <w:pStyle w:val="FootnoteText"/>
      </w:pPr>
      <w:r>
        <w:rPr>
          <w:rStyle w:val="FootnoteReference"/>
        </w:rPr>
        <w:footnoteRef/>
      </w:r>
      <w:r>
        <w:tab/>
        <w:t>Directive (EU) 2015/719 of the European Parliament and of the Council of 29 April 2015 amending Council Directive 96/53/EC laying down for certain road vehicles circulating within the Community the maximum authorised dimensions in national and international traffic and the maximum authorised weights in international traffic (OJ L 115, 6.5.2015,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D3AD0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A3C674A"/>
    <w:lvl w:ilvl="0">
      <w:start w:val="1"/>
      <w:numFmt w:val="decimal"/>
      <w:pStyle w:val="ListNumber3"/>
      <w:lvlText w:val="%1."/>
      <w:lvlJc w:val="left"/>
      <w:pPr>
        <w:tabs>
          <w:tab w:val="num" w:pos="926"/>
        </w:tabs>
        <w:ind w:left="926" w:hanging="360"/>
      </w:pPr>
    </w:lvl>
  </w:abstractNum>
  <w:abstractNum w:abstractNumId="2">
    <w:nsid w:val="FFFFFF7F"/>
    <w:multiLevelType w:val="singleLevel"/>
    <w:tmpl w:val="A8925AE6"/>
    <w:lvl w:ilvl="0">
      <w:start w:val="1"/>
      <w:numFmt w:val="decimal"/>
      <w:pStyle w:val="ListNumber2"/>
      <w:lvlText w:val="%1."/>
      <w:lvlJc w:val="left"/>
      <w:pPr>
        <w:tabs>
          <w:tab w:val="num" w:pos="643"/>
        </w:tabs>
        <w:ind w:left="643" w:hanging="360"/>
      </w:pPr>
    </w:lvl>
  </w:abstractNum>
  <w:abstractNum w:abstractNumId="3">
    <w:nsid w:val="FFFFFF81"/>
    <w:multiLevelType w:val="singleLevel"/>
    <w:tmpl w:val="DE143CD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781C0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430D6B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DB677A0"/>
    <w:lvl w:ilvl="0">
      <w:start w:val="1"/>
      <w:numFmt w:val="decimal"/>
      <w:pStyle w:val="ListNumber"/>
      <w:lvlText w:val="%1."/>
      <w:lvlJc w:val="left"/>
      <w:pPr>
        <w:tabs>
          <w:tab w:val="num" w:pos="360"/>
        </w:tabs>
        <w:ind w:left="360" w:hanging="360"/>
      </w:pPr>
    </w:lvl>
  </w:abstractNum>
  <w:abstractNum w:abstractNumId="7">
    <w:nsid w:val="FFFFFF89"/>
    <w:multiLevelType w:val="singleLevel"/>
    <w:tmpl w:val="6AC6BA4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5 17:13:5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C5FF7167-EBBB-49F8-8B20-0240F1308F9B"/>
    <w:docVar w:name="LW_COVERPAGE_TYPE" w:val="1"/>
    <w:docVar w:name="LW_CROSSREFERENCE" w:val="&lt;UNUSED&gt;"/>
    <w:docVar w:name="LW_DocType" w:val="COM"/>
    <w:docVar w:name="LW_EMISSION" w:val="17.5.2018"/>
    <w:docVar w:name="LW_EMISSION_ISODATE" w:val="2018-05-17"/>
    <w:docVar w:name="LW_EMISSION_LOCATION" w:val="BRX"/>
    <w:docVar w:name="LW_EMISSION_PREFIX" w:val="Brussels, "/>
    <w:docVar w:name="LW_EMISSION_SUFFIX" w:val="&lt;EMPTY&gt;"/>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0"/>
    <w:docVar w:name="LW_REF.II.NEW.CP_YEAR" w:val="2018"/>
    <w:docVar w:name="LW_REF.INST.NEW" w:val="COM"/>
    <w:docVar w:name="LW_REF.INST.NEW_ADOPTED" w:val="final"/>
    <w:docVar w:name="LW_REF.INST.NEW_TEXT" w:val="(2018) 2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amending Council Directive 96/53/EC as regards the time limit for the implementation of the special rules regarding maximum length in case of cabs delivering improved aerodynamic performance, energy efficiency and safety performance _x000b_"/>
    <w:docVar w:name="LW_TYPE.DOC.CP" w:val="DECIS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342257">
      <w:bodyDiv w:val="1"/>
      <w:marLeft w:val="0"/>
      <w:marRight w:val="0"/>
      <w:marTop w:val="0"/>
      <w:marBottom w:val="0"/>
      <w:divBdr>
        <w:top w:val="none" w:sz="0" w:space="0" w:color="auto"/>
        <w:left w:val="none" w:sz="0" w:space="0" w:color="auto"/>
        <w:bottom w:val="none" w:sz="0" w:space="0" w:color="auto"/>
        <w:right w:val="none" w:sz="0" w:space="0" w:color="auto"/>
      </w:divBdr>
    </w:div>
    <w:div w:id="20586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7</Pages>
  <Words>1813</Words>
  <Characters>9828</Characters>
  <Application>Microsoft Office Word</Application>
  <DocSecurity>0</DocSecurity>
  <Lines>175</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2018-04-30T08:59:00Z</cp:lastPrinted>
  <dcterms:created xsi:type="dcterms:W3CDTF">2018-05-15T15:17:00Z</dcterms:created>
  <dcterms:modified xsi:type="dcterms:W3CDTF">2018-05-17T08:17:00Z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Yellow (DQC version 03)</vt:lpwstr>
  </property>
</Properties>
</file>