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DCFB81C-DCD6-48C6-B2AC-EF6E718ED40B" style="width:450.7pt;height:397.4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ANEXO</w:t>
      </w:r>
    </w:p>
    <w:p>
      <w:pPr>
        <w:ind w:left="1440" w:hanging="1440"/>
        <w:jc w:val="center"/>
        <w:rPr>
          <w:b/>
          <w:noProof/>
          <w:szCs w:val="24"/>
        </w:rPr>
      </w:pPr>
      <w:r>
        <w:rPr>
          <w:b/>
          <w:noProof/>
        </w:rPr>
        <w:t>Parte I</w:t>
      </w:r>
    </w:p>
    <w:p>
      <w:pPr>
        <w:pStyle w:val="Point0"/>
        <w:rPr>
          <w:noProof/>
        </w:rPr>
      </w:pPr>
      <w:r>
        <w:rPr>
          <w:b/>
          <w:noProof/>
        </w:rPr>
        <w:t>A.</w:t>
      </w:r>
      <w:r>
        <w:rPr>
          <w:noProof/>
        </w:rPr>
        <w:tab/>
      </w:r>
      <w:r>
        <w:rPr>
          <w:b/>
          <w:noProof/>
        </w:rPr>
        <w:t>Artigo 1.º, alínea a), subalínea i) — Contratos públicos:</w:t>
      </w:r>
      <w:r>
        <w:rPr>
          <w:noProof/>
        </w:rPr>
        <w:t xml:space="preserve"> </w:t>
      </w:r>
    </w:p>
    <w:p>
      <w:pPr>
        <w:pStyle w:val="NumPar1"/>
        <w:numPr>
          <w:ilvl w:val="0"/>
          <w:numId w:val="14"/>
        </w:numPr>
        <w:rPr>
          <w:noProof/>
        </w:rPr>
      </w:pPr>
      <w:r>
        <w:rPr>
          <w:noProof/>
        </w:rPr>
        <w:t xml:space="preserve">Os procedimentos aplicáveis a contratos públicos referentes a fornecimento de produtos de defesa e de serviços nos setores da água, da energia, dos transportes e dos serviços postais, e qualquer outro contrato ou serviço regulamentado pela legislação da União: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Diretiva 2014/23/UE do Parlamento Europeu e do Conselho, de 26 de fevereiro de 2014, relativa à adjudicação de contratos de concessão (JO L 94 de 28.3.2014, p. 1); 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Diretiva 2014/24/UE do Parlamento Europeu e do Conselho, de 26 de fevereiro de 2014, relativa aos contratos públicos e que revoga a Diretiva 2004/18/CE, (JO L 94 de 28.3.2014, p. 65); 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Diretiva 2014/25/UE do Parlamento Europeu e do Conselho, de 26 de fevereiro de 2014, relativa aos contratos públicos celebrados pelas entidades que operam nos setores da água, da energia, dos transportes e dos serviços postais e que revoga a Diretiva 2004/17/CE (JO L 94 de 28.3.2014, p. 243);</w:t>
      </w:r>
    </w:p>
    <w:p>
      <w:pPr>
        <w:pStyle w:val="Point0"/>
        <w:rPr>
          <w:noProof/>
        </w:rPr>
      </w:pPr>
      <w:r>
        <w:rPr>
          <w:noProof/>
        </w:rPr>
        <w:t>iv)</w:t>
      </w:r>
      <w:r>
        <w:rPr>
          <w:noProof/>
        </w:rPr>
        <w:tab/>
        <w:t xml:space="preserve">Diretiva 2009/81/CE do Parlamento Europeu e do Conselho, </w:t>
      </w:r>
      <w:r>
        <w:rPr>
          <w:rStyle w:val="st"/>
          <w:noProof/>
        </w:rPr>
        <w:t>de 13 de julho de 2009</w:t>
      </w:r>
      <w:r>
        <w:rPr>
          <w:noProof/>
        </w:rPr>
        <w:t>, relativa à coordenação dos processos de adjudicação de determinados contratos de empreitada, contratos de fornecimento e contratos de serviços por autoridades ou entidades adjudicantes nos domínios da defesa e da segurança, e que altera as Diretivas 2004/17/CE e 2004/18/CE (JO L 216 de 20.8.2009, p. 76).</w:t>
      </w:r>
    </w:p>
    <w:p>
      <w:pPr>
        <w:pStyle w:val="NumPar1"/>
        <w:rPr>
          <w:noProof/>
        </w:rPr>
      </w:pPr>
      <w:r>
        <w:rPr>
          <w:noProof/>
        </w:rPr>
        <w:t>Recursos regulamentados por: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Diretiva 92/13/CEE do Conselho, de 25 de fevereiro de 1992, relativa à coordenação das disposições legislativas, regulamentares e administrativas respeitantes à aplicação das regras comunitárias em matéria de procedimentos de celebração de contratos de direito público pelas entidades que operam nos setores da água, da energia, dos transportes e das telecomunicações (JO L 76 de 23.3.1992, p. 14); 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Diretiva 89/665/CEE do Conselho, de 21 de dezembro de 1989, que coordena as disposições legislativas, regulamentares e administrativas relativas à aplicação dos processos de recurso em matéria de adjudicação dos contratos de direito público de obras de fornecimentos (JO L 395 de 30.12.1989, p. 33).</w:t>
      </w:r>
    </w:p>
    <w:p>
      <w:pPr>
        <w:pStyle w:val="Point0"/>
        <w:rPr>
          <w:b/>
          <w:noProof/>
        </w:rPr>
      </w:pPr>
      <w:r>
        <w:rPr>
          <w:b/>
          <w:noProof/>
        </w:rPr>
        <w:t>B.</w:t>
      </w:r>
      <w:r>
        <w:rPr>
          <w:noProof/>
        </w:rPr>
        <w:tab/>
      </w:r>
      <w:r>
        <w:rPr>
          <w:b/>
          <w:noProof/>
        </w:rPr>
        <w:t xml:space="preserve">Artigo 1.º, alínea a), subalínea ii) — Serviços financeiros, prevenção do branqueamento de capitais e do financiamento do terrorismo: </w:t>
      </w:r>
    </w:p>
    <w:p>
      <w:pPr>
        <w:rPr>
          <w:noProof/>
        </w:rPr>
      </w:pPr>
      <w:r>
        <w:rPr>
          <w:noProof/>
        </w:rPr>
        <w:t>Normas que estabelecem um quadro de regulamentação e supervisão, e de proteção dos consumidores e dos investidores da União em matéria de serviços financeiros e mercados de capitais, serviços bancários, crédito, seguros, resseguros, regimes de pensões profissionais ou individuais, títulos, fundos de investimento e consultoria em matéria de pagamentos e investimento, bem como os serviços referidos no anexo I da Diretiva 2013/36/UE do Parlamento Europeu e do Conselho, de 26 de junho de 2013, relativa ao acesso à atividade das instituições de crédito e à supervisão prudencial das instituições de crédito e empresas de investimento, que altera a Diretiva 2002/87/CE e revoga as Diretivas 2006/48/CE e 2006/49/CE (JO L 176 de 27.6.2013, p. 338), que são regulamentados por: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Diretiva 2009/110/CE do Parlamento Europeu e do Conselho, de 16 de setembro de 2009, relativa ao acesso à atividade das instituições de moeda eletrónica, ao seu exercício e à sua supervisão prudencial, que altera as Diretivas 2005/60/CE e 2006/48/CE e revoga a Diretiva 2000/46/CE (JO L 267 de 10.10.2009, p. 7);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Diretiva 2011/61/UE do Parlamento Europeu e do Conselho, de 8 de junho de 2011, relativa aos gestores de fundos de investimento alternativos e que altera as Diretivas 2003/41/CE e 2009/65/CE e os Regulamentos (CE) n.º 1060/2009 e (UE) n.º 1095/2010 (JO L 174 de 1.7.2011, p. 1);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 xml:space="preserve">Regulamento (UE) n.º 236/2012 do Parlamento Europeu e do Conselho, de 14 de março de 2012, relativo às vendas a descoberto e a certos aspetos dos </w:t>
      </w:r>
      <w:r>
        <w:rPr>
          <w:i/>
          <w:noProof/>
        </w:rPr>
        <w:t>swaps</w:t>
      </w:r>
      <w:r>
        <w:rPr>
          <w:noProof/>
        </w:rPr>
        <w:t xml:space="preserve"> de risco de incumprimento (JO L 86 de 24.3.2012, p. 1);</w:t>
      </w:r>
    </w:p>
    <w:p>
      <w:pPr>
        <w:pStyle w:val="Point0"/>
        <w:rPr>
          <w:noProof/>
        </w:rPr>
      </w:pPr>
      <w:r>
        <w:rPr>
          <w:noProof/>
        </w:rPr>
        <w:t>iv)</w:t>
      </w:r>
      <w:r>
        <w:rPr>
          <w:noProof/>
        </w:rPr>
        <w:tab/>
        <w:t>Regulamento (UE) n.º 345/2013 do Parlamento Europeu e do Conselho, de 17 de abril 2013, relativo aos fundos de capital de risco (JO L 115 de 25.4.2013, p. 1);</w:t>
      </w:r>
    </w:p>
    <w:p>
      <w:pPr>
        <w:pStyle w:val="Point0"/>
        <w:rPr>
          <w:noProof/>
        </w:rPr>
      </w:pPr>
      <w:r>
        <w:rPr>
          <w:noProof/>
        </w:rPr>
        <w:t>v)</w:t>
      </w:r>
      <w:r>
        <w:rPr>
          <w:noProof/>
        </w:rPr>
        <w:tab/>
        <w:t>Regulamento (UE) n.º 346/2013 do Parlamento Europeu e do Conselho, de 17 de abril de 2013, relativo aos fundos europeus de empreendedorismo social (JO L 115 de 25.4.2013, p. 18);</w:t>
      </w:r>
    </w:p>
    <w:p>
      <w:pPr>
        <w:pStyle w:val="Point0"/>
        <w:rPr>
          <w:noProof/>
        </w:rPr>
      </w:pPr>
      <w:r>
        <w:rPr>
          <w:noProof/>
        </w:rPr>
        <w:t>vi)</w:t>
      </w:r>
      <w:r>
        <w:rPr>
          <w:noProof/>
        </w:rPr>
        <w:tab/>
        <w:t>Diretiva 2014/17/UE do Parlamento Europeu e do Conselho, de 4 de fevereiro de 2014, relativa aos contratos de crédito aos consumidores para imóveis de habitação e que altera as Diretivas 2008/48/CE e 2013/36/UE e o Regulamento (UE) n.º 1093/2010 (JO L 60 de 28.2.2014, p. 34);</w:t>
      </w:r>
    </w:p>
    <w:p>
      <w:pPr>
        <w:pStyle w:val="Point0"/>
        <w:rPr>
          <w:noProof/>
        </w:rPr>
      </w:pPr>
      <w:r>
        <w:rPr>
          <w:noProof/>
        </w:rPr>
        <w:t>vii)</w:t>
      </w:r>
      <w:r>
        <w:rPr>
          <w:noProof/>
        </w:rPr>
        <w:tab/>
        <w:t>Regulamento (UE) n.º 537/2014 do Parlamento Europeu e do Conselho, de 16 de abril de 2014, relativo aos requisitos específicos para a revisão legal de contas das entidades de interesse público e que revoga a Decisão 2005/909/CE da Comissão (JO L 158 de 27.5.2014, p. 77);</w:t>
      </w:r>
    </w:p>
    <w:p>
      <w:pPr>
        <w:pStyle w:val="Point0"/>
        <w:rPr>
          <w:noProof/>
        </w:rPr>
      </w:pPr>
      <w:r>
        <w:rPr>
          <w:noProof/>
        </w:rPr>
        <w:t>viii)</w:t>
      </w:r>
      <w:r>
        <w:rPr>
          <w:noProof/>
        </w:rPr>
        <w:tab/>
        <w:t>Regulamento (UE) n.º 600/2014 do Parlamento Europeu e do Conselho, de 15 de maio de 2014, relativo aos mercados de instrumentos financeiros e que altera o Regulamento (UE) n.º 648/2012 (JO L 173 de 12.6.2014, p. 84);</w:t>
      </w:r>
    </w:p>
    <w:p>
      <w:pPr>
        <w:pStyle w:val="Point0"/>
        <w:rPr>
          <w:noProof/>
        </w:rPr>
      </w:pPr>
      <w:r>
        <w:rPr>
          <w:noProof/>
        </w:rPr>
        <w:t>ix)</w:t>
      </w:r>
      <w:r>
        <w:rPr>
          <w:noProof/>
        </w:rPr>
        <w:tab/>
        <w:t>Diretiva (UE) 2015/2366 do Parlamento Europeu e do Conselho, de 25 de novembro de 2015, relativa aos serviços de pagamento no mercado interno, que altera as Diretivas 2002/65/CE, 2009/110/CE e 2013/36/UE e o Regulamento (UE) n.º 1093/2010, e que revoga a Diretiva 2007/64/CE (JO L 337 de 23.12.2015, p. 35);</w:t>
      </w:r>
    </w:p>
    <w:p>
      <w:pPr>
        <w:pStyle w:val="Point0"/>
        <w:rPr>
          <w:noProof/>
        </w:rPr>
      </w:pPr>
      <w:r>
        <w:rPr>
          <w:noProof/>
        </w:rPr>
        <w:t>x)</w:t>
      </w:r>
      <w:r>
        <w:rPr>
          <w:noProof/>
        </w:rPr>
        <w:tab/>
        <w:t>Diretiva 2004/25/CE do Parlamento Europeu e do Conselho, de 21 de abril de 2004, relativa às ofertas públicas de aquisição (JO L 142 de 30.4.2004, p. 12);</w:t>
      </w:r>
    </w:p>
    <w:p>
      <w:pPr>
        <w:pStyle w:val="Point0"/>
        <w:rPr>
          <w:noProof/>
        </w:rPr>
      </w:pPr>
      <w:r>
        <w:rPr>
          <w:noProof/>
        </w:rPr>
        <w:t>xi)</w:t>
      </w:r>
      <w:r>
        <w:rPr>
          <w:noProof/>
        </w:rPr>
        <w:tab/>
        <w:t>Diretiva 2007/36/CE do Parlamento Europeu e do Conselho, de 11 de julho de 2007, relativa ao exercício de certos direitos dos acionistas de sociedades cotadas (JO L 184 de 14.7.2007, p. 17).</w:t>
      </w:r>
    </w:p>
    <w:p>
      <w:pPr>
        <w:pStyle w:val="Point0"/>
        <w:rPr>
          <w:b/>
          <w:noProof/>
        </w:rPr>
      </w:pPr>
      <w:r>
        <w:rPr>
          <w:b/>
          <w:noProof/>
        </w:rPr>
        <w:t>C.</w:t>
      </w:r>
      <w:r>
        <w:rPr>
          <w:noProof/>
        </w:rPr>
        <w:tab/>
      </w:r>
      <w:r>
        <w:rPr>
          <w:b/>
          <w:noProof/>
        </w:rPr>
        <w:t xml:space="preserve">Artigo 1.º, alínea a), subalínea iii) — Segurança dos produtos: 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 xml:space="preserve">Requisitos gerais de segurança dos produtos colocados no mercado da União, que são definidos e regulamentados por: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Diretiva 2001/95/CE do Parlamento Europeu e do Conselho, de 3 de dezembro de 2001, relativa à segurança geral dos produtos, (JO L 11 de 15.1.2002, p. 4);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A legislação de harmonização da União relativa aos produtos manufaturados, exceto géneros alimentícios, alimentos para animais, medicamentos para uso humano e medicamentos veterinários, plantas e animais vivos, produtos de origem humana e produtos de origem vegetal ou animal diretamente relacionados com a sua reprodução futura, constante da lista do Regulamento XX, que estabelece normas e procedimentos para a observância e a aplicação de legislação de harmonização da União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; 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Diretiva 2007/46/CE do Parlamento Europeu e do Conselho, de 5 de setembro de 2007, que estabelece um quadro para a homologação dos veículos a motor e seus reboques, e dos sistemas, componentes e unidades técnicas destinados a serem utilizados nesses veículos (Diretiva-Quadro) (JO L 263 de 9.10.2007, p. 1).</w:t>
      </w:r>
    </w:p>
    <w:p>
      <w:pPr>
        <w:pStyle w:val="NumPar1"/>
        <w:rPr>
          <w:noProof/>
        </w:rPr>
      </w:pPr>
      <w:r>
        <w:rPr>
          <w:noProof/>
        </w:rPr>
        <w:t>A comercialização e a utilização de produtos perigosos e sensíveis, regulamentadas por: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Diretiva 2009/43/CE do Parlamento Europeu e do Conselho, de 6 de maio de 2009, relativa à simplificação das condições das transferências de produtos relacionados com a defesa na Comunidade (JO L 146 de 10.6.2009, p. 1);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Diretiva 91/477/CEE do Conselho, de 18 de junho de 1991, relativa ao controlo da aquisição e da detenção de armas (JO L 256 de 13.9.1991, p. 51);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Regulamento (UE) n.º 258/2012 do Parlamento Europeu e do Conselho, de 14 de março de 2012, que aplica o artigo 10.º do Protocolo das Nações Unidas contra o fabrico e o tráfico ilícitos de armas de fogo, das suas partes e componentes e de munições, adicional à Convenção das Nações Unidas contra o Crime Organizado Transnacional (Protocolo das Nações Unidas sobre as armas de fogo), e estabelece autorizações de exportação e medidas de importação e de trânsito de armas de fogo, suas partes, componentes e munições (JO L 94 de 30.3.2012, p. 1);</w:t>
      </w:r>
    </w:p>
    <w:p>
      <w:pPr>
        <w:pStyle w:val="Point0"/>
        <w:rPr>
          <w:noProof/>
        </w:rPr>
      </w:pPr>
      <w:r>
        <w:rPr>
          <w:noProof/>
        </w:rPr>
        <w:t>iv)</w:t>
      </w:r>
      <w:r>
        <w:rPr>
          <w:noProof/>
        </w:rPr>
        <w:tab/>
        <w:t>Regulamento (UE) n.º 98/2013 do Parlamento Europeu e do Conselho, de 15 de janeiro de 2013, sobre a comercialização e utilização de precursores de explosivos (JO L 39 de 9.2.2013, p. 1).</w:t>
      </w:r>
    </w:p>
    <w:p>
      <w:pPr>
        <w:pStyle w:val="Point0"/>
        <w:rPr>
          <w:b/>
          <w:noProof/>
        </w:rPr>
      </w:pPr>
      <w:r>
        <w:rPr>
          <w:b/>
          <w:noProof/>
        </w:rPr>
        <w:t>D.</w:t>
      </w:r>
      <w:r>
        <w:rPr>
          <w:noProof/>
        </w:rPr>
        <w:tab/>
      </w:r>
      <w:r>
        <w:rPr>
          <w:b/>
          <w:noProof/>
        </w:rPr>
        <w:t xml:space="preserve">Artigo 1.º, alínea a), subalínea iv) — Segurança dos transportes: 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 xml:space="preserve">Requisitos de segurança no setor ferroviário, estabelecidos pela Diretiva (UE) 2016/798 do Parlamento Europeu e do Conselho, de 11 de maio de 2016, relativa à segurança ferroviária (JO L 138 de 26.5.2016, p. 102). </w:t>
      </w:r>
    </w:p>
    <w:p>
      <w:pPr>
        <w:pStyle w:val="NumPar1"/>
        <w:rPr>
          <w:noProof/>
        </w:rPr>
      </w:pPr>
      <w:r>
        <w:rPr>
          <w:noProof/>
        </w:rPr>
        <w:t>Requisitos de segurança no setor aeronáutico, estabelecidos pelo Regulamento (UE) n.º 996/2010 do Parlamento Europeu e do Conselho, de 20 de Outubro de 2010, relativo à investigação e prevenção de acidentes e incidentes na aviação civil e que revoga a Diretiva 94/56/CE (JO L 295 de 12.11.2010, p. 35).</w:t>
      </w:r>
    </w:p>
    <w:p>
      <w:pPr>
        <w:pStyle w:val="NumPar1"/>
        <w:rPr>
          <w:noProof/>
        </w:rPr>
      </w:pPr>
      <w:r>
        <w:rPr>
          <w:noProof/>
        </w:rPr>
        <w:t xml:space="preserve">Requisitos de segurança no setor rodoviário, estabelecidos por: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Diretiva 2008/96/CE do Parlamento Europeu e do Conselho, de 19 de novembro de 2008, relativa à gestão da segurança da infraestrutura rodoviária (JO L 319 de 29.11.2008, p. 59); 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Diretiva 2004/54/CE do Parlamento Europeu e do Conselho, de 29 de abril de 2004, relativa aos requisitos mínimos de segurança para os túneis da rede rodoviária transeuropeia (JO L 167 de 30.4.2004, p. 39). </w:t>
      </w:r>
    </w:p>
    <w:p>
      <w:pPr>
        <w:pStyle w:val="NumPar1"/>
        <w:rPr>
          <w:noProof/>
        </w:rPr>
      </w:pPr>
      <w:r>
        <w:rPr>
          <w:noProof/>
        </w:rPr>
        <w:t>Requisitos de segurança no setor marítimo, estabelecidos por: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Regulamento (CE) n.º 391/2009 do Parlamento Europeu e do Conselho, de 23 de abril de 2009, relativo às regras comuns para as organizações de vistoria e inspeção de navios (reformulação) (JO L 131 de 28.5.2009, p. 11);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Regulamento (CE) n.º 392/2009 do Parlamento Europeu e do Conselho, de 23 de abril de 2009, relativo à responsabilidade das transportadoras de passageiros por mar em caso de acidente (JO L 131 de 28.5.2009, p. 24); 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Diretiva 2014/90/UE do Parlamento Europeu e do Conselho, de 23 de julho de 2014, relativa aos equipamentos marítimos e que revoga a Diretiva 96/98/CE do Conselho (JO L 257 de 28.8.2014, p. 146);</w:t>
      </w:r>
    </w:p>
    <w:p>
      <w:pPr>
        <w:pStyle w:val="Point0"/>
        <w:rPr>
          <w:noProof/>
        </w:rPr>
      </w:pPr>
      <w:r>
        <w:rPr>
          <w:noProof/>
        </w:rPr>
        <w:t>iv)</w:t>
      </w:r>
      <w:r>
        <w:rPr>
          <w:noProof/>
        </w:rPr>
        <w:tab/>
        <w:t>Diretiva 2009/18/CE do Parlamento Europeu e do Conselho, de 23 de abril de 2009, que estabelece os princípios fundamentais que regem a investigação de acidentes no setor do transporte marítimo e que altera as Diretivas 1999/35/CE do Conselho e 2002/59/CE (JO L 131 de 28.5.2009, p. 114);</w:t>
      </w:r>
    </w:p>
    <w:p>
      <w:pPr>
        <w:pStyle w:val="Point0"/>
        <w:rPr>
          <w:noProof/>
        </w:rPr>
      </w:pPr>
      <w:r>
        <w:rPr>
          <w:noProof/>
        </w:rPr>
        <w:t>v)</w:t>
      </w:r>
      <w:r>
        <w:rPr>
          <w:noProof/>
        </w:rPr>
        <w:tab/>
        <w:t>Diretiva 2008/106/CE do Parlamento Europeu e do Conselho, de 19 de novembro de 2008, relativa ao nível mínimo de formação dos marítimos (JO L 323 de 3.12.2008, p. 33);</w:t>
      </w:r>
    </w:p>
    <w:p>
      <w:pPr>
        <w:pStyle w:val="Point0"/>
        <w:rPr>
          <w:noProof/>
        </w:rPr>
      </w:pPr>
      <w:r>
        <w:rPr>
          <w:noProof/>
        </w:rPr>
        <w:t>vi)</w:t>
      </w:r>
      <w:r>
        <w:rPr>
          <w:noProof/>
        </w:rPr>
        <w:tab/>
        <w:t>Diretiva 98/41/CE do Conselho, de 18 de junho de 1998, relativa ao registo das pessoas que viajam em navios de passageiros que operam a partir de ou para portos dos Estados</w:t>
      </w:r>
      <w:r>
        <w:rPr>
          <w:noProof/>
        </w:rPr>
        <w:noBreakHyphen/>
        <w:t>Membros da Comunidade (JO L 188 de 2.7.1998, p. 35);</w:t>
      </w:r>
    </w:p>
    <w:p>
      <w:pPr>
        <w:pStyle w:val="Point0"/>
        <w:rPr>
          <w:noProof/>
        </w:rPr>
      </w:pPr>
      <w:r>
        <w:rPr>
          <w:noProof/>
        </w:rPr>
        <w:t>vii)</w:t>
      </w:r>
      <w:r>
        <w:rPr>
          <w:noProof/>
        </w:rPr>
        <w:tab/>
        <w:t>Diretiva 2001/96/CE do Parlamento Europeu e do Conselho, de 4 de dezembro de 2001, que estabelece normas e procedimentos harmonizados para a segurança das operações de carga e descarga de navios graneleiros (JO L 13 de 16.1.2002, p. 9).</w:t>
      </w:r>
    </w:p>
    <w:p>
      <w:pPr>
        <w:pStyle w:val="Point0"/>
        <w:rPr>
          <w:b/>
          <w:noProof/>
        </w:rPr>
      </w:pPr>
      <w:r>
        <w:rPr>
          <w:b/>
          <w:noProof/>
        </w:rPr>
        <w:t>E.</w:t>
      </w:r>
      <w:r>
        <w:rPr>
          <w:noProof/>
        </w:rPr>
        <w:tab/>
      </w:r>
      <w:r>
        <w:rPr>
          <w:b/>
          <w:noProof/>
        </w:rPr>
        <w:t xml:space="preserve">Artigo 1.º, alínea a), subalínea v) — Proteção do ambiente: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Quaisquer infrações criminais contra a proteção do ambiente, regulada pela Diretiva 2008/99/CE do Parlamento Europeu e do Conselho, de 19 de Novembro de 2008 , relativa à proteção do ambiente através do direito penal (JO L 328 de 6.12.2008, p. 28) ou quaisquer comportamentos ilícitos que infrinjam a legislação enunciada nos anexos da Diretiva 2008/99/CE; 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Diretiva 2004/2004/CE do Parlamento Europeu e do Conselho, de 21 de abril de 2004, relativa à responsabilidade ambiental em termos de prevenção e reparação de danos ambientais (JO L 143 de 30.4.2004, p. 56); 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Regulamento (UE) n.º 995/2010 do Parlamento Europeu e do Conselho, de 20 de outubro de 2010, que fixa as obrigações dos operadores que colocam no mercado madeira e produtos da madeira (JO L 295 de 12.11.2010, p. 23);</w:t>
      </w:r>
    </w:p>
    <w:p>
      <w:pPr>
        <w:pStyle w:val="Point0"/>
        <w:rPr>
          <w:noProof/>
        </w:rPr>
      </w:pPr>
      <w:r>
        <w:rPr>
          <w:noProof/>
        </w:rPr>
        <w:t>iv)</w:t>
      </w:r>
      <w:r>
        <w:rPr>
          <w:noProof/>
        </w:rPr>
        <w:tab/>
        <w:t xml:space="preserve">Diretiva 2009/123/CE do Parlamento Europeu e do Conselho, de 21 de outubro de 2009, que altera a Diretiva 2005/35/CE relativa à poluição por navios e à introdução de sanções em caso de infrações (JO L 280 de 27.10.2009, p. 52); </w:t>
      </w:r>
    </w:p>
    <w:p>
      <w:pPr>
        <w:pStyle w:val="Point0"/>
        <w:rPr>
          <w:noProof/>
        </w:rPr>
      </w:pPr>
      <w:r>
        <w:rPr>
          <w:noProof/>
        </w:rPr>
        <w:t>v)</w:t>
      </w:r>
      <w:r>
        <w:rPr>
          <w:noProof/>
        </w:rPr>
        <w:tab/>
        <w:t>Regulamento (UE) 2015/757 do Parlamento Europeu e do Conselho, de 29 de abril de 2015, relativo à monitorização, comunicação e verificação das emissões de dióxido de carbono provenientes do transporte marítimo e que altera a Diretiva 2009/16/CE (JO L 123, 19.5.2015, p. 55);</w:t>
      </w:r>
    </w:p>
    <w:p>
      <w:pPr>
        <w:pStyle w:val="Point0"/>
        <w:rPr>
          <w:noProof/>
        </w:rPr>
      </w:pPr>
      <w:r>
        <w:rPr>
          <w:noProof/>
        </w:rPr>
        <w:t>vi)</w:t>
      </w:r>
      <w:r>
        <w:rPr>
          <w:noProof/>
        </w:rPr>
        <w:tab/>
        <w:t xml:space="preserve">Regulamento (UE) n.º 1257/2013 do Parlamento Europeu e do Conselho, de 20 de novembro de 2013, relativo à reciclagem de navios e que altera o Regulamento (CE) n.º 1013/2006 e a Diretiva 2009/16/CE (JO L 330 de 10.12.2013, p. 1); </w:t>
      </w:r>
    </w:p>
    <w:p>
      <w:pPr>
        <w:pStyle w:val="Point0"/>
        <w:rPr>
          <w:noProof/>
        </w:rPr>
      </w:pPr>
      <w:r>
        <w:rPr>
          <w:noProof/>
        </w:rPr>
        <w:t>vii)</w:t>
      </w:r>
      <w:r>
        <w:rPr>
          <w:noProof/>
        </w:rPr>
        <w:tab/>
        <w:t xml:space="preserve">Regulamento (UE) n.º 649/2012 do Parlamento Europeu e do Conselho, de 4 de julho de 2012, relativo à exportação e importação de produtos químicos perigosos (JO L 201 de 27.7.2012, p. 60); </w:t>
      </w:r>
    </w:p>
    <w:p>
      <w:pPr>
        <w:pStyle w:val="Point0"/>
        <w:rPr>
          <w:noProof/>
        </w:rPr>
      </w:pPr>
      <w:r>
        <w:rPr>
          <w:noProof/>
        </w:rPr>
        <w:t>viii)</w:t>
      </w:r>
      <w:r>
        <w:rPr>
          <w:noProof/>
        </w:rPr>
        <w:tab/>
        <w:t xml:space="preserve">Regulamento (CE) n.º 1907/2006 do Parlamento Europeu e do Conselho, de 18 de dezembro de 2006, relativo ao registo, avaliação, autorização e restrição dos produtos químicos (REACH), que cria a Agência Europeia dos Produtos Químicos, que altera a Diretiva 1999/45/CE e que revoga o Regulamento (CEE) n.º 793/93 do Conselho e o Regulamento (CE) n.º 1488/94 da Comissão, bem como a Diretiva 76/769/CEE do Conselho e as Diretivas 91/155/CEE, 93/67/CEE, 93/105/CE e 2000/21/CE da Comissão (JO L 396 de 30.12.2006, p. 1); </w:t>
      </w:r>
    </w:p>
    <w:p>
      <w:pPr>
        <w:pStyle w:val="Point0"/>
        <w:rPr>
          <w:noProof/>
        </w:rPr>
      </w:pPr>
      <w:r>
        <w:rPr>
          <w:noProof/>
        </w:rPr>
        <w:t>ix)</w:t>
      </w:r>
      <w:r>
        <w:rPr>
          <w:noProof/>
        </w:rPr>
        <w:tab/>
        <w:t>Diretiva (UE) 2015/2193 do Parlamento Europeu e do Conselho, de 25 de novembro de 2015, relativa à limitação das emissões para a atmosfera de certos poluentes provenientes de médias instalações de combustão (JO L 313 de 28.11.2015, p. 1).</w:t>
      </w:r>
    </w:p>
    <w:p>
      <w:pPr>
        <w:pStyle w:val="Point0"/>
        <w:rPr>
          <w:b/>
          <w:noProof/>
        </w:rPr>
      </w:pPr>
      <w:r>
        <w:rPr>
          <w:b/>
          <w:noProof/>
        </w:rPr>
        <w:t>F.</w:t>
      </w:r>
      <w:r>
        <w:rPr>
          <w:noProof/>
        </w:rPr>
        <w:tab/>
      </w:r>
      <w:r>
        <w:rPr>
          <w:b/>
          <w:noProof/>
        </w:rPr>
        <w:t>Artigo 1.º, alínea a), subalínea vi) — Segurança nuclear</w:t>
      </w:r>
    </w:p>
    <w:p>
      <w:pPr>
        <w:rPr>
          <w:noProof/>
        </w:rPr>
      </w:pPr>
      <w:r>
        <w:rPr>
          <w:noProof/>
        </w:rPr>
        <w:t>Normas em matéria de segurança nuclear, estabelecidas por: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Diretiva 2009/71/Euratom do Conselho, de 25 de junho de 2009, que estabelece um quadro comunitário para a segurança nuclear das instalações nucleares (JO L 172 de 2.7.2009, p. 18);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Diretiva 2013/51/Euratom do Conselho, de 22 de outubro de 2013, que estabelece requisitos para a proteção da saúde do público em geral no que diz respeito às substâncias radioativas presentes na água destinada ao consumo humano (JO L 296 de 7.11.2013, p. 12);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Diretiva 2013/59/Euratom do Conselho, de 5 de dezembro de 2013, que fixa as normas de segurança de base relativas à proteção contra os perigos resultantes da exposição a radiações ionizantes, e que revoga as Diretivas 89/618/Euratom, 90/641/Euratom, 96/29/Euratom, 97/43/Euratom e 2003/122/Euratom (JO L 13 de 17.1.2014, p. 1);</w:t>
      </w:r>
    </w:p>
    <w:p>
      <w:pPr>
        <w:pStyle w:val="Point0"/>
        <w:rPr>
          <w:noProof/>
        </w:rPr>
      </w:pPr>
      <w:r>
        <w:rPr>
          <w:noProof/>
        </w:rPr>
        <w:t>iv)</w:t>
      </w:r>
      <w:r>
        <w:rPr>
          <w:noProof/>
        </w:rPr>
        <w:tab/>
        <w:t>Diretiva 2011/70/Euratom do Conselho, de 19 de julho de 2011, que estabelece um quadro comunitário para a gestão responsável e segura do combustível irradiado e dos resíduos radioativos (JO L 199 de 2.8.2011, p. 48);</w:t>
      </w:r>
    </w:p>
    <w:p>
      <w:pPr>
        <w:pStyle w:val="Point0"/>
        <w:rPr>
          <w:noProof/>
        </w:rPr>
      </w:pPr>
      <w:r>
        <w:rPr>
          <w:noProof/>
        </w:rPr>
        <w:t>v)</w:t>
      </w:r>
      <w:r>
        <w:rPr>
          <w:noProof/>
        </w:rPr>
        <w:tab/>
        <w:t>Diretiva 2006/117/Euratom do Conselho, de 20 de novembro de 2006, relativa à fiscalização e ao controlo das transferências de resíduos radioativos e de combustível nuclear irradiado (JO C 337 de 5.12.2006, p. 21).</w:t>
      </w:r>
    </w:p>
    <w:p>
      <w:pPr>
        <w:pStyle w:val="Point0"/>
        <w:rPr>
          <w:b/>
          <w:noProof/>
        </w:rPr>
      </w:pPr>
      <w:r>
        <w:rPr>
          <w:b/>
          <w:noProof/>
        </w:rPr>
        <w:t>G.</w:t>
      </w:r>
      <w:r>
        <w:rPr>
          <w:noProof/>
        </w:rPr>
        <w:tab/>
      </w:r>
      <w:r>
        <w:rPr>
          <w:b/>
          <w:noProof/>
        </w:rPr>
        <w:t xml:space="preserve">Artigo 1.º, alínea a), subalínea vii) — Segurança dos alimentos para consumo humano e animal, saúde animal e bem-estar animal: 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 xml:space="preserve">Legislação da União sobre alimentos para consumo humano e animal que se regem pelos princípios e normas gerais definidos no Regulamento (CE) n.º 178/2002 </w:t>
      </w:r>
      <w:r>
        <w:rPr>
          <w:rStyle w:val="st"/>
          <w:noProof/>
        </w:rPr>
        <w:t>do Parlamento Europeu e do Conselho</w:t>
      </w:r>
      <w:r>
        <w:rPr>
          <w:noProof/>
        </w:rPr>
        <w:t>, de 28 de janeiro de 2002, que determina os princípios e normas gerais da legislação alimentar, cria a Autoridade Europeia para a Segurança dos Alimentos e estabelece procedimentos em matéria de segurança dos géneros alimentícios (JO L 31 de 1.2.2002, p. 1).</w:t>
      </w:r>
    </w:p>
    <w:p>
      <w:pPr>
        <w:pStyle w:val="NumPar1"/>
        <w:rPr>
          <w:noProof/>
        </w:rPr>
      </w:pPr>
      <w:r>
        <w:rPr>
          <w:noProof/>
        </w:rPr>
        <w:t>A saúde animal, objeto do Regulamento (UE) 2016/429 do Parlamento Europeu e do Conselho, de 9 de março de 2016, relativo às doenças animais transmissíveis e que altera e revoga determinados atos no domínio da saúde animal («Lei da Saúde Animal») (JO L 84 de 31.3.2016, p. 1).</w:t>
      </w:r>
    </w:p>
    <w:p>
      <w:pPr>
        <w:pStyle w:val="NumPar1"/>
        <w:rPr>
          <w:noProof/>
        </w:rPr>
      </w:pPr>
      <w:r>
        <w:rPr>
          <w:noProof/>
        </w:rPr>
        <w:t>Regulamento (UE) 2017/625 do Parlamento Europeu e do Conselho, de 15 de março de 2017, relativo aos controlos oficiais e outras atividades oficiais que visam assegurar a aplicação da legislação em matéria de géneros alimentícios e alimentos para animais e das regras sobre saúde e bem-estar animal, fitossanidade e produtos fitofarmacêuticos, que altera os Regulamentos (CE) n.º 999/2001, (CE) n.º 396/2005, (CE) n.º 1069/2009, (CE) n.º 1107/2009, (UE) n.º 1151/2012, (UE) n.º 652/2014, (UE) 2016/429 e (UE) 2016/2031 do Parlamento Europeu e do Conselho, os Regulamentos (CE) n.º 1/2005 e (CE) n.º 1099/2009 do Conselho, e as Diretivas 98/58/CE, 1999/74/CE, 2007/43/CE, 2008/119/CE e 2008/120/CE do Conselho, e que revoga os Regulamentos (CE) n.º 854/2004 e (CE) n.º 882/2004 do Parlamento Europeu e do Conselho, as Diretivas 89/608/CEE, 89/662/CEE, 90/425/CEE, 91/496/CEE, 96/23/CE, 96/93/CE e 97/78/CE do Conselho e a Decisão 92/438/CEE do Conselho (Regulamento sobre os controlos oficiais) (JO L 95 de 7.4.2017, p. 1).</w:t>
      </w:r>
    </w:p>
    <w:p>
      <w:pPr>
        <w:pStyle w:val="NumPar1"/>
        <w:rPr>
          <w:noProof/>
        </w:rPr>
      </w:pPr>
      <w:r>
        <w:rPr>
          <w:noProof/>
        </w:rPr>
        <w:t xml:space="preserve">Proteção do bem-estar animal, objeto de: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Diretiva 98/58/CE do Conselho, de 20 de julho de 1998, relativa à proteção dos animais nas explorações pecuárias (JO L 221 de 8.8.1998, p. 23);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Regulamento (CE) n.º 1/2005 do Conselho, de 22 de dezembro de 2004, relativo à proteção dos animais durante o transporte e operações afins e que altera as Diretivas 64/432/CEE e 93/119/CE e o Regulamento (CE) n.º 1255/97 (JO L 3 de 5.1.2005, p. 1);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Regulamento (CE) n.º 1099/2009 do Conselho, de 24 de setembro de 2009, relativo à proteção dos animais no momento da occisão (JO L 303 de 18.11.2009, p. 1).</w:t>
      </w:r>
    </w:p>
    <w:p>
      <w:pPr>
        <w:pStyle w:val="Point0"/>
        <w:rPr>
          <w:b/>
          <w:noProof/>
        </w:rPr>
      </w:pPr>
      <w:r>
        <w:rPr>
          <w:b/>
          <w:noProof/>
        </w:rPr>
        <w:t>H.</w:t>
      </w:r>
      <w:r>
        <w:rPr>
          <w:noProof/>
        </w:rPr>
        <w:tab/>
      </w:r>
      <w:r>
        <w:rPr>
          <w:b/>
          <w:noProof/>
        </w:rPr>
        <w:t xml:space="preserve">Artigo 1.º, alínea a), subalínea viii) — Saúde pública: </w:t>
      </w:r>
    </w:p>
    <w:p>
      <w:pPr>
        <w:pStyle w:val="NumPar1"/>
        <w:numPr>
          <w:ilvl w:val="0"/>
          <w:numId w:val="12"/>
        </w:numPr>
        <w:rPr>
          <w:noProof/>
        </w:rPr>
      </w:pPr>
      <w:r>
        <w:rPr>
          <w:noProof/>
        </w:rPr>
        <w:t xml:space="preserve">Medidas que estabelecem normas elevadas de qualidade e segurança para os órgãos e substâncias de origem humana, constantes de: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Diretiva 2002/98/CE do Parlamento Europeu e do Conselho, de 27 de janeiro de 2003, que estabelece normas de qualidade e segurança em relação à colheita, análise, processamento, armazenamento e distribuição de sangue humano e de componentes sanguíneos e que altera a Diretiva 2001/83/CE (JO L 33 de 8.2.2003, p. 30); 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Diretiva 2004/23/CE do Parlamento Europeu e do Conselho, de 31 de março de 2004, relativa ao estabelecimento de normas de qualidade e segurança em relação à dádiva, colheita, análise, processamento, preservação, armazenamento e distribuição de tecidos e células de origem humana (JO L 102 de 7.4.2004, p. 48);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Diretiva 2010/45/UE do Parlamento Europeu e do Conselho, de 7 de julho de 2010, relativa a normas de qualidade e segurança dos órgãos humanos destinados a transplantação (JO L 207 de 6.8.2010, p. 14).</w:t>
      </w:r>
    </w:p>
    <w:p>
      <w:pPr>
        <w:pStyle w:val="NumPar1"/>
        <w:rPr>
          <w:noProof/>
        </w:rPr>
      </w:pPr>
      <w:r>
        <w:rPr>
          <w:noProof/>
        </w:rPr>
        <w:t xml:space="preserve">Medidas que estabelecem normas elevadas de qualidade e segurança para os medicamentos e dispositivos para uso médico, constantes de: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Regulamento (CE) n.º 141/2000 do Parlamento Europeu e do Conselho, de 16 de dezembro de 1999, relativo aos medicamentos órfãos (JO L 18 de 22.1.2000, p. 1); 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Diretiva 2001/83/CE, de 6 de novembro de 2001, que estabelece um código comunitário relativo aos medicamentos para uso humano (JO L 311 de 28.11.2001, p. 67); 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Diretiva 2001/82/CE do Parlamento Europeu e do Conselho, de 6 de novembro de 2001, que estabelece um código comunitário relativo aos medicamentos veterinários (JO L 311 de 28.11.2001, p. 1);</w:t>
      </w:r>
    </w:p>
    <w:p>
      <w:pPr>
        <w:pStyle w:val="Point0"/>
        <w:rPr>
          <w:noProof/>
        </w:rPr>
      </w:pPr>
      <w:r>
        <w:rPr>
          <w:noProof/>
        </w:rPr>
        <w:t>iv)</w:t>
      </w:r>
      <w:r>
        <w:rPr>
          <w:noProof/>
        </w:rPr>
        <w:tab/>
        <w:t xml:space="preserve">Regulamento (CE) n.º 726/2004 </w:t>
      </w:r>
      <w:r>
        <w:rPr>
          <w:rStyle w:val="st"/>
          <w:noProof/>
        </w:rPr>
        <w:t>do Parlamento Europeu e do Conselho</w:t>
      </w:r>
      <w:r>
        <w:rPr>
          <w:noProof/>
        </w:rPr>
        <w:t xml:space="preserve">, de 31 de março de 2004, que estabelece procedimentos comunitários de autorização e de fiscalização de medicamentos para uso humano e veterinário e que institui uma Agência Europeia de Medicamentos (JO L 136 de 30.4.2004, p. 1); </w:t>
      </w:r>
    </w:p>
    <w:p>
      <w:pPr>
        <w:pStyle w:val="Point0"/>
        <w:rPr>
          <w:noProof/>
        </w:rPr>
      </w:pPr>
      <w:r>
        <w:rPr>
          <w:noProof/>
        </w:rPr>
        <w:t>v)</w:t>
      </w:r>
      <w:r>
        <w:rPr>
          <w:noProof/>
        </w:rPr>
        <w:tab/>
        <w:t>Regulamento (CE) n.º 1901/2006 do Parlamento Europeu e do Conselho, de 12 de dezembro de 2006, relativo a medicamentos para uso pediátrico e que altera o Regulamento (CEE) n.º 1768/92, a Diretiva 2001/20/CE, a Diretiva 2001/83/CE e o Regulamento (CE) n.º 726/2004 (JO L 378 de 27.12.2006, p. 1);</w:t>
      </w:r>
    </w:p>
    <w:p>
      <w:pPr>
        <w:pStyle w:val="Point0"/>
        <w:rPr>
          <w:noProof/>
        </w:rPr>
      </w:pPr>
      <w:r>
        <w:rPr>
          <w:noProof/>
        </w:rPr>
        <w:t>vi)</w:t>
      </w:r>
      <w:r>
        <w:rPr>
          <w:noProof/>
        </w:rPr>
        <w:tab/>
        <w:t xml:space="preserve">Regulamento (CE) n.º 1394/2007 do </w:t>
      </w:r>
      <w:r>
        <w:rPr>
          <w:rStyle w:val="st"/>
          <w:noProof/>
        </w:rPr>
        <w:t>Parlamento Europeu e do Conselho</w:t>
      </w:r>
      <w:r>
        <w:rPr>
          <w:noProof/>
        </w:rPr>
        <w:t xml:space="preserve">, de 13 de novembro de 2007, relativo a medicamentos de terapia avançada e que altera a Diretiva 2001/83/CE e o Regulamento (CE) n.º 726/2004 (JO L 324 de 10.12.2007, p. 121); </w:t>
      </w:r>
    </w:p>
    <w:p>
      <w:pPr>
        <w:pStyle w:val="Point0"/>
        <w:rPr>
          <w:noProof/>
        </w:rPr>
      </w:pPr>
      <w:r>
        <w:rPr>
          <w:noProof/>
        </w:rPr>
        <w:t>vii)</w:t>
      </w:r>
      <w:r>
        <w:rPr>
          <w:noProof/>
        </w:rPr>
        <w:tab/>
        <w:t>Regulamento (UE) n.º 536/2014 do Parlamento Europeu e do Conselho, de 16 de abril de 2014, relativo aos ensaios clínicos de medicamentos para uso humano e que revoga a Diretiva 2001/20/CE (JO L 158 de 27.5.2014, p. 1).</w:t>
      </w:r>
    </w:p>
    <w:p>
      <w:pPr>
        <w:pStyle w:val="NumPar1"/>
        <w:rPr>
          <w:noProof/>
        </w:rPr>
      </w:pPr>
      <w:r>
        <w:rPr>
          <w:noProof/>
        </w:rPr>
        <w:t xml:space="preserve">As ameaças transfronteiriças graves para a saúde, objeto da Decisão n.º 1082/2013/UE do Parlamento Europeu e do Conselho, de 22 de outubro de 2013, relativa às ameaças sanitárias transfronteiriças graves e que revoga a Decisão n. º 2119/98/CE (JO L 293 de 5.11.2013, p. 1). </w:t>
      </w:r>
    </w:p>
    <w:p>
      <w:pPr>
        <w:pStyle w:val="NumPar1"/>
        <w:rPr>
          <w:noProof/>
        </w:rPr>
      </w:pPr>
      <w:r>
        <w:rPr>
          <w:noProof/>
        </w:rPr>
        <w:t>Os direitos dos doentes, regulados pela Diretiva 2011/24/UE do Parlamento Europeu e do Conselho, de 9 de março de 2011, relativa ao exercício dos direitos dos doentes em matéria de cuidados de saúde transfronteiriços (JO L 88 de 4.4.2011, p. 45).</w:t>
      </w:r>
    </w:p>
    <w:p>
      <w:pPr>
        <w:pStyle w:val="NumPar1"/>
        <w:rPr>
          <w:noProof/>
        </w:rPr>
      </w:pPr>
      <w:r>
        <w:rPr>
          <w:noProof/>
        </w:rPr>
        <w:t>O fabrico, a apresentação e a venda de produtos do tabaco e produtos afins, regulados pela Diretiva 2014/40/UE do Parlamento Europeu e do Conselho, de 3 de abril de 2014, relativa à aproximação das disposições legislativas, regulamentares e administrativas dos Estados-Membros no que respeita ao fabrico, apresentação e venda de produtos do tabaco e produtos afins e que revoga a Diretiva 2001/37/CE (JO L 127 de 29.4.2014, p. 1).</w:t>
      </w:r>
    </w:p>
    <w:p>
      <w:pPr>
        <w:pStyle w:val="Point0"/>
        <w:rPr>
          <w:b/>
          <w:noProof/>
        </w:rPr>
      </w:pPr>
      <w:r>
        <w:rPr>
          <w:b/>
          <w:noProof/>
        </w:rPr>
        <w:t>I.</w:t>
      </w:r>
      <w:r>
        <w:rPr>
          <w:noProof/>
        </w:rPr>
        <w:tab/>
      </w:r>
      <w:r>
        <w:rPr>
          <w:b/>
          <w:noProof/>
        </w:rPr>
        <w:t xml:space="preserve">Artigo 1.º, alínea a), subalínea ix) — Defesa do consumidor: </w:t>
      </w:r>
    </w:p>
    <w:p>
      <w:pPr>
        <w:rPr>
          <w:noProof/>
          <w:szCs w:val="24"/>
        </w:rPr>
      </w:pPr>
      <w:r>
        <w:rPr>
          <w:noProof/>
        </w:rPr>
        <w:t>Direitos dos consumidores e proteção dos consumidores, regulados por: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Diretiva 98/6/CE do Parlamento Europeu e do Conselho, de 16 de fevereiro de 1998, relativa à defesa dos consumidores em matéria de indicações dos preços dos produtos oferecidos aos consumidores (JO L 80 de 18.3.1998, p. 27);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Diretiva 1999/44/CE do Parlamento Europeu e do Conselho, de 25 de maio de 1999, relativa a certos aspetos da venda de bens de consumo e das garantias a ela relativas (JO L 171 de 7.7.1999, p. 12);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 xml:space="preserve">Diretiva 2002/65/CE do Parlamento Europeu e do Conselho, de 23 de setembro de 2002, relativa à comercialização à distância de serviços financeiros prestados a consumidores e que altera as Diretivas 90/619/CEE do Conselho, 97/7/CE e 98/27/CE (JO L 271 de 9.10.2002, p. 16); </w:t>
      </w:r>
    </w:p>
    <w:p>
      <w:pPr>
        <w:pStyle w:val="Point0"/>
        <w:rPr>
          <w:noProof/>
        </w:rPr>
      </w:pPr>
      <w:r>
        <w:rPr>
          <w:noProof/>
        </w:rPr>
        <w:t>iv)</w:t>
      </w:r>
      <w:r>
        <w:rPr>
          <w:noProof/>
        </w:rPr>
        <w:tab/>
        <w:t>Diretiva 2005/29/CE do Parlamento Europeu e do Conselho, de 11 de maio de 2005, relativa às práticas comerciais desleais das empresas face aos consumidores no mercado interno e que altera a Diretiva 84/450/CEE do Conselho, as Diretivas 97/7/CE, 98/27/CE e 2002/65/CE do Parlamento Europeu e do Conselho e o Regulamento (CE) n.º 2006/2004 do Parlamento Europeu e do Conselho (Diretiva «Práticas comerciais desleais») (JO L 149 de 11.6.2005, p. 22);</w:t>
      </w:r>
    </w:p>
    <w:p>
      <w:pPr>
        <w:pStyle w:val="Point0"/>
        <w:rPr>
          <w:noProof/>
        </w:rPr>
      </w:pPr>
      <w:r>
        <w:rPr>
          <w:noProof/>
        </w:rPr>
        <w:t>v)</w:t>
      </w:r>
      <w:r>
        <w:rPr>
          <w:noProof/>
        </w:rPr>
        <w:tab/>
        <w:t xml:space="preserve">Diretiva 2008/48/CE do Parlamento Europeu e do Conselho, de 23 de abril de 2008, relativa a contratos de crédito aos consumidores e que revoga a Diretiva 87/102/CEE do Conselho (JO L 133 de 22.5.2008, p. 66). </w:t>
      </w:r>
    </w:p>
    <w:p>
      <w:pPr>
        <w:pStyle w:val="Point0"/>
        <w:rPr>
          <w:noProof/>
        </w:rPr>
      </w:pPr>
      <w:r>
        <w:rPr>
          <w:noProof/>
        </w:rPr>
        <w:t>vi)</w:t>
      </w:r>
      <w:r>
        <w:rPr>
          <w:noProof/>
        </w:rPr>
        <w:tab/>
        <w:t xml:space="preserve">Diretiva 2011/83/UE do Parlamento Europeu e do Conselho, de 25 de outubro de 2011, relativa aos direitos dos consumidores, que altera a Diretiva 93/13/CEE do Conselho e a Diretiva 1999/44/CE do Parlamento Europeu e do Conselho e que revoga a Diretiva 85/577/CEE do Conselho e a Diretiva 97/7/CE do Parlamento Europeu e do Conselho (JO L 304 de 22.11.2011, p. 64); </w:t>
      </w:r>
    </w:p>
    <w:p>
      <w:pPr>
        <w:pStyle w:val="Point0"/>
        <w:rPr>
          <w:noProof/>
        </w:rPr>
      </w:pPr>
      <w:r>
        <w:rPr>
          <w:noProof/>
        </w:rPr>
        <w:t>vii)</w:t>
      </w:r>
      <w:r>
        <w:rPr>
          <w:noProof/>
        </w:rPr>
        <w:tab/>
        <w:t>Diretiva 2014/92/UE do Parlamento Europeu e do Conselho, de 23 de julho de 2014, relativa à comparabilidade das comissões relacionadas com as contas de pagamento, à mudança de conta de pagamento e ao acesso a contas de pagamento com características básicas (JO L 257 de 28.8.2014, p. 214).</w:t>
      </w:r>
    </w:p>
    <w:p>
      <w:pPr>
        <w:pStyle w:val="Point0"/>
        <w:rPr>
          <w:b/>
          <w:noProof/>
        </w:rPr>
      </w:pPr>
      <w:r>
        <w:rPr>
          <w:b/>
          <w:noProof/>
        </w:rPr>
        <w:t>J.</w:t>
      </w:r>
      <w:r>
        <w:rPr>
          <w:noProof/>
        </w:rPr>
        <w:tab/>
      </w:r>
      <w:r>
        <w:rPr>
          <w:b/>
          <w:noProof/>
        </w:rPr>
        <w:t xml:space="preserve">Artigo 1.º, alínea a), subalínea x) — Proteção da privacidade e dos dados pessoais, e segurança da rede e dos sistemas de informação: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Diretiva 2002/58/CE do Parlamento Europeu e do Conselho, relativa ao tratamento de dados pessoais e à proteção da privacidade no setor das comunicações eletrónicas (Diretiva relativa à privacidade e às comunicações eletrónicas) (JO L 201 de 31.7.2002, p. 37);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Regulamento (UE) 2016/679 do Parlamento Europeu e do Conselho, de 27 de abril de 2016, relativo à proteção das pessoas singulares no que diz respeito ao tratamento de dados pessoais e à livre circulação desses dados e que revoga a Diretiva 95/46/CE (Regulamento Geral sobre a Proteção de Dados) (JO L 119 de 4.5.2016, p. 1);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Diretiva (UE) 2016/1148 do Parlamento Europeu e do Conselho, de 6 de julho de 2016, relativa a medidas destinadas a garantir um elevado nível comum de segurança das redes e da informação em toda a União (JO L 194 de 19.7.2016, p. 1).</w:t>
      </w:r>
    </w:p>
    <w:p>
      <w:pPr>
        <w:rPr>
          <w:noProof/>
        </w:rPr>
      </w:pP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Parte II</w:t>
      </w:r>
    </w:p>
    <w:p>
      <w:pPr>
        <w:rPr>
          <w:rFonts w:eastAsia="Calibri"/>
          <w:b/>
          <w:noProof/>
          <w:szCs w:val="24"/>
        </w:rPr>
      </w:pPr>
      <w:r>
        <w:rPr>
          <w:noProof/>
        </w:rPr>
        <w:t>O artigo 1.º, n.º 2, da diretiva refere-se à seguinte legislação da União:</w:t>
      </w:r>
    </w:p>
    <w:p>
      <w:pPr>
        <w:pStyle w:val="Point0"/>
        <w:rPr>
          <w:b/>
          <w:noProof/>
        </w:rPr>
      </w:pPr>
      <w:r>
        <w:rPr>
          <w:b/>
          <w:noProof/>
        </w:rPr>
        <w:t>A.</w:t>
      </w:r>
      <w:r>
        <w:rPr>
          <w:noProof/>
        </w:rPr>
        <w:tab/>
      </w:r>
      <w:r>
        <w:rPr>
          <w:b/>
          <w:noProof/>
        </w:rPr>
        <w:t xml:space="preserve">Artigo 1.º, alínea a), subalínea ii) — Serviços financeiros, prevenção do branqueamento de capitais e do financiamento do terrorismo: </w:t>
      </w:r>
    </w:p>
    <w:p>
      <w:pPr>
        <w:pStyle w:val="NumPar1"/>
        <w:numPr>
          <w:ilvl w:val="0"/>
          <w:numId w:val="13"/>
        </w:numPr>
        <w:rPr>
          <w:b/>
          <w:noProof/>
        </w:rPr>
      </w:pPr>
      <w:r>
        <w:rPr>
          <w:b/>
          <w:noProof/>
        </w:rPr>
        <w:t>Serviços financeiros: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Diretiva 2009/65/CE do Parlamento Europeu e do Conselho, de 13 de julho de 2009, que coordena as disposições legislativas, regulamentares e administrativas respeitantes a alguns organismos de investimento coletivo em valores mobiliários (OICVM) (JO L 302 de 17.11.2009, p. 32);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Diretiva (UE) 2016/2341 do Parlamento Europeu e do Conselho, de 14 de dezembro de 2016, relativa às atividades e à supervisão das instituições de realização de planos de pensões profissionais (IRPPP) (JO L 354 de 23.12.2016, p. 37);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Diretiva 2006/43/CE do Parlamento Europeu e do Conselho, de 17 de maio de 2006, relativa à revisão legal das contas anuais e consolidadas, que altera as Diretivas 78/660/CEE e 83/349/CEE do Conselho e que revoga a Diretiva 84/253/CEE do Conselho (JO L 157 de 9.6.2006, p. 87);</w:t>
      </w:r>
    </w:p>
    <w:p>
      <w:pPr>
        <w:pStyle w:val="Point0"/>
        <w:rPr>
          <w:noProof/>
        </w:rPr>
      </w:pPr>
      <w:r>
        <w:rPr>
          <w:noProof/>
        </w:rPr>
        <w:t>iv)</w:t>
      </w:r>
      <w:r>
        <w:rPr>
          <w:noProof/>
        </w:rPr>
        <w:tab/>
        <w:t>Regulamento (UE) n.º 596/2014 do Parlamento Europeu e do Conselho, de 16 de abril de 2014, relativo ao abuso de mercado (regulamento abuso de mercado) e que revoga a Diretiva 2003/6/CE do Parlamento Europeu e do Conselho e as Diretivas 2003/124/CE, 2003/125/CE e 2004/72/CE da Comissão (JO L 173 de 12.6.2014, p. 1);</w:t>
      </w:r>
    </w:p>
    <w:p>
      <w:pPr>
        <w:pStyle w:val="Point0"/>
        <w:rPr>
          <w:noProof/>
        </w:rPr>
      </w:pPr>
      <w:r>
        <w:rPr>
          <w:noProof/>
        </w:rPr>
        <w:t>v)</w:t>
      </w:r>
      <w:r>
        <w:rPr>
          <w:noProof/>
        </w:rPr>
        <w:tab/>
        <w:t>Diretiva 2013/36/UE do Parlamento Europeu e do Conselho, de 26 de junho de 2013, relativa ao acesso à atividade das instituições de crédito e à supervisão prudencial das instituições de crédito e empresas de investimento, que altera a Diretiva 2002/87/CE e revoga as Diretivas 2006/48/CE e 2006/49/CE (JO L 176 de 27.6.2013, p. 338);</w:t>
      </w:r>
    </w:p>
    <w:p>
      <w:pPr>
        <w:pStyle w:val="Point0"/>
        <w:rPr>
          <w:noProof/>
        </w:rPr>
      </w:pPr>
      <w:r>
        <w:rPr>
          <w:noProof/>
        </w:rPr>
        <w:t>vi)</w:t>
      </w:r>
      <w:r>
        <w:rPr>
          <w:noProof/>
        </w:rPr>
        <w:tab/>
        <w:t xml:space="preserve">Diretiva 2014/65/UE do Parlamento Europeu e do Conselho, de 15 de maio de 2014, relativa aos mercados de instrumentos financeiro e que altera a Diretiva 2002/92/CE e a Diretiva 2011/61/UE (JO L 173 de 12.6.2014, p. 349); </w:t>
      </w:r>
    </w:p>
    <w:p>
      <w:pPr>
        <w:pStyle w:val="Point0"/>
        <w:rPr>
          <w:noProof/>
        </w:rPr>
      </w:pPr>
      <w:r>
        <w:rPr>
          <w:noProof/>
        </w:rPr>
        <w:t>vii)</w:t>
      </w:r>
      <w:r>
        <w:rPr>
          <w:noProof/>
        </w:rPr>
        <w:tab/>
        <w:t>Regulamento (UE) n.º 909/2014 do Parlamento Europeu e do Conselho, de 23 de julho de 2014, relativo à melhoria da liquidação de valores mobiliários na União Europeia e às Centrais de Valores Mobiliários e que altera as Diretivas 98/26/CE e 2014/65/UE e o Regulamento (UE) n.º 236/2012 (JO L 257 de 28.8.2014, p. 1);</w:t>
      </w:r>
    </w:p>
    <w:p>
      <w:pPr>
        <w:pStyle w:val="Point0"/>
        <w:rPr>
          <w:noProof/>
        </w:rPr>
      </w:pPr>
      <w:r>
        <w:rPr>
          <w:noProof/>
        </w:rPr>
        <w:t>viii)</w:t>
      </w:r>
      <w:r>
        <w:rPr>
          <w:noProof/>
        </w:rPr>
        <w:tab/>
        <w:t>Regulamento (UE) n.º 1286/2014 do Parlamento Europeu e do Conselho, de 26 de novembro de 2014, sobre os documentos de informação fundamental para pacotes de produtos de investimento de retalho e de produtos de investimento com base em seguros (PRIIPs) (JO L 352 de 9.12.2014, p. 1);</w:t>
      </w:r>
    </w:p>
    <w:p>
      <w:pPr>
        <w:pStyle w:val="Point0"/>
        <w:rPr>
          <w:noProof/>
        </w:rPr>
      </w:pPr>
      <w:r>
        <w:rPr>
          <w:noProof/>
        </w:rPr>
        <w:t>ix)</w:t>
      </w:r>
      <w:r>
        <w:rPr>
          <w:noProof/>
        </w:rPr>
        <w:tab/>
        <w:t>Regulamento (UE) 2015/2365 do Parlamento Europeu e do Conselho, de 25 de novembro de 2015, relativo à transparência das operações de financiamento através de valores mobiliários e de reutilização e que altera o Regulamento (UE) n.º 648/2012 (JO L 337 de 23.12.2015, p. 1);</w:t>
      </w:r>
    </w:p>
    <w:p>
      <w:pPr>
        <w:pStyle w:val="Point0"/>
        <w:rPr>
          <w:noProof/>
        </w:rPr>
      </w:pPr>
      <w:r>
        <w:rPr>
          <w:noProof/>
        </w:rPr>
        <w:t>x)</w:t>
      </w:r>
      <w:r>
        <w:rPr>
          <w:noProof/>
        </w:rPr>
        <w:tab/>
        <w:t>Diretiva (UE) 2016/97 do Parlamento Europeu e do Conselho, de 20 de janeiro de 2016, sobre a distribuição de seguros (reformulação) (JO L 26 de 2.2.2016, p. 19).</w:t>
      </w:r>
    </w:p>
    <w:p>
      <w:pPr>
        <w:pStyle w:val="Point0"/>
        <w:rPr>
          <w:noProof/>
        </w:rPr>
      </w:pPr>
      <w:r>
        <w:rPr>
          <w:noProof/>
        </w:rPr>
        <w:t>xi)</w:t>
      </w:r>
      <w:r>
        <w:rPr>
          <w:noProof/>
        </w:rPr>
        <w:tab/>
        <w:t xml:space="preserve">Regulamento (UE) 2017/1129 do Parlamento Europeu e do Conselho, de 14 de junho de 2017, relativo ao prospeto a publicar em caso de oferta de valores mobiliários ao público ou da sua admissão à negociação num mercado regulamentado (JO L 168 de 30.6.2017, p. 12). </w:t>
      </w:r>
    </w:p>
    <w:p>
      <w:pPr>
        <w:pStyle w:val="NumPar1"/>
        <w:rPr>
          <w:b/>
          <w:noProof/>
        </w:rPr>
      </w:pPr>
      <w:r>
        <w:rPr>
          <w:b/>
          <w:noProof/>
        </w:rPr>
        <w:t>Prevenção do branqueamento de capitais e do financiamento do terrorismo: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>Diretiva (UE) 2015/849 do Parlamento Europeu e do Conselho, de 20 de maio de 2015, relativa à prevenção da utilização do sistema financeiro para efeitos de branqueamento de capitais ou de financiamento do terrorismo, que altera o Regulamento (UE) n.º 648/2012 do Parlamento Europeu e do Conselho, e que revoga a Diretiva 2005/60/CE do Parlamento Europeu e do Conselho e a Diretiva 2006/70/CE da Comissão (JO L 141 de 5.6.2015, p. 73);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Regulamento (UE) 2015/847 do Parlamento Europeu e do Conselho, de 20 de maio de 2015, relativo às informações que acompanham as transferências de fundos e que revoga Regulamento (CE) n.º 1781/2006 (JO L 141 de 5.6.2015, p. 1).</w:t>
      </w:r>
    </w:p>
    <w:p>
      <w:pPr>
        <w:pStyle w:val="Point0"/>
        <w:rPr>
          <w:b/>
          <w:noProof/>
        </w:rPr>
      </w:pPr>
      <w:r>
        <w:rPr>
          <w:b/>
          <w:noProof/>
        </w:rPr>
        <w:t>B.</w:t>
      </w:r>
      <w:r>
        <w:rPr>
          <w:noProof/>
        </w:rPr>
        <w:tab/>
      </w:r>
      <w:r>
        <w:rPr>
          <w:b/>
          <w:noProof/>
        </w:rPr>
        <w:t xml:space="preserve">Artigo 1.º, alínea a), subalínea iv) — Segurança dos transportes: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Regulamento (UE) n.º 376/2014 do Parlamento Europeu e do Conselho, de 3 de abril de 2014, relativo à comunicação, à análise e ao seguimento de ocorrências na aviação civil, que altera o Regulamento (UE) n.º 996/2010 do Parlamento Europeu e do Conselho e revoga a Diretiva 2003/42/CE do Parlamento Europeu e do Conselho, e os Regulamentos (CE) n.º 1321/2007 e (CE) n.º 1330/2007 da Comissão (JO L 122 de 24.4.2014, p. 18); </w:t>
      </w:r>
    </w:p>
    <w:p>
      <w:pPr>
        <w:pStyle w:val="Point0"/>
        <w:rPr>
          <w:noProof/>
        </w:rPr>
      </w:pPr>
      <w:r>
        <w:rPr>
          <w:noProof/>
        </w:rPr>
        <w:t>ii)</w:t>
      </w:r>
      <w:r>
        <w:rPr>
          <w:noProof/>
        </w:rPr>
        <w:tab/>
        <w:t>Diretiva 2013/54/UE do Parlamento Europeu e do Conselho, de 20 de novembro de 2013, relativa a certas responsabilidades do Estado de bandeira no cumprimento e aplicação da Convenção do Trabalho Marítimo, de 2006 (JO L 329 de 10.12.2013, p. 1).</w:t>
      </w:r>
    </w:p>
    <w:p>
      <w:pPr>
        <w:pStyle w:val="Point0"/>
        <w:rPr>
          <w:noProof/>
        </w:rPr>
      </w:pPr>
      <w:r>
        <w:rPr>
          <w:noProof/>
        </w:rPr>
        <w:t>iii)</w:t>
      </w:r>
      <w:r>
        <w:rPr>
          <w:noProof/>
        </w:rPr>
        <w:tab/>
        <w:t>Diretiva 2009/16/CE do Parlamento Europeu e do Conselho, de 23 de abril de 2009, relativa à inspeção de navios pelo Estado do porto (JO L 131 de 28.5.2009, p. 57).</w:t>
      </w:r>
    </w:p>
    <w:p>
      <w:pPr>
        <w:pStyle w:val="Point0"/>
        <w:rPr>
          <w:b/>
          <w:noProof/>
        </w:rPr>
      </w:pPr>
      <w:r>
        <w:rPr>
          <w:b/>
          <w:noProof/>
        </w:rPr>
        <w:t>C.</w:t>
      </w:r>
      <w:r>
        <w:rPr>
          <w:noProof/>
        </w:rPr>
        <w:tab/>
      </w:r>
      <w:r>
        <w:rPr>
          <w:b/>
          <w:noProof/>
        </w:rPr>
        <w:t xml:space="preserve">Artigo 1.º, alínea a), subalínea v) — Proteção do ambiente: </w:t>
      </w:r>
    </w:p>
    <w:p>
      <w:pPr>
        <w:pStyle w:val="Point0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Diretiva 2013/30/UE do Parlamento Europeu e do Conselho, de 12 de junho de 2013, relativa à segurança das operações </w:t>
      </w:r>
      <w:r>
        <w:rPr>
          <w:i/>
          <w:noProof/>
        </w:rPr>
        <w:t>offshore</w:t>
      </w:r>
      <w:r>
        <w:rPr>
          <w:noProof/>
        </w:rPr>
        <w:t xml:space="preserve"> de petróleo e gás e que altera a Diretiva 2004/35/CE (JO L 178 de 28.6.2013, p. 66).</w:t>
      </w:r>
    </w:p>
    <w:sectPr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PT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PT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 xml:space="preserve">2017/0353 (COD) - Trata-se, neste momento, de uma proposta de regulamento que estabelece regras e procedimentos para o cumprimento e a aplicação da legislação de harmonização da União respeitante aos produtos e que altera os Regulamentos (UE) n.º 305/2011, (UE) n.º 528/2012, (UE) 2016/424, (UE) 2016/425, (UE) 2016/426 e (UE) 2017/1369 do Parlamento Europeu e do Conselho, e as Diretivas 2004/42/CE, 2009/48/CE, 2010/35/UE, 2013/29/UE, 2013/53/UE, 2014/28/UE, 2014/29/UE, 2014/30/UE, 2014/31/UE, 2014/32/UE, 2014/33/UE, 2014/34/UE, 2014/35/UE, 2014/53/UE, 2014/68/UE e 2014/90/UE do Parlamento Europeu e do Conselho, que incluem uma definição de «legislação harmonizada da UE» e um anexo com a lista de toda a legislação harmonizada, referindo-se aos «produtos harmonizados» em termos gerais.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5041F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0987F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D6A86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6EED8B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486B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B76F4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36468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3B2FF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6 12:02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a Proposta "/>
    <w:docVar w:name="LW_ACCOMPAGNANT.CP" w:val="da Proposta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DCFB81C-DCD6-48C6-B2AC-EF6E718ED40B"/>
    <w:docVar w:name="LW_COVERPAGE_TYPE" w:val="1"/>
    <w:docVar w:name="LW_CROSSREFERENCE" w:val="{SEC(2018) 198 final}_x000b_{SWD(2018) 116 final}_x000b_{SWD(2018) 117 final}"/>
    <w:docVar w:name="LW_DocType" w:val="ANNEX"/>
    <w:docVar w:name="LW_EMISSION" w:val="23.4.2018"/>
    <w:docVar w:name="LW_EMISSION_ISODATE" w:val="2018-04-23"/>
    <w:docVar w:name="LW_EMISSION_LOCATION" w:val="BRX"/>
    <w:docVar w:name="LW_EMISSION_PREFIX" w:val="Bruxelas,"/>
    <w:docVar w:name="LW_EMISSION_SUFFIX" w:val=" "/>
    <w:docVar w:name="LW_ID_DOCSTRUCTURE" w:val="COM/ANNEX"/>
    <w:docVar w:name="LW_ID_DOCTYPE" w:val="SG-017"/>
    <w:docVar w:name="LW_LANGUE" w:val="PT"/>
    <w:docVar w:name="LW_LEVEL_OF_SENSITIVITY" w:val="Standard treatment"/>
    <w:docVar w:name="LW_NOM.INST" w:val="COMISSÃO EUROPEIA"/>
    <w:docVar w:name="LW_NOM.INST_JOINTDOC" w:val="&lt;EMPTY&gt;"/>
    <w:docVar w:name="LW_OBJETACTEPRINCIPAL" w:val="relativa à proteção das pessoas que denunciam violações do direito da UE_x000b_"/>
    <w:docVar w:name="LW_OBJETACTEPRINCIPAL.CP" w:val="relativa à proteção das pessoas que denunciam violações do direito da U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1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EXO"/>
    <w:docVar w:name="LW_TYPE.DOC.CP" w:val="ANEXO"/>
    <w:docVar w:name="LW_TYPEACTEPRINCIPAL" w:val="de DIRETIVA DO PARLAMENTO EUROPEU E DO CONSELHO "/>
    <w:docVar w:name="LW_TYPEACTEPRINCIPAL.CP" w:val="de DIRETIVA DO PARLAMENTO EUROPEU E DO CONSELHO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ListBullet4">
    <w:name w:val="List Bullet 4"/>
    <w:basedOn w:val="Normal"/>
    <w:unhideWhenUsed/>
    <w:pPr>
      <w:numPr>
        <w:numId w:val="1"/>
      </w:numPr>
      <w:contextualSpacing/>
    </w:pPr>
  </w:style>
  <w:style w:type="character" w:styleId="CommentReference">
    <w:name w:val="annotation reference"/>
    <w:uiPriority w:val="99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 w:eastAsia="pt-PT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L Char"/>
    <w:basedOn w:val="DefaultParagraphFont"/>
    <w:link w:val="ListParagraph"/>
    <w:uiPriority w:val="34"/>
    <w:locked/>
    <w:rPr>
      <w:rFonts w:ascii="Calibri" w:hAnsi="Calibri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L"/>
    <w:basedOn w:val="Normal"/>
    <w:link w:val="ListParagraphChar"/>
    <w:uiPriority w:val="34"/>
    <w:qFormat/>
    <w:pPr>
      <w:spacing w:before="0" w:after="0"/>
      <w:ind w:left="720"/>
      <w:jc w:val="left"/>
    </w:pPr>
    <w:rPr>
      <w:rFonts w:ascii="Calibri" w:hAnsi="Calibri" w:cstheme="minorBidi"/>
      <w:sz w:val="22"/>
    </w:rPr>
  </w:style>
  <w:style w:type="character" w:customStyle="1" w:styleId="st">
    <w:name w:val="st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ListBullet4">
    <w:name w:val="List Bullet 4"/>
    <w:basedOn w:val="Normal"/>
    <w:unhideWhenUsed/>
    <w:pPr>
      <w:numPr>
        <w:numId w:val="1"/>
      </w:numPr>
      <w:contextualSpacing/>
    </w:pPr>
  </w:style>
  <w:style w:type="character" w:styleId="CommentReference">
    <w:name w:val="annotation reference"/>
    <w:uiPriority w:val="99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 w:eastAsia="pt-PT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L Char"/>
    <w:basedOn w:val="DefaultParagraphFont"/>
    <w:link w:val="ListParagraph"/>
    <w:uiPriority w:val="34"/>
    <w:locked/>
    <w:rPr>
      <w:rFonts w:ascii="Calibri" w:hAnsi="Calibri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L"/>
    <w:basedOn w:val="Normal"/>
    <w:link w:val="ListParagraphChar"/>
    <w:uiPriority w:val="34"/>
    <w:qFormat/>
    <w:pPr>
      <w:spacing w:before="0" w:after="0"/>
      <w:ind w:left="720"/>
      <w:jc w:val="left"/>
    </w:pPr>
    <w:rPr>
      <w:rFonts w:ascii="Calibri" w:hAnsi="Calibri" w:cstheme="minorBidi"/>
      <w:sz w:val="22"/>
    </w:rPr>
  </w:style>
  <w:style w:type="character" w:customStyle="1" w:styleId="st">
    <w:name w:val="st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6770F3F42B428D9987B4F35AF361" ma:contentTypeVersion="0" ma:contentTypeDescription="Create a new document." ma:contentTypeScope="" ma:versionID="101096eaaa9b4f5340de5e12c7bfc6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D515-AB15-464A-82D5-784039DFA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366A5-7B22-4A3F-90FC-86B3D433DC53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BCCE274-FCDA-4363-9CDD-6FA243980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AC4022-8F01-4D25-8DE8-E6049419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11</Pages>
  <Words>4774</Words>
  <Characters>24301</Characters>
  <Application>Microsoft Office Word</Application>
  <DocSecurity>0</DocSecurity>
  <Lines>411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Krisztina (JUST-EXT)</dc:creator>
  <cp:lastModifiedBy>DIGIT/A3</cp:lastModifiedBy>
  <cp:revision>8</cp:revision>
  <cp:lastPrinted>2018-04-09T08:24:00Z</cp:lastPrinted>
  <dcterms:created xsi:type="dcterms:W3CDTF">2018-05-14T12:54:00Z</dcterms:created>
  <dcterms:modified xsi:type="dcterms:W3CDTF">2018-05-16T10:02:00Z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WCR Document">
    <vt:lpwstr>True</vt:lpwstr>
  </property>
  <property fmtid="{D5CDD505-2E9C-101B-9397-08002B2CF9AE}" pid="12" name="LWCR Version">
    <vt:lpwstr>1.6.413</vt:lpwstr>
  </property>
  <property fmtid="{D5CDD505-2E9C-101B-9397-08002B2CF9AE}" pid="13" name="Level of sensitivity">
    <vt:lpwstr>Standard treatment</vt:lpwstr>
  </property>
  <property fmtid="{D5CDD505-2E9C-101B-9397-08002B2CF9AE}" pid="14" name="Classification">
    <vt:lpwstr> </vt:lpwstr>
  </property>
  <property fmtid="{D5CDD505-2E9C-101B-9397-08002B2CF9AE}" pid="15" name="Unique annex">
    <vt:lpwstr>0</vt:lpwstr>
  </property>
  <property fmtid="{D5CDD505-2E9C-101B-9397-08002B2CF9AE}" pid="16" name="ContentTypeId">
    <vt:lpwstr>0x0101007D3E6770F3F42B428D9987B4F35AF361</vt:lpwstr>
  </property>
  <property fmtid="{D5CDD505-2E9C-101B-9397-08002B2CF9AE}" pid="17" name="DQCStatus">
    <vt:lpwstr>Green (DQC version 03)</vt:lpwstr>
  </property>
</Properties>
</file>