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333A3591-C3FC-4207-A253-733E67905BC6" style="width:450.75pt;height:333.75pt">
            <v:imagedata r:id="rId9" o:title=""/>
          </v:shape>
        </w:pict>
      </w:r>
    </w:p>
    <w:bookmarkEnd w:id="0"/>
    <w:p>
      <w:pPr>
        <w:spacing w:before="120" w:after="120" w:line="240" w:lineRule="auto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2"/>
        <w:numPr>
          <w:ilvl w:val="0"/>
          <w:numId w:val="27"/>
        </w:numPr>
        <w:spacing w:before="120" w:after="120" w:line="240" w:lineRule="auto"/>
        <w:rPr>
          <w:noProof/>
        </w:rPr>
      </w:pPr>
      <w:bookmarkStart w:id="1" w:name="_GoBack"/>
      <w:bookmarkEnd w:id="1"/>
      <w:r>
        <w:rPr>
          <w:noProof/>
        </w:rPr>
        <w:lastRenderedPageBreak/>
        <w:t>Introduzione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hAnsi="Times New Roman"/>
          <w:noProof/>
          <w:sz w:val="24"/>
        </w:rPr>
        <w:t xml:space="preserve">In occasione del 60° anniversario della firma dei trattati di Roma, i leader dei 27 Stati membri e delle istituzioni dell’Unione europea hanno espresso l’auspicio di un’Unione </w:t>
      </w:r>
      <w:r>
        <w:rPr>
          <w:rFonts w:ascii="Times New Roman" w:hAnsi="Times New Roman"/>
          <w:i/>
          <w:noProof/>
          <w:sz w:val="24"/>
        </w:rPr>
        <w:t>in cui i cittadini abbiano nuove opportunità di sviluppo culturale e sociale e di crescita economica. [...] un’Unione che preservi il nostro patrimonio culturale e promuova la diversità culturale</w:t>
      </w:r>
      <w:r>
        <w:rPr>
          <w:rFonts w:ascii="Times New Roman" w:hAnsi="Times New Roman"/>
          <w:i/>
          <w:noProof/>
          <w:sz w:val="24"/>
          <w:vertAlign w:val="superscript"/>
        </w:rPr>
        <w:footnoteReference w:id="2"/>
      </w:r>
      <w:r>
        <w:rPr>
          <w:rFonts w:ascii="Times New Roman" w:hAnsi="Times New Roman"/>
          <w:i/>
          <w:noProof/>
          <w:sz w:val="24"/>
        </w:rPr>
        <w:t xml:space="preserve">. </w:t>
      </w:r>
      <w:r>
        <w:rPr>
          <w:rFonts w:ascii="Times New Roman" w:hAnsi="Times New Roman"/>
          <w:noProof/>
          <w:sz w:val="24"/>
        </w:rPr>
        <w:t>Questo messaggio è stato confermato alla riunione dei leader di Göteborg di novembre 2017 e dal Consiglio europeo di dicembre 2017</w:t>
      </w:r>
      <w:bookmarkStart w:id="2" w:name="_Ref508976179"/>
      <w:r>
        <w:rPr>
          <w:rFonts w:ascii="Times New Roman" w:hAnsi="Times New Roman"/>
          <w:noProof/>
          <w:sz w:val="24"/>
          <w:vertAlign w:val="superscript"/>
        </w:rPr>
        <w:footnoteReference w:id="3"/>
      </w:r>
      <w:bookmarkEnd w:id="2"/>
      <w:r>
        <w:rPr>
          <w:rFonts w:ascii="Times New Roman" w:hAnsi="Times New Roman"/>
          <w:noProof/>
          <w:sz w:val="24"/>
        </w:rPr>
        <w:t>, che hanno inoltre messo in rilievo il 2018, Anno europeo del patrimonio culturale</w:t>
      </w:r>
      <w:bookmarkStart w:id="3" w:name="_Ref508719289"/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bookmarkEnd w:id="3"/>
      <w:r>
        <w:rPr>
          <w:rFonts w:ascii="Times New Roman" w:hAnsi="Times New Roman"/>
          <w:noProof/>
          <w:sz w:val="24"/>
        </w:rPr>
        <w:t>, quale occasione preziosa per svolgere un’opera di sensibilizzazione sull’importanza sociale ed economica della cultura e del patrimonio culturale.</w:t>
      </w:r>
      <w:r>
        <w:rPr>
          <w:rFonts w:ascii="Times New Roman" w:hAnsi="Times New Roman"/>
          <w:noProof/>
        </w:rPr>
        <w:t xml:space="preserve"> 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Nella sua comunicazione “Rafforzare l’identità europea grazie all’istruzione e alla cultura”, la Commissione ha dichiarato</w:t>
      </w:r>
      <w:r>
        <w:rPr>
          <w:rFonts w:ascii="Times New Roman" w:hAnsi="Times New Roman"/>
          <w:noProof/>
          <w:sz w:val="24"/>
          <w:vertAlign w:val="superscript"/>
        </w:rPr>
        <w:footnoteReference w:id="5"/>
      </w:r>
      <w:r>
        <w:rPr>
          <w:rFonts w:ascii="Times New Roman" w:hAnsi="Times New Roman"/>
          <w:noProof/>
          <w:sz w:val="24"/>
        </w:rPr>
        <w:t xml:space="preserve"> che </w:t>
      </w:r>
      <w:r>
        <w:rPr>
          <w:rFonts w:ascii="Times New Roman" w:hAnsi="Times New Roman"/>
          <w:i/>
          <w:noProof/>
          <w:sz w:val="24"/>
        </w:rPr>
        <w:t>è nell’interesse di tutti gli Stati membri sfruttare a pieno le potenzialità rappresentate da istruzione e cultura quali forze propulsive per occupazione, giustizia sociale e cittadinanza attiva e mezzi per sperimentare l’identità europea in tutta la sua diversità</w:t>
      </w:r>
      <w:r>
        <w:rPr>
          <w:rFonts w:ascii="Times New Roman" w:hAnsi="Times New Roman"/>
          <w:noProof/>
          <w:sz w:val="24"/>
        </w:rPr>
        <w:t>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 ricco patrimonio culturale dell’Europa e i suoi vivaci settori creativi e della cultura rafforzano l’identità europea, creando un senso di appartenenza. La cultura promuove la cittadinanza attiva, i valori comuni, l’inclusione e il dialogo interculturale all’interno dell’Europa e nel mondo. Avvicina le persone, compresi i nuovi rifugiati e gli altri migranti, e ci aiuta a sentirci parte di una collettività. Le industrie creative e della cultura hanno anche il potere di migliorare le esistenze, trasformare le comunità, generare posti di lavoro e crescita e creare effetti di ricaduta sugli altri settori economici. 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La nuova agenda europea per la cultura (la nuova agenda) risponde all’invito dei leader europei a fare di più, attraverso la cultura e l’istruzione, per costruire società coese e offrire una </w:t>
      </w:r>
      <w:r>
        <w:rPr>
          <w:rFonts w:ascii="Times New Roman" w:hAnsi="Times New Roman"/>
          <w:i/>
          <w:noProof/>
          <w:sz w:val="24"/>
        </w:rPr>
        <w:t>visione di un’Unione europea attraente</w:t>
      </w:r>
      <w:r>
        <w:rPr>
          <w:rFonts w:ascii="Times New Roman" w:hAnsi="Times New Roman"/>
          <w:noProof/>
          <w:sz w:val="24"/>
          <w:vertAlign w:val="superscript"/>
        </w:rPr>
        <w:footnoteReference w:id="6"/>
      </w:r>
      <w:r>
        <w:rPr>
          <w:rFonts w:ascii="Times New Roman" w:hAnsi="Times New Roman"/>
          <w:noProof/>
          <w:sz w:val="24"/>
        </w:rPr>
        <w:t>. Tale programma intende sfruttare tutto il potenziale della cultura per contribuire alla costruzione di un’Unione più inclusiva e più equa, sostenendo l’innovazione, la creatività e una crescita e un’occupazione sostenibili.</w:t>
      </w:r>
    </w:p>
    <w:p>
      <w:pPr>
        <w:pStyle w:val="Heading2"/>
        <w:numPr>
          <w:ilvl w:val="0"/>
          <w:numId w:val="27"/>
        </w:numPr>
        <w:spacing w:before="120" w:after="120" w:line="240" w:lineRule="auto"/>
        <w:rPr>
          <w:noProof/>
        </w:rPr>
      </w:pPr>
      <w:r>
        <w:rPr>
          <w:noProof/>
        </w:rPr>
        <w:t>Le sfide e l’auspicio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Riemersa da una grave crisi finanziaria, l’Europa deve far fronte all’aumento delle ineguaglianze sociali, a popolazioni eterogenee, al populismo, alla radicalizzazione e alle minacce terroristiche. Le nuove tecnologie e la comunicazione digitale stanno trasformando le società, cambiando gli stili di vita, i modelli di consumo e le relazioni di potere nelle catene del valore economiche. In questo scenario di cambiamento, il ruolo della cultura è più importante che mai. Secondo un’indagine Eurobarometro del 2017, il 53% degli intervistati ritiene che gli Stati membri siano affini tra loro in termini di valori condivisi, mentre il 40% li considera distanti. La cultura si colloca in cima alla lista dei fattori in grado di creare un senso </w:t>
      </w:r>
      <w:r>
        <w:rPr>
          <w:rFonts w:ascii="Times New Roman" w:hAnsi="Times New Roman"/>
          <w:noProof/>
          <w:sz w:val="24"/>
        </w:rPr>
        <w:lastRenderedPageBreak/>
        <w:t>di comunità</w:t>
      </w:r>
      <w:r>
        <w:rPr>
          <w:rFonts w:ascii="Times New Roman" w:hAnsi="Times New Roman"/>
          <w:noProof/>
          <w:sz w:val="24"/>
          <w:vertAlign w:val="superscript"/>
        </w:rPr>
        <w:footnoteReference w:id="7"/>
      </w:r>
      <w:r>
        <w:rPr>
          <w:rFonts w:ascii="Times New Roman" w:hAnsi="Times New Roman"/>
          <w:noProof/>
          <w:sz w:val="24"/>
        </w:rPr>
        <w:t xml:space="preserve"> e può quindi contribuire a colmare questo divario. Tuttavia i dati Eurostat mostrano che più di un terzo degli europei non partecipa affatto alle attività culturali</w:t>
      </w:r>
      <w:r>
        <w:rPr>
          <w:rFonts w:ascii="Times New Roman" w:hAnsi="Times New Roman"/>
          <w:noProof/>
          <w:sz w:val="24"/>
          <w:vertAlign w:val="superscript"/>
        </w:rPr>
        <w:footnoteReference w:id="8"/>
      </w:r>
      <w:r>
        <w:rPr>
          <w:rFonts w:ascii="Times New Roman" w:hAnsi="Times New Roman"/>
          <w:noProof/>
          <w:sz w:val="24"/>
        </w:rPr>
        <w:t>. Vi sono pertanto evidenti possibilità di aumentare la partecipazione culturale e avvicinare i cittadini europei per consentire loro di vivere l’esperienza di ciò che ci unisce anziché di ciò che ci divide. Eppure la frammentazione del mercato, l’accesso insufficiente ai finanziamenti e condizioni contrattuali incerte continuano a ostacolare i settori creativi e culturali e a ridurre i profitti dei professionisti che vi operano.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La nuova agenda, sostenuta da adeguati finanziamenti, sfrutterà le sinergie tra la cultura e l’istruzione e rafforzerà i legami tra cultura e altri settori della politica. Aiuterà inoltre i settori culturali e creativi a superare le sfide e a cogliere le opportunità del passaggio al digitale.</w:t>
      </w:r>
    </w:p>
    <w:p>
      <w:pPr>
        <w:pStyle w:val="Heading2"/>
        <w:numPr>
          <w:ilvl w:val="0"/>
          <w:numId w:val="27"/>
        </w:numPr>
        <w:spacing w:before="120" w:after="120" w:line="240" w:lineRule="auto"/>
        <w:rPr>
          <w:noProof/>
        </w:rPr>
      </w:pPr>
      <w:r>
        <w:rPr>
          <w:noProof/>
        </w:rPr>
        <w:t>Base giuridica e prime fasi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La base giuridica per le azioni da intraprendere nell’area della cultura a livello di UE è data dall’articolo 3 del trattato sull’Unione europea e dall’articolo 167 del trattato sul funzionamento dell’Unione europea</w:t>
      </w:r>
      <w:r>
        <w:rPr>
          <w:rStyle w:val="FootnoteReference"/>
          <w:rFonts w:ascii="Times New Roman" w:hAnsi="Times New Roman"/>
          <w:noProof/>
          <w:sz w:val="24"/>
        </w:rPr>
        <w:footnoteReference w:id="9"/>
      </w:r>
      <w:r>
        <w:rPr>
          <w:rFonts w:ascii="Times New Roman" w:hAnsi="Times New Roman"/>
          <w:noProof/>
          <w:sz w:val="24"/>
        </w:rPr>
        <w:t>. Gli Stati membri hanno competenza esclusiva nel settore della politica culturale, mentre il ruolo dell’Unione è incoraggiare la cooperazione e appoggiare e integrare le azioni degli Stati membri. La cooperazione politica dell’UE ha ricevuto un impulso importante attraverso la comunicazione della Commissione, approvata dal Consiglio</w:t>
      </w:r>
      <w:r>
        <w:rPr>
          <w:rFonts w:ascii="Times New Roman" w:hAnsi="Times New Roman"/>
          <w:noProof/>
          <w:sz w:val="24"/>
          <w:vertAlign w:val="superscript"/>
        </w:rPr>
        <w:footnoteReference w:id="10"/>
      </w:r>
      <w:r>
        <w:rPr>
          <w:rFonts w:ascii="Times New Roman" w:hAnsi="Times New Roman"/>
          <w:noProof/>
          <w:sz w:val="24"/>
        </w:rPr>
        <w:t>, su un’agenda europea per la cultura in un mondo in via di globalizzazione</w:t>
      </w:r>
      <w:r>
        <w:rPr>
          <w:rFonts w:ascii="Times New Roman" w:hAnsi="Times New Roman"/>
          <w:noProof/>
          <w:sz w:val="24"/>
          <w:vertAlign w:val="superscript"/>
        </w:rPr>
        <w:footnoteReference w:id="11"/>
      </w:r>
      <w:r>
        <w:rPr>
          <w:rFonts w:ascii="Times New Roman" w:hAnsi="Times New Roman"/>
          <w:noProof/>
          <w:sz w:val="24"/>
        </w:rPr>
        <w:t xml:space="preserve"> del 2007. Il Parlamento europeo ha a sua volta sostenuto tale agenda attraverso risoluzioni politiche e progetti pilota.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Da allora gli Stati membri hanno intrapreso un numero significativo di azioni</w:t>
      </w:r>
      <w:bookmarkStart w:id="4" w:name="_Ref510623588"/>
      <w:r>
        <w:rPr>
          <w:rStyle w:val="FootnoteReference"/>
          <w:rFonts w:ascii="Times New Roman" w:hAnsi="Times New Roman"/>
          <w:noProof/>
          <w:sz w:val="24"/>
        </w:rPr>
        <w:footnoteReference w:id="12"/>
      </w:r>
      <w:bookmarkEnd w:id="4"/>
      <w:r>
        <w:rPr>
          <w:rFonts w:ascii="Times New Roman" w:hAnsi="Times New Roman"/>
          <w:noProof/>
          <w:sz w:val="24"/>
        </w:rPr>
        <w:t>, traendo ispirazione dalla collaborazione politica dell’UE tramite i successivi piani di lavoro per la cultura del Consiglio, i progetti finanziati dai programmi dell’UE</w:t>
      </w:r>
      <w:bookmarkStart w:id="5" w:name="_Ref508722534"/>
      <w:r>
        <w:rPr>
          <w:rFonts w:ascii="Times New Roman" w:hAnsi="Times New Roman"/>
          <w:noProof/>
          <w:sz w:val="24"/>
        </w:rPr>
        <w:t xml:space="preserve"> e le strategie macroregionali</w:t>
      </w:r>
      <w:r>
        <w:rPr>
          <w:rStyle w:val="FootnoteReference"/>
          <w:rFonts w:ascii="Times New Roman" w:hAnsi="Times New Roman"/>
          <w:noProof/>
          <w:sz w:val="24"/>
        </w:rPr>
        <w:footnoteReference w:id="13"/>
      </w:r>
      <w:r>
        <w:rPr>
          <w:rFonts w:ascii="Times New Roman" w:hAnsi="Times New Roman"/>
          <w:noProof/>
          <w:sz w:val="24"/>
        </w:rPr>
        <w:t xml:space="preserve">. </w:t>
      </w:r>
      <w:bookmarkEnd w:id="5"/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 Consiglio europeo ha invitato l’UE a fare di più in quest’area e a </w:t>
      </w:r>
      <w:r>
        <w:rPr>
          <w:rFonts w:ascii="Times New Roman" w:hAnsi="Times New Roman"/>
          <w:i/>
          <w:noProof/>
          <w:sz w:val="24"/>
        </w:rPr>
        <w:t>vagliare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i/>
          <w:noProof/>
          <w:sz w:val="24"/>
        </w:rPr>
        <w:t>eventuali misure riguardanti</w:t>
      </w:r>
      <w:r>
        <w:rPr>
          <w:rFonts w:ascii="Times New Roman" w:hAnsi="Times New Roman"/>
          <w:noProof/>
          <w:sz w:val="24"/>
        </w:rPr>
        <w:t>, fra le altre,</w:t>
      </w:r>
      <w:r>
        <w:rPr>
          <w:rFonts w:ascii="Times New Roman" w:hAnsi="Times New Roman"/>
          <w:i/>
          <w:noProof/>
          <w:sz w:val="24"/>
        </w:rPr>
        <w:t xml:space="preserve"> le condizioni quadro giuridiche e finanziarie per lo sviluppo delle industrie culturali e creative e la mobilità dei professionisti nel settore culturale</w:t>
      </w:r>
      <w:r>
        <w:rPr>
          <w:rFonts w:ascii="Times New Roman" w:eastAsia="Calibri" w:hAnsi="Times New Roman" w:cs="Times New Roman"/>
          <w:i/>
          <w:noProof/>
          <w:sz w:val="24"/>
          <w:szCs w:val="24"/>
          <w:vertAlign w:val="superscript"/>
        </w:rPr>
        <w:fldChar w:fldCharType="begin"/>
      </w:r>
      <w:r>
        <w:rPr>
          <w:rFonts w:ascii="Times New Roman" w:eastAsia="Calibri" w:hAnsi="Times New Roman" w:cs="Times New Roman"/>
          <w:i/>
          <w:noProof/>
          <w:sz w:val="24"/>
          <w:szCs w:val="24"/>
          <w:vertAlign w:val="superscript"/>
        </w:rPr>
        <w:instrText xml:space="preserve"> NOTEREF _Ref508976179 \h  \* MERGEFORMAT </w:instrText>
      </w:r>
      <w:r>
        <w:rPr>
          <w:rFonts w:ascii="Times New Roman" w:eastAsia="Calibri" w:hAnsi="Times New Roman" w:cs="Times New Roman"/>
          <w:i/>
          <w:noProof/>
          <w:sz w:val="24"/>
          <w:szCs w:val="24"/>
          <w:vertAlign w:val="superscript"/>
        </w:rPr>
      </w:r>
      <w:r>
        <w:rPr>
          <w:rFonts w:ascii="Times New Roman" w:eastAsia="Calibri" w:hAnsi="Times New Roman" w:cs="Times New Roman"/>
          <w:i/>
          <w:noProof/>
          <w:sz w:val="24"/>
          <w:szCs w:val="24"/>
          <w:vertAlign w:val="superscript"/>
        </w:rPr>
        <w:fldChar w:fldCharType="separate"/>
      </w:r>
      <w:r>
        <w:rPr>
          <w:rFonts w:ascii="Times New Roman" w:eastAsia="Calibri" w:hAnsi="Times New Roman" w:cs="Times New Roman"/>
          <w:i/>
          <w:noProof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i/>
          <w:noProof/>
          <w:sz w:val="24"/>
          <w:szCs w:val="24"/>
          <w:vertAlign w:val="superscript"/>
        </w:rPr>
        <w:fldChar w:fldCharType="end"/>
      </w:r>
      <w:r>
        <w:rPr>
          <w:rFonts w:ascii="Times New Roman" w:hAnsi="Times New Roman"/>
          <w:i/>
          <w:noProof/>
          <w:sz w:val="24"/>
        </w:rPr>
        <w:t>.</w:t>
      </w:r>
    </w:p>
    <w:p>
      <w:pPr>
        <w:pStyle w:val="Heading2"/>
        <w:numPr>
          <w:ilvl w:val="0"/>
          <w:numId w:val="27"/>
        </w:numPr>
        <w:spacing w:before="120" w:after="120" w:line="240" w:lineRule="auto"/>
        <w:rPr>
          <w:noProof/>
        </w:rPr>
      </w:pPr>
      <w:r>
        <w:rPr>
          <w:noProof/>
        </w:rPr>
        <w:t>Obiettivi strategici e azioni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La nuova agenda persegue tre obiettivi strategici, con dimensioni sociale, economica ed esterna.</w:t>
      </w:r>
    </w:p>
    <w:p>
      <w:pPr>
        <w:pStyle w:val="Heading3"/>
        <w:spacing w:before="120" w:after="120" w:line="240" w:lineRule="auto"/>
        <w:rPr>
          <w:rFonts w:eastAsia="Calibri" w:cs="Times New Roman"/>
          <w:noProof/>
          <w:szCs w:val="24"/>
        </w:rPr>
      </w:pPr>
      <w:r>
        <w:rPr>
          <w:noProof/>
        </w:rPr>
        <w:t xml:space="preserve">Dimensione sociale - sfruttare il potere della cultura e della diversità culturale per la coesione e il benessere sociali </w:t>
      </w:r>
    </w:p>
    <w:p>
      <w:pPr>
        <w:pStyle w:val="ListBullet4"/>
        <w:spacing w:before="120" w:after="120" w:line="240" w:lineRule="auto"/>
        <w:contextualSpacing w:val="0"/>
        <w:jc w:val="both"/>
        <w:rPr>
          <w:noProof/>
        </w:rPr>
      </w:pPr>
      <w:r>
        <w:rPr>
          <w:noProof/>
        </w:rPr>
        <w:t>Favorire la capacità culturale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 di tutti gli europei rendendo disponibile una vasta gamma di attività culturali e fornendo le opportunità per parteciparvi attivamente. </w:t>
      </w:r>
    </w:p>
    <w:p>
      <w:pPr>
        <w:pStyle w:val="ListBullet4"/>
        <w:spacing w:before="120" w:after="120" w:line="240" w:lineRule="auto"/>
        <w:contextualSpacing w:val="0"/>
        <w:jc w:val="both"/>
        <w:rPr>
          <w:noProof/>
        </w:rPr>
      </w:pPr>
      <w:r>
        <w:rPr>
          <w:noProof/>
        </w:rPr>
        <w:t>Incoraggiare la mobilità dei professionisti nei settori creativi e della cultura e rimuovere gli ostacoli alla loro mobilità.</w:t>
      </w:r>
    </w:p>
    <w:p>
      <w:pPr>
        <w:pStyle w:val="ListBullet4"/>
        <w:spacing w:before="120" w:after="120" w:line="240" w:lineRule="auto"/>
        <w:contextualSpacing w:val="0"/>
        <w:jc w:val="both"/>
        <w:rPr>
          <w:noProof/>
        </w:rPr>
      </w:pPr>
      <w:r>
        <w:rPr>
          <w:noProof/>
        </w:rPr>
        <w:t>Proteggere e promuovere il patrimonio culturale dell’Europa inteso come risorsa condivisa, allo scopo di aumentare la consapevolezza della nostra storia comune e dei valori che condividiamo e rafforzare un senso di identità europea comune.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u w:val="single"/>
        </w:rPr>
        <w:t>La partecipazione culturale unisce le persone.</w:t>
      </w:r>
      <w:r>
        <w:rPr>
          <w:rFonts w:ascii="Times New Roman" w:hAnsi="Times New Roman"/>
          <w:noProof/>
          <w:sz w:val="24"/>
        </w:rPr>
        <w:t xml:space="preserve"> La cultura è un mezzo ideale per comunicare attraverso le barriere linguistiche, per coinvolgere i cittadini e facilitare la coesione sociale, anche tra i rifugiati, gli altri migranti e le popolazioni che li ospitano. Nell’ambito dell’agenda europea del 2007, i responsabili politici e gli operatori del settore hanno concordato i modi di utilizzo delle arti partecipative per promuovere la comprensione, coinvolgere i cittadini e aumentare la fiducia in se stessi</w:t>
      </w:r>
      <w:r>
        <w:rPr>
          <w:rFonts w:ascii="Times New Roman" w:hAnsi="Times New Roman"/>
          <w:noProof/>
          <w:sz w:val="24"/>
          <w:vertAlign w:val="superscript"/>
        </w:rPr>
        <w:footnoteReference w:id="15"/>
      </w:r>
      <w:r>
        <w:rPr>
          <w:rFonts w:ascii="Times New Roman" w:hAnsi="Times New Roman"/>
          <w:noProof/>
          <w:sz w:val="24"/>
        </w:rPr>
        <w:t xml:space="preserve">. 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La cultura è una </w:t>
      </w:r>
      <w:r>
        <w:rPr>
          <w:rFonts w:ascii="Times New Roman" w:hAnsi="Times New Roman"/>
          <w:noProof/>
          <w:sz w:val="24"/>
          <w:u w:val="single"/>
        </w:rPr>
        <w:t>forza trasformativa per la rigenerazione della comunità</w:t>
      </w:r>
      <w:r>
        <w:rPr>
          <w:rFonts w:ascii="Times New Roman" w:hAnsi="Times New Roman"/>
          <w:noProof/>
          <w:sz w:val="24"/>
        </w:rPr>
        <w:t>. Lo dimostra la trentennale storia di successi delle Capitali europee della cultura, così come i progetti di infrastrutture culturali finanziati dai Fondi strutturali e d’investimento europei. L’Anno europeo mette in evidenza il contributo trasversale del patrimonio culturale alle economie e alle società europee. Vi è un approccio nuovo e adattivo per plasmare l’ambiente costruito, ed è radicato nella cultura</w:t>
      </w:r>
      <w:r>
        <w:rPr>
          <w:rFonts w:ascii="Times New Roman" w:hAnsi="Times New Roman"/>
          <w:noProof/>
          <w:sz w:val="24"/>
          <w:vertAlign w:val="superscript"/>
        </w:rPr>
        <w:footnoteReference w:id="16"/>
      </w:r>
      <w:r>
        <w:rPr>
          <w:rFonts w:ascii="Times New Roman" w:hAnsi="Times New Roman"/>
          <w:noProof/>
          <w:sz w:val="24"/>
        </w:rPr>
        <w:t>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La partecipazione culturale migliora anche </w:t>
      </w:r>
      <w:r>
        <w:rPr>
          <w:rFonts w:ascii="Times New Roman" w:hAnsi="Times New Roman"/>
          <w:noProof/>
          <w:sz w:val="24"/>
          <w:u w:val="single"/>
        </w:rPr>
        <w:t>la salute e il benessere</w:t>
      </w:r>
      <w:r>
        <w:rPr>
          <w:rFonts w:ascii="Times New Roman" w:hAnsi="Times New Roman"/>
          <w:noProof/>
          <w:sz w:val="24"/>
        </w:rPr>
        <w:t>. Il 71% degli europei recentemente intervistati ritiene che vivere in prossimità di luoghi legati al patrimonio culturale dell’Europa possa migliorare la qualità della vita</w:t>
      </w:r>
      <w:r>
        <w:rPr>
          <w:rFonts w:ascii="Times New Roman" w:hAnsi="Times New Roman"/>
          <w:noProof/>
          <w:sz w:val="24"/>
          <w:vertAlign w:val="superscript"/>
        </w:rPr>
        <w:footnoteReference w:id="17"/>
      </w:r>
      <w:r>
        <w:rPr>
          <w:rFonts w:ascii="Times New Roman" w:hAnsi="Times New Roman"/>
          <w:noProof/>
          <w:sz w:val="24"/>
        </w:rPr>
        <w:t>. E le ricerche</w:t>
      </w:r>
      <w:r>
        <w:rPr>
          <w:rFonts w:ascii="Times New Roman" w:hAnsi="Times New Roman"/>
          <w:noProof/>
          <w:sz w:val="24"/>
          <w:vertAlign w:val="superscript"/>
        </w:rPr>
        <w:footnoteReference w:id="18"/>
      </w:r>
      <w:r>
        <w:rPr>
          <w:rFonts w:ascii="Times New Roman" w:hAnsi="Times New Roman"/>
          <w:noProof/>
          <w:sz w:val="24"/>
        </w:rPr>
        <w:t xml:space="preserve"> confermano che l’accesso alla cultura è il secondo più importante fattore determinante del benessere psicologico, preceduto solo dall’assenza di malattie.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Tuttavia, malgrado gli sforzi delle organizzazioni culturali per adattarsi ai nuovi modelli del consumo culturale e della composizione della popolazione, le barriere finanziarie e sociali alla partecipazione culturale restano. Di conseguenza, viene proposto un nuovo approccio avente come principio guida la </w:t>
      </w:r>
      <w:r>
        <w:rPr>
          <w:rFonts w:ascii="Times New Roman" w:hAnsi="Times New Roman"/>
          <w:noProof/>
          <w:sz w:val="24"/>
          <w:u w:val="single"/>
        </w:rPr>
        <w:t>capacità culturale</w:t>
      </w:r>
      <w:r>
        <w:rPr>
          <w:rFonts w:ascii="Times New Roman" w:hAnsi="Times New Roman"/>
          <w:noProof/>
          <w:sz w:val="24"/>
        </w:rPr>
        <w:t>. Si tratta di rendere disponibile una vasta gamma di attività culturali di qualità, promuovendo le opportunità per tutti di partecipare e creare, e rafforzare i legami tra cultura e istruzione, affari sociali, politiche urbane, ricerca e innovazione.</w:t>
      </w:r>
      <w:r>
        <w:rPr>
          <w:rStyle w:val="FootnoteReference"/>
          <w:rFonts w:ascii="Times New Roman" w:hAnsi="Times New Roman"/>
          <w:noProof/>
          <w:sz w:val="24"/>
        </w:rPr>
        <w:footnoteReference w:id="19"/>
      </w:r>
      <w:r>
        <w:rPr>
          <w:rFonts w:ascii="Times New Roman" w:hAnsi="Times New Roman"/>
          <w:noProof/>
          <w:sz w:val="24"/>
        </w:rPr>
        <w:t xml:space="preserve"> 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Per aumentare la partecipazione, è necessaria una maggiore </w:t>
      </w:r>
      <w:r>
        <w:rPr>
          <w:rFonts w:ascii="Times New Roman" w:hAnsi="Times New Roman"/>
          <w:noProof/>
          <w:sz w:val="24"/>
          <w:u w:val="single"/>
        </w:rPr>
        <w:t>circolazione di opere d’arte europee e di professionisti</w:t>
      </w:r>
      <w:r>
        <w:rPr>
          <w:rFonts w:ascii="Times New Roman" w:hAnsi="Times New Roman"/>
          <w:noProof/>
          <w:sz w:val="24"/>
        </w:rPr>
        <w:t xml:space="preserve"> nei settori creativi e della cultura europei. Sulla base di dati concreti</w:t>
      </w:r>
      <w:r>
        <w:rPr>
          <w:rFonts w:ascii="Times New Roman" w:hAnsi="Times New Roman"/>
          <w:noProof/>
          <w:sz w:val="24"/>
          <w:vertAlign w:val="superscript"/>
        </w:rPr>
        <w:footnoteReference w:id="20"/>
      </w:r>
      <w:r>
        <w:rPr>
          <w:rFonts w:ascii="Times New Roman" w:hAnsi="Times New Roman"/>
          <w:noProof/>
          <w:sz w:val="24"/>
        </w:rPr>
        <w:t>, l’UE continuerà a sostenere le politiche e a concedere finanziamenti, ma gli Stati membri dovranno impegnarsi maggiormente per eliminare gli ostacoli amministrativi, come il rischio della doppia tassazione degli artisti e dei professionisti dell’arte.</w:t>
      </w:r>
    </w:p>
    <w:tbl>
      <w:tblPr>
        <w:tblStyle w:val="TableGrid1"/>
        <w:tblW w:w="9017" w:type="dxa"/>
        <w:tblInd w:w="360" w:type="dxa"/>
        <w:tblLook w:val="04A0" w:firstRow="1" w:lastRow="0" w:firstColumn="1" w:lastColumn="0" w:noHBand="0" w:noVBand="1"/>
      </w:tblPr>
      <w:tblGrid>
        <w:gridCol w:w="9017"/>
      </w:tblGrid>
      <w:tr>
        <w:trPr>
          <w:trHeight w:val="4536"/>
        </w:trPr>
        <w:tc>
          <w:tcPr>
            <w:tcW w:w="9017" w:type="dxa"/>
          </w:tcPr>
          <w:p>
            <w:p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La Commissione intende:</w:t>
            </w:r>
          </w:p>
          <w:p>
            <w:pPr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sostenere la ricerca sugli scambi (crossover) culturali per valutare gli impatti in diversi ambiti, compresi salute e benessere (2018);</w:t>
            </w:r>
          </w:p>
          <w:p>
            <w:pPr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sviluppare azioni specifiche per l’inclusione sociale attraverso la cultura e i programmi Europa creativa ed Erasmus+</w:t>
            </w:r>
            <w:bookmarkStart w:id="6" w:name="_Ref508720651"/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21"/>
            </w:r>
            <w:bookmarkEnd w:id="6"/>
            <w:r>
              <w:rPr>
                <w:rFonts w:ascii="Times New Roman" w:hAnsi="Times New Roman"/>
                <w:noProof/>
                <w:sz w:val="24"/>
              </w:rPr>
              <w:t xml:space="preserve"> e considerare criteri di selezione per Europa creativa intesi a incentivare una gestione dei progetti fondata sulla parità di genere (2019); </w:t>
            </w:r>
          </w:p>
          <w:p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lanciare un progetto sulle città e gli spazi culturali e creativi nell’ambito del programma Europa creativa, per promuovere la partecipazione culturale e la rigenerazione sociale e urbana (2018);</w:t>
            </w:r>
          </w:p>
          <w:p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proporre un programma di mobilità per i professionisti nei settori creativi e della cultura nell’ambito del programma Europa creativa (2018-2019).</w:t>
            </w:r>
          </w:p>
          <w:p>
            <w:p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La Commissione invita gli Stati membri a:</w:t>
            </w:r>
          </w:p>
          <w:p>
            <w:pPr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impegnarsi per un progresso sostanziale nell’eliminazione degli ostacoli fiscali e amministrativi alla mobilità, tra l’altro, mediante il prossimo piano di lavoro per la cultura.</w:t>
            </w:r>
          </w:p>
        </w:tc>
      </w:tr>
    </w:tbl>
    <w:p>
      <w:pPr>
        <w:spacing w:before="120" w:after="120" w:line="240" w:lineRule="auto"/>
        <w:ind w:left="792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pStyle w:val="Heading3"/>
        <w:spacing w:before="120" w:after="120" w:line="240" w:lineRule="auto"/>
        <w:rPr>
          <w:noProof/>
        </w:rPr>
      </w:pPr>
      <w:r>
        <w:rPr>
          <w:noProof/>
        </w:rPr>
        <w:t xml:space="preserve"> Dimensione economica - sostenere la creatività basata sulla cultura nell’istruzione e nell’innovazione, oltre che per l’occupazione e la crescita</w:t>
      </w:r>
    </w:p>
    <w:p>
      <w:pPr>
        <w:pStyle w:val="ListBullet4"/>
        <w:spacing w:before="120" w:after="120" w:line="240" w:lineRule="auto"/>
        <w:contextualSpacing w:val="0"/>
        <w:jc w:val="both"/>
        <w:rPr>
          <w:noProof/>
        </w:rPr>
      </w:pPr>
      <w:r>
        <w:rPr>
          <w:noProof/>
        </w:rPr>
        <w:t>Promuovere le arti, la cultura e il pensiero creativo nell’istruzione e nella formazione formali e informali a tutti i livelli e nell’apprendimento permanente.</w:t>
      </w:r>
    </w:p>
    <w:p>
      <w:pPr>
        <w:pStyle w:val="ListBullet4"/>
        <w:spacing w:before="120" w:after="120" w:line="240" w:lineRule="auto"/>
        <w:contextualSpacing w:val="0"/>
        <w:jc w:val="both"/>
        <w:rPr>
          <w:noProof/>
        </w:rPr>
      </w:pPr>
      <w:r>
        <w:rPr>
          <w:noProof/>
        </w:rPr>
        <w:t>Incoraggiare ecosistemi favorevoli alle industrie creative e della cultura, promuovendo l’accesso ai finanziamenti, la capacità d’innovazione, la remunerazione equa di autori e creatori e la cooperazione intersettoriale.</w:t>
      </w:r>
    </w:p>
    <w:p>
      <w:pPr>
        <w:pStyle w:val="ListBullet4"/>
        <w:spacing w:before="120" w:after="120" w:line="240" w:lineRule="auto"/>
        <w:contextualSpacing w:val="0"/>
        <w:jc w:val="both"/>
        <w:rPr>
          <w:noProof/>
        </w:rPr>
      </w:pPr>
      <w:r>
        <w:rPr>
          <w:noProof/>
        </w:rPr>
        <w:t>Promuovere le competenze richieste dai settori creativi e della cultura, comprese quelle digitali, imprenditoriali, tradizionali e specializzate.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La cultura e la creatività sono risorse importanti per l’economia. La cultura contribuisce direttamente all’occupazione, alla crescita e al commercio esterno. I posti di lavoro nei settori culturali dell’UE sono aumentati costantemente tra il 2011 e il 2016, raggiungendo quota 8,4 milioni. Il surplus commerciale per i prodotti culturali è di 8,7 miliardi di EUR</w:t>
      </w:r>
      <w:bookmarkStart w:id="7" w:name="_Ref508716581"/>
      <w:r>
        <w:rPr>
          <w:rStyle w:val="FootnoteReference"/>
          <w:rFonts w:ascii="Times New Roman" w:hAnsi="Times New Roman"/>
          <w:noProof/>
          <w:sz w:val="24"/>
        </w:rPr>
        <w:footnoteReference w:id="22"/>
      </w:r>
      <w:bookmarkEnd w:id="7"/>
      <w:r>
        <w:rPr>
          <w:rFonts w:ascii="Times New Roman" w:hAnsi="Times New Roman"/>
          <w:noProof/>
          <w:sz w:val="24"/>
        </w:rPr>
        <w:t>, e si stima che il contributo dei settori creativi e della cultura al prodotto interno lordo dell’UE sia pari al 4,2%</w:t>
      </w:r>
      <w:r>
        <w:rPr>
          <w:rFonts w:ascii="Times New Roman" w:hAnsi="Times New Roman"/>
          <w:noProof/>
          <w:sz w:val="24"/>
          <w:vertAlign w:val="superscript"/>
        </w:rPr>
        <w:footnoteReference w:id="23"/>
      </w:r>
      <w:r>
        <w:rPr>
          <w:rFonts w:ascii="Times New Roman" w:hAnsi="Times New Roman"/>
          <w:noProof/>
          <w:sz w:val="24"/>
        </w:rPr>
        <w:t>. Anche i settori economici innovativi necessitano di creatività per mantenere un vantaggio competitivo. Le comunità urbane e rurali fanno sempre più affidamento sulla cultura per attrarre datori di lavoro, studenti e turisti.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La cultura, le arti, la creatività e le industrie creative sono interdipendenti. La combinazione di conoscenze e competenze specifiche dei settori creativi e della cultura con quelle di altri settori, fra cui le tecnologie dell’informazione e della comunicazione, il turismo, l’attività produttiva, i servizi e il settore pubblico, favorisce la generazione di soluzioni innovative. Per beneficiare di questo potere trasformativo, la Commissione propone di concentrare l’attenzione su tre ecosistemi specifici: istruzione e formazione, città e regioni e le stesse industrie creative e della cultura, al fine di creare contesti favorevoli all’innovazione guidata dalla cultura.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u w:val="single"/>
        </w:rPr>
        <w:t>Istruzione e formazione.</w:t>
      </w:r>
      <w:r>
        <w:rPr>
          <w:rFonts w:ascii="Times New Roman" w:hAnsi="Times New Roman"/>
          <w:noProof/>
          <w:sz w:val="24"/>
        </w:rPr>
        <w:t xml:space="preserve"> Esiste un evidente legame tra i livelli di istruzione e la partecipazione alla cultura. L’azione intersettoriale sulla consapevolezza ed espressione culturale, una delle otto competenze principali riconosciute a livello europeo, sarà analizzata nel contesto del quadro riveduto delle competenze chiave per l’apprendimento permanente</w:t>
      </w:r>
      <w:r>
        <w:rPr>
          <w:rFonts w:ascii="Times New Roman" w:hAnsi="Times New Roman"/>
          <w:noProof/>
          <w:sz w:val="24"/>
          <w:vertAlign w:val="superscript"/>
        </w:rPr>
        <w:footnoteReference w:id="24"/>
      </w:r>
      <w:r>
        <w:rPr>
          <w:rFonts w:ascii="Times New Roman" w:hAnsi="Times New Roman"/>
          <w:noProof/>
          <w:sz w:val="24"/>
        </w:rPr>
        <w:t>. Vi è inoltre un consenso riguardo alla necessità di competenze e abilità trasferibili, che stimolino la creatività e il pensiero critico. La Commissione ha sostenuto il lavoro dell’Organizzazione per la cooperazione e lo sviluppo economici (OCSE) sulle modalità per insegnare, apprendere e valutare il pensiero creativo e critico</w:t>
      </w:r>
      <w:r>
        <w:rPr>
          <w:rFonts w:ascii="Times New Roman" w:hAnsi="Times New Roman"/>
          <w:noProof/>
          <w:sz w:val="24"/>
          <w:vertAlign w:val="superscript"/>
        </w:rPr>
        <w:footnoteReference w:id="25"/>
      </w:r>
      <w:r>
        <w:rPr>
          <w:rFonts w:ascii="Times New Roman" w:hAnsi="Times New Roman"/>
          <w:noProof/>
          <w:sz w:val="24"/>
        </w:rPr>
        <w:t>, che ad oggi è l’ambito innovativo previsto per il PISA (il programma per la valutazione internazionale degli studenti) 2021. L’attenzione al pensiero critico e creativo dovrebbe essere estesa a tutti i livelli dell’istruzione e della formazione, in linea con il passaggio nell’approccio dallo STEM (scienza, tecnologia, ingegneria e matematica) allo STEAM, che comprende le arti</w:t>
      </w:r>
      <w:r>
        <w:rPr>
          <w:rStyle w:val="FootnoteReference"/>
          <w:rFonts w:ascii="Times New Roman" w:hAnsi="Times New Roman"/>
          <w:noProof/>
          <w:sz w:val="24"/>
        </w:rPr>
        <w:footnoteReference w:id="26"/>
      </w:r>
      <w:r>
        <w:rPr>
          <w:rFonts w:ascii="Times New Roman" w:hAnsi="Times New Roman"/>
          <w:noProof/>
          <w:sz w:val="24"/>
        </w:rPr>
        <w:t xml:space="preserve">. 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u w:val="single"/>
        </w:rPr>
        <w:t>Città e regioni.</w:t>
      </w:r>
      <w:r>
        <w:rPr>
          <w:rFonts w:ascii="Times New Roman" w:hAnsi="Times New Roman"/>
          <w:noProof/>
          <w:sz w:val="24"/>
        </w:rPr>
        <w:t xml:space="preserve"> I settori creativi e della cultura hanno una grande capacità di sperimentazione, anticipazione delle tendenze e analisi dei modelli di innovazione sociale ed economica. Le città e le regioni sono partner naturali</w:t>
      </w:r>
      <w:r>
        <w:rPr>
          <w:rFonts w:ascii="Times New Roman" w:hAnsi="Times New Roman"/>
          <w:noProof/>
          <w:sz w:val="24"/>
          <w:vertAlign w:val="superscript"/>
        </w:rPr>
        <w:footnoteReference w:id="27"/>
      </w:r>
      <w:r>
        <w:rPr>
          <w:rFonts w:ascii="Times New Roman" w:hAnsi="Times New Roman"/>
          <w:noProof/>
          <w:sz w:val="24"/>
        </w:rPr>
        <w:t>, in prima linea nello sviluppo guidato dalla cultura grazie alla maggiore autonomia locale, all’attrattiva che esercitano sulle persone di talento e alla loro vicinanza alle esigenze e potenzialità dei loro abitanti. La cultura e il turismo sono potenti motori dell’attività economica. Le città che investono in cultura possono trarne grande beneficio, attraendo più posti di lavoro e capitale umano che altre città simili, come dimostrato dall’Osservatorio della cultura e della creatività urbana, sviluppato dal Centro comune di ricerca della Commissione</w:t>
      </w:r>
      <w:r>
        <w:rPr>
          <w:rFonts w:ascii="Times New Roman" w:hAnsi="Times New Roman"/>
          <w:noProof/>
          <w:sz w:val="24"/>
          <w:vertAlign w:val="superscript"/>
        </w:rPr>
        <w:footnoteReference w:id="28"/>
      </w:r>
      <w:r>
        <w:rPr>
          <w:rFonts w:ascii="Times New Roman" w:hAnsi="Times New Roman"/>
          <w:noProof/>
          <w:sz w:val="24"/>
        </w:rPr>
        <w:t>. Nelle aree rurali, il restauro e la riqualificazione del patrimonio naturale e culturale contribuiscono al potenziale di crescita e alla sostenibilità</w:t>
      </w:r>
      <w:r>
        <w:rPr>
          <w:rStyle w:val="FootnoteReference"/>
          <w:rFonts w:ascii="Times New Roman" w:hAnsi="Times New Roman"/>
          <w:noProof/>
          <w:sz w:val="24"/>
        </w:rPr>
        <w:footnoteReference w:id="29"/>
      </w:r>
      <w:r>
        <w:rPr>
          <w:rFonts w:ascii="Times New Roman" w:hAnsi="Times New Roman"/>
          <w:noProof/>
          <w:sz w:val="24"/>
        </w:rPr>
        <w:t>. La gestione integrata dei beni culturali e naturali stimola le persone a scoprirli e a partecipare</w:t>
      </w:r>
      <w:r>
        <w:rPr>
          <w:rStyle w:val="FootnoteReference"/>
          <w:rFonts w:ascii="Times New Roman" w:hAnsi="Times New Roman"/>
          <w:noProof/>
          <w:sz w:val="24"/>
        </w:rPr>
        <w:footnoteReference w:id="30"/>
      </w:r>
      <w:r>
        <w:rPr>
          <w:rFonts w:ascii="Times New Roman" w:hAnsi="Times New Roman"/>
          <w:noProof/>
          <w:sz w:val="24"/>
        </w:rPr>
        <w:t xml:space="preserve">. 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La pianificazione è necessaria, ma deve anche essere possibile innovare attraverso processi dal basso verso l’alto, centri creativi</w:t>
      </w:r>
      <w:r>
        <w:rPr>
          <w:rFonts w:ascii="Times New Roman" w:hAnsi="Times New Roman"/>
          <w:noProof/>
          <w:sz w:val="24"/>
          <w:vertAlign w:val="superscript"/>
        </w:rPr>
        <w:footnoteReference w:id="31"/>
      </w:r>
      <w:r>
        <w:rPr>
          <w:rFonts w:ascii="Times New Roman" w:hAnsi="Times New Roman"/>
          <w:noProof/>
          <w:sz w:val="24"/>
        </w:rPr>
        <w:t xml:space="preserve"> e incubatori in cui freelance e creativi lavorino e creino in collaborazione. I cluster di imprese dei settori creativi hanno inoltre mostrato che possono generare un’elevata crescita dell’occupazione</w:t>
      </w:r>
      <w:r>
        <w:rPr>
          <w:rFonts w:ascii="Times New Roman" w:hAnsi="Times New Roman"/>
          <w:noProof/>
          <w:sz w:val="24"/>
          <w:vertAlign w:val="superscript"/>
        </w:rPr>
        <w:footnoteReference w:id="32"/>
      </w:r>
      <w:r>
        <w:rPr>
          <w:rFonts w:ascii="Times New Roman" w:hAnsi="Times New Roman"/>
          <w:noProof/>
          <w:sz w:val="24"/>
        </w:rPr>
        <w:t>, e già circa il 6% di tutte le 1 300 priorità regionali in materia di specializzazione intelligente si riferisce alla cultura</w:t>
      </w:r>
      <w:r>
        <w:rPr>
          <w:rStyle w:val="FootnoteReference"/>
          <w:rFonts w:ascii="Times New Roman" w:hAnsi="Times New Roman"/>
          <w:noProof/>
          <w:sz w:val="24"/>
        </w:rPr>
        <w:footnoteReference w:id="33"/>
      </w:r>
      <w:r>
        <w:rPr>
          <w:rFonts w:ascii="Times New Roman" w:hAnsi="Times New Roman"/>
          <w:noProof/>
          <w:sz w:val="24"/>
        </w:rPr>
        <w:t>. La cooperazione territoriale europea e regionale crea crescita e posti di lavoro e promuove l’Europa come destinazione, anche attraverso itinerari culturali macroregionali</w:t>
      </w:r>
      <w:r>
        <w:rPr>
          <w:rStyle w:val="FootnoteReference"/>
          <w:rFonts w:ascii="Times New Roman" w:hAnsi="Times New Roman"/>
          <w:noProof/>
          <w:sz w:val="24"/>
        </w:rPr>
        <w:footnoteReference w:id="34"/>
      </w:r>
      <w:r>
        <w:rPr>
          <w:rFonts w:ascii="Times New Roman" w:hAnsi="Times New Roman"/>
          <w:noProof/>
          <w:sz w:val="24"/>
        </w:rPr>
        <w:t xml:space="preserve">. Vi è spazio per costruire su queste esperienze al fine di valorizzare il ruolo della cultura nello sviluppo territoriale guidato dall’innovazione.  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u w:val="single"/>
        </w:rPr>
        <w:t>Industrie creative e della cultura.</w:t>
      </w:r>
      <w:r>
        <w:rPr>
          <w:rFonts w:ascii="Times New Roman" w:hAnsi="Times New Roman"/>
          <w:noProof/>
          <w:sz w:val="24"/>
        </w:rPr>
        <w:t xml:space="preserve"> Per trasformare le opportunità in crescita e posti di lavoro, le imprese e i professionisti creativi e della cultura necessitano di condizioni quadro favorevoli: un contesto normativo che ricompensi la creazione, un accesso migliore ai finanziamenti, opportunità per crescere e internazionalizzarsi e un’offerta di competenze specifiche. 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Per molti europei, in modo particolare i giovani, l’impiego nel settore della cultura è un importante punto di ingresso nel mercato del lavoro (in Lettonia, Romania, Cipro, Bulgaria, Portogallo, Estonia e Spagna la quota di lavoratori tra i 15 e i 29 anni nel settore della cultura è proporzionalmente maggiore che nell’economia nel suo complesso). Tuttavia la prevalenza di contratti di lavoro a progetto, atipici e part-time può essere problematica. Adattare il quadro normativo per fornire copertura e protezione sociale a lavoratori intermittenti e sempre più mobili rappresenta una sfida politica cruciale. Un’equa remunerazione di autori e creatori è un altro obiettivo che la Commissione sta perseguendo nella strategia per il mercato unico digitale.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L’accesso ai finanziamenti resta un nodo cruciale per un settore quasi totalmente composto da PMI e microimprese. Lo strumento di garanzia per i settori culturali e creativi, disponibile nell’ambito di Europa creativa, ha realizzato una partenza promettente e verrà rafforzato. Continueranno a essere vagliati altri strumenti, come il crowdfunding</w:t>
      </w:r>
      <w:r>
        <w:rPr>
          <w:rFonts w:ascii="Times New Roman" w:hAnsi="Times New Roman"/>
          <w:noProof/>
          <w:sz w:val="24"/>
          <w:vertAlign w:val="superscript"/>
        </w:rPr>
        <w:footnoteReference w:id="35"/>
      </w:r>
      <w:r>
        <w:rPr>
          <w:rFonts w:ascii="Times New Roman" w:hAnsi="Times New Roman"/>
          <w:noProof/>
          <w:sz w:val="24"/>
        </w:rPr>
        <w:t xml:space="preserve"> e i finanziamenti privati tramite sponsorizzazioni, fondazioni e partenariati fra settore privato e pubblico.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L’attività dei professionisti nei settori creativi e della cultura richiede un’ampia varietà di competenze digitali, tradizionali, trasversali e specializzate. La nuova agenda si basa sul lavoro politico in corso, in particolare sulle competenze imprenditoriali</w:t>
      </w:r>
      <w:r>
        <w:rPr>
          <w:rStyle w:val="FootnoteReference"/>
          <w:rFonts w:ascii="Times New Roman" w:hAnsi="Times New Roman"/>
          <w:noProof/>
          <w:sz w:val="24"/>
        </w:rPr>
        <w:footnoteReference w:id="36"/>
      </w:r>
      <w:r>
        <w:rPr>
          <w:rFonts w:ascii="Times New Roman" w:hAnsi="Times New Roman"/>
          <w:noProof/>
          <w:sz w:val="24"/>
        </w:rPr>
        <w:t xml:space="preserve"> e del patrimonio culturale.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La nuova agenda pone come priorità un approccio intersettoriale alla collaborazione dell’UE, in quanto la digitalizzazione e la creazione collaborativa continuano ad abbattere i confini artistici ed economici. Tale priorità sarà integrata da iniziative specifiche nei settori più maturi, per sostenere in modo più efficace la ricca diversità delle espressioni culturali europee. </w:t>
      </w:r>
    </w:p>
    <w:tbl>
      <w:tblPr>
        <w:tblStyle w:val="TableGrid1"/>
        <w:tblW w:w="8962" w:type="dxa"/>
        <w:tblInd w:w="360" w:type="dxa"/>
        <w:tblLook w:val="04A0" w:firstRow="1" w:lastRow="0" w:firstColumn="1" w:lastColumn="0" w:noHBand="0" w:noVBand="1"/>
      </w:tblPr>
      <w:tblGrid>
        <w:gridCol w:w="8962"/>
      </w:tblGrid>
      <w:tr>
        <w:tc>
          <w:tcPr>
            <w:tcW w:w="8962" w:type="dxa"/>
          </w:tcPr>
          <w:p>
            <w:p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La Commissione intende:</w:t>
            </w:r>
          </w:p>
          <w:p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sostenere la fase di convalida del progetto “</w:t>
            </w:r>
            <w:r>
              <w:rPr>
                <w:rFonts w:ascii="Times New Roman" w:hAnsi="Times New Roman"/>
                <w:i/>
                <w:noProof/>
                <w:sz w:val="24"/>
              </w:rPr>
              <w:t>Teaching, assessing and learning creative and critical thinking skills in education</w:t>
            </w:r>
            <w:r>
              <w:rPr>
                <w:rFonts w:ascii="Times New Roman" w:hAnsi="Times New Roman"/>
                <w:noProof/>
                <w:sz w:val="24"/>
              </w:rPr>
              <w:t>” (insegnare, valutare e apprendere le competenze di pensiero critico e creativo nell’istruzione) dell’Organizzazione per la cooperazione e lo sviluppo economici (OCSE), con l’intenzione di includere un modulo sulla creatività nel PISA 2021, e analizzare le possibilità per progetti simili nell’istruzione e nella formazione superiore (2018);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  <w:jc w:val="both"/>
              <w:rPr>
                <w:rFonts w:eastAsia="Calibri" w:cs="Times New Roman"/>
                <w:noProof/>
                <w:szCs w:val="24"/>
              </w:rPr>
            </w:pPr>
            <w:r>
              <w:rPr>
                <w:noProof/>
              </w:rPr>
              <w:t>promuovere la musica e le arti nell’istruzione e nella formazione, anche come tema prioritario nel programma Erasmus+ (2019), e incentivare lo sviluppo di moduli interdisciplinari orientati alla creatività negli istituti di istruzione superiore, associando le arti, le tecnologie dell’informazione e della comunicazione e le competenze imprenditoriali e commerciali (2018);</w:t>
            </w:r>
          </w:p>
          <w:p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continuare a sostenere le regioni nell’attuazione delle strategie in materia di specializzazione intelligente e delle strategie macroregionali concentrate sulla cultura, e promuovere il turismo culturale sostenibile mediante un’iniziativa europea dedicata nell’ambito dell’Anno europeo;</w:t>
            </w:r>
          </w:p>
          <w:p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sostenere i partenariati tra le industrie e i professionisti creativi e le reti di incubazione europee per l’innovazione guidata dalla creatività che integrano creatività, arte e design con scienza e tecnologie all’avanguardia;</w:t>
            </w:r>
          </w:p>
          <w:p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realizzare un progetto pilota che favorisca partenariati più solidi tra i settori creativi e della cultura, gli enti locali, le parti sociali e gli erogatori di istruzione e formazione (2018);</w:t>
            </w:r>
          </w:p>
          <w:p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vagliare una Comunità della conoscenza e dell’innovazione dell’Istituto europeo di innovazione e tecnologia in materia di patrimonio culturale e industrie creative (2019);</w:t>
            </w:r>
          </w:p>
          <w:p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organizzare un dialogo costante con i settori creativi e della cultura nel contesto della nuova strategia di politica industriale, per identificare le esigenze politiche e porre le basi di un ampio quadro politico a livello di UE;</w:t>
            </w:r>
          </w:p>
          <w:p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organizzare un dialogo costante con il settore musicale e realizzare l’azione preparatoria “Music Moves Europe”;</w:t>
            </w:r>
          </w:p>
          <w:p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rafforzare il dialogo con l’industria audiovisiva europea, anche attraverso gli eventi del forum del cinema europeo (2018);</w:t>
            </w:r>
          </w:p>
          <w:p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sostenere gli Stati membri nell’assicurare retribuzioni eque agli artisti e ai creatori attraverso dialoghi settoriali e generali, in linea con la strategia per il mercato unico digitale (2019).</w:t>
            </w:r>
          </w:p>
          <w:p>
            <w:p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La Commissione invita gli Stati membri a:</w:t>
            </w:r>
          </w:p>
          <w:p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impegnarsi a migliorare le condizioni socioeconomiche di artisti e creatori e a promuovere l’istruzione e la formazione artistiche nell’ambito del prossimo piano di lavoro. </w:t>
            </w:r>
          </w:p>
        </w:tc>
      </w:tr>
    </w:tbl>
    <w:p>
      <w:pPr>
        <w:pStyle w:val="Heading3"/>
        <w:spacing w:before="120" w:after="120" w:line="240" w:lineRule="auto"/>
        <w:rPr>
          <w:noProof/>
        </w:rPr>
      </w:pPr>
      <w:r>
        <w:rPr>
          <w:noProof/>
        </w:rPr>
        <w:t>Dimensione esterna - rafforzare le relazioni culturali internazionali</w:t>
      </w:r>
    </w:p>
    <w:p>
      <w:pPr>
        <w:pStyle w:val="ListBullet4"/>
        <w:spacing w:before="120" w:after="120" w:line="240" w:lineRule="auto"/>
        <w:contextualSpacing w:val="0"/>
        <w:jc w:val="both"/>
        <w:rPr>
          <w:noProof/>
        </w:rPr>
      </w:pPr>
      <w:r>
        <w:rPr>
          <w:noProof/>
        </w:rPr>
        <w:t xml:space="preserve">Sostenere la cultura quale motore per lo sviluppo sociale ed economico sostenibile. </w:t>
      </w:r>
    </w:p>
    <w:p>
      <w:pPr>
        <w:pStyle w:val="ListBullet4"/>
        <w:spacing w:before="120" w:after="120" w:line="240" w:lineRule="auto"/>
        <w:contextualSpacing w:val="0"/>
        <w:jc w:val="both"/>
        <w:rPr>
          <w:noProof/>
        </w:rPr>
      </w:pPr>
      <w:r>
        <w:rPr>
          <w:noProof/>
        </w:rPr>
        <w:t xml:space="preserve">Promuovere la cultura e il dialogo interculturale per creare relazioni pacifiche fra le comunità. </w:t>
      </w:r>
    </w:p>
    <w:p>
      <w:pPr>
        <w:pStyle w:val="ListBullet4"/>
        <w:spacing w:before="120" w:after="120" w:line="240" w:lineRule="auto"/>
        <w:contextualSpacing w:val="0"/>
        <w:jc w:val="both"/>
        <w:rPr>
          <w:noProof/>
        </w:rPr>
      </w:pPr>
      <w:r>
        <w:rPr>
          <w:noProof/>
        </w:rPr>
        <w:t xml:space="preserve">Rafforzare la cooperazione in materia di patrimonio culturale. 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Con la comunicazione congiunta del 2016 “Verso una strategia dell’Unione europea per le relazioni culturali internazionali”</w:t>
      </w:r>
      <w:r>
        <w:rPr>
          <w:rFonts w:ascii="Times New Roman" w:hAnsi="Times New Roman"/>
          <w:noProof/>
          <w:sz w:val="24"/>
          <w:vertAlign w:val="superscript"/>
        </w:rPr>
        <w:footnoteReference w:id="37"/>
      </w:r>
      <w:r>
        <w:rPr>
          <w:rFonts w:ascii="Times New Roman" w:hAnsi="Times New Roman"/>
          <w:noProof/>
          <w:sz w:val="24"/>
        </w:rPr>
        <w:t>, l’UE ha stabilito un quadro per la cooperazione culturale con i paesi partner. Tale strategia è pienamente in linea con la convenzione UNESCO del 2005 sulla protezione e la promozione della diversità delle espressioni culturali, della quale sono parti l’UE e tutti gli Stati membri</w:t>
      </w:r>
      <w:r>
        <w:rPr>
          <w:rStyle w:val="FootnoteReference"/>
          <w:rFonts w:ascii="Times New Roman" w:hAnsi="Times New Roman"/>
          <w:noProof/>
          <w:sz w:val="24"/>
        </w:rPr>
        <w:footnoteReference w:id="38"/>
      </w:r>
      <w:r>
        <w:rPr>
          <w:rFonts w:ascii="Times New Roman" w:hAnsi="Times New Roman"/>
          <w:noProof/>
          <w:sz w:val="24"/>
        </w:rPr>
        <w:t>. La strategia globale per la politica estera e di sicurezza dell’Unione europea</w:t>
      </w:r>
      <w:r>
        <w:rPr>
          <w:rFonts w:ascii="Times New Roman" w:hAnsi="Times New Roman"/>
          <w:noProof/>
          <w:sz w:val="24"/>
          <w:vertAlign w:val="superscript"/>
        </w:rPr>
        <w:footnoteReference w:id="39"/>
      </w:r>
      <w:r>
        <w:rPr>
          <w:rFonts w:ascii="Times New Roman" w:hAnsi="Times New Roman"/>
          <w:noProof/>
          <w:sz w:val="24"/>
        </w:rPr>
        <w:t xml:space="preserve"> ha identificato la diplomazia culturale quale nuovo ambito per l’azione esterna coesa dell’UE. Il nuovo consenso europeo in materia di sviluppo</w:t>
      </w:r>
      <w:r>
        <w:rPr>
          <w:rFonts w:ascii="Times New Roman" w:hAnsi="Times New Roman"/>
          <w:noProof/>
          <w:sz w:val="24"/>
          <w:vertAlign w:val="superscript"/>
        </w:rPr>
        <w:footnoteReference w:id="40"/>
      </w:r>
      <w:r>
        <w:rPr>
          <w:rFonts w:ascii="Times New Roman" w:hAnsi="Times New Roman"/>
          <w:noProof/>
          <w:sz w:val="24"/>
        </w:rPr>
        <w:t xml:space="preserve"> riconosce il ruolo della cultura quale motore e componente importante. 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La Commissione, l’alto rappresentante dell’Unione per gli affari esteri e la politica di sicurezza (l’alto rappresentante) e i loro servizi, compreso il servizio europeo per l’azione esterna (SEAE), sostengono appieno i lavori attualmente in corso in seno al Consiglio per elaborare un approccio esaustivo in varie tappe alle relazioni culturali internazionali. L’azione realizzata dall’UE crea sinergie e valore aggiunto</w:t>
      </w:r>
      <w:r>
        <w:rPr>
          <w:rStyle w:val="FootnoteReference"/>
          <w:rFonts w:ascii="Times New Roman" w:hAnsi="Times New Roman"/>
          <w:noProof/>
          <w:sz w:val="24"/>
        </w:rPr>
        <w:footnoteReference w:id="41"/>
      </w:r>
      <w:r>
        <w:rPr>
          <w:rFonts w:ascii="Times New Roman" w:hAnsi="Times New Roman"/>
          <w:noProof/>
          <w:sz w:val="24"/>
        </w:rPr>
        <w:t>, specialmente alla luce del ruolo ampliato delle delegazioni UE.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I punti focali culturali nelle delegazioni UE ricevono formazione alla dimensione culturale dello sviluppo e delle relazioni esterne, per una migliore diffusione delle pratiche ottimali e per rispondere alle esigenze e alle aspettative dei partner locali.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La nuova agenda consente una promozione più efficace della cultura quale vettore di identità e coesione, motore di sviluppo socioeconomico e fattore che alimenta direttamente relazioni pacifiche, anche mediante i contatti interpersonali derivanti dall’istruzione e dai progetti per i giovani, con un’attenzione particolare per i paesi dell’allargamento e i Balcani occidentali</w:t>
      </w:r>
      <w:r>
        <w:rPr>
          <w:rStyle w:val="FootnoteReference"/>
          <w:rFonts w:ascii="Times New Roman" w:hAnsi="Times New Roman"/>
          <w:noProof/>
          <w:sz w:val="24"/>
        </w:rPr>
        <w:footnoteReference w:id="42"/>
      </w:r>
      <w:r>
        <w:rPr>
          <w:rFonts w:ascii="Times New Roman" w:hAnsi="Times New Roman"/>
          <w:noProof/>
          <w:sz w:val="24"/>
        </w:rPr>
        <w:t xml:space="preserve">. La Commissione inoltre intende utilizzare l’agenda per enfatizzare la dimensione culturale dello sviluppo sostenibile e per contribuire all’attuazione dell’agenda 2030 per lo sviluppo sostenibile delle Nazioni Unite. 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L’Anno europeo del patrimonio culturale 2018</w:t>
      </w:r>
      <w:r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fldChar w:fldCharType="begin"/>
      </w:r>
      <w:r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instrText xml:space="preserve"> NOTEREF _Ref508719289 \h  \* MERGEFORMAT </w:instrText>
      </w:r>
      <w:r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</w:r>
      <w:r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fldChar w:fldCharType="separate"/>
      </w:r>
      <w:r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fldChar w:fldCharType="end"/>
      </w:r>
      <w:r>
        <w:rPr>
          <w:rFonts w:ascii="Times New Roman" w:hAnsi="Times New Roman"/>
          <w:noProof/>
          <w:sz w:val="24"/>
        </w:rPr>
        <w:t>, a cui i Balcani occidentali sono pienamente associati, è un’opportunità unica per rafforzare i legami culturali con i paesi partner e i settori della cultura locali. I partenariati nati durante l’Anno europeo dovrebbero continuare in seguito quale parte della cooperazione culturale dell’UE e di un nuovo piano di azione europeo per il patrimonio culturale. Sono in corso o stanno per essere avviati progetti anche nelle zone tormentate da conflitti, per proteggere e riqualificare il patrimonio culturale danneggiato e promuovere la creazione di posti di lavoro e migliori opportunità di sussistenza.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>
        <w:tc>
          <w:tcPr>
            <w:tcW w:w="9288" w:type="dxa"/>
          </w:tcPr>
          <w:p>
            <w:p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La Commissione e l’alto rappresentante intendono: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promuovere i settori creativi e della cultura nei Balcani occidentali attraverso il rafforzamento del sostegno da parte di Europa creativa, e utilizzare lo strumento di assistenza preadesione per sostenere la cultura nei Balcani occidentali e nei paesi dell’allargamento, in particolare nell’attuazione delle iniziative faro correlate del piano d’azione a sostegno della trasformazione dei Balcani occidentali;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prevedere il lancio di una terza fase del programma culturale del partenariato orientale e rafforzare la società civile mediante la cultura nei paesi mediterranei;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lanciare un’azione preparatoria riguardante le Case della cultura europea nei paesi partner;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rafforzare il dialogo sulla cultura con la Cina e lanciare un nuovo dialogo con il Giappone;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attuare l’undicesimo programma culturale intra-ACP del Fondo europeo di sviluppo per i paesi dell’Africa, dei Caraibi e del Pacifico, a integrazione delle azioni nell’ambito di tutti gli altri programmi dell’UE pertinenti, per sostenere la creazione di posti di lavoro, la costruzione dell’identità, la formazione professionale, la cooperazione audiovisiva e l’attuazione della convenzione UNESCO del 2005 in tali paesi; 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elaborare strategie per la cooperazione culturale a livello regionale, iniziando da Balcani occidentali, Medio Oriente, Africa settentrionale e America latina;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aggiungere la protezione del patrimonio culturale agli incarichi delle missioni di politica di sicurezza e di difesa comune, ove opportuno, sulla base dei progetti e delle missioni in corso;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sostenere i corridoi del patrimonio della via della seta in Asia centrale, Afghanistan e Iran.</w:t>
            </w:r>
          </w:p>
          <w:p>
            <w:pPr>
              <w:keepNext/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La Commissione invita gli Stati membri a: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both"/>
              <w:rPr>
                <w:noProof/>
              </w:rPr>
            </w:pPr>
            <w:r>
              <w:rPr>
                <w:noProof/>
              </w:rPr>
              <w:t>cooperare allo sviluppo di attività comuni con la Commissione, l’alto rappresentante e i loro servizi, compreso il servizio europeo per l’azione esterna.</w:t>
            </w:r>
          </w:p>
        </w:tc>
      </w:tr>
    </w:tbl>
    <w:p>
      <w:pPr>
        <w:pStyle w:val="Heading2"/>
        <w:numPr>
          <w:ilvl w:val="0"/>
          <w:numId w:val="27"/>
        </w:numPr>
        <w:spacing w:before="120" w:after="120" w:line="240" w:lineRule="auto"/>
        <w:rPr>
          <w:noProof/>
        </w:rPr>
      </w:pPr>
      <w:r>
        <w:rPr>
          <w:noProof/>
        </w:rPr>
        <w:t>Azioni trasversali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Sebbene la maggior parte delle azioni della nuova agenda contribuisca principalmente a uno dei tre obiettivi (relazioni sociali, economiche e internazionali), molti aspetti sono trasversali. Due grandi ambiti di azioni politiche a livello di UE (patrimonio culturale e digitalizzazione) saranno funzionali al conseguimento di tutti e tre gli obiettivi. </w:t>
      </w:r>
    </w:p>
    <w:p>
      <w:pPr>
        <w:pStyle w:val="Heading4"/>
        <w:spacing w:before="120" w:after="120" w:line="240" w:lineRule="auto"/>
        <w:rPr>
          <w:b w:val="0"/>
          <w:noProof/>
        </w:rPr>
      </w:pPr>
      <w:r>
        <w:rPr>
          <w:b w:val="0"/>
          <w:noProof/>
        </w:rPr>
        <w:t>Protezione e valorizzazione del patrimonio culturale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L’Anno europeo del patrimonio culturale 2018 è iniziato con il piede giusto, con migliaia di attività in via di realizzazione in tutta Europa. La Commissione contribuisce direttamente concentrando l’attenzione su dieci temi principali</w:t>
      </w:r>
      <w:r>
        <w:rPr>
          <w:noProof/>
          <w:vertAlign w:val="superscript"/>
        </w:rPr>
        <w:footnoteReference w:id="43"/>
      </w:r>
      <w:r>
        <w:rPr>
          <w:rFonts w:ascii="Times New Roman" w:hAnsi="Times New Roman"/>
          <w:noProof/>
          <w:sz w:val="24"/>
        </w:rPr>
        <w:t xml:space="preserve"> nell’ambito di quattro obiettivi essenziali: partecipazione, sostenibilità, protezione e innovazione. Ciò si tradurrà in raccomandazioni, principi e strumenti per garantire un’eredità positiva dell’Anno europeo e contribuire alla nuova agenda.</w:t>
      </w:r>
    </w:p>
    <w:tbl>
      <w:tblPr>
        <w:tblStyle w:val="TableGrid1"/>
        <w:tblW w:w="915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156"/>
      </w:tblGrid>
      <w:tr>
        <w:trPr>
          <w:trHeight w:val="2822"/>
        </w:trPr>
        <w:tc>
          <w:tcPr>
            <w:tcW w:w="9156" w:type="dxa"/>
          </w:tcPr>
          <w:p>
            <w:p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Alla conclusione dell’Anno europeo la Commissione intende: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presentare un </w:t>
            </w:r>
            <w:r>
              <w:rPr>
                <w:rFonts w:ascii="Times New Roman" w:hAnsi="Times New Roman"/>
                <w:b/>
                <w:noProof/>
                <w:sz w:val="24"/>
              </w:rPr>
              <w:t>piano di azione per il patrimonio culturale</w:t>
            </w:r>
            <w:r>
              <w:rPr>
                <w:rFonts w:ascii="Times New Roman" w:hAnsi="Times New Roman"/>
                <w:noProof/>
                <w:sz w:val="24"/>
              </w:rPr>
              <w:t xml:space="preserve"> e chiedere agli Stati membri di redigere piani simili a livello nazionale e di dare un seguito alle 10 iniziative europee mediante i piani di lavoro per la cultura del Consiglio;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proporre di integrare i risultati dell’Anno europeo nei futuri programmi dell’UE e nella politica di coesione; 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sostenere l’applicazione del futuro regolamento dell’UE sull’importazione di beni culturali mediante un piano d’azione in materia di commercio illecito dei beni culturali, e istituire una piattaforma sociale scientifico-politica delle parti interessate in merito al patrimonio culturale in pericolo. </w:t>
            </w:r>
          </w:p>
        </w:tc>
      </w:tr>
    </w:tbl>
    <w:p>
      <w:pPr>
        <w:pStyle w:val="Heading4"/>
        <w:spacing w:before="120" w:after="120" w:line="240" w:lineRule="auto"/>
        <w:rPr>
          <w:b w:val="0"/>
          <w:noProof/>
        </w:rPr>
      </w:pPr>
      <w:r>
        <w:rPr>
          <w:b w:val="0"/>
          <w:noProof/>
        </w:rPr>
        <w:t>Digital4Culture</w:t>
      </w:r>
    </w:p>
    <w:p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La rivoluzione digitale rende possibili forme nuove e innovative di creazione artistica, un accesso più ampio e più democratico alla cultura e al patrimonio culturale e nuove modalità per accedere, consumare e monetizzare i contenuti culturali. Per adeguarsi a questi sviluppi, la Commissione sta preparando una nuova strategia “Digital4Culture” dell’UE intesa a dare seguito alle proposte in materia di diritti d’autore, audiovisivi e radiodiffusione nell’ambito della strategia per il mercato unico digitale e porre le basi di azioni future nel contesto del prossimo quadro finanziario pluriennale dell’Unione. </w:t>
      </w: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>
        <w:tc>
          <w:tcPr>
            <w:tcW w:w="9288" w:type="dxa"/>
          </w:tcPr>
          <w:p>
            <w:pPr>
              <w:spacing w:before="120" w:after="120"/>
              <w:ind w:left="357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La Commissione intende: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creare una rete di centri di competenza in tutta l’UE per salvaguardare le conoscenze dei monumenti del patrimonio culturale in pericolo mediante una digitalizzazione su larga scala (2019);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creare un repertorio online dei film europei e lanciare la prima settimana UE della cinematografia per mettere a disposizione delle scuole di tutta Europa i film europei (2019);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istituire una rete paneuropea di centri digitali creativi e dell’innovazione per sostenere la trasformazione digitale (2020);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proporre le prossime fasi per Europeana, la piattaforma digitale dell’Europa per il patrimonio culturale (2018); 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lanciare programmi pilota di tutoraggio per i professionisti del settore audiovisivo, in particolare le donne, per aiutare i nuovi talenti a sviluppare il loro percorso professionale e le loro abilità (2019);</w:t>
            </w:r>
          </w:p>
          <w:p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incentivare gli scambi e le collaborazioni tra l’arte e la tecnologia per un’innovazione sostenibile a livello sociale e industriale (2018).</w:t>
            </w:r>
          </w:p>
        </w:tc>
      </w:tr>
    </w:tbl>
    <w:p>
      <w:pPr>
        <w:pStyle w:val="Heading2"/>
        <w:numPr>
          <w:ilvl w:val="0"/>
          <w:numId w:val="27"/>
        </w:numPr>
        <w:spacing w:before="120" w:after="120" w:line="240" w:lineRule="auto"/>
        <w:rPr>
          <w:noProof/>
        </w:rPr>
      </w:pPr>
      <w:r>
        <w:rPr>
          <w:noProof/>
        </w:rPr>
        <w:t>Attuare la nuova agenda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Nel rispetto del principio della sussidiarietà, il ruolo dell’UE è fornire incentivi e consulenza agli Stati membri nell’esame di nuove idee, sostenendoli nell’attuazione di un’agenda comune. In alcune aree è evidente la possibilità di attivarsi maggiormente, mediante orientamenti strategici, metodi di lavoro migliori e attività pilota.</w:t>
      </w:r>
    </w:p>
    <w:p>
      <w:pPr>
        <w:pStyle w:val="Heading2"/>
        <w:numPr>
          <w:ilvl w:val="1"/>
          <w:numId w:val="27"/>
        </w:numPr>
        <w:spacing w:before="120" w:after="120" w:line="240" w:lineRule="auto"/>
        <w:ind w:left="426" w:hanging="426"/>
        <w:rPr>
          <w:b w:val="0"/>
          <w:i/>
          <w:noProof/>
        </w:rPr>
      </w:pPr>
      <w:r>
        <w:rPr>
          <w:b w:val="0"/>
          <w:i/>
          <w:noProof/>
        </w:rPr>
        <w:t>Cooperazione con gli Stati membri</w:t>
      </w:r>
    </w:p>
    <w:p>
      <w:pPr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La nuova agenda dovrebbe essere attuata tramite piani di lavoro e metodi operativi, come il metodo aperto di coordinamento, approvati dagli Stati membri. </w:t>
      </w:r>
    </w:p>
    <w:p>
      <w:pPr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Per accrescere l’impatto, la Commissione propone anche di concentrare l’attenzione sull’attuazione concreta a livello nazionale, regionale o locale, mediante progetti comuni, in parte finanziati da strumenti dell’UE, che offrano assistenza tecnica e possibilità di apprendimento fra pari agli Stati membri o alle autorità regionali e locali designate dagli Stati membri. </w:t>
      </w:r>
    </w:p>
    <w:tbl>
      <w:tblPr>
        <w:tblStyle w:val="TableGrid1"/>
        <w:tblW w:w="896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961"/>
      </w:tblGrid>
      <w:tr>
        <w:trPr>
          <w:trHeight w:val="1803"/>
        </w:trPr>
        <w:tc>
          <w:tcPr>
            <w:tcW w:w="8961" w:type="dxa"/>
          </w:tcPr>
          <w:p>
            <w:p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</w:rPr>
              <w:t>La Commissione invita gli Stati membri a considerare i seguenti temi per il lavoro congiunto:</w:t>
            </w:r>
          </w:p>
          <w:p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governance partecipativa in materia di patrimonio culturale, in collaborazione con il Consiglio d’Europa;</w:t>
            </w:r>
          </w:p>
          <w:p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principi di qualità per gli interventi a favore del patrimonio culturale e il restauro; </w:t>
            </w:r>
          </w:p>
          <w:p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accesso ai finanziamenti e alla capacità d’innovazione nei settori creativi e della cultura;</w:t>
            </w:r>
          </w:p>
          <w:p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ampliamento dei progetti culturali e relativi al patrimonio sostenuti dai programmi dell’UE. </w:t>
            </w:r>
          </w:p>
        </w:tc>
      </w:tr>
    </w:tbl>
    <w:p>
      <w:pPr>
        <w:pStyle w:val="Heading2"/>
        <w:numPr>
          <w:ilvl w:val="1"/>
          <w:numId w:val="27"/>
        </w:numPr>
        <w:spacing w:before="120" w:after="120" w:line="240" w:lineRule="auto"/>
        <w:ind w:left="426" w:hanging="426"/>
        <w:rPr>
          <w:b w:val="0"/>
          <w:i/>
          <w:noProof/>
        </w:rPr>
      </w:pPr>
      <w:r>
        <w:rPr>
          <w:b w:val="0"/>
          <w:i/>
          <w:noProof/>
        </w:rPr>
        <w:t>Dialogo strutturato con la società civile</w:t>
      </w:r>
    </w:p>
    <w:p>
      <w:pPr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La Commissione pianifica di allargare l’attuale dialogo strutturato</w:t>
      </w:r>
      <w:r>
        <w:rPr>
          <w:rStyle w:val="FootnoteReference"/>
          <w:rFonts w:ascii="Times New Roman" w:hAnsi="Times New Roman"/>
          <w:noProof/>
          <w:sz w:val="24"/>
        </w:rPr>
        <w:footnoteReference w:id="44"/>
      </w:r>
      <w:r>
        <w:rPr>
          <w:rFonts w:ascii="Times New Roman" w:hAnsi="Times New Roman"/>
          <w:noProof/>
          <w:sz w:val="24"/>
        </w:rPr>
        <w:t xml:space="preserve">, andando oltre i temi esaminati nell’ambito del metodo aperto di coordinamento, sfruttando maggiormente le opportunità di collaborazione online e coinvolgendo di volta in volta organizzazioni pertinenti esterne ai settori creativi e della cultura. La Commissione proporrà inoltre un ruolo più attivo per la società civile nella preparazione dei Forum europei biennali della cultura. </w:t>
      </w:r>
    </w:p>
    <w:p>
      <w:pPr>
        <w:pStyle w:val="Heading2"/>
        <w:numPr>
          <w:ilvl w:val="0"/>
          <w:numId w:val="27"/>
        </w:numPr>
        <w:spacing w:before="120" w:after="120" w:line="240" w:lineRule="auto"/>
        <w:rPr>
          <w:noProof/>
        </w:rPr>
      </w:pPr>
      <w:r>
        <w:rPr>
          <w:noProof/>
        </w:rPr>
        <w:t>Promuovere la cultura attraverso i programmi e le politiche dell’UE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 programma Europa creativa e il suo successore rivestiranno un ruolo diretto nel sostegno alla nuova agenda e la Commissione migliorerà le sinergie tra i progetti e le attività politiche. La strategia “Digital4Culture” rafforzerà la coerenza tra le iniziative culturali, digitali e audiovisive. La Commissione sosterrà inoltre gli obiettivi sociali, economici e internazionali della nuova agenda mediante azioni in altri settori strategici, e ulteriori politiche e interventi, attuali e futuri, dell’UE integreranno e sosterranno le politiche culturali degli Stati membri.</w:t>
      </w:r>
    </w:p>
    <w:p>
      <w:pPr>
        <w:pStyle w:val="Heading2"/>
        <w:numPr>
          <w:ilvl w:val="0"/>
          <w:numId w:val="27"/>
        </w:numPr>
        <w:spacing w:before="120" w:after="120" w:line="240" w:lineRule="auto"/>
        <w:rPr>
          <w:noProof/>
        </w:rPr>
      </w:pPr>
      <w:r>
        <w:rPr>
          <w:noProof/>
        </w:rPr>
        <w:t>Le prossime fasi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La nuova agenda europea per la cultura è un elemento essenziale della risposta della Commissione al mandato conferitole dal Consiglio europeo del dicembre 2017. Tale agenda offre un quadro di riferimento per la prossima fase di cooperazione a livello di UE per affrontare le attuali sfide sociali attraverso il potere trasformativo della cultura. È proposto un nuovo approccio nell’ambito di una concezione olistica, che favorisce le sinergie tra i settori culturali e con altri ambiti delle politiche. Per assicurare il successo dell’attuazione della nuova agenda e delle relative azioni sono necessarie la partecipazione e la stretta collaborazione del Parlamento europeo, del Consiglio e degli Stati membri, nonché delle parti interessate del settore della cultura.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La collaborazione politica nell’ambito della nuova agenda sarà sostenuta, nel 2019 e nel 2020, da Europa creativa e da altri programmi UE che finanziano progetti culturali e, a partire dal 2021, dai programmi successivi nel contesto del prossimo quadro finanziario pluriennale dell’UE.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IT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85246119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1"/>
        <w:ind w:left="240" w:hanging="24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1">
        <w:r>
          <w:rPr>
            <w:rStyle w:val="Hyperlink1"/>
            <w:rFonts w:ascii="Times New Roman" w:hAnsi="Times New Roman"/>
          </w:rPr>
          <w:t>Dichiarazione di Roma, marzo 2017</w:t>
        </w:r>
        <w:r>
          <w:rPr>
            <w:rStyle w:val="Hyperlink1"/>
            <w:rFonts w:ascii="Times New Roman" w:hAnsi="Times New Roman"/>
            <w:u w:val="none"/>
          </w:rPr>
          <w:t>.</w:t>
        </w:r>
      </w:hyperlink>
    </w:p>
  </w:footnote>
  <w:footnote w:id="3">
    <w:p>
      <w:pPr>
        <w:pStyle w:val="FootnoteText1"/>
        <w:ind w:left="240" w:hanging="24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2">
        <w:r>
          <w:rPr>
            <w:rStyle w:val="Hyperlink1"/>
            <w:rFonts w:ascii="Times New Roman" w:hAnsi="Times New Roman"/>
          </w:rPr>
          <w:t>Conclusioni del Consiglio europeo, dicembre 2017</w:t>
        </w:r>
        <w:r>
          <w:rPr>
            <w:rStyle w:val="Hyperlink1"/>
            <w:rFonts w:ascii="Times New Roman" w:hAnsi="Times New Roman"/>
            <w:u w:val="none"/>
          </w:rPr>
          <w:t>.</w:t>
        </w:r>
      </w:hyperlink>
    </w:p>
  </w:footnote>
  <w:footnote w:id="4">
    <w:p>
      <w:pPr>
        <w:pStyle w:val="FootnoteText"/>
        <w:ind w:left="240" w:hanging="24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3">
        <w:r>
          <w:rPr>
            <w:rStyle w:val="Hyperlink"/>
            <w:rFonts w:ascii="Times New Roman" w:hAnsi="Times New Roman"/>
          </w:rPr>
          <w:t>https://europa.eu/cultural-heritage/european-year-cultural-heritage_it</w:t>
        </w:r>
        <w:r>
          <w:rPr>
            <w:rStyle w:val="Hyperlink"/>
            <w:rFonts w:ascii="Times New Roman" w:hAnsi="Times New Roman"/>
            <w:u w:val="none"/>
          </w:rPr>
          <w:t>.</w:t>
        </w:r>
      </w:hyperlink>
      <w:r>
        <w:rPr>
          <w:rFonts w:ascii="Times New Roman" w:hAnsi="Times New Roman"/>
        </w:rPr>
        <w:t xml:space="preserve"> </w:t>
      </w:r>
    </w:p>
  </w:footnote>
  <w:footnote w:id="5">
    <w:p>
      <w:pPr>
        <w:pStyle w:val="FootnoteText1"/>
        <w:ind w:left="240" w:hanging="24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4">
        <w:r>
          <w:rPr>
            <w:rStyle w:val="Hyperlink"/>
            <w:rFonts w:ascii="Times New Roman" w:hAnsi="Times New Roman"/>
          </w:rPr>
          <w:t>COM(2017)673</w:t>
        </w:r>
        <w:r>
          <w:rPr>
            <w:rStyle w:val="Hyperlink"/>
            <w:rFonts w:ascii="Times New Roman" w:hAnsi="Times New Roman"/>
            <w:u w:val="none"/>
          </w:rPr>
          <w:t>.</w:t>
        </w:r>
      </w:hyperlink>
      <w:r>
        <w:rPr>
          <w:rStyle w:val="Hyperlink1"/>
          <w:rFonts w:ascii="Times New Roman" w:hAnsi="Times New Roman"/>
        </w:rPr>
        <w:t xml:space="preserve"> </w:t>
      </w:r>
    </w:p>
  </w:footnote>
  <w:footnote w:id="6">
    <w:p>
      <w:pPr>
        <w:pStyle w:val="FootnoteText1"/>
        <w:ind w:left="240" w:hanging="24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5">
        <w:r>
          <w:rPr>
            <w:rStyle w:val="Hyperlink1"/>
            <w:rFonts w:ascii="Times New Roman" w:hAnsi="Times New Roman"/>
          </w:rPr>
          <w:t>Dichiarazione di Bratislava, settembre 2016</w:t>
        </w:r>
        <w:r>
          <w:rPr>
            <w:rStyle w:val="Hyperlink1"/>
            <w:rFonts w:ascii="Times New Roman" w:hAnsi="Times New Roman"/>
            <w:u w:val="none"/>
          </w:rPr>
          <w:t>.</w:t>
        </w:r>
      </w:hyperlink>
    </w:p>
  </w:footnote>
  <w:footnote w:id="7">
    <w:p>
      <w:pPr>
        <w:pStyle w:val="FootnoteText1"/>
        <w:ind w:left="240" w:hanging="24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6">
        <w:r>
          <w:rPr>
            <w:rStyle w:val="Hyperlink1"/>
            <w:rFonts w:ascii="Times New Roman" w:hAnsi="Times New Roman"/>
          </w:rPr>
          <w:t>Eurobarometro 87, primavera 2017</w:t>
        </w:r>
        <w:r>
          <w:rPr>
            <w:rStyle w:val="Hyperlink1"/>
            <w:rFonts w:ascii="Times New Roman" w:hAnsi="Times New Roman"/>
            <w:u w:val="none"/>
          </w:rPr>
          <w:t>.</w:t>
        </w:r>
      </w:hyperlink>
    </w:p>
  </w:footnote>
  <w:footnote w:id="8">
    <w:p>
      <w:pPr>
        <w:pStyle w:val="FootnoteText1"/>
        <w:ind w:left="240" w:hanging="24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7">
        <w:r>
          <w:rPr>
            <w:rStyle w:val="Hyperlink1"/>
            <w:rFonts w:ascii="Times New Roman" w:hAnsi="Times New Roman"/>
          </w:rPr>
          <w:t>Eurostat, novembre 2017</w:t>
        </w:r>
        <w:r>
          <w:rPr>
            <w:rStyle w:val="Hyperlink1"/>
            <w:rFonts w:ascii="Times New Roman" w:hAnsi="Times New Roman"/>
            <w:u w:val="none"/>
          </w:rPr>
          <w:t>.</w:t>
        </w:r>
      </w:hyperlink>
    </w:p>
  </w:footnote>
  <w:footnote w:id="9">
    <w:p>
      <w:pPr>
        <w:pStyle w:val="FootnoteText"/>
        <w:ind w:left="284" w:hanging="284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Anche gli articoli 173 e 208 sono rilevanti per le industrie creative e la cooperazione allo sviluppo.</w:t>
      </w:r>
    </w:p>
  </w:footnote>
  <w:footnote w:id="10">
    <w:p>
      <w:pPr>
        <w:pStyle w:val="FootnoteText1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8">
        <w:r>
          <w:rPr>
            <w:rStyle w:val="Hyperlink1"/>
            <w:rFonts w:ascii="Times New Roman" w:hAnsi="Times New Roman"/>
          </w:rPr>
          <w:t>2007/C 287/01</w:t>
        </w:r>
        <w:r>
          <w:rPr>
            <w:rStyle w:val="Hyperlink1"/>
            <w:rFonts w:ascii="Times New Roman" w:hAnsi="Times New Roman"/>
            <w:u w:val="none"/>
          </w:rPr>
          <w:t>.</w:t>
        </w:r>
      </w:hyperlink>
    </w:p>
  </w:footnote>
  <w:footnote w:id="11">
    <w:p>
      <w:pPr>
        <w:pStyle w:val="FootnoteText1"/>
        <w:ind w:left="284" w:hanging="284"/>
        <w:rPr>
          <w:rFonts w:ascii="Times New Roman" w:hAnsi="Times New Roman" w:cs="Times New Roman"/>
          <w:lang w:val="hu-HU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9">
        <w:r>
          <w:rPr>
            <w:rStyle w:val="Hyperlink1"/>
            <w:rFonts w:ascii="Times New Roman" w:hAnsi="Times New Roman"/>
          </w:rPr>
          <w:t>COM(2007) 242</w:t>
        </w:r>
        <w:r>
          <w:rPr>
            <w:rStyle w:val="Hyperlink1"/>
            <w:rFonts w:ascii="Times New Roman" w:hAnsi="Times New Roman"/>
            <w:u w:val="none"/>
          </w:rPr>
          <w:t>.</w:t>
        </w:r>
      </w:hyperlink>
    </w:p>
  </w:footnote>
  <w:footnote w:id="12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Il documento di lavoro dei servizi della Commissione SWD/2018/167, che accompagna la suddetta comunicazione, presenta una rassegna delle azioni previste dall’agenda del 2007, informazioni sulle azioni proposte da questa nuova agenda, oltre ad altre azioni pertinenti in corso o in programma, e i dettagli delle consultazioni, delle statistiche e dei sondaggi che hanno fornito informazioni per il suo sviluppo.</w:t>
      </w:r>
    </w:p>
  </w:footnote>
  <w:footnote w:id="13">
    <w:p>
      <w:pPr>
        <w:pStyle w:val="FootnoteText"/>
        <w:ind w:left="284" w:hanging="284"/>
        <w:rPr>
          <w:rFonts w:ascii="Times New Roman" w:hAnsi="Times New Roman" w:cs="Times New Roman"/>
          <w:lang w:val="hu-HU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10">
        <w:r>
          <w:rPr>
            <w:rStyle w:val="Hyperlink"/>
            <w:rFonts w:ascii="Times New Roman" w:hAnsi="Times New Roman"/>
          </w:rPr>
          <w:t>http://ec.europa.eu/regional_policy/it/policy/cooperation/</w:t>
        </w:r>
        <w:r>
          <w:rPr>
            <w:rStyle w:val="Hyperlink"/>
            <w:rFonts w:ascii="Times New Roman" w:hAnsi="Times New Roman"/>
            <w:u w:val="none"/>
          </w:rPr>
          <w:t>.</w:t>
        </w:r>
      </w:hyperlink>
      <w:r>
        <w:rPr>
          <w:rFonts w:ascii="Times New Roman" w:hAnsi="Times New Roman"/>
        </w:rPr>
        <w:t xml:space="preserve"> </w:t>
      </w:r>
    </w:p>
  </w:footnote>
  <w:footnote w:id="14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L’“approccio delle capacità” è stato elaborato da Amartya Sen. La sua applicazione alla cultura è più recente.</w:t>
      </w:r>
    </w:p>
  </w:footnote>
  <w:footnote w:id="15">
    <w:p>
      <w:pPr>
        <w:pStyle w:val="FootnoteText1"/>
        <w:ind w:left="240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11">
        <w:r>
          <w:rPr>
            <w:rStyle w:val="Hyperlink1"/>
            <w:rFonts w:ascii="Times New Roman" w:hAnsi="Times New Roman"/>
          </w:rPr>
          <w:t>Metodo aperto di coordinamento (MAC) e “Voices of Culture”, 2014, 2016 e 2017</w:t>
        </w:r>
      </w:hyperlink>
      <w:r>
        <w:t>.</w:t>
      </w:r>
    </w:p>
  </w:footnote>
  <w:footnote w:id="16">
    <w:p>
      <w:pPr>
        <w:pStyle w:val="FootnoteText1"/>
        <w:ind w:left="240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 xml:space="preserve">In linea con la </w:t>
      </w:r>
      <w:hyperlink r:id="rId12">
        <w:r>
          <w:rPr>
            <w:rStyle w:val="Hyperlink"/>
            <w:rFonts w:ascii="Times New Roman" w:hAnsi="Times New Roman"/>
          </w:rPr>
          <w:t>dichiarazione di Davos 2018 “Verso una Baukultur di alta qualità per l’Europa”</w:t>
        </w:r>
      </w:hyperlink>
      <w:r>
        <w:t>.</w:t>
      </w:r>
      <w:r>
        <w:rPr>
          <w:rFonts w:ascii="Times New Roman" w:hAnsi="Times New Roman"/>
        </w:rPr>
        <w:t xml:space="preserve"> </w:t>
      </w:r>
    </w:p>
  </w:footnote>
  <w:footnote w:id="17">
    <w:p>
      <w:pPr>
        <w:pStyle w:val="FootnoteText1"/>
        <w:ind w:left="240" w:hanging="284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lang w:val="en-GB"/>
        </w:rPr>
        <w:tab/>
      </w:r>
      <w:hyperlink r:id="rId13">
        <w:r>
          <w:rPr>
            <w:rStyle w:val="Hyperlink1"/>
            <w:rFonts w:ascii="Times New Roman" w:hAnsi="Times New Roman"/>
            <w:lang w:val="en-GB"/>
          </w:rPr>
          <w:t>Speciale Eurobarometro, 2017</w:t>
        </w:r>
        <w:r>
          <w:rPr>
            <w:rStyle w:val="Hyperlink1"/>
            <w:rFonts w:ascii="Times New Roman" w:hAnsi="Times New Roman"/>
            <w:u w:val="none"/>
            <w:lang w:val="en-GB"/>
          </w:rPr>
          <w:t>.</w:t>
        </w:r>
      </w:hyperlink>
      <w:r>
        <w:rPr>
          <w:rFonts w:ascii="Times New Roman" w:hAnsi="Times New Roman"/>
          <w:lang w:val="en-GB"/>
        </w:rPr>
        <w:t xml:space="preserve"> </w:t>
      </w:r>
    </w:p>
  </w:footnote>
  <w:footnote w:id="18">
    <w:p>
      <w:pPr>
        <w:pStyle w:val="FootnoteText1"/>
        <w:ind w:left="240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lang w:val="en-GB"/>
        </w:rPr>
        <w:tab/>
      </w:r>
      <w:r>
        <w:rPr>
          <w:rStyle w:val="Hyperlink1"/>
          <w:rFonts w:ascii="Times New Roman" w:hAnsi="Times New Roman"/>
          <w:lang w:val="en-GB"/>
        </w:rPr>
        <w:t>Sacco et al., 2011</w:t>
      </w:r>
      <w:r>
        <w:rPr>
          <w:rFonts w:ascii="Times New Roman" w:hAnsi="Times New Roman"/>
          <w:lang w:val="en-GB"/>
        </w:rPr>
        <w:t xml:space="preserve">, </w:t>
      </w:r>
      <w:hyperlink r:id="rId14">
        <w:r>
          <w:rPr>
            <w:rStyle w:val="Hyperlink1"/>
            <w:rFonts w:ascii="Times New Roman" w:hAnsi="Times New Roman"/>
            <w:lang w:val="en-GB"/>
          </w:rPr>
          <w:t>The Interaction Between Culture, Health and Psychological Well-Being</w:t>
        </w:r>
      </w:hyperlink>
      <w:r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</w:rPr>
        <w:t>Anche il MAC 2017-18 sulla cultura per l’inclusione sociale sta raccogliendo prove su salute e benessere.</w:t>
      </w:r>
    </w:p>
  </w:footnote>
  <w:footnote w:id="19">
    <w:p>
      <w:pPr>
        <w:pStyle w:val="FootnoteText"/>
        <w:ind w:left="240" w:hanging="284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lang w:val="en-GB"/>
        </w:rPr>
        <w:tab/>
      </w:r>
      <w:r>
        <w:rPr>
          <w:rFonts w:ascii="Times New Roman" w:hAnsi="Times New Roman"/>
          <w:lang w:val="en-GB"/>
        </w:rPr>
        <w:t>Relazione del</w:t>
      </w:r>
      <w:r>
        <w:rPr>
          <w:lang w:val="en-GB"/>
        </w:rPr>
        <w:t xml:space="preserve"> </w:t>
      </w:r>
      <w:hyperlink r:id="rId15">
        <w:r>
          <w:rPr>
            <w:rStyle w:val="Hyperlink"/>
            <w:rFonts w:ascii="Times New Roman" w:hAnsi="Times New Roman"/>
            <w:lang w:val="en-GB"/>
          </w:rPr>
          <w:t>King’s College London</w:t>
        </w:r>
      </w:hyperlink>
      <w:r>
        <w:rPr>
          <w:rFonts w:ascii="Times New Roman" w:hAnsi="Times New Roman"/>
          <w:lang w:val="en-GB"/>
        </w:rPr>
        <w:t xml:space="preserve"> “</w:t>
      </w:r>
      <w:r>
        <w:rPr>
          <w:rFonts w:ascii="Times New Roman" w:hAnsi="Times New Roman"/>
          <w:i/>
          <w:lang w:val="en-GB"/>
        </w:rPr>
        <w:t>Towards cultural democracy: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i/>
          <w:lang w:val="en-GB"/>
        </w:rPr>
        <w:t>Promoting cultural capabilities for everyone</w:t>
      </w:r>
      <w:r>
        <w:rPr>
          <w:rFonts w:ascii="Times New Roman" w:hAnsi="Times New Roman"/>
          <w:lang w:val="en-GB"/>
        </w:rPr>
        <w:t xml:space="preserve">”. </w:t>
      </w:r>
    </w:p>
  </w:footnote>
  <w:footnote w:id="20">
    <w:p>
      <w:pPr>
        <w:pStyle w:val="FootnoteText"/>
        <w:ind w:left="240" w:hanging="284"/>
        <w:rPr>
          <w:rFonts w:ascii="Times New Roman" w:hAnsi="Times New Roman" w:cs="Times New Roman"/>
          <w:lang w:val="hu-HU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 xml:space="preserve">3 MAC sulla </w:t>
      </w:r>
      <w:hyperlink r:id="rId16">
        <w:r>
          <w:rPr>
            <w:rStyle w:val="Hyperlink1"/>
            <w:rFonts w:ascii="Times New Roman" w:hAnsi="Times New Roman"/>
          </w:rPr>
          <w:t>mobilità degli artisti</w:t>
        </w:r>
      </w:hyperlink>
      <w:r>
        <w:t xml:space="preserve"> </w:t>
      </w:r>
      <w:r>
        <w:rPr>
          <w:rFonts w:ascii="Times New Roman" w:hAnsi="Times New Roman"/>
        </w:rPr>
        <w:t>e le residenze per artisti, 2010, 2012, 2014.</w:t>
      </w:r>
    </w:p>
  </w:footnote>
  <w:footnote w:id="21">
    <w:p>
      <w:pPr>
        <w:pStyle w:val="FootnoteText"/>
        <w:ind w:left="240" w:hanging="284"/>
        <w:rPr>
          <w:rFonts w:ascii="Times New Roman" w:hAnsi="Times New Roman" w:cs="Times New Roman"/>
          <w:lang w:val="hu-HU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lang w:val="hu-HU"/>
        </w:rPr>
        <w:tab/>
      </w:r>
      <w:hyperlink r:id="rId17">
        <w:r>
          <w:rPr>
            <w:rStyle w:val="Hyperlink"/>
            <w:rFonts w:ascii="Times New Roman" w:hAnsi="Times New Roman"/>
            <w:lang w:val="hu-HU"/>
          </w:rPr>
          <w:t>ec.europa.eu/programmes/creative-europe/node_it</w:t>
        </w:r>
      </w:hyperlink>
      <w:r>
        <w:rPr>
          <w:rFonts w:ascii="Times New Roman" w:hAnsi="Times New Roman"/>
          <w:lang w:val="hu-HU"/>
        </w:rPr>
        <w:t xml:space="preserve">; </w:t>
      </w:r>
      <w:hyperlink r:id="rId18">
        <w:r>
          <w:rPr>
            <w:rStyle w:val="Hyperlink"/>
            <w:rFonts w:ascii="Times New Roman" w:hAnsi="Times New Roman"/>
            <w:lang w:val="hu-HU"/>
          </w:rPr>
          <w:t>ec.europa.eu/programmes/erasmus-plus/node_it</w:t>
        </w:r>
        <w:r>
          <w:rPr>
            <w:rStyle w:val="Hyperlink"/>
            <w:rFonts w:ascii="Times New Roman" w:hAnsi="Times New Roman"/>
            <w:u w:val="none"/>
            <w:lang w:val="hu-HU"/>
          </w:rPr>
          <w:t>.</w:t>
        </w:r>
      </w:hyperlink>
      <w:r>
        <w:rPr>
          <w:rFonts w:ascii="Times New Roman" w:hAnsi="Times New Roman"/>
          <w:lang w:val="hu-HU"/>
        </w:rPr>
        <w:t xml:space="preserve"> </w:t>
      </w:r>
    </w:p>
  </w:footnote>
  <w:footnote w:id="22">
    <w:p>
      <w:pPr>
        <w:pStyle w:val="FootnoteText"/>
        <w:ind w:left="240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19">
        <w:r>
          <w:rPr>
            <w:rStyle w:val="Hyperlink1"/>
            <w:rFonts w:ascii="Times New Roman" w:hAnsi="Times New Roman"/>
          </w:rPr>
          <w:t>Eurostat 2016</w:t>
        </w:r>
      </w:hyperlink>
      <w:r>
        <w:rPr>
          <w:rStyle w:val="Hyperlink1"/>
          <w:rFonts w:ascii="Times New Roman" w:hAnsi="Times New Roman"/>
        </w:rPr>
        <w:t xml:space="preserve"> (statistiche della cultura: occupazione, imprese, partecipazione, commercio, spesa)</w:t>
      </w:r>
      <w:r>
        <w:rPr>
          <w:rStyle w:val="Hyperlink1"/>
          <w:rFonts w:ascii="Times New Roman" w:hAnsi="Times New Roman"/>
          <w:u w:val="none"/>
        </w:rPr>
        <w:t>.</w:t>
      </w:r>
    </w:p>
  </w:footnote>
  <w:footnote w:id="23">
    <w:p>
      <w:pPr>
        <w:pStyle w:val="FootnoteText1"/>
        <w:ind w:left="240" w:hanging="284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lang w:val="en-GB"/>
        </w:rPr>
        <w:tab/>
      </w:r>
      <w:hyperlink r:id="rId20">
        <w:r>
          <w:rPr>
            <w:rStyle w:val="Hyperlink1"/>
            <w:rFonts w:ascii="Times New Roman" w:hAnsi="Times New Roman"/>
            <w:lang w:val="en-GB"/>
          </w:rPr>
          <w:t>Studio del 2014 di Ernst &amp; Young</w:t>
        </w:r>
      </w:hyperlink>
      <w:r>
        <w:rPr>
          <w:rFonts w:ascii="Times New Roman" w:hAnsi="Times New Roman"/>
          <w:lang w:val="en-GB"/>
        </w:rPr>
        <w:t xml:space="preserve"> “</w:t>
      </w:r>
      <w:r>
        <w:rPr>
          <w:rFonts w:ascii="Times New Roman" w:hAnsi="Times New Roman"/>
          <w:i/>
          <w:lang w:val="en-GB"/>
        </w:rPr>
        <w:t>Measuring cultural and creative markets in the EU</w:t>
      </w:r>
      <w:r>
        <w:rPr>
          <w:rFonts w:ascii="Times New Roman" w:hAnsi="Times New Roman"/>
          <w:lang w:val="en-GB"/>
        </w:rPr>
        <w:t>”.</w:t>
      </w:r>
    </w:p>
  </w:footnote>
  <w:footnote w:id="24">
    <w:p>
      <w:pPr>
        <w:pStyle w:val="FootnoteText1"/>
        <w:ind w:left="240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21">
        <w:r>
          <w:rPr>
            <w:rStyle w:val="Hyperlink1"/>
            <w:rFonts w:ascii="Times New Roman" w:hAnsi="Times New Roman"/>
          </w:rPr>
          <w:t>Il manuale del MAC 2016</w:t>
        </w:r>
      </w:hyperlink>
      <w:r>
        <w:rPr>
          <w:rFonts w:ascii="Times New Roman" w:hAnsi="Times New Roman"/>
        </w:rPr>
        <w:t xml:space="preserve"> definisce pratiche e raccomandazioni.</w:t>
      </w:r>
    </w:p>
  </w:footnote>
  <w:footnote w:id="25">
    <w:p>
      <w:pPr>
        <w:pStyle w:val="FootnoteText1"/>
        <w:ind w:left="240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22">
        <w:r>
          <w:rPr>
            <w:rStyle w:val="Hyperlink1"/>
            <w:rFonts w:ascii="Times New Roman" w:hAnsi="Times New Roman"/>
          </w:rPr>
          <w:t>Centro per la ricerca e l’innovazione nell’insegnamento dell’OCSE</w:t>
        </w:r>
        <w:r>
          <w:rPr>
            <w:rStyle w:val="Hyperlink1"/>
            <w:rFonts w:ascii="Times New Roman" w:hAnsi="Times New Roman"/>
            <w:u w:val="none"/>
          </w:rPr>
          <w:t>.</w:t>
        </w:r>
      </w:hyperlink>
      <w:r>
        <w:rPr>
          <w:rFonts w:ascii="Times New Roman" w:hAnsi="Times New Roman"/>
        </w:rPr>
        <w:t xml:space="preserve"> </w:t>
      </w:r>
    </w:p>
  </w:footnote>
  <w:footnote w:id="26">
    <w:p>
      <w:pPr>
        <w:pStyle w:val="FootnoteText"/>
        <w:ind w:left="240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23">
        <w:r>
          <w:rPr>
            <w:rStyle w:val="Hyperlink"/>
            <w:rFonts w:ascii="Times New Roman" w:hAnsi="Times New Roman"/>
          </w:rPr>
          <w:t>COM(2017)247</w:t>
        </w:r>
        <w:r>
          <w:rPr>
            <w:rStyle w:val="Hyperlink"/>
            <w:rFonts w:ascii="Times New Roman" w:hAnsi="Times New Roman"/>
            <w:u w:val="none"/>
          </w:rPr>
          <w:t>.</w:t>
        </w:r>
      </w:hyperlink>
    </w:p>
  </w:footnote>
  <w:footnote w:id="27">
    <w:p>
      <w:pPr>
        <w:pStyle w:val="FootnoteText1"/>
        <w:ind w:left="240" w:hanging="284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Progetto di apprendimento tra pari</w:t>
      </w:r>
      <w:hyperlink r:id="rId24">
        <w:r>
          <w:rPr>
            <w:rStyle w:val="Hyperlink1"/>
            <w:rFonts w:ascii="Times New Roman" w:hAnsi="Times New Roman"/>
          </w:rPr>
          <w:t xml:space="preserve"> “Culture for cities and regions”</w:t>
        </w:r>
      </w:hyperlink>
      <w:r>
        <w:rPr>
          <w:rFonts w:ascii="Times New Roman" w:hAnsi="Times New Roman"/>
        </w:rPr>
        <w:t xml:space="preserve"> (la cultura per le città e le regioni), 2015-17.</w:t>
      </w:r>
    </w:p>
  </w:footnote>
  <w:footnote w:id="28">
    <w:p>
      <w:pPr>
        <w:pStyle w:val="FootnoteText1"/>
        <w:ind w:left="240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25">
        <w:r>
          <w:rPr>
            <w:rStyle w:val="Hyperlink1"/>
            <w:rFonts w:ascii="Times New Roman" w:hAnsi="Times New Roman"/>
          </w:rPr>
          <w:t>Osservatorio della cultura e della creatività urbana</w:t>
        </w:r>
      </w:hyperlink>
      <w:r>
        <w:rPr>
          <w:rFonts w:ascii="Times New Roman" w:hAnsi="Times New Roman"/>
        </w:rPr>
        <w:t>, 2017.</w:t>
      </w:r>
    </w:p>
  </w:footnote>
  <w:footnote w:id="29">
    <w:p>
      <w:pPr>
        <w:pStyle w:val="FootnoteText"/>
        <w:ind w:left="240" w:hanging="284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</w:rPr>
        <w:t xml:space="preserve">RESR (rete europea per lo sviluppo rurale) 2016 </w:t>
      </w:r>
      <w:hyperlink r:id="rId26">
        <w:r>
          <w:rPr>
            <w:rFonts w:ascii="Times New Roman" w:hAnsi="Times New Roman"/>
          </w:rPr>
          <w:t>“Factsheet on Arts and Culture in Rural Areas”</w:t>
        </w:r>
      </w:hyperlink>
      <w:r>
        <w:rPr>
          <w:rFonts w:ascii="Times New Roman" w:hAnsi="Times New Roman"/>
        </w:rPr>
        <w:t xml:space="preserve"> (nota informativa sull’arte e la cultura nelle aree rurali).</w:t>
      </w:r>
    </w:p>
  </w:footnote>
  <w:footnote w:id="30">
    <w:p>
      <w:pPr>
        <w:pStyle w:val="FootnoteText"/>
        <w:ind w:left="240" w:hanging="284"/>
        <w:jc w:val="both"/>
        <w:rPr>
          <w:rStyle w:val="FootnoteReference"/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27">
        <w:r>
          <w:rPr>
            <w:rFonts w:ascii="Times New Roman" w:hAnsi="Times New Roman"/>
          </w:rPr>
          <w:t>Natura 2000</w:t>
        </w:r>
      </w:hyperlink>
      <w:r>
        <w:rPr>
          <w:rFonts w:ascii="Times New Roman" w:hAnsi="Times New Roman"/>
        </w:rPr>
        <w:t>, studi di casi che uniscono patrimonio culturale e naturale.</w:t>
      </w:r>
    </w:p>
  </w:footnote>
  <w:footnote w:id="31">
    <w:p>
      <w:pPr>
        <w:pStyle w:val="FootnoteText1"/>
        <w:ind w:left="240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28">
        <w:r>
          <w:rPr>
            <w:rStyle w:val="Hyperlink1"/>
            <w:rFonts w:ascii="Times New Roman" w:hAnsi="Times New Roman"/>
          </w:rPr>
          <w:t>“European Creative Hubs network”</w:t>
        </w:r>
      </w:hyperlink>
      <w:r>
        <w:rPr>
          <w:rFonts w:ascii="Times New Roman" w:hAnsi="Times New Roman"/>
        </w:rPr>
        <w:t xml:space="preserve"> (rete dei centri creativi europei), 2016-18.</w:t>
      </w:r>
    </w:p>
  </w:footnote>
  <w:footnote w:id="32">
    <w:p>
      <w:pPr>
        <w:pStyle w:val="FootnoteText1"/>
        <w:ind w:left="240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29">
        <w:r>
          <w:rPr>
            <w:rStyle w:val="Hyperlink"/>
            <w:rFonts w:ascii="Times New Roman" w:hAnsi="Times New Roman"/>
          </w:rPr>
          <w:t>“European Cluster Panorama 2014” (panoramica europea dei cluster)</w:t>
        </w:r>
        <w:r>
          <w:rPr>
            <w:rStyle w:val="Hyperlink"/>
            <w:rFonts w:ascii="Times New Roman" w:hAnsi="Times New Roman"/>
            <w:u w:val="none"/>
          </w:rPr>
          <w:t>.</w:t>
        </w:r>
      </w:hyperlink>
    </w:p>
  </w:footnote>
  <w:footnote w:id="33">
    <w:p>
      <w:pPr>
        <w:pStyle w:val="FootnoteText"/>
        <w:ind w:left="240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30">
        <w:r>
          <w:rPr>
            <w:rStyle w:val="Hyperlink"/>
            <w:rFonts w:ascii="Times New Roman" w:hAnsi="Times New Roman"/>
          </w:rPr>
          <w:t>http://s3platform.jrc.ec.europa.eu/map</w:t>
        </w:r>
        <w:r>
          <w:rPr>
            <w:rStyle w:val="Hyperlink"/>
            <w:rFonts w:ascii="Times New Roman" w:hAnsi="Times New Roman"/>
            <w:u w:val="none"/>
          </w:rPr>
          <w:t>.</w:t>
        </w:r>
      </w:hyperlink>
    </w:p>
  </w:footnote>
  <w:footnote w:id="34">
    <w:p>
      <w:pPr>
        <w:pStyle w:val="FootnoteText"/>
        <w:ind w:left="240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31">
        <w:r>
          <w:rPr>
            <w:rStyle w:val="Hyperlink"/>
            <w:rFonts w:ascii="Times New Roman" w:hAnsi="Times New Roman"/>
          </w:rPr>
          <w:t>“Routes4U”</w:t>
        </w:r>
      </w:hyperlink>
      <w:r>
        <w:rPr>
          <w:rFonts w:ascii="Times New Roman" w:hAnsi="Times New Roman"/>
        </w:rPr>
        <w:t>: programma comune della Commissione e del Consiglio d’Europa sugli itinerari culturali nelle macroregioni.</w:t>
      </w:r>
    </w:p>
  </w:footnote>
  <w:footnote w:id="35">
    <w:p>
      <w:pPr>
        <w:pStyle w:val="FootnoteText"/>
        <w:ind w:left="240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32">
        <w:r>
          <w:rPr>
            <w:rStyle w:val="Hyperlink1"/>
            <w:rFonts w:ascii="Times New Roman" w:hAnsi="Times New Roman"/>
          </w:rPr>
          <w:t>Crowdfunding4Culture</w:t>
        </w:r>
        <w:r>
          <w:rPr>
            <w:rStyle w:val="Hyperlink1"/>
            <w:rFonts w:ascii="Times New Roman" w:hAnsi="Times New Roman"/>
            <w:u w:val="none"/>
          </w:rPr>
          <w:t>.</w:t>
        </w:r>
      </w:hyperlink>
      <w:r>
        <w:rPr>
          <w:rFonts w:ascii="Times New Roman" w:hAnsi="Times New Roman"/>
        </w:rPr>
        <w:t xml:space="preserve"> </w:t>
      </w:r>
    </w:p>
  </w:footnote>
  <w:footnote w:id="36">
    <w:p>
      <w:pPr>
        <w:pStyle w:val="FootnoteText"/>
        <w:ind w:left="240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Anche mediante il quadro europeo per l’imprenditorialità e il quadro di riferimento delle competenze digitali (EntreComp, DigComp).</w:t>
      </w:r>
    </w:p>
  </w:footnote>
  <w:footnote w:id="37">
    <w:p>
      <w:pPr>
        <w:pStyle w:val="FootnoteText1"/>
        <w:ind w:left="240" w:hanging="24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33">
        <w:r>
          <w:rPr>
            <w:rStyle w:val="Hyperlink1"/>
            <w:rFonts w:ascii="Times New Roman" w:hAnsi="Times New Roman"/>
          </w:rPr>
          <w:t>JOIN/2016/029</w:t>
        </w:r>
        <w:r>
          <w:rPr>
            <w:rStyle w:val="Hyperlink1"/>
            <w:rFonts w:ascii="Times New Roman" w:hAnsi="Times New Roman"/>
            <w:u w:val="none"/>
          </w:rPr>
          <w:t>.</w:t>
        </w:r>
      </w:hyperlink>
    </w:p>
  </w:footnote>
  <w:footnote w:id="38">
    <w:p>
      <w:pPr>
        <w:pStyle w:val="FootnoteText"/>
        <w:ind w:left="240" w:hanging="24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hyperlink r:id="rId34">
        <w:r>
          <w:tab/>
        </w:r>
      </w:hyperlink>
      <w:hyperlink r:id="rId35">
        <w:r>
          <w:rPr>
            <w:rStyle w:val="Hyperlink"/>
            <w:rFonts w:ascii="Times New Roman" w:hAnsi="Times New Roman"/>
          </w:rPr>
          <w:t>http://en.unesco.org/creativity/</w:t>
        </w:r>
      </w:hyperlink>
      <w:r>
        <w:rPr>
          <w:rFonts w:ascii="Times New Roman" w:hAnsi="Times New Roman"/>
        </w:rPr>
        <w:t xml:space="preserve">; l’ultima relazione UE è disponibile </w:t>
      </w:r>
      <w:hyperlink r:id="rId36">
        <w:r>
          <w:rPr>
            <w:rStyle w:val="Hyperlink"/>
            <w:rFonts w:ascii="Times New Roman" w:hAnsi="Times New Roman"/>
          </w:rPr>
          <w:t>qui</w:t>
        </w:r>
      </w:hyperlink>
      <w:r>
        <w:rPr>
          <w:rFonts w:ascii="Times New Roman" w:hAnsi="Times New Roman"/>
        </w:rPr>
        <w:t>.</w:t>
      </w:r>
    </w:p>
  </w:footnote>
  <w:footnote w:id="39">
    <w:p>
      <w:pPr>
        <w:pStyle w:val="FootnoteText1"/>
        <w:tabs>
          <w:tab w:val="left" w:pos="2895"/>
        </w:tabs>
        <w:ind w:left="240" w:hanging="24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r>
        <w:fldChar w:fldCharType="begin"/>
      </w:r>
      <w:r>
        <w:rPr>
          <w:rFonts w:ascii="Times New Roman" w:hAnsi="Times New Roman" w:cs="Times New Roman"/>
        </w:rPr>
        <w:instrText xml:space="preserve"> "https://europa.eu/globalstrategy/sites/globalstrategy/files/regions/files/eugs_review_web_0.pdf" </w:instrText>
      </w:r>
      <w:r>
        <w:fldChar w:fldCharType="separate"/>
      </w:r>
      <w:r>
        <w:rPr>
          <w:rStyle w:val="Hyperlink1"/>
          <w:rFonts w:ascii="Times New Roman" w:hAnsi="Times New Roman" w:cs="Times New Roman"/>
        </w:rPr>
        <w:t>https://europa.eu/globalstrategy/sites/globalstrategy/files/regions/files/eugs_review_web_0.pdf</w:t>
      </w:r>
      <w:r>
        <w:rPr>
          <w:rStyle w:val="Hyperlink1"/>
          <w:rFonts w:ascii="Times New Roman" w:hAnsi="Times New Roman" w:cs="Times New Roman"/>
        </w:rPr>
        <w:fldChar w:fldCharType="end"/>
      </w:r>
      <w:hyperlink r:id="rId37">
        <w:r>
          <w:rPr>
            <w:rStyle w:val="Hyperlink1"/>
            <w:rFonts w:ascii="Times New Roman" w:hAnsi="Times New Roman"/>
          </w:rPr>
          <w:t>Strategia globale dell’UE</w:t>
        </w:r>
      </w:hyperlink>
      <w:r>
        <w:t>.</w:t>
      </w:r>
    </w:p>
  </w:footnote>
  <w:footnote w:id="40">
    <w:p>
      <w:pPr>
        <w:pStyle w:val="FootnoteText1"/>
        <w:ind w:left="240" w:hanging="24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38">
        <w:r>
          <w:rPr>
            <w:rStyle w:val="Hyperlink"/>
            <w:rFonts w:ascii="Times New Roman" w:hAnsi="Times New Roman"/>
          </w:rPr>
          <w:t>“Il nostro mondo, la nostra dignità, il nostro futuro”, 2017</w:t>
        </w:r>
        <w:r>
          <w:rPr>
            <w:rStyle w:val="Hyperlink"/>
            <w:rFonts w:ascii="Times New Roman" w:hAnsi="Times New Roman"/>
            <w:u w:val="none"/>
          </w:rPr>
          <w:t>.</w:t>
        </w:r>
      </w:hyperlink>
    </w:p>
  </w:footnote>
  <w:footnote w:id="41">
    <w:p>
      <w:pPr>
        <w:pStyle w:val="FootnoteText1"/>
        <w:ind w:left="240" w:hanging="24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Style w:val="FootnoteReference"/>
        </w:rPr>
        <w:t xml:space="preserve"> </w:t>
      </w:r>
      <w:r>
        <w:tab/>
      </w:r>
      <w:r>
        <w:rPr>
          <w:rFonts w:ascii="Times New Roman" w:hAnsi="Times New Roman"/>
        </w:rPr>
        <w:t xml:space="preserve">Anche mediante la nuova </w:t>
      </w:r>
      <w:hyperlink r:id="rId39">
        <w:r>
          <w:t>piattaforma per la diplomazia culturale dell’UE</w:t>
        </w:r>
      </w:hyperlink>
      <w:r>
        <w:t>.</w:t>
      </w:r>
      <w:r>
        <w:rPr>
          <w:rFonts w:ascii="Times New Roman" w:hAnsi="Times New Roman"/>
        </w:rPr>
        <w:t xml:space="preserve"> </w:t>
      </w:r>
    </w:p>
  </w:footnote>
  <w:footnote w:id="42">
    <w:p>
      <w:pPr>
        <w:pStyle w:val="FootnoteText1"/>
        <w:ind w:left="240" w:hanging="240"/>
        <w:rPr>
          <w:rStyle w:val="FootnoteReference"/>
          <w:rFonts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Style w:val="FootnoteReference"/>
        </w:rPr>
        <w:t xml:space="preserve"> </w:t>
      </w:r>
      <w:r>
        <w:tab/>
      </w:r>
      <w:hyperlink r:id="rId40">
        <w:r>
          <w:t>COM(2018)65.</w:t>
        </w:r>
      </w:hyperlink>
    </w:p>
  </w:footnote>
  <w:footnote w:id="43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 xml:space="preserve">Le 10 </w:t>
      </w:r>
      <w:hyperlink r:id="rId41">
        <w:r>
          <w:rPr>
            <w:rFonts w:ascii="Times New Roman" w:hAnsi="Times New Roman"/>
            <w:color w:val="0000FF"/>
            <w:u w:val="single"/>
          </w:rPr>
          <w:t>iniziative europee</w:t>
        </w:r>
      </w:hyperlink>
      <w:r>
        <w:t xml:space="preserve"> </w:t>
      </w:r>
      <w:r>
        <w:rPr>
          <w:rFonts w:ascii="Times New Roman" w:hAnsi="Times New Roman"/>
        </w:rPr>
        <w:t>sono relative a temi chiave per l’azione politica intersettoriale, tra cui l’istruzione, il commercio illecito, i principi di qualità per il restauro, il turismo culturale sostenibile, le competenze e l’innovazione.</w:t>
      </w:r>
    </w:p>
  </w:footnote>
  <w:footnote w:id="44">
    <w:p>
      <w:pPr>
        <w:pStyle w:val="FootnoteText"/>
        <w:ind w:left="240" w:hanging="284"/>
      </w:pPr>
      <w:r>
        <w:rPr>
          <w:rStyle w:val="FootnoteReference"/>
          <w:rFonts w:ascii="Times New Roman" w:hAnsi="Times New Roman"/>
        </w:rPr>
        <w:footnoteRef/>
      </w:r>
      <w:r>
        <w:tab/>
      </w:r>
      <w:hyperlink r:id="rId42">
        <w:r>
          <w:rPr>
            <w:rStyle w:val="Hyperlink"/>
            <w:rFonts w:ascii="Times New Roman" w:hAnsi="Times New Roman"/>
          </w:rPr>
          <w:t>www.voicesofculture.eu</w:t>
        </w:r>
      </w:hyperlink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8BC90F2"/>
    <w:lvl w:ilvl="0">
      <w:start w:val="1"/>
      <w:numFmt w:val="decimal"/>
      <w:pStyle w:val="ListNumber2"/>
      <w:lvlText w:val="5.%1"/>
      <w:lvlJc w:val="left"/>
      <w:pPr>
        <w:ind w:left="643" w:hanging="360"/>
      </w:pPr>
      <w:rPr>
        <w:rFonts w:hint="default"/>
        <w:i/>
      </w:rPr>
    </w:lvl>
  </w:abstractNum>
  <w:abstractNum w:abstractNumId="1">
    <w:nsid w:val="FFFFFF81"/>
    <w:multiLevelType w:val="singleLevel"/>
    <w:tmpl w:val="DD06DF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630AF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0E21D8"/>
    <w:multiLevelType w:val="hybridMultilevel"/>
    <w:tmpl w:val="24D4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145B2"/>
    <w:multiLevelType w:val="hybridMultilevel"/>
    <w:tmpl w:val="114A8120"/>
    <w:lvl w:ilvl="0" w:tplc="F87409A4">
      <w:start w:val="1"/>
      <w:numFmt w:val="decimal"/>
      <w:pStyle w:val="Heading5"/>
      <w:lvlText w:val="5.%1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24794"/>
    <w:multiLevelType w:val="hybridMultilevel"/>
    <w:tmpl w:val="720CC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91F1E"/>
    <w:multiLevelType w:val="multilevel"/>
    <w:tmpl w:val="0809001F"/>
    <w:name w:val="Point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48450E"/>
    <w:multiLevelType w:val="multilevel"/>
    <w:tmpl w:val="420061C6"/>
    <w:lvl w:ilvl="0">
      <w:start w:val="1"/>
      <w:numFmt w:val="decimal"/>
      <w:lvlText w:val="%1."/>
      <w:lvlJc w:val="left"/>
      <w:pPr>
        <w:ind w:left="360" w:hanging="360"/>
      </w:pPr>
      <w:rPr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414E7E"/>
    <w:multiLevelType w:val="hybridMultilevel"/>
    <w:tmpl w:val="5752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92C63"/>
    <w:multiLevelType w:val="multilevel"/>
    <w:tmpl w:val="0809001F"/>
    <w:name w:val="Point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2F4C21"/>
    <w:multiLevelType w:val="hybridMultilevel"/>
    <w:tmpl w:val="60E4A92E"/>
    <w:lvl w:ilvl="0" w:tplc="CB28752A">
      <w:start w:val="6"/>
      <w:numFmt w:val="decimal"/>
      <w:pStyle w:val="Style1"/>
      <w:lvlText w:val="5.%1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CF70E5"/>
    <w:multiLevelType w:val="hybridMultilevel"/>
    <w:tmpl w:val="846C95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C577CE"/>
    <w:multiLevelType w:val="hybridMultilevel"/>
    <w:tmpl w:val="FE42BA00"/>
    <w:name w:val="Point22"/>
    <w:lvl w:ilvl="0" w:tplc="B64031C4">
      <w:start w:val="1"/>
      <w:numFmt w:val="decimal"/>
      <w:pStyle w:val="Heading4"/>
      <w:lvlText w:val="5.%1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A800B9"/>
    <w:multiLevelType w:val="hybridMultilevel"/>
    <w:tmpl w:val="F4424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351D2"/>
    <w:multiLevelType w:val="hybridMultilevel"/>
    <w:tmpl w:val="5A7E0B32"/>
    <w:name w:val="Point2"/>
    <w:lvl w:ilvl="0" w:tplc="22624FA2">
      <w:start w:val="1"/>
      <w:numFmt w:val="decimal"/>
      <w:pStyle w:val="Heading3"/>
      <w:lvlText w:val="4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15867"/>
    <w:multiLevelType w:val="hybridMultilevel"/>
    <w:tmpl w:val="4218F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4"/>
  </w:num>
  <w:num w:numId="12">
    <w:abstractNumId w:val="1"/>
  </w:num>
  <w:num w:numId="13">
    <w:abstractNumId w:val="14"/>
  </w:num>
  <w:num w:numId="14">
    <w:abstractNumId w:val="1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  <w:lvlOverride w:ilvl="0">
      <w:startOverride w:val="5"/>
    </w:lvlOverride>
  </w:num>
  <w:num w:numId="20">
    <w:abstractNumId w:val="12"/>
  </w:num>
  <w:num w:numId="21">
    <w:abstractNumId w:val="12"/>
  </w:num>
  <w:num w:numId="22">
    <w:abstractNumId w:val="10"/>
  </w:num>
  <w:num w:numId="23">
    <w:abstractNumId w:val="4"/>
  </w:num>
  <w:num w:numId="24">
    <w:abstractNumId w:val="6"/>
    <w:lvlOverride w:ilvl="0">
      <w:startOverride w:val="6"/>
    </w:lvlOverride>
  </w:num>
  <w:num w:numId="25">
    <w:abstractNumId w:val="12"/>
  </w:num>
  <w:num w:numId="26">
    <w:abstractNumId w:val="12"/>
    <w:lvlOverride w:ilvl="0">
      <w:lvl w:ilvl="0" w:tplc="B64031C4">
        <w:start w:val="1"/>
        <w:numFmt w:val="decimal"/>
        <w:pStyle w:val="Heading4"/>
        <w:lvlText w:val="5.%1"/>
        <w:lvlJc w:val="left"/>
        <w:pPr>
          <w:ind w:left="720" w:hanging="360"/>
        </w:pPr>
        <w:rPr>
          <w:rFonts w:hint="default"/>
          <w:i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809001B">
        <w:start w:val="1"/>
        <w:numFmt w:val="decimal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9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INSON Nicola (EAC)">
    <w15:presenceInfo w15:providerId="None" w15:userId="ROBINSON Nicola (EAC)"/>
  </w15:person>
  <w15:person w15:author="ZAMPIERI Walter (EAC)">
    <w15:presenceInfo w15:providerId="None" w15:userId="ZAMPIERI Walter (EA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333A3591-C3FC-4207-A253-733E67905BC6"/>
    <w:docVar w:name="LW_COVERPAGE_TYPE" w:val="1"/>
    <w:docVar w:name="LW_CROSSREFERENCE" w:val="{SWD(2018) 167 final}"/>
    <w:docVar w:name="LW_DocType" w:val="NORMAL"/>
    <w:docVar w:name="LW_EMISSION" w:val="22.5.2018"/>
    <w:docVar w:name="LW_EMISSION_ISODATE" w:val="2018-05-22"/>
    <w:docVar w:name="LW_EMISSION_LOCATION" w:val="BRX"/>
    <w:docVar w:name="LW_EMISSION_PREFIX" w:val="Bruxelles, "/>
    <w:docVar w:name="LW_EMISSION_SUFFIX" w:val="&lt;EMPTY&gt;"/>
    <w:docVar w:name="LW_ID_DOCTYPE_NONLW" w:val="CP-014"/>
    <w:docVar w:name="LW_LANGUE" w:val="IT"/>
    <w:docVar w:name="LW_LEVEL_OF_SENSITIVITY" w:val="Standard treatment"/>
    <w:docVar w:name="LW_NOM.INST" w:val="COMMISSIONE EU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8) 2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Una nuova agenda europea per la cultura"/>
    <w:docVar w:name="LW_TYPE.DOC.CP" w:val="COMUNICAZIONE DELLA COMMISSIONE AL PARLAMENTO EUROPEO, AL CONSIGLIO, AL COMITATO ECONOMICO E SOCIALE EUROPEO E AL COMITATO DELLE REGIONI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numId w:val="11"/>
      </w:numPr>
      <w:spacing w:before="200" w:after="0"/>
      <w:outlineLvl w:val="2"/>
    </w:pPr>
    <w:rPr>
      <w:rFonts w:ascii="Times New Roman" w:eastAsiaTheme="majorEastAsia" w:hAnsi="Times New Roman" w:cstheme="majorBidi"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numId w:val="20"/>
      </w:numPr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numId w:val="23"/>
      </w:numPr>
      <w:spacing w:before="200" w:after="0"/>
      <w:outlineLvl w:val="4"/>
    </w:pPr>
    <w:rPr>
      <w:rFonts w:ascii="Times New Roman" w:eastAsiaTheme="majorEastAsia" w:hAnsi="Times New Roman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ListParagraph">
    <w:name w:val="List Paragraph"/>
    <w:basedOn w:val="Normal"/>
    <w:next w:val="ListNumber"/>
    <w:link w:val="ListParagraphChar"/>
    <w:uiPriority w:val="34"/>
    <w:qFormat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ListNumber">
    <w:name w:val="List Number"/>
    <w:basedOn w:val="Normal"/>
    <w:uiPriority w:val="99"/>
    <w:unhideWhenUsed/>
    <w:pPr>
      <w:numPr>
        <w:numId w:val="7"/>
      </w:numPr>
      <w:contextualSpacing/>
    </w:pPr>
    <w:rPr>
      <w:rFonts w:ascii="Times New Roman" w:hAnsi="Times New Roman"/>
      <w:sz w:val="24"/>
    </w:rPr>
  </w:style>
  <w:style w:type="paragraph" w:styleId="ListNumber2">
    <w:name w:val="List Number 2"/>
    <w:basedOn w:val="Normal"/>
    <w:uiPriority w:val="99"/>
    <w:unhideWhenUsed/>
    <w:pPr>
      <w:numPr>
        <w:numId w:val="8"/>
      </w:numPr>
      <w:contextualSpacing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Cs/>
      <w:i/>
      <w:sz w:val="24"/>
    </w:rPr>
  </w:style>
  <w:style w:type="paragraph" w:styleId="ListBullet4">
    <w:name w:val="List Bullet 4"/>
    <w:basedOn w:val="Normal"/>
    <w:uiPriority w:val="99"/>
    <w:unhideWhenUsed/>
    <w:pPr>
      <w:numPr>
        <w:numId w:val="12"/>
      </w:numPr>
      <w:contextualSpacing/>
    </w:pPr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theme="majorBidi"/>
      <w:sz w:val="24"/>
    </w:rPr>
  </w:style>
  <w:style w:type="paragraph" w:customStyle="1" w:styleId="Style1">
    <w:name w:val="Style1"/>
    <w:basedOn w:val="ListParagraph"/>
    <w:link w:val="Style1Char"/>
    <w:qFormat/>
    <w:pPr>
      <w:numPr>
        <w:numId w:val="22"/>
      </w:numPr>
      <w:spacing w:before="120" w:after="120"/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Times New Roman" w:hAnsi="Times New Roman"/>
      <w:sz w:val="24"/>
    </w:rPr>
  </w:style>
  <w:style w:type="character" w:customStyle="1" w:styleId="Style1Char">
    <w:name w:val="Style1 Char"/>
    <w:basedOn w:val="ListParagraphChar"/>
    <w:link w:val="Style1"/>
    <w:rPr>
      <w:rFonts w:ascii="Times New Roman" w:hAnsi="Times New Roman"/>
      <w:i/>
      <w:sz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numId w:val="11"/>
      </w:numPr>
      <w:spacing w:before="200" w:after="0"/>
      <w:outlineLvl w:val="2"/>
    </w:pPr>
    <w:rPr>
      <w:rFonts w:ascii="Times New Roman" w:eastAsiaTheme="majorEastAsia" w:hAnsi="Times New Roman" w:cstheme="majorBidi"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numId w:val="20"/>
      </w:numPr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numId w:val="23"/>
      </w:numPr>
      <w:spacing w:before="200" w:after="0"/>
      <w:outlineLvl w:val="4"/>
    </w:pPr>
    <w:rPr>
      <w:rFonts w:ascii="Times New Roman" w:eastAsiaTheme="majorEastAsia" w:hAnsi="Times New Roman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ListParagraph">
    <w:name w:val="List Paragraph"/>
    <w:basedOn w:val="Normal"/>
    <w:next w:val="ListNumber"/>
    <w:link w:val="ListParagraphChar"/>
    <w:uiPriority w:val="34"/>
    <w:qFormat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ListNumber">
    <w:name w:val="List Number"/>
    <w:basedOn w:val="Normal"/>
    <w:uiPriority w:val="99"/>
    <w:unhideWhenUsed/>
    <w:pPr>
      <w:numPr>
        <w:numId w:val="7"/>
      </w:numPr>
      <w:contextualSpacing/>
    </w:pPr>
    <w:rPr>
      <w:rFonts w:ascii="Times New Roman" w:hAnsi="Times New Roman"/>
      <w:sz w:val="24"/>
    </w:rPr>
  </w:style>
  <w:style w:type="paragraph" w:styleId="ListNumber2">
    <w:name w:val="List Number 2"/>
    <w:basedOn w:val="Normal"/>
    <w:uiPriority w:val="99"/>
    <w:unhideWhenUsed/>
    <w:pPr>
      <w:numPr>
        <w:numId w:val="8"/>
      </w:numPr>
      <w:contextualSpacing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Cs/>
      <w:i/>
      <w:sz w:val="24"/>
    </w:rPr>
  </w:style>
  <w:style w:type="paragraph" w:styleId="ListBullet4">
    <w:name w:val="List Bullet 4"/>
    <w:basedOn w:val="Normal"/>
    <w:uiPriority w:val="99"/>
    <w:unhideWhenUsed/>
    <w:pPr>
      <w:numPr>
        <w:numId w:val="12"/>
      </w:numPr>
      <w:contextualSpacing/>
    </w:pPr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theme="majorBidi"/>
      <w:sz w:val="24"/>
    </w:rPr>
  </w:style>
  <w:style w:type="paragraph" w:customStyle="1" w:styleId="Style1">
    <w:name w:val="Style1"/>
    <w:basedOn w:val="ListParagraph"/>
    <w:link w:val="Style1Char"/>
    <w:qFormat/>
    <w:pPr>
      <w:numPr>
        <w:numId w:val="22"/>
      </w:numPr>
      <w:spacing w:before="120" w:after="120"/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Times New Roman" w:hAnsi="Times New Roman"/>
      <w:sz w:val="24"/>
    </w:rPr>
  </w:style>
  <w:style w:type="character" w:customStyle="1" w:styleId="Style1Char">
    <w:name w:val="Style1 Char"/>
    <w:basedOn w:val="ListParagraphChar"/>
    <w:link w:val="Style1"/>
    <w:rPr>
      <w:rFonts w:ascii="Times New Roman" w:hAnsi="Times New Roman"/>
      <w:i/>
      <w:sz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IT/TXT/?uri=CELEX:32007G1129(01)" TargetMode="External"/><Relationship Id="rId13" Type="http://schemas.openxmlformats.org/officeDocument/2006/relationships/hyperlink" Target="http://europa.eu/cultural-heritage/toolkits/special-eurobarometer-europeans-and-cultural-heritage_it" TargetMode="External"/><Relationship Id="rId18" Type="http://schemas.openxmlformats.org/officeDocument/2006/relationships/hyperlink" Target="file:///\\\http:\\ec.europa.eu\programmes\erasmus-plus\node_it" TargetMode="External"/><Relationship Id="rId26" Type="http://schemas.openxmlformats.org/officeDocument/2006/relationships/hyperlink" Target="https://enrd.ec.europa.eu/sites/enrd/files/nrn5_arts-rural-areas_factsheet.pdf" TargetMode="External"/><Relationship Id="rId39" Type="http://schemas.openxmlformats.org/officeDocument/2006/relationships/hyperlink" Target="http://www.cultureinexternalrelations.eu/" TargetMode="External"/><Relationship Id="rId3" Type="http://schemas.openxmlformats.org/officeDocument/2006/relationships/hyperlink" Target="https://europa.eu/cultural-heritage/european-year-cultural-heritage_it" TargetMode="External"/><Relationship Id="rId21" Type="http://schemas.openxmlformats.org/officeDocument/2006/relationships/hyperlink" Target="https://ec.europa.eu/culture/news/2016/0422-handbook-cultural-awareness-expression_it" TargetMode="External"/><Relationship Id="rId34" Type="http://schemas.openxmlformats.org/officeDocument/2006/relationships/hyperlink" Target="file:///\\\http:\\en.unesco.org\creativity\%09http:\\en.unesco.org\creativity\" TargetMode="External"/><Relationship Id="rId42" Type="http://schemas.openxmlformats.org/officeDocument/2006/relationships/hyperlink" Target="http://www.voicesofculture.eu/" TargetMode="External"/><Relationship Id="rId7" Type="http://schemas.openxmlformats.org/officeDocument/2006/relationships/hyperlink" Target="http://ec.europa.eu/eurostat/statistics-explained/index.php/Culture_statistics_-_cultural_participation_by_socioeconomic_background" TargetMode="External"/><Relationship Id="rId12" Type="http://schemas.openxmlformats.org/officeDocument/2006/relationships/hyperlink" Target="https://www.newsd.admin.ch/newsd/message/attachments/51119.pdf" TargetMode="External"/><Relationship Id="rId17" Type="http://schemas.openxmlformats.org/officeDocument/2006/relationships/hyperlink" Target="https://ec.europa.eu/programmes/creative-europe/node_it" TargetMode="External"/><Relationship Id="rId25" Type="http://schemas.openxmlformats.org/officeDocument/2006/relationships/hyperlink" Target="https://ec.europa.eu/jrc/en/publication/eur-scientific-and-technical-research-reports/cultural-and-creative-cities-monitor-2017-edition" TargetMode="External"/><Relationship Id="rId33" Type="http://schemas.openxmlformats.org/officeDocument/2006/relationships/hyperlink" Target="http://eur-lex.europa.eu/legal-content/IT/TXT/?uri=JOIN:2016:29:FIN" TargetMode="External"/><Relationship Id="rId38" Type="http://schemas.openxmlformats.org/officeDocument/2006/relationships/hyperlink" Target="https://ec.europa.eu/europeaid/new-european-consensus-development-our-world-our-dignity-our-future_en" TargetMode="External"/><Relationship Id="rId2" Type="http://schemas.openxmlformats.org/officeDocument/2006/relationships/hyperlink" Target="http://www.consilium.europa.eu/it/press/press-releases/2017/12/14/european-council-conclusions-external-relations/" TargetMode="External"/><Relationship Id="rId16" Type="http://schemas.openxmlformats.org/officeDocument/2006/relationships/hyperlink" Target="https://ec.europa.eu/culture/policy/cultural-creative-industries/mobility_it" TargetMode="External"/><Relationship Id="rId20" Type="http://schemas.openxmlformats.org/officeDocument/2006/relationships/hyperlink" Target="http://www.ey.com/Publication/vwLUAssets/Measuring_cultural_and_creative_markets_in_the_EU/$FILE/Creating-Growth.pdf" TargetMode="External"/><Relationship Id="rId29" Type="http://schemas.openxmlformats.org/officeDocument/2006/relationships/hyperlink" Target="http://ec.europa.eu/DocsRoom/documents/7242/attachments/1/translations/en/renditions/pdf" TargetMode="External"/><Relationship Id="rId41" Type="http://schemas.openxmlformats.org/officeDocument/2006/relationships/hyperlink" Target="https://europa.eu/cultural-heritage/sites/eych/files/eych-initiatives_it.pdf" TargetMode="External"/><Relationship Id="rId1" Type="http://schemas.openxmlformats.org/officeDocument/2006/relationships/hyperlink" Target="http://www.consilium.europa.eu/it/press/press-releases/2017/03/25/rome-declaration/" TargetMode="External"/><Relationship Id="rId6" Type="http://schemas.openxmlformats.org/officeDocument/2006/relationships/hyperlink" Target="http://ec.europa.eu/commfrontoffice/publicopinion/index.cfm/Survey/getSurveyDetail/instruments/STANDARD/surveyKy/2142" TargetMode="External"/><Relationship Id="rId11" Type="http://schemas.openxmlformats.org/officeDocument/2006/relationships/hyperlink" Target="https://ec.europa.eu/culture/policy/strategic-framework/intercultural-dialogue_it" TargetMode="External"/><Relationship Id="rId24" Type="http://schemas.openxmlformats.org/officeDocument/2006/relationships/hyperlink" Target="http://www.cultureforcitiesandregions.eu/" TargetMode="External"/><Relationship Id="rId32" Type="http://schemas.openxmlformats.org/officeDocument/2006/relationships/hyperlink" Target="https://ec.europa.eu/culture/news/20160601-crowdfunding-cultural-creative-sector_it" TargetMode="External"/><Relationship Id="rId37" Type="http://schemas.openxmlformats.org/officeDocument/2006/relationships/hyperlink" Target="https://europa.eu/globalstrategy/en/global-strategy-foreign-and-security-policy-european-union" TargetMode="External"/><Relationship Id="rId40" Type="http://schemas.openxmlformats.org/officeDocument/2006/relationships/hyperlink" Target="https://eur-lex.europa.eu/legal-content/IT/TXT/?uri=CELEX:52018DC0065" TargetMode="External"/><Relationship Id="rId5" Type="http://schemas.openxmlformats.org/officeDocument/2006/relationships/hyperlink" Target="www.consilium.europa.eu/it/press/press-releases/2016/09/16/bratislava-declaration-and-roadmap/" TargetMode="External"/><Relationship Id="rId15" Type="http://schemas.openxmlformats.org/officeDocument/2006/relationships/hyperlink" Target="https://www.kcl.ac.uk/Cultural/-/Projects/Towards-cultural-democracy.aspx" TargetMode="External"/><Relationship Id="rId23" Type="http://schemas.openxmlformats.org/officeDocument/2006/relationships/hyperlink" Target="https://eur-lex.europa.eu/legal-content/IT/TXT/?uri=COM:2017:247:FIN" TargetMode="External"/><Relationship Id="rId28" Type="http://schemas.openxmlformats.org/officeDocument/2006/relationships/hyperlink" Target="https://www.creativehubs.eu/" TargetMode="External"/><Relationship Id="rId36" Type="http://schemas.openxmlformats.org/officeDocument/2006/relationships/hyperlink" Target="http://en.unesco.org/creativity/monitoreo-e-informes/informes-periodicos/informes-25" TargetMode="External"/><Relationship Id="rId10" Type="http://schemas.openxmlformats.org/officeDocument/2006/relationships/hyperlink" Target="http://ec.europa.eu/regional_policy/it/policy/cooperation/" TargetMode="External"/><Relationship Id="rId19" Type="http://schemas.openxmlformats.org/officeDocument/2006/relationships/hyperlink" Target="http://ec.europa.eu/eurostat/statistics-explained/index.php/Category:Culture" TargetMode="External"/><Relationship Id="rId31" Type="http://schemas.openxmlformats.org/officeDocument/2006/relationships/hyperlink" Target="https://www.coe.int/en/web/cultural-routes/eu-jp-2017-20" TargetMode="External"/><Relationship Id="rId4" Type="http://schemas.openxmlformats.org/officeDocument/2006/relationships/hyperlink" Target="https://eur-lex.europa.eu/legal-content/IT/TXT/?qid=1524663124515&amp;uri=CELEX:52017DC0673" TargetMode="External"/><Relationship Id="rId9" Type="http://schemas.openxmlformats.org/officeDocument/2006/relationships/hyperlink" Target="eur-lex.europa.eu/legal-content/IT/TXT/?uri=celex:52007DC0242" TargetMode="External"/><Relationship Id="rId14" Type="http://schemas.openxmlformats.org/officeDocument/2006/relationships/hyperlink" Target="https://www.researchgate.net/publication/226193693_The_Interaction_Between_Culture_Health_and_Psychological_Well-Being_Project" TargetMode="External"/><Relationship Id="rId22" Type="http://schemas.openxmlformats.org/officeDocument/2006/relationships/hyperlink" Target="http://www.oecd.org/education/ceri/assessingprogressionincreativeandcriticalthinkingskillsineducation.htm" TargetMode="External"/><Relationship Id="rId27" Type="http://schemas.openxmlformats.org/officeDocument/2006/relationships/hyperlink" Target="http://ec.europa.eu/environment/nature/natura2000/management/links_natural_cultural_heritage_en.htm" TargetMode="External"/><Relationship Id="rId30" Type="http://schemas.openxmlformats.org/officeDocument/2006/relationships/hyperlink" Target="http://s3platform.jrc.ec.europa.eu/map" TargetMode="External"/><Relationship Id="rId35" Type="http://schemas.openxmlformats.org/officeDocument/2006/relationships/hyperlink" Target="http://en.unesco.org/creativ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2BFF-4034-4F7C-A16A-7FD995EE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4441</Words>
  <Characters>26693</Characters>
  <Application>Microsoft Office Word</Application>
  <DocSecurity>0</DocSecurity>
  <Lines>417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22</cp:revision>
  <cp:lastPrinted>2018-04-11T11:46:00Z</cp:lastPrinted>
  <dcterms:created xsi:type="dcterms:W3CDTF">2018-05-08T08:47:00Z</dcterms:created>
  <dcterms:modified xsi:type="dcterms:W3CDTF">2018-05-25T09:24:00Z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</Properties>
</file>