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FDF" w:rsidRDefault="00D22D4C" w:rsidP="00D22D4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AD60D61-21CC-48A7-9F49-06EF88DDFE44" style="width:450.25pt;height:437.35pt">
            <v:imagedata r:id="rId8" o:title=""/>
          </v:shape>
        </w:pict>
      </w:r>
    </w:p>
    <w:p w:rsidR="00251FDF" w:rsidRDefault="00251FDF">
      <w:pPr>
        <w:rPr>
          <w:noProof/>
        </w:rPr>
        <w:sectPr w:rsidR="00251FDF" w:rsidSect="00D22D4C">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bookmarkStart w:id="0" w:name="_GoBack"/>
      <w:bookmarkEnd w:id="0"/>
    </w:p>
    <w:p w:rsidR="00251FDF" w:rsidRPr="00D22D4C" w:rsidRDefault="00D22D4C">
      <w:pPr>
        <w:pStyle w:val="Annexetitre"/>
      </w:pPr>
      <w:r>
        <w:rPr>
          <w:noProof/>
        </w:rPr>
        <w:lastRenderedPageBreak/>
        <w:t>ANEXA I – PRECURSORI DE EXPLOZIVI RESTRICȚIONAȚI</w:t>
      </w:r>
    </w:p>
    <w:p w:rsidR="00251FDF" w:rsidRDefault="00D22D4C">
      <w:pPr>
        <w:rPr>
          <w:noProof/>
          <w:szCs w:val="24"/>
        </w:rPr>
      </w:pPr>
      <w:r>
        <w:rPr>
          <w:noProof/>
          <w:color w:val="000000"/>
        </w:rPr>
        <w:t xml:space="preserve">Substanțe care nu pot fi puse la dispoziția persoanelor din rândul publicului larg și nu pot fi </w:t>
      </w:r>
      <w:r>
        <w:rPr>
          <w:noProof/>
          <w:color w:val="000000"/>
        </w:rPr>
        <w:t>introduse, deținute sau utilizate</w:t>
      </w:r>
      <w:r>
        <w:rPr>
          <w:noProof/>
        </w:rPr>
        <w:t xml:space="preserve"> de persoane din rândul publicului larg, izolate sau în amestecuri ori substanțe care le conțin, cu excepția cazului în care concentrația este egală sau mai mică decât valorile-limită stabilite în coloana 2.</w:t>
      </w:r>
    </w:p>
    <w:tbl>
      <w:tblPr>
        <w:tblStyle w:val="TableGrid"/>
        <w:tblW w:w="0" w:type="auto"/>
        <w:tblLook w:val="04A0" w:firstRow="1" w:lastRow="0" w:firstColumn="1" w:lastColumn="0" w:noHBand="0" w:noVBand="1"/>
      </w:tblPr>
      <w:tblGrid>
        <w:gridCol w:w="1913"/>
        <w:gridCol w:w="1692"/>
        <w:gridCol w:w="1825"/>
        <w:gridCol w:w="1928"/>
        <w:gridCol w:w="1929"/>
      </w:tblGrid>
      <w:tr w:rsidR="00251FDF">
        <w:tc>
          <w:tcPr>
            <w:tcW w:w="1913"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1. Denumirea su</w:t>
            </w:r>
            <w:r>
              <w:rPr>
                <w:noProof/>
                <w:color w:val="000000"/>
                <w:sz w:val="20"/>
              </w:rPr>
              <w:t xml:space="preserve">bstanței și numărul de înregistrare al Chemical Abstracts Service (CAS RN) </w:t>
            </w:r>
          </w:p>
          <w:p w:rsidR="00251FDF" w:rsidRDefault="00251FDF">
            <w:pPr>
              <w:autoSpaceDE w:val="0"/>
              <w:autoSpaceDN w:val="0"/>
              <w:adjustRightInd w:val="0"/>
              <w:spacing w:before="60" w:after="60"/>
              <w:jc w:val="left"/>
              <w:rPr>
                <w:noProof/>
                <w:color w:val="000000"/>
                <w:sz w:val="20"/>
                <w:szCs w:val="20"/>
              </w:rPr>
            </w:pPr>
          </w:p>
        </w:tc>
        <w:tc>
          <w:tcPr>
            <w:tcW w:w="1692"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2. Valoarea-limită </w:t>
            </w:r>
          </w:p>
          <w:p w:rsidR="00251FDF" w:rsidRDefault="00251FDF">
            <w:pPr>
              <w:autoSpaceDE w:val="0"/>
              <w:autoSpaceDN w:val="0"/>
              <w:adjustRightInd w:val="0"/>
              <w:spacing w:before="60" w:after="60"/>
              <w:jc w:val="left"/>
              <w:rPr>
                <w:noProof/>
                <w:color w:val="000000"/>
                <w:sz w:val="20"/>
                <w:szCs w:val="20"/>
              </w:rPr>
            </w:pPr>
          </w:p>
        </w:tc>
        <w:tc>
          <w:tcPr>
            <w:tcW w:w="182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3. Valoarea-limită superioară în scopul acordării licenței în temeiul articolului 5 alineatul (3)</w:t>
            </w:r>
          </w:p>
        </w:tc>
        <w:tc>
          <w:tcPr>
            <w:tcW w:w="1928"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4. Codul din Nomenclatura combinată (NC) pentru un compus se</w:t>
            </w:r>
            <w:r>
              <w:rPr>
                <w:noProof/>
                <w:color w:val="000000"/>
                <w:sz w:val="20"/>
              </w:rPr>
              <w:t xml:space="preserve">parat, definit chimic, care îndeplinește condițiile din nota 1 la capitolul 28, respectiv 29 din NC (1) </w:t>
            </w:r>
          </w:p>
          <w:p w:rsidR="00251FDF" w:rsidRDefault="00251FDF">
            <w:pPr>
              <w:autoSpaceDE w:val="0"/>
              <w:autoSpaceDN w:val="0"/>
              <w:adjustRightInd w:val="0"/>
              <w:spacing w:before="60" w:after="60"/>
              <w:jc w:val="left"/>
              <w:rPr>
                <w:noProof/>
                <w:color w:val="000000"/>
                <w:sz w:val="20"/>
                <w:szCs w:val="20"/>
              </w:rPr>
            </w:pPr>
          </w:p>
        </w:tc>
        <w:tc>
          <w:tcPr>
            <w:tcW w:w="1929"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5. Codul din Nomenclatura combinată (NC) pentru un amestec fără constituenți (de ex. mercur, metale prețioase sau metale de pământuri rare ori substanțe radioactive) care ar duce la clasificarea sub un alt cod NC (1) </w:t>
            </w:r>
          </w:p>
        </w:tc>
      </w:tr>
      <w:tr w:rsidR="00251FDF">
        <w:tc>
          <w:tcPr>
            <w:tcW w:w="1913"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Acid azotic (CAS RN 7697-37-2) </w:t>
            </w:r>
          </w:p>
        </w:tc>
        <w:tc>
          <w:tcPr>
            <w:tcW w:w="1692"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3 % g</w:t>
            </w:r>
            <w:r>
              <w:rPr>
                <w:noProof/>
                <w:color w:val="000000"/>
                <w:sz w:val="20"/>
              </w:rPr>
              <w:t>/g</w:t>
            </w:r>
          </w:p>
        </w:tc>
        <w:tc>
          <w:tcPr>
            <w:tcW w:w="182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10 % g/g</w:t>
            </w:r>
          </w:p>
        </w:tc>
        <w:tc>
          <w:tcPr>
            <w:tcW w:w="1928"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2808 00 00 </w:t>
            </w:r>
          </w:p>
          <w:p w:rsidR="00251FDF" w:rsidRDefault="00251FDF">
            <w:pPr>
              <w:autoSpaceDE w:val="0"/>
              <w:autoSpaceDN w:val="0"/>
              <w:adjustRightInd w:val="0"/>
              <w:spacing w:before="60" w:after="60"/>
              <w:jc w:val="left"/>
              <w:rPr>
                <w:noProof/>
                <w:color w:val="000000"/>
                <w:sz w:val="20"/>
                <w:szCs w:val="20"/>
              </w:rPr>
            </w:pPr>
          </w:p>
        </w:tc>
        <w:tc>
          <w:tcPr>
            <w:tcW w:w="1929"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3824 99 96 </w:t>
            </w:r>
          </w:p>
          <w:p w:rsidR="00251FDF" w:rsidRDefault="00251FDF">
            <w:pPr>
              <w:autoSpaceDE w:val="0"/>
              <w:autoSpaceDN w:val="0"/>
              <w:adjustRightInd w:val="0"/>
              <w:spacing w:before="60" w:after="60"/>
              <w:jc w:val="left"/>
              <w:rPr>
                <w:noProof/>
                <w:color w:val="000000"/>
                <w:sz w:val="20"/>
                <w:szCs w:val="20"/>
              </w:rPr>
            </w:pPr>
          </w:p>
        </w:tc>
      </w:tr>
      <w:tr w:rsidR="00251FDF">
        <w:tc>
          <w:tcPr>
            <w:tcW w:w="1913"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Peroxid de hidrogen (CAS RN 7722-84-1) </w:t>
            </w:r>
          </w:p>
        </w:tc>
        <w:tc>
          <w:tcPr>
            <w:tcW w:w="1692"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12 % g/g </w:t>
            </w:r>
          </w:p>
          <w:p w:rsidR="00251FDF" w:rsidRDefault="00251FDF">
            <w:pPr>
              <w:autoSpaceDE w:val="0"/>
              <w:autoSpaceDN w:val="0"/>
              <w:adjustRightInd w:val="0"/>
              <w:spacing w:before="60" w:after="60"/>
              <w:jc w:val="left"/>
              <w:rPr>
                <w:noProof/>
                <w:color w:val="000000"/>
                <w:sz w:val="20"/>
                <w:szCs w:val="20"/>
              </w:rPr>
            </w:pPr>
          </w:p>
        </w:tc>
        <w:tc>
          <w:tcPr>
            <w:tcW w:w="182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35 % g/g</w:t>
            </w:r>
          </w:p>
        </w:tc>
        <w:tc>
          <w:tcPr>
            <w:tcW w:w="1928"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2847 00 00 </w:t>
            </w:r>
          </w:p>
          <w:p w:rsidR="00251FDF" w:rsidRDefault="00251FDF">
            <w:pPr>
              <w:autoSpaceDE w:val="0"/>
              <w:autoSpaceDN w:val="0"/>
              <w:adjustRightInd w:val="0"/>
              <w:spacing w:before="60" w:after="60"/>
              <w:jc w:val="left"/>
              <w:rPr>
                <w:noProof/>
                <w:color w:val="000000"/>
                <w:sz w:val="20"/>
                <w:szCs w:val="20"/>
              </w:rPr>
            </w:pPr>
          </w:p>
        </w:tc>
        <w:tc>
          <w:tcPr>
            <w:tcW w:w="1929"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3824 99 96 </w:t>
            </w:r>
          </w:p>
          <w:p w:rsidR="00251FDF" w:rsidRDefault="00251FDF">
            <w:pPr>
              <w:autoSpaceDE w:val="0"/>
              <w:autoSpaceDN w:val="0"/>
              <w:adjustRightInd w:val="0"/>
              <w:spacing w:before="60" w:after="60"/>
              <w:jc w:val="left"/>
              <w:rPr>
                <w:noProof/>
                <w:color w:val="000000"/>
                <w:sz w:val="20"/>
                <w:szCs w:val="20"/>
              </w:rPr>
            </w:pPr>
          </w:p>
        </w:tc>
      </w:tr>
      <w:tr w:rsidR="00251FDF">
        <w:tc>
          <w:tcPr>
            <w:tcW w:w="1913"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Acid sulfuric (CAS RN 7664-93-9)</w:t>
            </w:r>
          </w:p>
        </w:tc>
        <w:tc>
          <w:tcPr>
            <w:tcW w:w="1692"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15 % g/g</w:t>
            </w:r>
          </w:p>
        </w:tc>
        <w:tc>
          <w:tcPr>
            <w:tcW w:w="182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40 % g/g</w:t>
            </w:r>
          </w:p>
        </w:tc>
        <w:tc>
          <w:tcPr>
            <w:tcW w:w="1928"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ex 2807 00 00</w:t>
            </w:r>
          </w:p>
          <w:p w:rsidR="00251FDF" w:rsidRDefault="00251FDF">
            <w:pPr>
              <w:autoSpaceDE w:val="0"/>
              <w:autoSpaceDN w:val="0"/>
              <w:adjustRightInd w:val="0"/>
              <w:spacing w:before="60" w:after="60"/>
              <w:jc w:val="left"/>
              <w:rPr>
                <w:noProof/>
                <w:color w:val="000000"/>
                <w:sz w:val="20"/>
                <w:szCs w:val="20"/>
              </w:rPr>
            </w:pPr>
          </w:p>
        </w:tc>
        <w:tc>
          <w:tcPr>
            <w:tcW w:w="1929"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ex 3824 99 96</w:t>
            </w:r>
          </w:p>
          <w:p w:rsidR="00251FDF" w:rsidRDefault="00251FDF">
            <w:pPr>
              <w:autoSpaceDE w:val="0"/>
              <w:autoSpaceDN w:val="0"/>
              <w:adjustRightInd w:val="0"/>
              <w:spacing w:before="60" w:after="60"/>
              <w:jc w:val="left"/>
              <w:rPr>
                <w:noProof/>
                <w:color w:val="000000"/>
                <w:sz w:val="20"/>
                <w:szCs w:val="20"/>
              </w:rPr>
            </w:pPr>
          </w:p>
        </w:tc>
      </w:tr>
      <w:tr w:rsidR="00251FDF">
        <w:tc>
          <w:tcPr>
            <w:tcW w:w="1913"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Nitrometan (CAS RN 75-52-5) </w:t>
            </w:r>
          </w:p>
        </w:tc>
        <w:tc>
          <w:tcPr>
            <w:tcW w:w="1692"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16 % g/g </w:t>
            </w:r>
          </w:p>
          <w:p w:rsidR="00251FDF" w:rsidRDefault="00251FDF">
            <w:pPr>
              <w:autoSpaceDE w:val="0"/>
              <w:autoSpaceDN w:val="0"/>
              <w:adjustRightInd w:val="0"/>
              <w:spacing w:before="60" w:after="60"/>
              <w:jc w:val="left"/>
              <w:rPr>
                <w:noProof/>
                <w:color w:val="000000"/>
                <w:sz w:val="20"/>
                <w:szCs w:val="20"/>
              </w:rPr>
            </w:pPr>
          </w:p>
        </w:tc>
        <w:tc>
          <w:tcPr>
            <w:tcW w:w="182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40 % g/g</w:t>
            </w:r>
          </w:p>
        </w:tc>
        <w:tc>
          <w:tcPr>
            <w:tcW w:w="1928"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2904 20 00 </w:t>
            </w:r>
          </w:p>
          <w:p w:rsidR="00251FDF" w:rsidRDefault="00251FDF">
            <w:pPr>
              <w:autoSpaceDE w:val="0"/>
              <w:autoSpaceDN w:val="0"/>
              <w:adjustRightInd w:val="0"/>
              <w:spacing w:before="60" w:after="60"/>
              <w:jc w:val="left"/>
              <w:rPr>
                <w:noProof/>
                <w:color w:val="000000"/>
                <w:sz w:val="20"/>
                <w:szCs w:val="20"/>
              </w:rPr>
            </w:pPr>
          </w:p>
        </w:tc>
        <w:tc>
          <w:tcPr>
            <w:tcW w:w="1929"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ex 3824 99 92</w:t>
            </w:r>
          </w:p>
          <w:p w:rsidR="00251FDF" w:rsidRDefault="00251FDF">
            <w:pPr>
              <w:autoSpaceDE w:val="0"/>
              <w:autoSpaceDN w:val="0"/>
              <w:adjustRightInd w:val="0"/>
              <w:spacing w:before="60" w:after="60"/>
              <w:jc w:val="left"/>
              <w:rPr>
                <w:noProof/>
                <w:color w:val="000000"/>
                <w:sz w:val="20"/>
                <w:szCs w:val="20"/>
              </w:rPr>
            </w:pPr>
          </w:p>
        </w:tc>
      </w:tr>
      <w:tr w:rsidR="00251FDF">
        <w:tc>
          <w:tcPr>
            <w:tcW w:w="1913"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Nitrat de amoniu (CAS RN 6484-52-2)</w:t>
            </w:r>
          </w:p>
        </w:tc>
        <w:tc>
          <w:tcPr>
            <w:tcW w:w="1692"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16 % în greutate azot având drept proveniență nitratul de amoniu (2) </w:t>
            </w:r>
          </w:p>
        </w:tc>
        <w:tc>
          <w:tcPr>
            <w:tcW w:w="182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nu se aplică</w:t>
            </w:r>
          </w:p>
        </w:tc>
        <w:tc>
          <w:tcPr>
            <w:tcW w:w="1928"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3102 30 10 (în soluție apoasă) </w:t>
            </w:r>
          </w:p>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3102 30 90 (altele) </w:t>
            </w:r>
          </w:p>
        </w:tc>
        <w:tc>
          <w:tcPr>
            <w:tcW w:w="1929"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ex 3824 99 96</w:t>
            </w:r>
          </w:p>
          <w:p w:rsidR="00251FDF" w:rsidRDefault="00251FDF">
            <w:pPr>
              <w:autoSpaceDE w:val="0"/>
              <w:autoSpaceDN w:val="0"/>
              <w:adjustRightInd w:val="0"/>
              <w:spacing w:before="60" w:after="60"/>
              <w:jc w:val="left"/>
              <w:rPr>
                <w:noProof/>
                <w:color w:val="000000"/>
                <w:sz w:val="20"/>
                <w:szCs w:val="20"/>
              </w:rPr>
            </w:pPr>
          </w:p>
        </w:tc>
      </w:tr>
      <w:tr w:rsidR="00251FDF">
        <w:tc>
          <w:tcPr>
            <w:tcW w:w="1913"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Clorat de potasiu (CAS RN 3811-04-9) </w:t>
            </w:r>
          </w:p>
        </w:tc>
        <w:tc>
          <w:tcPr>
            <w:tcW w:w="1692"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40 % g/g </w:t>
            </w:r>
          </w:p>
          <w:p w:rsidR="00251FDF" w:rsidRDefault="00251FDF">
            <w:pPr>
              <w:autoSpaceDE w:val="0"/>
              <w:autoSpaceDN w:val="0"/>
              <w:adjustRightInd w:val="0"/>
              <w:spacing w:before="60" w:after="60"/>
              <w:jc w:val="left"/>
              <w:rPr>
                <w:noProof/>
                <w:color w:val="000000"/>
                <w:sz w:val="20"/>
                <w:szCs w:val="20"/>
              </w:rPr>
            </w:pPr>
          </w:p>
        </w:tc>
        <w:tc>
          <w:tcPr>
            <w:tcW w:w="182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N/A</w:t>
            </w:r>
          </w:p>
        </w:tc>
        <w:tc>
          <w:tcPr>
            <w:tcW w:w="1928"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2829 19 00 </w:t>
            </w:r>
          </w:p>
          <w:p w:rsidR="00251FDF" w:rsidRDefault="00251FDF">
            <w:pPr>
              <w:autoSpaceDE w:val="0"/>
              <w:autoSpaceDN w:val="0"/>
              <w:adjustRightInd w:val="0"/>
              <w:spacing w:before="60" w:after="60"/>
              <w:jc w:val="left"/>
              <w:rPr>
                <w:noProof/>
                <w:color w:val="000000"/>
                <w:sz w:val="20"/>
                <w:szCs w:val="20"/>
              </w:rPr>
            </w:pPr>
          </w:p>
        </w:tc>
        <w:tc>
          <w:tcPr>
            <w:tcW w:w="1929"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ex 3824 99 96</w:t>
            </w:r>
          </w:p>
          <w:p w:rsidR="00251FDF" w:rsidRDefault="00251FDF">
            <w:pPr>
              <w:autoSpaceDE w:val="0"/>
              <w:autoSpaceDN w:val="0"/>
              <w:adjustRightInd w:val="0"/>
              <w:spacing w:before="60" w:after="60"/>
              <w:jc w:val="left"/>
              <w:rPr>
                <w:noProof/>
                <w:color w:val="000000"/>
                <w:sz w:val="20"/>
                <w:szCs w:val="20"/>
              </w:rPr>
            </w:pPr>
          </w:p>
        </w:tc>
      </w:tr>
      <w:tr w:rsidR="00251FDF">
        <w:tc>
          <w:tcPr>
            <w:tcW w:w="1913"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Perclorat de potasiu (CAS RN 7778-74-7) </w:t>
            </w:r>
          </w:p>
        </w:tc>
        <w:tc>
          <w:tcPr>
            <w:tcW w:w="1692"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40 % g/g </w:t>
            </w:r>
          </w:p>
          <w:p w:rsidR="00251FDF" w:rsidRDefault="00251FDF">
            <w:pPr>
              <w:autoSpaceDE w:val="0"/>
              <w:autoSpaceDN w:val="0"/>
              <w:adjustRightInd w:val="0"/>
              <w:spacing w:before="60" w:after="60"/>
              <w:jc w:val="left"/>
              <w:rPr>
                <w:noProof/>
                <w:color w:val="000000"/>
                <w:sz w:val="20"/>
                <w:szCs w:val="20"/>
              </w:rPr>
            </w:pPr>
          </w:p>
        </w:tc>
        <w:tc>
          <w:tcPr>
            <w:tcW w:w="182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N/A</w:t>
            </w:r>
          </w:p>
        </w:tc>
        <w:tc>
          <w:tcPr>
            <w:tcW w:w="1928"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2829 90 10 </w:t>
            </w:r>
          </w:p>
          <w:p w:rsidR="00251FDF" w:rsidRDefault="00251FDF">
            <w:pPr>
              <w:autoSpaceDE w:val="0"/>
              <w:autoSpaceDN w:val="0"/>
              <w:adjustRightInd w:val="0"/>
              <w:spacing w:before="60" w:after="60"/>
              <w:jc w:val="left"/>
              <w:rPr>
                <w:noProof/>
                <w:color w:val="000000"/>
                <w:sz w:val="20"/>
                <w:szCs w:val="20"/>
              </w:rPr>
            </w:pPr>
          </w:p>
        </w:tc>
        <w:tc>
          <w:tcPr>
            <w:tcW w:w="1929"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3824 99 96 </w:t>
            </w:r>
          </w:p>
          <w:p w:rsidR="00251FDF" w:rsidRDefault="00251FDF">
            <w:pPr>
              <w:autoSpaceDE w:val="0"/>
              <w:autoSpaceDN w:val="0"/>
              <w:adjustRightInd w:val="0"/>
              <w:spacing w:before="60" w:after="60"/>
              <w:jc w:val="left"/>
              <w:rPr>
                <w:noProof/>
                <w:color w:val="000000"/>
                <w:sz w:val="20"/>
                <w:szCs w:val="20"/>
              </w:rPr>
            </w:pPr>
          </w:p>
        </w:tc>
      </w:tr>
      <w:tr w:rsidR="00251FDF">
        <w:tc>
          <w:tcPr>
            <w:tcW w:w="1913"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Clorat de sodiu (CAS RN 7775-09-9) </w:t>
            </w:r>
          </w:p>
        </w:tc>
        <w:tc>
          <w:tcPr>
            <w:tcW w:w="1692"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40 % g/g </w:t>
            </w:r>
          </w:p>
          <w:p w:rsidR="00251FDF" w:rsidRDefault="00251FDF">
            <w:pPr>
              <w:autoSpaceDE w:val="0"/>
              <w:autoSpaceDN w:val="0"/>
              <w:adjustRightInd w:val="0"/>
              <w:spacing w:before="60" w:after="60"/>
              <w:jc w:val="left"/>
              <w:rPr>
                <w:noProof/>
                <w:color w:val="000000"/>
                <w:sz w:val="20"/>
                <w:szCs w:val="20"/>
              </w:rPr>
            </w:pPr>
          </w:p>
        </w:tc>
        <w:tc>
          <w:tcPr>
            <w:tcW w:w="182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N/A</w:t>
            </w:r>
          </w:p>
        </w:tc>
        <w:tc>
          <w:tcPr>
            <w:tcW w:w="1928"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2829 11 00 </w:t>
            </w:r>
          </w:p>
          <w:p w:rsidR="00251FDF" w:rsidRDefault="00251FDF">
            <w:pPr>
              <w:autoSpaceDE w:val="0"/>
              <w:autoSpaceDN w:val="0"/>
              <w:adjustRightInd w:val="0"/>
              <w:spacing w:before="60" w:after="60"/>
              <w:jc w:val="left"/>
              <w:rPr>
                <w:noProof/>
                <w:color w:val="000000"/>
                <w:sz w:val="20"/>
                <w:szCs w:val="20"/>
              </w:rPr>
            </w:pPr>
          </w:p>
        </w:tc>
        <w:tc>
          <w:tcPr>
            <w:tcW w:w="1929"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3824 99 96 </w:t>
            </w:r>
          </w:p>
          <w:p w:rsidR="00251FDF" w:rsidRDefault="00251FDF">
            <w:pPr>
              <w:autoSpaceDE w:val="0"/>
              <w:autoSpaceDN w:val="0"/>
              <w:adjustRightInd w:val="0"/>
              <w:spacing w:before="60" w:after="60"/>
              <w:jc w:val="left"/>
              <w:rPr>
                <w:noProof/>
                <w:color w:val="000000"/>
                <w:sz w:val="20"/>
                <w:szCs w:val="20"/>
              </w:rPr>
            </w:pPr>
          </w:p>
        </w:tc>
      </w:tr>
      <w:tr w:rsidR="00251FDF">
        <w:tc>
          <w:tcPr>
            <w:tcW w:w="1913"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Perclorat de sodiu (CAS RN 7601-89-0) </w:t>
            </w:r>
          </w:p>
        </w:tc>
        <w:tc>
          <w:tcPr>
            <w:tcW w:w="1692"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40 % g/g </w:t>
            </w:r>
          </w:p>
          <w:p w:rsidR="00251FDF" w:rsidRDefault="00251FDF">
            <w:pPr>
              <w:autoSpaceDE w:val="0"/>
              <w:autoSpaceDN w:val="0"/>
              <w:adjustRightInd w:val="0"/>
              <w:spacing w:before="60" w:after="60"/>
              <w:jc w:val="left"/>
              <w:rPr>
                <w:noProof/>
                <w:color w:val="000000"/>
                <w:sz w:val="20"/>
                <w:szCs w:val="20"/>
              </w:rPr>
            </w:pPr>
          </w:p>
        </w:tc>
        <w:tc>
          <w:tcPr>
            <w:tcW w:w="182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nu se aplică</w:t>
            </w:r>
          </w:p>
        </w:tc>
        <w:tc>
          <w:tcPr>
            <w:tcW w:w="1928"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2829 90 10 </w:t>
            </w:r>
          </w:p>
          <w:p w:rsidR="00251FDF" w:rsidRDefault="00251FDF">
            <w:pPr>
              <w:autoSpaceDE w:val="0"/>
              <w:autoSpaceDN w:val="0"/>
              <w:adjustRightInd w:val="0"/>
              <w:spacing w:before="60" w:after="60"/>
              <w:jc w:val="left"/>
              <w:rPr>
                <w:noProof/>
                <w:color w:val="000000"/>
                <w:sz w:val="20"/>
                <w:szCs w:val="20"/>
              </w:rPr>
            </w:pPr>
          </w:p>
        </w:tc>
        <w:tc>
          <w:tcPr>
            <w:tcW w:w="1929"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3824 99 96 </w:t>
            </w:r>
          </w:p>
          <w:p w:rsidR="00251FDF" w:rsidRDefault="00251FDF">
            <w:pPr>
              <w:autoSpaceDE w:val="0"/>
              <w:autoSpaceDN w:val="0"/>
              <w:adjustRightInd w:val="0"/>
              <w:spacing w:before="60" w:after="60"/>
              <w:jc w:val="left"/>
              <w:rPr>
                <w:noProof/>
                <w:color w:val="000000"/>
                <w:sz w:val="20"/>
                <w:szCs w:val="20"/>
              </w:rPr>
            </w:pPr>
          </w:p>
        </w:tc>
      </w:tr>
    </w:tbl>
    <w:p w:rsidR="00251FDF" w:rsidRDefault="00D22D4C">
      <w:pPr>
        <w:rPr>
          <w:noProof/>
          <w:color w:val="000000"/>
          <w:sz w:val="20"/>
          <w:szCs w:val="20"/>
        </w:rPr>
      </w:pPr>
      <w:r>
        <w:rPr>
          <w:noProof/>
          <w:color w:val="000000"/>
          <w:sz w:val="20"/>
        </w:rPr>
        <w:t>(1) Regulamentul de punere în aplicare (UE) 2017/1925 al Comisiei din 12 octombrie 2017 de modificare a anexei I la Regulamentul (CEE) nr. 2658/87 al Consiliului privind Nomenclatura tarifară și statistică și Tariful vamal comun (JO L 282, 31.10.2017, p. 1</w:t>
      </w:r>
      <w:r>
        <w:rPr>
          <w:noProof/>
          <w:color w:val="000000"/>
          <w:sz w:val="20"/>
        </w:rPr>
        <w:t xml:space="preserve">). Ar trebui consultate modificările ulterioare aduse anexei I la Regulamentul (CE) nr. 2658/87 în ceea ce privește codurile NC actualizate. </w:t>
      </w:r>
    </w:p>
    <w:p w:rsidR="00251FDF" w:rsidRDefault="00D22D4C">
      <w:pPr>
        <w:rPr>
          <w:noProof/>
        </w:rPr>
      </w:pPr>
      <w:r>
        <w:rPr>
          <w:noProof/>
          <w:color w:val="000000"/>
          <w:sz w:val="20"/>
        </w:rPr>
        <w:lastRenderedPageBreak/>
        <w:t xml:space="preserve"> (2) Nitratul de amoniu nu poate fi pus la dispoziția persoanelor din rândul publicului larg și nu poate fi introdus, deținut sau utilizat de persoane din rândul publicului larg, izolat sau în amestecuri ori substanțe care îl conțin, decât în concentrații </w:t>
      </w:r>
      <w:r>
        <w:rPr>
          <w:noProof/>
          <w:color w:val="000000"/>
          <w:sz w:val="20"/>
          <w:u w:val="single"/>
        </w:rPr>
        <w:t>mai mici</w:t>
      </w:r>
      <w:r>
        <w:rPr>
          <w:noProof/>
          <w:color w:val="000000"/>
          <w:sz w:val="20"/>
        </w:rPr>
        <w:t xml:space="preserve"> de 16 % în greutate azot având drept proveniență nitratul de amoniu.</w:t>
      </w:r>
    </w:p>
    <w:p w:rsidR="00251FDF" w:rsidRDefault="00251FDF">
      <w:pPr>
        <w:rPr>
          <w:noProof/>
        </w:rPr>
        <w:sectPr w:rsidR="00251FDF" w:rsidSect="00D22D4C">
          <w:footerReference w:type="default" r:id="rId15"/>
          <w:footerReference w:type="first" r:id="rId16"/>
          <w:pgSz w:w="11907" w:h="16839"/>
          <w:pgMar w:top="1134" w:right="1417" w:bottom="1134" w:left="1417" w:header="709" w:footer="709" w:gutter="0"/>
          <w:cols w:space="720"/>
          <w:docGrid w:linePitch="360"/>
        </w:sectPr>
      </w:pPr>
    </w:p>
    <w:p w:rsidR="00251FDF" w:rsidRPr="00D22D4C" w:rsidRDefault="00D22D4C">
      <w:pPr>
        <w:pStyle w:val="Annexetitre"/>
      </w:pPr>
      <w:r>
        <w:rPr>
          <w:noProof/>
        </w:rPr>
        <w:lastRenderedPageBreak/>
        <w:t>ANEXA II – PRECURSORI DE EXPLOZIVI CARE TREBUIE RAPORTAȚI</w:t>
      </w:r>
    </w:p>
    <w:p w:rsidR="00251FDF" w:rsidRDefault="00D22D4C">
      <w:pPr>
        <w:autoSpaceDE w:val="0"/>
        <w:autoSpaceDN w:val="0"/>
        <w:adjustRightInd w:val="0"/>
        <w:spacing w:before="60" w:after="60"/>
        <w:jc w:val="left"/>
        <w:rPr>
          <w:noProof/>
          <w:color w:val="000000"/>
          <w:szCs w:val="24"/>
        </w:rPr>
      </w:pPr>
      <w:r>
        <w:rPr>
          <w:noProof/>
          <w:color w:val="000000"/>
        </w:rPr>
        <w:t>Substanțe izolate sau în amestecuri pentru care se raportează tranzac</w:t>
      </w:r>
      <w:r>
        <w:rPr>
          <w:noProof/>
          <w:color w:val="000000"/>
        </w:rPr>
        <w:t>ț</w:t>
      </w:r>
      <w:r>
        <w:rPr>
          <w:noProof/>
          <w:color w:val="000000"/>
        </w:rPr>
        <w:t>iile suspecte</w:t>
      </w:r>
    </w:p>
    <w:tbl>
      <w:tblPr>
        <w:tblStyle w:val="TableGrid"/>
        <w:tblW w:w="0" w:type="auto"/>
        <w:tblLook w:val="04A0" w:firstRow="1" w:lastRow="0" w:firstColumn="1" w:lastColumn="0" w:noHBand="0" w:noVBand="1"/>
      </w:tblPr>
      <w:tblGrid>
        <w:gridCol w:w="3096"/>
        <w:gridCol w:w="3095"/>
        <w:gridCol w:w="3096"/>
      </w:tblGrid>
      <w:tr w:rsidR="00251FDF">
        <w:trPr>
          <w:trHeight w:val="1736"/>
        </w:trPr>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1. Denumirea substanței și numărul de înregistrare al Chemical Abstracts Service (CAS RN)</w:t>
            </w:r>
          </w:p>
        </w:tc>
        <w:tc>
          <w:tcPr>
            <w:tcW w:w="309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2. Codul din Nomenclatura combinată (NC) (1)</w:t>
            </w:r>
          </w:p>
        </w:tc>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3. Codul din Nomenclatura combinată (NC) pentru un amestec fără constituenți (de ex. mercur, metale prețio</w:t>
            </w:r>
            <w:r>
              <w:rPr>
                <w:noProof/>
                <w:color w:val="000000"/>
                <w:sz w:val="20"/>
              </w:rPr>
              <w:t xml:space="preserve">ase sau metale de pământuri rare ori substanțe radioactive) care ar duce la clasificarea sub un alt cod NC (1) </w:t>
            </w:r>
          </w:p>
        </w:tc>
      </w:tr>
      <w:tr w:rsidR="00251FDF">
        <w:trPr>
          <w:trHeight w:val="428"/>
        </w:trPr>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Hexamină (CAS RN 100-97-0) </w:t>
            </w:r>
          </w:p>
        </w:tc>
        <w:tc>
          <w:tcPr>
            <w:tcW w:w="309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ex 2933 69 40</w:t>
            </w:r>
          </w:p>
          <w:p w:rsidR="00251FDF" w:rsidRDefault="00251FDF">
            <w:pPr>
              <w:autoSpaceDE w:val="0"/>
              <w:autoSpaceDN w:val="0"/>
              <w:adjustRightInd w:val="0"/>
              <w:spacing w:before="60" w:after="60"/>
              <w:jc w:val="left"/>
              <w:rPr>
                <w:noProof/>
                <w:color w:val="000000"/>
                <w:sz w:val="20"/>
                <w:szCs w:val="20"/>
              </w:rPr>
            </w:pPr>
          </w:p>
        </w:tc>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ex 3824 99 93</w:t>
            </w:r>
          </w:p>
          <w:p w:rsidR="00251FDF" w:rsidRDefault="00251FDF">
            <w:pPr>
              <w:autoSpaceDE w:val="0"/>
              <w:autoSpaceDN w:val="0"/>
              <w:adjustRightInd w:val="0"/>
              <w:spacing w:before="60" w:after="60"/>
              <w:jc w:val="left"/>
              <w:rPr>
                <w:noProof/>
                <w:color w:val="000000"/>
                <w:sz w:val="20"/>
                <w:szCs w:val="20"/>
              </w:rPr>
            </w:pPr>
          </w:p>
        </w:tc>
      </w:tr>
      <w:tr w:rsidR="00251FDF">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Acetonă (CAS RN 67-64-1) </w:t>
            </w:r>
          </w:p>
        </w:tc>
        <w:tc>
          <w:tcPr>
            <w:tcW w:w="309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2914 11 00 </w:t>
            </w:r>
          </w:p>
          <w:p w:rsidR="00251FDF" w:rsidRDefault="00251FDF">
            <w:pPr>
              <w:autoSpaceDE w:val="0"/>
              <w:autoSpaceDN w:val="0"/>
              <w:adjustRightInd w:val="0"/>
              <w:spacing w:before="60" w:after="60"/>
              <w:jc w:val="left"/>
              <w:rPr>
                <w:noProof/>
                <w:color w:val="000000"/>
                <w:sz w:val="20"/>
                <w:szCs w:val="20"/>
              </w:rPr>
            </w:pPr>
          </w:p>
        </w:tc>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ex 3824 99 92</w:t>
            </w:r>
          </w:p>
          <w:p w:rsidR="00251FDF" w:rsidRDefault="00251FDF">
            <w:pPr>
              <w:autoSpaceDE w:val="0"/>
              <w:autoSpaceDN w:val="0"/>
              <w:adjustRightInd w:val="0"/>
              <w:spacing w:before="60" w:after="60"/>
              <w:jc w:val="left"/>
              <w:rPr>
                <w:noProof/>
                <w:color w:val="000000"/>
                <w:sz w:val="20"/>
                <w:szCs w:val="20"/>
              </w:rPr>
            </w:pPr>
          </w:p>
        </w:tc>
      </w:tr>
      <w:tr w:rsidR="00251FDF">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Azotat de potasiu (CAS RN 7757-79-1) </w:t>
            </w:r>
          </w:p>
        </w:tc>
        <w:tc>
          <w:tcPr>
            <w:tcW w:w="309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2834 21 00 </w:t>
            </w:r>
          </w:p>
          <w:p w:rsidR="00251FDF" w:rsidRDefault="00251FDF">
            <w:pPr>
              <w:autoSpaceDE w:val="0"/>
              <w:autoSpaceDN w:val="0"/>
              <w:adjustRightInd w:val="0"/>
              <w:spacing w:before="60" w:after="60"/>
              <w:jc w:val="left"/>
              <w:rPr>
                <w:noProof/>
                <w:color w:val="000000"/>
                <w:sz w:val="20"/>
                <w:szCs w:val="20"/>
              </w:rPr>
            </w:pPr>
          </w:p>
        </w:tc>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ex 3824 99 96</w:t>
            </w:r>
          </w:p>
          <w:p w:rsidR="00251FDF" w:rsidRDefault="00251FDF">
            <w:pPr>
              <w:autoSpaceDE w:val="0"/>
              <w:autoSpaceDN w:val="0"/>
              <w:adjustRightInd w:val="0"/>
              <w:spacing w:before="60" w:after="60"/>
              <w:jc w:val="left"/>
              <w:rPr>
                <w:noProof/>
                <w:color w:val="000000"/>
                <w:sz w:val="20"/>
                <w:szCs w:val="20"/>
              </w:rPr>
            </w:pPr>
          </w:p>
        </w:tc>
      </w:tr>
      <w:tr w:rsidR="00251FDF">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Azotat de sodiu (CAS RN 7631-99-4) </w:t>
            </w:r>
          </w:p>
        </w:tc>
        <w:tc>
          <w:tcPr>
            <w:tcW w:w="309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3102 50 00 </w:t>
            </w:r>
          </w:p>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 </w:t>
            </w:r>
          </w:p>
        </w:tc>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ex 3824 99 96</w:t>
            </w:r>
          </w:p>
          <w:p w:rsidR="00251FDF" w:rsidRDefault="00251FDF">
            <w:pPr>
              <w:autoSpaceDE w:val="0"/>
              <w:autoSpaceDN w:val="0"/>
              <w:adjustRightInd w:val="0"/>
              <w:spacing w:before="60" w:after="60"/>
              <w:jc w:val="left"/>
              <w:rPr>
                <w:noProof/>
                <w:color w:val="000000"/>
                <w:sz w:val="20"/>
                <w:szCs w:val="20"/>
              </w:rPr>
            </w:pPr>
          </w:p>
        </w:tc>
      </w:tr>
      <w:tr w:rsidR="00251FDF">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Azotat de calciu (CAS RN 10124-37-5) </w:t>
            </w:r>
          </w:p>
        </w:tc>
        <w:tc>
          <w:tcPr>
            <w:tcW w:w="309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2834 29 80 </w:t>
            </w:r>
          </w:p>
          <w:p w:rsidR="00251FDF" w:rsidRDefault="00251FDF">
            <w:pPr>
              <w:autoSpaceDE w:val="0"/>
              <w:autoSpaceDN w:val="0"/>
              <w:adjustRightInd w:val="0"/>
              <w:spacing w:before="60" w:after="60"/>
              <w:jc w:val="left"/>
              <w:rPr>
                <w:noProof/>
                <w:color w:val="000000"/>
                <w:sz w:val="20"/>
                <w:szCs w:val="20"/>
              </w:rPr>
            </w:pPr>
          </w:p>
        </w:tc>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ex 3824 99 96</w:t>
            </w:r>
          </w:p>
          <w:p w:rsidR="00251FDF" w:rsidRDefault="00251FDF">
            <w:pPr>
              <w:autoSpaceDE w:val="0"/>
              <w:autoSpaceDN w:val="0"/>
              <w:adjustRightInd w:val="0"/>
              <w:spacing w:before="60" w:after="60"/>
              <w:jc w:val="left"/>
              <w:rPr>
                <w:noProof/>
                <w:color w:val="000000"/>
                <w:sz w:val="20"/>
                <w:szCs w:val="20"/>
              </w:rPr>
            </w:pPr>
          </w:p>
        </w:tc>
      </w:tr>
      <w:tr w:rsidR="00251FDF">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Azotat dublu de calciu și amoniu (CAS RN 15245-12-2) </w:t>
            </w:r>
          </w:p>
        </w:tc>
        <w:tc>
          <w:tcPr>
            <w:tcW w:w="309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3102 60 00 </w:t>
            </w:r>
          </w:p>
          <w:p w:rsidR="00251FDF" w:rsidRDefault="00251FDF">
            <w:pPr>
              <w:autoSpaceDE w:val="0"/>
              <w:autoSpaceDN w:val="0"/>
              <w:adjustRightInd w:val="0"/>
              <w:spacing w:before="60" w:after="60"/>
              <w:jc w:val="left"/>
              <w:rPr>
                <w:noProof/>
                <w:color w:val="000000"/>
                <w:sz w:val="20"/>
                <w:szCs w:val="20"/>
              </w:rPr>
            </w:pPr>
          </w:p>
        </w:tc>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ex 3824 99 96</w:t>
            </w:r>
          </w:p>
          <w:p w:rsidR="00251FDF" w:rsidRDefault="00251FDF">
            <w:pPr>
              <w:autoSpaceDE w:val="0"/>
              <w:autoSpaceDN w:val="0"/>
              <w:adjustRightInd w:val="0"/>
              <w:spacing w:before="60" w:after="60"/>
              <w:jc w:val="left"/>
              <w:rPr>
                <w:noProof/>
                <w:color w:val="000000"/>
                <w:sz w:val="20"/>
                <w:szCs w:val="20"/>
              </w:rPr>
            </w:pPr>
          </w:p>
        </w:tc>
      </w:tr>
      <w:tr w:rsidR="00251FDF">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Magneziu, </w:t>
            </w:r>
            <w:r>
              <w:rPr>
                <w:i/>
                <w:noProof/>
                <w:color w:val="000000"/>
                <w:sz w:val="20"/>
              </w:rPr>
              <w:t>pulberi</w:t>
            </w:r>
            <w:r>
              <w:rPr>
                <w:noProof/>
                <w:color w:val="000000"/>
                <w:sz w:val="20"/>
              </w:rPr>
              <w:t xml:space="preserve">(CAS RN 7439-95-4) ( 2 ) ( 3 ) </w:t>
            </w:r>
          </w:p>
        </w:tc>
        <w:tc>
          <w:tcPr>
            <w:tcW w:w="309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8104 30 00 </w:t>
            </w:r>
          </w:p>
          <w:p w:rsidR="00251FDF" w:rsidRDefault="00251FDF">
            <w:pPr>
              <w:autoSpaceDE w:val="0"/>
              <w:autoSpaceDN w:val="0"/>
              <w:adjustRightInd w:val="0"/>
              <w:spacing w:before="60" w:after="60"/>
              <w:jc w:val="left"/>
              <w:rPr>
                <w:noProof/>
                <w:color w:val="000000"/>
                <w:sz w:val="20"/>
                <w:szCs w:val="20"/>
              </w:rPr>
            </w:pPr>
          </w:p>
        </w:tc>
        <w:tc>
          <w:tcPr>
            <w:tcW w:w="3096" w:type="dxa"/>
          </w:tcPr>
          <w:p w:rsidR="00251FDF" w:rsidRDefault="00251FDF">
            <w:pPr>
              <w:autoSpaceDE w:val="0"/>
              <w:autoSpaceDN w:val="0"/>
              <w:adjustRightInd w:val="0"/>
              <w:spacing w:before="60" w:after="60"/>
              <w:jc w:val="left"/>
              <w:rPr>
                <w:noProof/>
                <w:color w:val="000000"/>
                <w:sz w:val="20"/>
                <w:szCs w:val="20"/>
              </w:rPr>
            </w:pPr>
          </w:p>
        </w:tc>
      </w:tr>
      <w:tr w:rsidR="00251FDF">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Nitrat de magneziu hexahidrat (CAS RN 13446-18-9) </w:t>
            </w:r>
          </w:p>
        </w:tc>
        <w:tc>
          <w:tcPr>
            <w:tcW w:w="309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2834 29 80 </w:t>
            </w:r>
          </w:p>
          <w:p w:rsidR="00251FDF" w:rsidRDefault="00251FDF">
            <w:pPr>
              <w:autoSpaceDE w:val="0"/>
              <w:autoSpaceDN w:val="0"/>
              <w:adjustRightInd w:val="0"/>
              <w:spacing w:before="60" w:after="60"/>
              <w:jc w:val="left"/>
              <w:rPr>
                <w:noProof/>
                <w:color w:val="000000"/>
                <w:sz w:val="20"/>
                <w:szCs w:val="20"/>
              </w:rPr>
            </w:pPr>
          </w:p>
        </w:tc>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ex 3824 99 96</w:t>
            </w:r>
          </w:p>
          <w:p w:rsidR="00251FDF" w:rsidRDefault="00251FDF">
            <w:pPr>
              <w:autoSpaceDE w:val="0"/>
              <w:autoSpaceDN w:val="0"/>
              <w:adjustRightInd w:val="0"/>
              <w:spacing w:before="60" w:after="60"/>
              <w:jc w:val="left"/>
              <w:rPr>
                <w:noProof/>
                <w:color w:val="000000"/>
                <w:sz w:val="20"/>
                <w:szCs w:val="20"/>
              </w:rPr>
            </w:pPr>
          </w:p>
        </w:tc>
      </w:tr>
      <w:tr w:rsidR="00251FDF">
        <w:tc>
          <w:tcPr>
            <w:tcW w:w="3096"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Aluminiu, </w:t>
            </w:r>
            <w:r>
              <w:rPr>
                <w:i/>
                <w:noProof/>
                <w:color w:val="000000"/>
                <w:sz w:val="20"/>
              </w:rPr>
              <w:t>pulberi</w:t>
            </w:r>
            <w:r>
              <w:rPr>
                <w:noProof/>
                <w:color w:val="000000"/>
                <w:sz w:val="20"/>
              </w:rPr>
              <w:t xml:space="preserve">(CAS RN 7429-90-5) (2) (3) </w:t>
            </w:r>
          </w:p>
        </w:tc>
        <w:tc>
          <w:tcPr>
            <w:tcW w:w="3095" w:type="dxa"/>
          </w:tcPr>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7603 10 00 </w:t>
            </w:r>
          </w:p>
          <w:p w:rsidR="00251FDF" w:rsidRDefault="00D22D4C">
            <w:pPr>
              <w:autoSpaceDE w:val="0"/>
              <w:autoSpaceDN w:val="0"/>
              <w:adjustRightInd w:val="0"/>
              <w:spacing w:before="60" w:after="60"/>
              <w:jc w:val="left"/>
              <w:rPr>
                <w:noProof/>
                <w:color w:val="000000"/>
                <w:sz w:val="20"/>
                <w:szCs w:val="20"/>
              </w:rPr>
            </w:pPr>
            <w:r>
              <w:rPr>
                <w:noProof/>
                <w:color w:val="000000"/>
                <w:sz w:val="20"/>
              </w:rPr>
              <w:t xml:space="preserve">ex 7603 20 00 </w:t>
            </w:r>
          </w:p>
        </w:tc>
        <w:tc>
          <w:tcPr>
            <w:tcW w:w="3096" w:type="dxa"/>
          </w:tcPr>
          <w:p w:rsidR="00251FDF" w:rsidRDefault="00251FDF">
            <w:pPr>
              <w:autoSpaceDE w:val="0"/>
              <w:autoSpaceDN w:val="0"/>
              <w:adjustRightInd w:val="0"/>
              <w:spacing w:before="60" w:after="60"/>
              <w:jc w:val="left"/>
              <w:rPr>
                <w:noProof/>
                <w:color w:val="000000"/>
                <w:sz w:val="20"/>
                <w:szCs w:val="20"/>
              </w:rPr>
            </w:pPr>
          </w:p>
        </w:tc>
      </w:tr>
    </w:tbl>
    <w:p w:rsidR="00251FDF" w:rsidRDefault="00D22D4C">
      <w:pPr>
        <w:rPr>
          <w:noProof/>
          <w:color w:val="000000"/>
          <w:sz w:val="20"/>
          <w:szCs w:val="20"/>
        </w:rPr>
      </w:pPr>
      <w:r>
        <w:rPr>
          <w:noProof/>
          <w:color w:val="000000"/>
          <w:sz w:val="20"/>
        </w:rPr>
        <w:t xml:space="preserve">(1) Regulamentul de punere în aplicare (UE) 2017/1925 al Comisiei din 12 octombrie 2017 de modificare a anexei I la Regulamentul (CEE) nr. 2658/87 al Consiliului privind Nomenclatura tarifară și statistică și Tariful vamal comun (JO L 282, 31.10.2017, p. </w:t>
      </w:r>
      <w:r>
        <w:rPr>
          <w:noProof/>
          <w:color w:val="000000"/>
          <w:sz w:val="20"/>
        </w:rPr>
        <w:t xml:space="preserve">1). Ar trebui consultate modificările ulterioare aduse anexei I la Regulamentul (CE) nr. 2658/87 în ceea ce privește codurile NC actualizate. </w:t>
      </w:r>
    </w:p>
    <w:p w:rsidR="00251FDF" w:rsidRDefault="00D22D4C">
      <w:pPr>
        <w:rPr>
          <w:noProof/>
          <w:color w:val="000000"/>
          <w:sz w:val="20"/>
          <w:szCs w:val="20"/>
        </w:rPr>
      </w:pPr>
      <w:r>
        <w:rPr>
          <w:noProof/>
          <w:color w:val="000000"/>
          <w:sz w:val="20"/>
        </w:rPr>
        <w:t xml:space="preserve">(2) Cu o granulație mai mică de 200 μm. </w:t>
      </w:r>
    </w:p>
    <w:p w:rsidR="00251FDF" w:rsidRDefault="00D22D4C">
      <w:pPr>
        <w:rPr>
          <w:noProof/>
          <w:color w:val="000000"/>
          <w:sz w:val="20"/>
          <w:szCs w:val="20"/>
        </w:rPr>
      </w:pPr>
      <w:r>
        <w:rPr>
          <w:noProof/>
          <w:color w:val="000000"/>
          <w:sz w:val="20"/>
        </w:rPr>
        <w:t>(3) Ca substanță sau în amestecuri cu conținut de aluminiu și/sau de mag</w:t>
      </w:r>
      <w:r>
        <w:rPr>
          <w:noProof/>
          <w:color w:val="000000"/>
          <w:sz w:val="20"/>
        </w:rPr>
        <w:t>neziu de 70 % sau mai mult în greutate.</w:t>
      </w:r>
    </w:p>
    <w:p w:rsidR="00251FDF" w:rsidRDefault="00251FDF">
      <w:pPr>
        <w:rPr>
          <w:noProof/>
        </w:rPr>
        <w:sectPr w:rsidR="00251FDF" w:rsidSect="00D22D4C">
          <w:pgSz w:w="11907" w:h="16839"/>
          <w:pgMar w:top="1134" w:right="1417" w:bottom="1134" w:left="1417" w:header="709" w:footer="709" w:gutter="0"/>
          <w:cols w:space="720"/>
          <w:docGrid w:linePitch="360"/>
        </w:sectPr>
      </w:pPr>
    </w:p>
    <w:p w:rsidR="00251FDF" w:rsidRDefault="00D22D4C">
      <w:pPr>
        <w:pStyle w:val="Annexetitre"/>
        <w:rPr>
          <w:noProof/>
        </w:rPr>
      </w:pPr>
      <w:r>
        <w:rPr>
          <w:noProof/>
        </w:rPr>
        <w:t>ANEXA III – MODEL DE LICENȚĂ</w:t>
      </w:r>
    </w:p>
    <w:p w:rsidR="00251FDF" w:rsidRDefault="00D22D4C">
      <w:pPr>
        <w:pStyle w:val="Default"/>
        <w:jc w:val="both"/>
        <w:rPr>
          <w:noProof/>
        </w:rPr>
      </w:pPr>
      <w:r>
        <w:rPr>
          <w:noProof/>
        </w:rPr>
        <w:t>Model de document care atestă deținerea unei licențe care îi permite unei persoanei din rândul publicului larg să achiziționeze, să introducă, să dețină și să utilizeze pr</w:t>
      </w:r>
      <w:r>
        <w:rPr>
          <w:noProof/>
        </w:rPr>
        <w:t xml:space="preserve">ecursori de explozivi restricționați, așa cum se menționează la articolul 6 alineatul (7). </w:t>
      </w:r>
    </w:p>
    <w:p w:rsidR="00251FDF" w:rsidRDefault="00251FDF">
      <w:pPr>
        <w:pStyle w:val="Default"/>
        <w:rPr>
          <w:noProof/>
        </w:rPr>
      </w:pPr>
    </w:p>
    <w:tbl>
      <w:tblPr>
        <w:tblStyle w:val="TableGrid"/>
        <w:tblW w:w="0" w:type="auto"/>
        <w:tblLook w:val="04A0" w:firstRow="1" w:lastRow="0" w:firstColumn="1" w:lastColumn="0" w:noHBand="0" w:noVBand="1"/>
      </w:tblPr>
      <w:tblGrid>
        <w:gridCol w:w="9289"/>
      </w:tblGrid>
      <w:tr w:rsidR="00251FDF">
        <w:tc>
          <w:tcPr>
            <w:tcW w:w="9289" w:type="dxa"/>
          </w:tcPr>
          <w:p w:rsidR="00251FDF" w:rsidRDefault="00D22D4C">
            <w:pPr>
              <w:pStyle w:val="Default"/>
              <w:rPr>
                <w:noProof/>
              </w:rPr>
            </w:pPr>
            <w:r>
              <w:rPr>
                <w:b/>
                <w:noProof/>
              </w:rPr>
              <w:t xml:space="preserve">1. Persoana din rândul publicului larg (nume și adresă) </w:t>
            </w:r>
          </w:p>
          <w:p w:rsidR="00251FDF" w:rsidRDefault="00D22D4C">
            <w:pPr>
              <w:pStyle w:val="Default"/>
              <w:rPr>
                <w:noProof/>
              </w:rPr>
            </w:pPr>
            <w:r>
              <w:rPr>
                <w:noProof/>
              </w:rPr>
              <w:t xml:space="preserve">Nume: </w:t>
            </w:r>
          </w:p>
          <w:p w:rsidR="00251FDF" w:rsidRDefault="00D22D4C">
            <w:pPr>
              <w:pStyle w:val="Default"/>
              <w:rPr>
                <w:noProof/>
              </w:rPr>
            </w:pPr>
            <w:r>
              <w:rPr>
                <w:noProof/>
              </w:rPr>
              <w:t xml:space="preserve">Numărul documentului de identificare: </w:t>
            </w:r>
          </w:p>
          <w:p w:rsidR="00251FDF" w:rsidRDefault="00D22D4C">
            <w:pPr>
              <w:pStyle w:val="Default"/>
              <w:rPr>
                <w:noProof/>
              </w:rPr>
            </w:pPr>
            <w:r>
              <w:rPr>
                <w:noProof/>
              </w:rPr>
              <w:t xml:space="preserve">Adresă: </w:t>
            </w:r>
          </w:p>
          <w:p w:rsidR="00251FDF" w:rsidRDefault="00D22D4C">
            <w:pPr>
              <w:pStyle w:val="Default"/>
              <w:rPr>
                <w:noProof/>
              </w:rPr>
            </w:pPr>
            <w:r>
              <w:rPr>
                <w:noProof/>
              </w:rPr>
              <w:t>Ț</w:t>
            </w:r>
            <w:r>
              <w:rPr>
                <w:noProof/>
              </w:rPr>
              <w:t xml:space="preserve">ară: </w:t>
            </w:r>
          </w:p>
          <w:p w:rsidR="00251FDF" w:rsidRDefault="00D22D4C">
            <w:pPr>
              <w:pStyle w:val="Default"/>
              <w:rPr>
                <w:noProof/>
              </w:rPr>
            </w:pPr>
            <w:r>
              <w:rPr>
                <w:noProof/>
              </w:rPr>
              <w:t xml:space="preserve">Telefon: </w:t>
            </w:r>
          </w:p>
          <w:p w:rsidR="00251FDF" w:rsidRDefault="00D22D4C">
            <w:pPr>
              <w:pStyle w:val="Default"/>
              <w:rPr>
                <w:b/>
                <w:bCs/>
                <w:noProof/>
              </w:rPr>
            </w:pPr>
            <w:r>
              <w:rPr>
                <w:noProof/>
              </w:rPr>
              <w:t xml:space="preserve">E-mail: </w:t>
            </w:r>
          </w:p>
        </w:tc>
      </w:tr>
      <w:tr w:rsidR="00251FDF">
        <w:tc>
          <w:tcPr>
            <w:tcW w:w="9289" w:type="dxa"/>
          </w:tcPr>
          <w:p w:rsidR="00251FDF" w:rsidRDefault="00D22D4C">
            <w:pPr>
              <w:pStyle w:val="Default"/>
              <w:rPr>
                <w:b/>
                <w:bCs/>
                <w:noProof/>
              </w:rPr>
            </w:pPr>
            <w:r>
              <w:rPr>
                <w:b/>
                <w:noProof/>
              </w:rPr>
              <w:t xml:space="preserve">2. Numărul licenței: </w:t>
            </w:r>
          </w:p>
        </w:tc>
      </w:tr>
      <w:tr w:rsidR="00251FDF">
        <w:tc>
          <w:tcPr>
            <w:tcW w:w="9289" w:type="dxa"/>
          </w:tcPr>
          <w:p w:rsidR="00251FDF" w:rsidRDefault="00D22D4C">
            <w:pPr>
              <w:pStyle w:val="Default"/>
              <w:rPr>
                <w:noProof/>
              </w:rPr>
            </w:pPr>
            <w:r>
              <w:rPr>
                <w:b/>
                <w:noProof/>
              </w:rPr>
              <w:t xml:space="preserve">3. Licență pentru o singură utilizare sau pentru utilizare multiplă </w:t>
            </w:r>
            <w:r>
              <w:rPr>
                <w:i/>
                <w:noProof/>
              </w:rPr>
              <w:t xml:space="preserve">vă rugăm să bifați </w:t>
            </w:r>
          </w:p>
          <w:p w:rsidR="00251FDF" w:rsidRDefault="00251FDF">
            <w:pPr>
              <w:pStyle w:val="Default"/>
              <w:rPr>
                <w:noProof/>
              </w:rPr>
            </w:pPr>
          </w:p>
          <w:p w:rsidR="00251FDF" w:rsidRDefault="00D22D4C">
            <w:pPr>
              <w:pStyle w:val="Default"/>
              <w:rPr>
                <w:noProof/>
              </w:rPr>
            </w:pPr>
            <w:r>
              <w:rPr>
                <w:noProof/>
              </w:rPr>
              <w:t xml:space="preserve">( ) achiziție unică, introducere, deținere și utilizare a unui precursor restricționat </w:t>
            </w:r>
          </w:p>
          <w:p w:rsidR="00251FDF" w:rsidRDefault="00D22D4C">
            <w:pPr>
              <w:pStyle w:val="Default"/>
              <w:rPr>
                <w:noProof/>
              </w:rPr>
            </w:pPr>
            <w:r>
              <w:rPr>
                <w:noProof/>
              </w:rPr>
              <w:t xml:space="preserve">denumirea precursorului (precursorilor): </w:t>
            </w:r>
          </w:p>
          <w:p w:rsidR="00251FDF" w:rsidRDefault="00D22D4C">
            <w:pPr>
              <w:pStyle w:val="Default"/>
              <w:rPr>
                <w:noProof/>
              </w:rPr>
            </w:pPr>
            <w:r>
              <w:rPr>
                <w:noProof/>
              </w:rPr>
              <w:t xml:space="preserve">cantitatea maximă: </w:t>
            </w:r>
          </w:p>
          <w:p w:rsidR="00251FDF" w:rsidRDefault="00D22D4C">
            <w:pPr>
              <w:pStyle w:val="Default"/>
              <w:rPr>
                <w:noProof/>
              </w:rPr>
            </w:pPr>
            <w:r>
              <w:rPr>
                <w:noProof/>
              </w:rPr>
              <w:t xml:space="preserve">concentrația maximă: </w:t>
            </w:r>
          </w:p>
          <w:p w:rsidR="00251FDF" w:rsidRDefault="00D22D4C">
            <w:pPr>
              <w:pStyle w:val="Default"/>
              <w:rPr>
                <w:noProof/>
              </w:rPr>
            </w:pPr>
            <w:r>
              <w:rPr>
                <w:noProof/>
              </w:rPr>
              <w:t xml:space="preserve">utilizare autorizată: </w:t>
            </w:r>
          </w:p>
          <w:p w:rsidR="00251FDF" w:rsidRDefault="00D22D4C">
            <w:pPr>
              <w:pStyle w:val="Default"/>
              <w:rPr>
                <w:noProof/>
              </w:rPr>
            </w:pPr>
            <w:r>
              <w:rPr>
                <w:noProof/>
              </w:rPr>
              <w:t xml:space="preserve">( ) achiziție multiplă, introducere, deținere și utilizare a unui precursor restricționat </w:t>
            </w:r>
          </w:p>
          <w:p w:rsidR="00251FDF" w:rsidRDefault="00D22D4C">
            <w:pPr>
              <w:pStyle w:val="Default"/>
              <w:rPr>
                <w:noProof/>
              </w:rPr>
            </w:pPr>
            <w:r>
              <w:rPr>
                <w:noProof/>
              </w:rPr>
              <w:t xml:space="preserve">denumirea precursorului (precursorilor): </w:t>
            </w:r>
          </w:p>
          <w:p w:rsidR="00251FDF" w:rsidRDefault="00D22D4C">
            <w:pPr>
              <w:pStyle w:val="Default"/>
              <w:rPr>
                <w:noProof/>
              </w:rPr>
            </w:pPr>
            <w:r>
              <w:rPr>
                <w:noProof/>
              </w:rPr>
              <w:t xml:space="preserve">cantitatea maximă deținută în orice moment: </w:t>
            </w:r>
          </w:p>
          <w:p w:rsidR="00251FDF" w:rsidRDefault="00D22D4C">
            <w:pPr>
              <w:pStyle w:val="Default"/>
              <w:rPr>
                <w:noProof/>
              </w:rPr>
            </w:pPr>
            <w:r>
              <w:rPr>
                <w:noProof/>
              </w:rPr>
              <w:t xml:space="preserve">concentrația maximă: </w:t>
            </w:r>
          </w:p>
          <w:p w:rsidR="00251FDF" w:rsidRDefault="00D22D4C">
            <w:pPr>
              <w:pStyle w:val="Default"/>
              <w:rPr>
                <w:b/>
                <w:bCs/>
                <w:noProof/>
              </w:rPr>
            </w:pPr>
            <w:r>
              <w:rPr>
                <w:noProof/>
              </w:rPr>
              <w:t>utilizare a</w:t>
            </w:r>
            <w:r>
              <w:rPr>
                <w:noProof/>
              </w:rPr>
              <w:t xml:space="preserve">utorizată: </w:t>
            </w:r>
          </w:p>
        </w:tc>
      </w:tr>
      <w:tr w:rsidR="00251FDF">
        <w:tc>
          <w:tcPr>
            <w:tcW w:w="9289" w:type="dxa"/>
          </w:tcPr>
          <w:p w:rsidR="00251FDF" w:rsidRDefault="00D22D4C">
            <w:pPr>
              <w:pStyle w:val="Default"/>
              <w:rPr>
                <w:noProof/>
              </w:rPr>
            </w:pPr>
            <w:r>
              <w:rPr>
                <w:b/>
                <w:noProof/>
              </w:rPr>
              <w:t xml:space="preserve">4. În cazul în care diferă de cea din caseta 1 și legislația națională o cere, adresa la care va fi stocat </w:t>
            </w:r>
          </w:p>
          <w:p w:rsidR="00251FDF" w:rsidRDefault="00D22D4C">
            <w:pPr>
              <w:pStyle w:val="Default"/>
              <w:rPr>
                <w:noProof/>
              </w:rPr>
            </w:pPr>
            <w:r>
              <w:rPr>
                <w:b/>
                <w:noProof/>
              </w:rPr>
              <w:t xml:space="preserve">precursorul/vor fi stocați precursorii. </w:t>
            </w:r>
          </w:p>
          <w:p w:rsidR="00251FDF" w:rsidRDefault="00D22D4C">
            <w:pPr>
              <w:pStyle w:val="Default"/>
              <w:rPr>
                <w:b/>
                <w:bCs/>
                <w:noProof/>
              </w:rPr>
            </w:pPr>
            <w:r>
              <w:rPr>
                <w:noProof/>
              </w:rPr>
              <w:t xml:space="preserve">Adresă: </w:t>
            </w:r>
          </w:p>
        </w:tc>
      </w:tr>
      <w:tr w:rsidR="00251FDF">
        <w:tc>
          <w:tcPr>
            <w:tcW w:w="9289" w:type="dxa"/>
          </w:tcPr>
          <w:p w:rsidR="00251FDF" w:rsidRDefault="00D22D4C">
            <w:pPr>
              <w:pStyle w:val="Default"/>
              <w:rPr>
                <w:noProof/>
              </w:rPr>
            </w:pPr>
            <w:r>
              <w:rPr>
                <w:b/>
                <w:noProof/>
              </w:rPr>
              <w:t xml:space="preserve">5. În cazul în care este alta decât cea din caseta 1 și legislația națională o cere, adresa la care va fi utilizat </w:t>
            </w:r>
          </w:p>
          <w:p w:rsidR="00251FDF" w:rsidRDefault="00D22D4C">
            <w:pPr>
              <w:pStyle w:val="Default"/>
              <w:rPr>
                <w:noProof/>
              </w:rPr>
            </w:pPr>
            <w:r>
              <w:rPr>
                <w:b/>
                <w:noProof/>
              </w:rPr>
              <w:t xml:space="preserve">precursorul/vor fi utilizați precursorii: </w:t>
            </w:r>
          </w:p>
          <w:p w:rsidR="00251FDF" w:rsidRDefault="00D22D4C">
            <w:pPr>
              <w:pStyle w:val="Default"/>
              <w:rPr>
                <w:b/>
                <w:bCs/>
                <w:noProof/>
              </w:rPr>
            </w:pPr>
            <w:r>
              <w:rPr>
                <w:noProof/>
              </w:rPr>
              <w:t xml:space="preserve">Adresă: </w:t>
            </w:r>
          </w:p>
        </w:tc>
      </w:tr>
      <w:tr w:rsidR="00251FDF">
        <w:tc>
          <w:tcPr>
            <w:tcW w:w="9289" w:type="dxa"/>
          </w:tcPr>
          <w:p w:rsidR="00251FDF" w:rsidRDefault="00D22D4C">
            <w:pPr>
              <w:pStyle w:val="Default"/>
              <w:rPr>
                <w:b/>
                <w:bCs/>
                <w:noProof/>
              </w:rPr>
            </w:pPr>
            <w:r>
              <w:rPr>
                <w:b/>
                <w:noProof/>
              </w:rPr>
              <w:t>6. Consimțământ scris pentru achiziționarea, introducerea, deținerea și utilizarea prec</w:t>
            </w:r>
            <w:r>
              <w:rPr>
                <w:b/>
                <w:noProof/>
              </w:rPr>
              <w:t xml:space="preserve">ursorului (precursorilor) din caseta 3 cu [numele țării]: </w:t>
            </w:r>
          </w:p>
          <w:p w:rsidR="00251FDF" w:rsidRDefault="00251FDF">
            <w:pPr>
              <w:pStyle w:val="Default"/>
              <w:rPr>
                <w:noProof/>
              </w:rPr>
            </w:pPr>
          </w:p>
          <w:p w:rsidR="00251FDF" w:rsidRDefault="00D22D4C">
            <w:pPr>
              <w:pStyle w:val="Default"/>
              <w:rPr>
                <w:noProof/>
              </w:rPr>
            </w:pPr>
            <w:r>
              <w:rPr>
                <w:noProof/>
              </w:rPr>
              <w:t xml:space="preserve">Denumirea autorității competente: </w:t>
            </w:r>
          </w:p>
          <w:p w:rsidR="00251FDF" w:rsidRDefault="00D22D4C">
            <w:pPr>
              <w:pStyle w:val="Default"/>
              <w:rPr>
                <w:noProof/>
              </w:rPr>
            </w:pPr>
            <w:r>
              <w:rPr>
                <w:noProof/>
              </w:rPr>
              <w:t xml:space="preserve">Valabil de la: ________ până la: _______________ </w:t>
            </w:r>
          </w:p>
          <w:p w:rsidR="00251FDF" w:rsidRDefault="00251FDF">
            <w:pPr>
              <w:pStyle w:val="Default"/>
              <w:rPr>
                <w:noProof/>
              </w:rPr>
            </w:pPr>
          </w:p>
          <w:p w:rsidR="00251FDF" w:rsidRDefault="00D22D4C">
            <w:pPr>
              <w:pStyle w:val="Default"/>
              <w:rPr>
                <w:noProof/>
              </w:rPr>
            </w:pPr>
            <w:r>
              <w:rPr>
                <w:noProof/>
              </w:rPr>
              <w:t xml:space="preserve">Cerințe speciale aplicabile prezentei licențe: </w:t>
            </w:r>
          </w:p>
          <w:p w:rsidR="00251FDF" w:rsidRDefault="00D22D4C">
            <w:pPr>
              <w:pStyle w:val="Default"/>
              <w:rPr>
                <w:noProof/>
              </w:rPr>
            </w:pPr>
            <w:r>
              <w:rPr>
                <w:noProof/>
              </w:rPr>
              <w:t>( ) da, prezenta licență este valabilă numai cu cerințele spec</w:t>
            </w:r>
            <w:r>
              <w:rPr>
                <w:noProof/>
              </w:rPr>
              <w:t xml:space="preserve">iale anexate </w:t>
            </w:r>
          </w:p>
          <w:p w:rsidR="00251FDF" w:rsidRDefault="00D22D4C">
            <w:pPr>
              <w:pStyle w:val="Default"/>
              <w:rPr>
                <w:noProof/>
              </w:rPr>
            </w:pPr>
            <w:r>
              <w:rPr>
                <w:noProof/>
              </w:rPr>
              <w:t xml:space="preserve">licenței </w:t>
            </w:r>
          </w:p>
          <w:p w:rsidR="00251FDF" w:rsidRDefault="00D22D4C">
            <w:pPr>
              <w:pStyle w:val="Default"/>
              <w:rPr>
                <w:noProof/>
              </w:rPr>
            </w:pPr>
            <w:r>
              <w:rPr>
                <w:noProof/>
              </w:rPr>
              <w:t>( ) nu</w:t>
            </w:r>
          </w:p>
          <w:p w:rsidR="00251FDF" w:rsidRDefault="00251FDF">
            <w:pPr>
              <w:pStyle w:val="Default"/>
              <w:rPr>
                <w:noProof/>
              </w:rPr>
            </w:pPr>
          </w:p>
          <w:p w:rsidR="00251FDF" w:rsidRDefault="00D22D4C">
            <w:pPr>
              <w:pStyle w:val="Default"/>
              <w:rPr>
                <w:b/>
                <w:bCs/>
                <w:noProof/>
              </w:rPr>
            </w:pPr>
            <w:r>
              <w:rPr>
                <w:noProof/>
              </w:rPr>
              <w:t>Ș</w:t>
            </w:r>
            <w:r>
              <w:rPr>
                <w:noProof/>
              </w:rPr>
              <w:t>tampila și/sau semnătura:</w:t>
            </w:r>
          </w:p>
        </w:tc>
      </w:tr>
    </w:tbl>
    <w:p w:rsidR="00251FDF" w:rsidRPr="00D22D4C" w:rsidRDefault="00251FDF">
      <w:pPr>
        <w:rPr>
          <w:noProof/>
        </w:rPr>
      </w:pPr>
    </w:p>
    <w:sectPr w:rsidR="00251FDF" w:rsidRPr="00D22D4C" w:rsidSect="00D22D4C">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FDF" w:rsidRDefault="00D22D4C">
      <w:pPr>
        <w:spacing w:before="0" w:after="0"/>
      </w:pPr>
      <w:r>
        <w:separator/>
      </w:r>
    </w:p>
  </w:endnote>
  <w:endnote w:type="continuationSeparator" w:id="0">
    <w:p w:rsidR="00251FDF" w:rsidRDefault="00D22D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4C" w:rsidRPr="00D22D4C" w:rsidRDefault="00D22D4C" w:rsidP="00D22D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4C" w:rsidRPr="00D22D4C" w:rsidRDefault="00D22D4C" w:rsidP="00D22D4C">
    <w:pPr>
      <w:pStyle w:val="Footer"/>
      <w:rPr>
        <w:rFonts w:ascii="Arial" w:hAnsi="Arial" w:cs="Arial"/>
        <w:b/>
        <w:sz w:val="48"/>
      </w:rPr>
    </w:pPr>
    <w:r w:rsidRPr="00D22D4C">
      <w:rPr>
        <w:rFonts w:ascii="Arial" w:hAnsi="Arial" w:cs="Arial"/>
        <w:b/>
        <w:sz w:val="48"/>
      </w:rPr>
      <w:t>RO</w:t>
    </w:r>
    <w:r w:rsidRPr="00D22D4C">
      <w:rPr>
        <w:rFonts w:ascii="Arial" w:hAnsi="Arial" w:cs="Arial"/>
        <w:b/>
        <w:sz w:val="48"/>
      </w:rPr>
      <w:tab/>
    </w:r>
    <w:r w:rsidRPr="00D22D4C">
      <w:rPr>
        <w:rFonts w:ascii="Arial" w:hAnsi="Arial" w:cs="Arial"/>
        <w:b/>
        <w:sz w:val="48"/>
      </w:rPr>
      <w:tab/>
    </w:r>
    <w:r w:rsidRPr="00D22D4C">
      <w:tab/>
    </w:r>
    <w:r w:rsidRPr="00D22D4C">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4C" w:rsidRPr="00D22D4C" w:rsidRDefault="00D22D4C" w:rsidP="00D22D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FDF" w:rsidRPr="00D22D4C" w:rsidRDefault="00D22D4C" w:rsidP="00D22D4C">
    <w:pPr>
      <w:pStyle w:val="Footer"/>
      <w:rPr>
        <w:rFonts w:ascii="Arial" w:hAnsi="Arial" w:cs="Arial"/>
        <w:b/>
        <w:sz w:val="48"/>
      </w:rPr>
    </w:pPr>
    <w:r w:rsidRPr="00D22D4C">
      <w:rPr>
        <w:rFonts w:ascii="Arial" w:hAnsi="Arial" w:cs="Arial"/>
        <w:b/>
        <w:sz w:val="48"/>
      </w:rPr>
      <w:t>RO</w:t>
    </w:r>
    <w:r w:rsidRPr="00D22D4C">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D22D4C">
      <w:tab/>
    </w:r>
    <w:r w:rsidRPr="00D22D4C">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4C" w:rsidRPr="00D22D4C" w:rsidRDefault="00D22D4C" w:rsidP="00D22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FDF" w:rsidRDefault="00D22D4C">
      <w:pPr>
        <w:spacing w:before="0" w:after="0"/>
      </w:pPr>
      <w:r>
        <w:separator/>
      </w:r>
    </w:p>
  </w:footnote>
  <w:footnote w:type="continuationSeparator" w:id="0">
    <w:p w:rsidR="00251FDF" w:rsidRDefault="00D22D4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4C" w:rsidRPr="00D22D4C" w:rsidRDefault="00D22D4C" w:rsidP="00D22D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4C" w:rsidRPr="00D22D4C" w:rsidRDefault="00D22D4C" w:rsidP="00D22D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4C" w:rsidRPr="00D22D4C" w:rsidRDefault="00D22D4C" w:rsidP="00D22D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362A29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0E815E8"/>
    <w:lvl w:ilvl="0">
      <w:start w:val="1"/>
      <w:numFmt w:val="decimal"/>
      <w:pStyle w:val="ListNumber3"/>
      <w:lvlText w:val="%1."/>
      <w:lvlJc w:val="left"/>
      <w:pPr>
        <w:tabs>
          <w:tab w:val="num" w:pos="926"/>
        </w:tabs>
        <w:ind w:left="926" w:hanging="360"/>
      </w:pPr>
    </w:lvl>
  </w:abstractNum>
  <w:abstractNum w:abstractNumId="2">
    <w:nsid w:val="FFFFFF7F"/>
    <w:multiLevelType w:val="singleLevel"/>
    <w:tmpl w:val="95B84126"/>
    <w:lvl w:ilvl="0">
      <w:start w:val="1"/>
      <w:numFmt w:val="decimal"/>
      <w:pStyle w:val="ListNumber2"/>
      <w:lvlText w:val="%1."/>
      <w:lvlJc w:val="left"/>
      <w:pPr>
        <w:tabs>
          <w:tab w:val="num" w:pos="643"/>
        </w:tabs>
        <w:ind w:left="643" w:hanging="360"/>
      </w:pPr>
    </w:lvl>
  </w:abstractNum>
  <w:abstractNum w:abstractNumId="3">
    <w:nsid w:val="FFFFFF81"/>
    <w:multiLevelType w:val="singleLevel"/>
    <w:tmpl w:val="201C150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1124DB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A202BE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3A6D61C"/>
    <w:lvl w:ilvl="0">
      <w:start w:val="1"/>
      <w:numFmt w:val="decimal"/>
      <w:pStyle w:val="ListNumber"/>
      <w:lvlText w:val="%1."/>
      <w:lvlJc w:val="left"/>
      <w:pPr>
        <w:tabs>
          <w:tab w:val="num" w:pos="360"/>
        </w:tabs>
        <w:ind w:left="360" w:hanging="360"/>
      </w:pPr>
    </w:lvl>
  </w:abstractNum>
  <w:abstractNum w:abstractNumId="7">
    <w:nsid w:val="FFFFFF89"/>
    <w:multiLevelType w:val="singleLevel"/>
    <w:tmpl w:val="F34C691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6 14:05:4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2"/>
    <w:docVar w:name="DQCStatus" w:val="Yellow"/>
    <w:docVar w:name="DQCVersion" w:val="3"/>
    <w:docVar w:name="DQCWithWarnings" w:val="0"/>
    <w:docVar w:name="LW_ACCOMPAGNANT" w:val="la"/>
    <w:docVar w:name="LW_ACCOMPAGNANT.CP" w:val="la"/>
    <w:docVar w:name="LW_ANNEX_NBR_FIRST" w:val="1"/>
    <w:docVar w:name="LW_ANNEX_NBR_LAST" w:val="3"/>
    <w:docVar w:name="LW_ANNEX_UNIQUE" w:val="0"/>
    <w:docVar w:name="LW_CORRIGENDUM" w:val="&lt;UNUSED&gt;"/>
    <w:docVar w:name="LW_COVERPAGE_EXISTS" w:val="True"/>
    <w:docVar w:name="LW_COVERPAGE_GUID" w:val="AAD60D61-21CC-48A7-9F49-06EF88DDFE44"/>
    <w:docVar w:name="LW_COVERPAGE_TYPE" w:val="1"/>
    <w:docVar w:name="LW_CROSSREFERENCE" w:val="{SWD(2018) 104 final}_x000d__x000a_{SWD(2018) 105 final}"/>
    <w:docVar w:name="LW_DocType" w:val="ANNEX"/>
    <w:docVar w:name="LW_EMISSION" w:val="17.4.2018"/>
    <w:docVar w:name="LW_EMISSION_ISODATE" w:val="2018-04-17"/>
    <w:docVar w:name="LW_EMISSION_LOCATION" w:val="BRX"/>
    <w:docVar w:name="LW_EMISSION_PREFIX" w:val="Strasbourg,"/>
    <w:docVar w:name="LW_EMISSION_SUFFIX" w:val="&lt;EMPTY&gt;"/>
    <w:docVar w:name="LW_ID_DOCSTRUCTURE" w:val="COM/ANNEX"/>
    <w:docVar w:name="LW_ID_DOCTYPE" w:val="SG-017"/>
    <w:docVar w:name="LW_LANGUE" w:val="RO"/>
    <w:docVar w:name="LW_LEVEL_OF_SENSITIVITY" w:val="Standard treatment"/>
    <w:docVar w:name="LW_NOM.INST" w:val="COMISIA EUROPEAN\u258?"/>
    <w:docVar w:name="LW_NOM.INST_JOINTDOC" w:val="&lt;EMPTY&gt;"/>
    <w:docVar w:name="LW_OBJETACTEPRINCIPAL" w:val="privind comercializarea \u537?i utilizarea precursorilor de explozivi, de modificare a anexei XVII la Regulamentul (CE) nr.&lt;LWCR:NBS&gt;1907/2006 \u537?i de abrogare a Regulamentului (UE) nr.&lt;LWCR:NBS&gt;98/2013 privind comercializarea \u537?i utilizarea precursorilor de explozivi_x000b__x000b_"/>
    <w:docVar w:name="LW_OBJETACTEPRINCIPAL.CP" w:val="privind comercializarea \u537?i utilizarea precursorilor de explozivi, de modificare a anexei XVII la Regulamentul (CE) nr. 1907/2006 \u537?i de abrogare a Regulamentului (UE) nr. 98/2013 privind comercializarea \u537?i utilizarea precursorilor de explozivi_x000b__x000b_"/>
    <w:docVar w:name="LW_PART_NBR" w:val="&lt;UNUSED&gt;"/>
    <w:docVar w:name="LW_PART_NBR_TOTAL" w:val="&lt;UNUSED&gt;"/>
    <w:docVar w:name="LW_REF.INST.NEW" w:val="COM"/>
    <w:docVar w:name="LW_REF.INST.NEW_ADOPTED" w:val="final"/>
    <w:docVar w:name="LW_REF.INST.NEW_TEXT" w:val="(2018) 2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EXE"/>
    <w:docVar w:name="LW_TYPE.DOC.CP" w:val="ANEXE"/>
    <w:docVar w:name="LW_TYPEACTEPRINCIPAL" w:val="Propunerea de Regulament al Parlamentului European \u537?i al Consiliului"/>
    <w:docVar w:name="LW_TYPEACTEPRINCIPAL.CP" w:val="Propunerea de Regulament al Parlamentului European \u537?i al Consiliului"/>
  </w:docVars>
  <w:rsids>
    <w:rsidRoot w:val="00251FDF"/>
    <w:rsid w:val="00251FDF"/>
    <w:rsid w:val="00D2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rPr>
      <w:rFonts w:ascii="Times New Roman" w:hAnsi="Times New Roman" w:cs="Times New Roman"/>
      <w:color w:val="000000"/>
      <w:sz w:val="24"/>
      <w:szCs w:val="24"/>
      <w:lang w:val="ro-R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D22D4C"/>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D22D4C"/>
    <w:rPr>
      <w:rFonts w:ascii="Times New Roman" w:hAnsi="Times New Roman" w:cs="Times New Roman"/>
      <w:sz w:val="24"/>
      <w:lang w:eastAsia="en-US" w:bidi="ar-SA"/>
    </w:rPr>
  </w:style>
  <w:style w:type="paragraph" w:styleId="Footer">
    <w:name w:val="footer"/>
    <w:basedOn w:val="Normal"/>
    <w:link w:val="FooterChar"/>
    <w:uiPriority w:val="99"/>
    <w:unhideWhenUsed/>
    <w:rsid w:val="00D22D4C"/>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D22D4C"/>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D22D4C"/>
    <w:pPr>
      <w:tabs>
        <w:tab w:val="center" w:pos="7285"/>
        <w:tab w:val="right" w:pos="14003"/>
      </w:tabs>
      <w:spacing w:before="0"/>
    </w:pPr>
    <w:rPr>
      <w:lang w:eastAsia="en-US" w:bidi="ar-SA"/>
    </w:rPr>
  </w:style>
  <w:style w:type="paragraph" w:customStyle="1" w:styleId="FooterLandscape">
    <w:name w:val="FooterLandscape"/>
    <w:basedOn w:val="Normal"/>
    <w:rsid w:val="00D22D4C"/>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22D4C"/>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D22D4C"/>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rPr>
      <w:rFonts w:ascii="Times New Roman" w:hAnsi="Times New Roman" w:cs="Times New Roman"/>
      <w:color w:val="000000"/>
      <w:sz w:val="24"/>
      <w:szCs w:val="24"/>
      <w:lang w:val="ro-R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D22D4C"/>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D22D4C"/>
    <w:rPr>
      <w:rFonts w:ascii="Times New Roman" w:hAnsi="Times New Roman" w:cs="Times New Roman"/>
      <w:sz w:val="24"/>
      <w:lang w:eastAsia="en-US" w:bidi="ar-SA"/>
    </w:rPr>
  </w:style>
  <w:style w:type="paragraph" w:styleId="Footer">
    <w:name w:val="footer"/>
    <w:basedOn w:val="Normal"/>
    <w:link w:val="FooterChar"/>
    <w:uiPriority w:val="99"/>
    <w:unhideWhenUsed/>
    <w:rsid w:val="00D22D4C"/>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D22D4C"/>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D22D4C"/>
    <w:pPr>
      <w:tabs>
        <w:tab w:val="center" w:pos="7285"/>
        <w:tab w:val="right" w:pos="14003"/>
      </w:tabs>
      <w:spacing w:before="0"/>
    </w:pPr>
    <w:rPr>
      <w:lang w:eastAsia="en-US" w:bidi="ar-SA"/>
    </w:rPr>
  </w:style>
  <w:style w:type="paragraph" w:customStyle="1" w:styleId="FooterLandscape">
    <w:name w:val="FooterLandscape"/>
    <w:basedOn w:val="Normal"/>
    <w:rsid w:val="00D22D4C"/>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22D4C"/>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D22D4C"/>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5</Pages>
  <Words>993</Words>
  <Characters>4969</Characters>
  <Application>Microsoft Office Word</Application>
  <DocSecurity>0</DocSecurity>
  <Lines>276</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9</cp:revision>
  <cp:lastPrinted>2018-04-13T10:33:00Z</cp:lastPrinted>
  <dcterms:created xsi:type="dcterms:W3CDTF">2018-05-14T15:03:00Z</dcterms:created>
  <dcterms:modified xsi:type="dcterms:W3CDTF">2018-05-16T12:46:00Z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3</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Yellow (DQC version 03)</vt:lpwstr>
  </property>
</Properties>
</file>