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23D6AF6-5120-42FC-AEFF-1FACF11AD385"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p>
      <w:pPr>
        <w:pStyle w:val="Heading1"/>
        <w:numPr>
          <w:ilvl w:val="0"/>
          <w:numId w:val="22"/>
        </w:numPr>
        <w:spacing w:after="120"/>
        <w:ind w:left="482" w:hanging="482"/>
        <w:rPr>
          <w:noProof/>
        </w:rPr>
      </w:pPr>
      <w:bookmarkStart w:id="1" w:name="_GoBack"/>
      <w:bookmarkEnd w:id="1"/>
      <w:r>
        <w:rPr>
          <w:noProof/>
        </w:rPr>
        <w:lastRenderedPageBreak/>
        <w:t xml:space="preserve">INLEDNING </w:t>
      </w:r>
    </w:p>
    <w:p>
      <w:pPr>
        <w:rPr>
          <w:noProof/>
          <w:szCs w:val="24"/>
        </w:rPr>
      </w:pPr>
      <w:r>
        <w:rPr>
          <w:noProof/>
        </w:rPr>
        <w:t>I denna rapport ges en översikt över framstegen och utvecklingen vad gäller samtliga delar av europeiska migrationsagendan sedan kommissionens senaste rapport i mars 2018</w:t>
      </w:r>
      <w:r>
        <w:rPr>
          <w:rStyle w:val="FootnoteReference"/>
          <w:noProof/>
        </w:rPr>
        <w:footnoteReference w:id="1"/>
      </w:r>
      <w:r>
        <w:rPr>
          <w:noProof/>
        </w:rPr>
        <w:t>. Den innehåller också en genomgång av vilka framsteg som gjorts med kommissionens färdplan som lades fram vid mötet med EU:s ledare i december 2017</w:t>
      </w:r>
      <w:r>
        <w:rPr>
          <w:rStyle w:val="FootnoteReference"/>
          <w:noProof/>
        </w:rPr>
        <w:footnoteReference w:id="2"/>
      </w:r>
      <w:r>
        <w:rPr>
          <w:noProof/>
        </w:rPr>
        <w:t xml:space="preserve">. Detta visar på arbetets övergripande natur och behovet av att upprätthålla intensiteten i EU:s ansträngningar över hela linjen. </w:t>
      </w:r>
    </w:p>
    <w:p>
      <w:pPr>
        <w:rPr>
          <w:noProof/>
          <w:szCs w:val="24"/>
        </w:rPr>
      </w:pPr>
      <w:r>
        <w:rPr>
          <w:noProof/>
        </w:rPr>
        <w:t xml:space="preserve">Den kartlägger även de konkreta åtgärder som är nödvändiga för att säkerställa att EU:s insatser förblir effektiva. Detta omfattar även behovet av ytterligare gemensamma finansiella investeringar från medlemsstaterna och EU för att stödja EU:s insatser vad gäller den yttre dimensionen av migration. </w:t>
      </w:r>
    </w:p>
    <w:p>
      <w:pPr>
        <w:rPr>
          <w:noProof/>
          <w:szCs w:val="24"/>
        </w:rPr>
      </w:pPr>
      <w:r>
        <w:rPr>
          <w:noProof/>
        </w:rPr>
        <w:t>Rapporten visar på behovet av fortsatta åtgärder för att hantera migrationens utmaningar, och kartlägger var insatserna idag är otillräckliga och det krävs ytterligare satsningar. Som visats i tidigare rapporter styrker den nuvarande situationen iakttagelsen att drivkrafterna bakom migrationstrycket på Europa är strukturella. Långdragna konflikter, som den i Syrien, kommer med all sannolikhet inte att bli färre. Klimatförändringen leder till nya orsaker som får människor att flytta. Demografin förutsäger en långsiktig utveckling med ökande befolkningar i EU:s grannländer</w:t>
      </w:r>
      <w:r>
        <w:rPr>
          <w:rStyle w:val="FootnoteReference"/>
          <w:noProof/>
        </w:rPr>
        <w:footnoteReference w:id="3"/>
      </w:r>
      <w:r>
        <w:rPr>
          <w:noProof/>
        </w:rPr>
        <w:t>. Allt detta gör det så mycket viktigare att EU skaffar sig de redskap det behöver för att hantera situationen.</w:t>
      </w:r>
    </w:p>
    <w:p>
      <w:pPr>
        <w:pStyle w:val="Heading1"/>
        <w:spacing w:before="120" w:after="120"/>
        <w:ind w:left="482" w:hanging="482"/>
        <w:rPr>
          <w:noProof/>
        </w:rPr>
      </w:pPr>
      <w:r>
        <w:rPr>
          <w:noProof/>
        </w:rPr>
        <w:t>SITUATIONEN LÄNGS DE HUVUDSAKLIGA MIGRATIONSRUTTERNA</w:t>
      </w:r>
    </w:p>
    <w:p>
      <w:pPr>
        <w:rPr>
          <w:noProof/>
          <w:szCs w:val="24"/>
        </w:rPr>
      </w:pPr>
      <w:r>
        <w:rPr>
          <w:noProof/>
        </w:rPr>
        <w:t>Under de första månaderna 2018 ökade trycket på vissa rutter, och på vissa specifika platser kunde man se plötsliga och ibland kraftiga ökningar. Trycket är fortsatt högt, men i centrala Medelhavet har den nedgång som observerats under 2017 fortsatt under de första tre månaderna 2018. Erfarenheten tyder på att bättre väder under sommaren leder till att sannolikheten för plötsliga toppar ökar, och att det krävs särskild uppmärksamhet på rutter som visat varierande mönster under de senaste åren. Erfarenheten visar också att det förekommer växlingar mellan rutterna och att vaksamhet och samordning behövs över hela fältet.</w:t>
      </w:r>
    </w:p>
    <w:p>
      <w:pPr>
        <w:spacing w:after="120"/>
        <w:jc w:val="center"/>
        <w:rPr>
          <w:i/>
          <w:noProof/>
          <w:u w:val="single"/>
        </w:rPr>
      </w:pPr>
      <w:r>
        <w:rPr>
          <w:i/>
          <w:noProof/>
          <w:u w:val="single"/>
          <w:lang w:val="en-US" w:eastAsia="en-US" w:bidi="ar-SA"/>
        </w:rPr>
        <w:lastRenderedPageBreak/>
        <w:drawing>
          <wp:inline distT="0" distB="0" distL="0" distR="0">
            <wp:extent cx="3959525" cy="2367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9525" cy="2367200"/>
                    </a:xfrm>
                    <a:prstGeom prst="rect">
                      <a:avLst/>
                    </a:prstGeom>
                    <a:noFill/>
                  </pic:spPr>
                </pic:pic>
              </a:graphicData>
            </a:graphic>
          </wp:inline>
        </w:drawing>
      </w:r>
    </w:p>
    <w:p>
      <w:pPr>
        <w:spacing w:after="120"/>
        <w:jc w:val="center"/>
        <w:rPr>
          <w:i/>
          <w:noProof/>
          <w:sz w:val="20"/>
        </w:rPr>
      </w:pPr>
      <w:r>
        <w:rPr>
          <w:i/>
          <w:noProof/>
          <w:sz w:val="20"/>
        </w:rPr>
        <w:t>Irreguljära gränspassager på de viktigaste migrationsrutterna – 2014-2017</w:t>
      </w:r>
    </w:p>
    <w:p>
      <w:pPr>
        <w:keepNext/>
        <w:spacing w:after="120"/>
        <w:rPr>
          <w:i/>
          <w:noProof/>
          <w:szCs w:val="24"/>
        </w:rPr>
      </w:pPr>
      <w:r>
        <w:rPr>
          <w:i/>
          <w:noProof/>
        </w:rPr>
        <w:t>Östra Medelhavsrutten</w:t>
      </w:r>
    </w:p>
    <w:p>
      <w:pPr>
        <w:rPr>
          <w:noProof/>
          <w:szCs w:val="24"/>
        </w:rPr>
      </w:pPr>
      <w:r>
        <w:rPr>
          <w:noProof/>
        </w:rPr>
        <w:t xml:space="preserve">Efter den topp som sågs under sommaren 2017 har antalet anlända via östra Medelhavsrutten åter ökat kraftigt sedan mars 2018 – även om de sammanlagda rörelserna förblev begränsade i jämförelse med perioden innan uttalandet från EU och Turkiet aktiverades i mars 2016. Under de 18 veckorna fram till den 6 maj har 9 349 migranter registrerats som anlända på de </w:t>
      </w:r>
      <w:r>
        <w:rPr>
          <w:b/>
          <w:noProof/>
        </w:rPr>
        <w:t>grekiska öarna</w:t>
      </w:r>
      <w:r>
        <w:rPr>
          <w:noProof/>
        </w:rPr>
        <w:t>, jämfört med 5 582under samma period 2017</w:t>
      </w:r>
      <w:r>
        <w:rPr>
          <w:rStyle w:val="FootnoteReference"/>
          <w:noProof/>
        </w:rPr>
        <w:footnoteReference w:id="4"/>
      </w:r>
      <w:r>
        <w:rPr>
          <w:noProof/>
        </w:rPr>
        <w:t>. De tre huvudsakliga nationaliteterna är samma som 2017, dvs. hittills under 2018 har andelen syrier varit 41 %, irakier 23 % och afghaner 11 %</w:t>
      </w:r>
      <w:r>
        <w:rPr>
          <w:rStyle w:val="FootnoteReference"/>
          <w:noProof/>
        </w:rPr>
        <w:footnoteReference w:id="5"/>
      </w:r>
      <w:r>
        <w:rPr>
          <w:noProof/>
        </w:rPr>
        <w:t>. För migranter som anländer sjövägen har Lesbos hittills varit en främsta destinationen (58 % av det sammanlagda antalet migranter som anlände sjövägen), följt av Samos</w:t>
      </w:r>
      <w:r>
        <w:rPr>
          <w:rStyle w:val="FootnoteReference"/>
          <w:noProof/>
        </w:rPr>
        <w:footnoteReference w:id="6"/>
      </w:r>
      <w:r>
        <w:rPr>
          <w:noProof/>
        </w:rPr>
        <w:t>. Under 2018 fram till den 6 maj har 19 dödsoffer och personer som försvunnit till havs registrerats i Egeiska havet, en fortsättning av den minskning som iakttogs redan 2017</w:t>
      </w:r>
      <w:r>
        <w:rPr>
          <w:rStyle w:val="FootnoteReference"/>
          <w:noProof/>
        </w:rPr>
        <w:footnoteReference w:id="7"/>
      </w:r>
      <w:r>
        <w:rPr>
          <w:noProof/>
        </w:rPr>
        <w:t xml:space="preserve">. </w:t>
      </w:r>
    </w:p>
    <w:p>
      <w:pPr>
        <w:rPr>
          <w:noProof/>
          <w:szCs w:val="24"/>
        </w:rPr>
      </w:pPr>
      <w:r>
        <w:rPr>
          <w:noProof/>
        </w:rPr>
        <w:t xml:space="preserve">Samtidigt som gränspassagerna från Turkiet till Italien, Cypern, Bulgarien och Rumänien på senare tid har varit mycket få, har de irreguljära gränspassagerna från Turkiet till </w:t>
      </w:r>
      <w:r>
        <w:rPr>
          <w:b/>
          <w:noProof/>
        </w:rPr>
        <w:t>Grekland via landgränsen</w:t>
      </w:r>
      <w:r>
        <w:rPr>
          <w:noProof/>
        </w:rPr>
        <w:t xml:space="preserve"> ökat kraftigt. Ökningen av irreguljärt migrationstryck vid denna gräns iakttogs redan under de sista månaderna 2017, och har fortsatt. Under de första månaderna 2018 ökade de olagliga gränspassagerna till nästan det niodubbla av vad som iakttagits under samma period 2017: Fram till den 6 maj registrerades 6 108 olagliga gränspassager. Ursprungligen bestod ökningen på denna rutt huvudsakligen av turkiska medborgare (närmare 50 %), men sedan mars 2018 har de främsta nationaliteterna varit syrier (48 %), följda av turkar (18 %) och irakier (15 %). Andelen turkar vid denna gräns under 2017 var 39,6 %</w:t>
      </w:r>
      <w:r>
        <w:rPr>
          <w:rStyle w:val="FootnoteReference"/>
          <w:noProof/>
        </w:rPr>
        <w:footnoteReference w:id="8"/>
      </w:r>
      <w:r>
        <w:rPr>
          <w:noProof/>
        </w:rPr>
        <w:t>.</w:t>
      </w:r>
    </w:p>
    <w:p>
      <w:pPr>
        <w:keepNext/>
        <w:spacing w:after="120"/>
        <w:rPr>
          <w:i/>
          <w:noProof/>
          <w:szCs w:val="24"/>
        </w:rPr>
      </w:pPr>
      <w:r>
        <w:rPr>
          <w:i/>
          <w:noProof/>
        </w:rPr>
        <w:t xml:space="preserve">Västra Balkanrutten </w:t>
      </w:r>
    </w:p>
    <w:p>
      <w:pPr>
        <w:rPr>
          <w:noProof/>
          <w:szCs w:val="24"/>
        </w:rPr>
      </w:pPr>
      <w:r>
        <w:rPr>
          <w:noProof/>
        </w:rPr>
        <w:t xml:space="preserve">De gemensamma insatserna för att hantera den irreguljära transiteringen via den centrala korridoren i västra Balkan har lett till en fokusering på tänkbara alternativa rutter. Ökade rörelser har under första kvartalet 2018 rapporterats genom Albanien, Montenegro samt Bosnien och Hercegovina till kroatiska gränsen och vidare till Slovenien. Dessutom finns det belägg för att migranter i Serbien ansluter sig till denna rutt för att slippa de ökade </w:t>
      </w:r>
      <w:r>
        <w:rPr>
          <w:noProof/>
        </w:rPr>
        <w:lastRenderedPageBreak/>
        <w:t>kontrollerna vid Serbiens gränser med Kroatien, Ungern och Rumänien. Under årets första kvartal rapporterade Bosnien och Hercegovina 533 upptäckta olagliga gränspassager till landet. De vanligaste nationaliteterna var syrier, libyer, pakistanier och afghaner.</w:t>
      </w:r>
      <w:r>
        <w:rPr>
          <w:noProof/>
          <w:highlight w:val="yellow"/>
        </w:rPr>
        <w:t xml:space="preserve"> </w:t>
      </w:r>
    </w:p>
    <w:p>
      <w:pPr>
        <w:rPr>
          <w:noProof/>
          <w:szCs w:val="24"/>
        </w:rPr>
      </w:pPr>
      <w:r>
        <w:rPr>
          <w:noProof/>
        </w:rPr>
        <w:t xml:space="preserve">Fenomenet med iranier som illegalt försöker ta sig in i EU har fortsatt, men är stabilt. Serbien har rapporterat över 11 305 iranier som rest in i landet sedan visumsbegränsningarna avskaffades i september 2017, och samtidigt registrerades 9 052 utresor, och färre än 30 personer som ansökt om asyl. Det har rapporterats att iranier som försöker ta sig till Central- och Västeuropa via Grekland använder förfalskade handlingar. Införandet av direkta flyg från Teheran till Belgrad i mars 2018 förstärkte behovet av att övervaka dessa utvecklingar. </w:t>
      </w:r>
    </w:p>
    <w:p>
      <w:pPr>
        <w:keepNext/>
        <w:spacing w:after="120"/>
        <w:rPr>
          <w:i/>
          <w:noProof/>
          <w:szCs w:val="24"/>
        </w:rPr>
      </w:pPr>
      <w:r>
        <w:rPr>
          <w:i/>
          <w:noProof/>
        </w:rPr>
        <w:t>Centrala Medelhavsrutten</w:t>
      </w:r>
    </w:p>
    <w:p>
      <w:pPr>
        <w:rPr>
          <w:noProof/>
        </w:rPr>
      </w:pPr>
      <w:r>
        <w:rPr>
          <w:noProof/>
        </w:rPr>
        <w:t>Fram till den 6 maj har man under 2018 registrerat 9 567 anlända migranter, cirka 77 % färre än vad som registrerades under samma period 2017. Men under de senaste veckorna har det också förekommit några kraftiga ökningar, och under de sista båda veckorna i april och den första veckan i maj anlände 2 072 personer. En betydande förändring av var de anlända kommer ifrån kan också iakttas på denna rutt, jämfört med 2017. 2018 kommer de flesta från Tunisien (20 %), Eritrea (19 %) och Nigeria (7 %), medan de största nationalitetsgrupperna 2017 var från Nigeria, Guinea och Elfenbenskusten</w:t>
      </w:r>
      <w:r>
        <w:rPr>
          <w:rStyle w:val="FootnoteReference"/>
          <w:noProof/>
        </w:rPr>
        <w:footnoteReference w:id="9"/>
      </w:r>
      <w:r>
        <w:rPr>
          <w:noProof/>
        </w:rPr>
        <w:t xml:space="preserve">. </w:t>
      </w:r>
    </w:p>
    <w:p>
      <w:pPr>
        <w:pStyle w:val="Default"/>
        <w:jc w:val="both"/>
        <w:rPr>
          <w:noProof/>
        </w:rPr>
      </w:pPr>
      <w:r>
        <w:rPr>
          <w:noProof/>
        </w:rPr>
        <w:t xml:space="preserve">Ett betydande antal båtar avgår från Tunisien till Italien, motsvarande 22 % av avgångarna under 2018 fram till den 26 april (de flesta som kommer över från Tunisien är tunisiska medborgare). </w:t>
      </w:r>
    </w:p>
    <w:p>
      <w:pPr>
        <w:pStyle w:val="Default"/>
        <w:jc w:val="both"/>
        <w:rPr>
          <w:noProof/>
        </w:rPr>
      </w:pPr>
    </w:p>
    <w:p>
      <w:pPr>
        <w:rPr>
          <w:noProof/>
          <w:szCs w:val="24"/>
        </w:rPr>
      </w:pPr>
      <w:r>
        <w:rPr>
          <w:noProof/>
        </w:rPr>
        <w:t xml:space="preserve">Minskningen av dödsfall bland migranterna på denna rutt har hållit i sig. Fram till den 6 maj i år har 358 dödsfall och personer som försvunnit till havs registrerats i år. EU:s insatser till stöd för den italienska kustbevakningen har lett till att nästan 290 000 migranter har kunnat räddas sedan februari 2016. Tack vare </w:t>
      </w:r>
      <w:r>
        <w:rPr>
          <w:rFonts w:eastAsiaTheme="minorHAnsi"/>
          <w:noProof/>
          <w:color w:val="000000"/>
        </w:rPr>
        <w:t>EU:s insatser har även den libyska kustbevakningens förmåga att rädda migranter på libyskt territorialvatten förbättrats, och Internationella organisationen för migration uppskattar att de libyska myndigheterna har räddat 4 964 migranter under de första fyra månaderna 2018</w:t>
      </w:r>
      <w:r>
        <w:rPr>
          <w:rStyle w:val="FootnoteReference"/>
          <w:rFonts w:eastAsiaTheme="minorHAnsi"/>
          <w:noProof/>
          <w:color w:val="000000"/>
        </w:rPr>
        <w:footnoteReference w:id="10"/>
      </w:r>
      <w:r>
        <w:rPr>
          <w:rFonts w:eastAsiaTheme="minorHAnsi"/>
          <w:noProof/>
          <w:color w:val="000000"/>
        </w:rPr>
        <w:t>. Under första kvartalet 2018 räddade Internationella organisationen för migration (IOM) 2 963 migranter</w:t>
      </w:r>
      <w:r>
        <w:rPr>
          <w:noProof/>
        </w:rPr>
        <w:t xml:space="preserve"> i öknen i Niger.</w:t>
      </w:r>
    </w:p>
    <w:p>
      <w:pPr>
        <w:keepNext/>
        <w:spacing w:after="120"/>
        <w:rPr>
          <w:i/>
          <w:noProof/>
          <w:szCs w:val="24"/>
        </w:rPr>
      </w:pPr>
      <w:r>
        <w:rPr>
          <w:i/>
          <w:noProof/>
        </w:rPr>
        <w:t>Västra Medelhavsrutten/Atlantrutten</w:t>
      </w:r>
    </w:p>
    <w:p>
      <w:pPr>
        <w:rPr>
          <w:noProof/>
          <w:szCs w:val="24"/>
        </w:rPr>
      </w:pPr>
      <w:r>
        <w:rPr>
          <w:noProof/>
        </w:rPr>
        <w:t>Antalet personer som anlände på västra Medelhavsrutten/Atlantrutten fortsatte att öka, vilket också återspeglas i antalet dödsfall och personer som försvunnit till havs (217 registrerade fall fram till 6 maj i år). Det totala antalet anlända till Spanien (via den västra Medelhavsrutten, Atlantrutten och Ceuta och Melilla) under 2018, till och med den 29 april, är 6 623, vilket är 22 % mer än under samma period 2017 (5 429)</w:t>
      </w:r>
      <w:r>
        <w:rPr>
          <w:rStyle w:val="FootnoteReference"/>
          <w:noProof/>
        </w:rPr>
        <w:footnoteReference w:id="11"/>
      </w:r>
      <w:r>
        <w:rPr>
          <w:noProof/>
        </w:rPr>
        <w:t xml:space="preserve">. De vanligaste nationaliteterna bland de anländande på denna rutt under 2018 är marockaner (17 %), guineaner (14 %), malier (10 %), ivorianer (7 %) och gambier (6 %). </w:t>
      </w:r>
    </w:p>
    <w:p>
      <w:pPr>
        <w:keepNext/>
        <w:spacing w:after="120"/>
        <w:rPr>
          <w:i/>
          <w:noProof/>
          <w:szCs w:val="24"/>
        </w:rPr>
      </w:pPr>
      <w:r>
        <w:rPr>
          <w:i/>
          <w:noProof/>
        </w:rPr>
        <w:t xml:space="preserve">Asylfrågor </w:t>
      </w:r>
    </w:p>
    <w:p>
      <w:pPr>
        <w:rPr>
          <w:noProof/>
          <w:szCs w:val="24"/>
        </w:rPr>
      </w:pPr>
      <w:r>
        <w:rPr>
          <w:noProof/>
        </w:rPr>
        <w:t xml:space="preserve">Trots att antalet anlända är lägre än under toppåret 2015 återstår en mängd asylansökningar under behandling, vilket belastar de nationella asylsystemen. EU fortsätter att stödja </w:t>
      </w:r>
      <w:r>
        <w:rPr>
          <w:noProof/>
        </w:rPr>
        <w:lastRenderedPageBreak/>
        <w:t>medlemsstaterna i hanteringen av denna situation. Antalet asylansökningar i EU under 2017 (685 000, inbegripet 160 000 som gjordes av barn</w:t>
      </w:r>
      <w:r>
        <w:rPr>
          <w:rStyle w:val="FootnoteReference"/>
          <w:noProof/>
        </w:rPr>
        <w:footnoteReference w:id="12"/>
      </w:r>
      <w:r>
        <w:rPr>
          <w:noProof/>
        </w:rPr>
        <w:t>) var 43 % lägre än 2016.</w:t>
      </w:r>
      <w:r>
        <w:rPr>
          <w:rStyle w:val="FootnoteReference"/>
          <w:i/>
          <w:noProof/>
        </w:rPr>
        <w:t xml:space="preserve"> </w:t>
      </w:r>
      <w:r>
        <w:rPr>
          <w:noProof/>
        </w:rPr>
        <w:t>Under 2018 har det hittills, fram till den 29 april, lagts fram 186 522 ansökningar om internationellt skydd i EU+-länderna, varav 5 257 av ensamkommande barn</w:t>
      </w:r>
      <w:r>
        <w:rPr>
          <w:rStyle w:val="FootnoteReference"/>
          <w:noProof/>
        </w:rPr>
        <w:footnoteReference w:id="13"/>
      </w:r>
      <w:r>
        <w:rPr>
          <w:noProof/>
        </w:rPr>
        <w:t>.</w:t>
      </w:r>
    </w:p>
    <w:p>
      <w:pPr>
        <w:spacing w:after="120"/>
        <w:jc w:val="center"/>
        <w:rPr>
          <w:b/>
          <w:noProof/>
        </w:rPr>
      </w:pPr>
      <w:r>
        <w:rPr>
          <w:noProof/>
          <w:lang w:val="en-US" w:eastAsia="en-US" w:bidi="ar-SA"/>
        </w:rPr>
        <w:drawing>
          <wp:inline distT="0" distB="0" distL="0" distR="0">
            <wp:extent cx="4425351" cy="2493034"/>
            <wp:effectExtent l="0" t="0" r="13335" b="215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center"/>
        <w:rPr>
          <w:i/>
          <w:noProof/>
          <w:sz w:val="20"/>
        </w:rPr>
      </w:pPr>
      <w:r>
        <w:rPr>
          <w:i/>
          <w:noProof/>
          <w:sz w:val="20"/>
        </w:rPr>
        <w:t>Antal asylansökningar i EU, 2008–första kvartalet 2018</w:t>
      </w:r>
    </w:p>
    <w:p>
      <w:pPr>
        <w:rPr>
          <w:noProof/>
          <w:szCs w:val="24"/>
        </w:rPr>
      </w:pPr>
      <w:r>
        <w:rPr>
          <w:noProof/>
        </w:rPr>
        <w:t xml:space="preserve">Ett stort antal asylansökningar koncentreras till endast ett fåtal medlemsstater. Under 2015 fick de tre medlemsstaterna med flest asylansökningar ta emot 62 % av alla ansökningar i EU (jämfört med 76 % under 2016 och 64 % under 2017) </w:t>
      </w:r>
    </w:p>
    <w:p>
      <w:pPr>
        <w:rPr>
          <w:noProof/>
          <w:szCs w:val="24"/>
        </w:rPr>
      </w:pPr>
      <w:r>
        <w:rPr>
          <w:noProof/>
        </w:rPr>
        <w:t>De asylsökandenas vanligaste nationaliteter har ändrats sedan 2015.</w:t>
      </w:r>
      <w:r>
        <w:rPr>
          <w:rStyle w:val="FootnoteReference"/>
          <w:noProof/>
        </w:rPr>
        <w:t xml:space="preserve"> </w:t>
      </w:r>
      <w:r>
        <w:rPr>
          <w:noProof/>
        </w:rPr>
        <w:t>Syrien, Afghanistan och Irak ligger kvar bland de fem största sedan 2015, men Kosovo och Albanien har under 2016 ersatts med Pakistan och Nigeria. Den ledande nationaliteten när det gäller asylansökningar är Syrien. Den genomsnittliga andelen godkända asylansökningar för syrier har hållit sig stabil, med 97 % under 2015 och 94 % under 2017.</w:t>
      </w:r>
    </w:p>
    <w:p>
      <w:pPr>
        <w:rPr>
          <w:noProof/>
          <w:szCs w:val="24"/>
        </w:rPr>
      </w:pPr>
      <w:r>
        <w:rPr>
          <w:noProof/>
        </w:rPr>
        <w:t xml:space="preserve">Under 2017 var den sammanlagda andelen godkända asylansökningar efter beslut i första instans i EU 46 % (jämfört med 61 % 2016 och 52 % 2015). Utöver Syrien hade även Eritrea (92 %) och Somalia (69 %) höga andelar godkända ansökningar. De lägsta andelarna godkända ansökningar berör vanligtvis personer från västra Balkan. </w:t>
      </w:r>
    </w:p>
    <w:p>
      <w:pPr>
        <w:keepNext/>
        <w:spacing w:after="120"/>
        <w:rPr>
          <w:i/>
          <w:noProof/>
          <w:szCs w:val="24"/>
        </w:rPr>
      </w:pPr>
      <w:r>
        <w:rPr>
          <w:i/>
          <w:noProof/>
        </w:rPr>
        <w:t>Skydd av migrerande barn</w:t>
      </w:r>
    </w:p>
    <w:p>
      <w:pPr>
        <w:spacing w:after="120"/>
        <w:rPr>
          <w:noProof/>
          <w:szCs w:val="24"/>
        </w:rPr>
      </w:pPr>
      <w:r>
        <w:rPr>
          <w:noProof/>
        </w:rPr>
        <w:t>Enligt FN:s flyktingkommissariat UNHCR anlände år 2017 32 963 barn till Grekland, Italien, Spanien och Bulgarien, av vilka 60 % var ensamkommande eller barn som skilts från sina föräldrar. Under 2017 minskade antalet anlända barn sammanlagt med 67 % jämfört med 2016, men andelen ensamkommande barn eller barn som skilts från sina föräldrar ökade från 34 % under 2016 till 60 % under 2017</w:t>
      </w:r>
      <w:r>
        <w:rPr>
          <w:rStyle w:val="FootnoteReference"/>
          <w:noProof/>
        </w:rPr>
        <w:footnoteReference w:id="14"/>
      </w:r>
      <w:r>
        <w:rPr>
          <w:noProof/>
        </w:rPr>
        <w:t>. Genomförandet av meddelandet om att skydda migrerande barn</w:t>
      </w:r>
      <w:r>
        <w:rPr>
          <w:rStyle w:val="FootnoteReference"/>
          <w:noProof/>
        </w:rPr>
        <w:footnoteReference w:id="15"/>
      </w:r>
      <w:r>
        <w:rPr>
          <w:noProof/>
        </w:rPr>
        <w:t xml:space="preserve"> måste påskyndas i medlemsstaterna, särskilt vad gäller bättre mottagandeförhållanden och tillträde till tjänster, förhindrande av att barn försvinner och minskning av förseningar i förfarandena med sådana barn, i synnerhet familjeåterförening, och, mer allmänt, uppnåendet av en bättre efterlevnad av principen om barnets bästa i alla </w:t>
      </w:r>
      <w:r>
        <w:rPr>
          <w:noProof/>
        </w:rPr>
        <w:lastRenderedPageBreak/>
        <w:t>beslut som rör barn. Kommissionen har informerat om de framsteg som gjorts med genomförandet av meddelandet, och om de utmaningar som återstår, i Europaparlamentets plenardebatt den 2 maj 2018.</w:t>
      </w:r>
    </w:p>
    <w:p>
      <w:pPr>
        <w:pStyle w:val="Heading1"/>
        <w:rPr>
          <w:noProof/>
        </w:rPr>
      </w:pPr>
      <w:r>
        <w:rPr>
          <w:noProof/>
        </w:rPr>
        <w:t>EU-STÖD FÖR MIGRATIONSHANTERING</w:t>
      </w:r>
    </w:p>
    <w:p>
      <w:pPr>
        <w:rPr>
          <w:noProof/>
          <w:szCs w:val="24"/>
        </w:rPr>
      </w:pPr>
      <w:r>
        <w:rPr>
          <w:noProof/>
        </w:rPr>
        <w:t xml:space="preserve">EU:s stöd i samband med flyktings- och migrationskrisen har varit fortlöpande och intensivt. Det har varit effektivare ju mer samstämmiga insatserna har varit. EU:s och dess kontors direkta stöd och ekonomiska uppbackning har varit som mest effektiva när man samarbetat med expertis och personal på fältet i medlemsstaterna. Den översyn av lagstiftningen om </w:t>
      </w:r>
      <w:r>
        <w:rPr>
          <w:b/>
          <w:noProof/>
        </w:rPr>
        <w:t>sambandsmän för invandring</w:t>
      </w:r>
      <w:r>
        <w:rPr>
          <w:rStyle w:val="FootnoteReference"/>
          <w:noProof/>
        </w:rPr>
        <w:footnoteReference w:id="16"/>
      </w:r>
      <w:r>
        <w:rPr>
          <w:noProof/>
        </w:rPr>
        <w:t xml:space="preserve"> som kommissionen föreslår kommer också att bidra till ökad samordning och effektivare gemenamma insatser i EU. De steg som anges nedan visar vikten av att stödets bibehålls och samordnas ytterligare. </w:t>
      </w:r>
    </w:p>
    <w:p>
      <w:pPr>
        <w:rPr>
          <w:noProof/>
        </w:rPr>
      </w:pPr>
      <w:r>
        <w:rPr>
          <w:noProof/>
        </w:rPr>
        <w:t>I dag antar kommissionen också ett förslag</w:t>
      </w:r>
      <w:r>
        <w:rPr>
          <w:rStyle w:val="FootnoteReference"/>
          <w:noProof/>
        </w:rPr>
        <w:footnoteReference w:id="17"/>
      </w:r>
      <w:r>
        <w:rPr>
          <w:noProof/>
        </w:rPr>
        <w:t xml:space="preserve"> till översyn av de rättsliga ramarna för </w:t>
      </w:r>
      <w:r>
        <w:rPr>
          <w:b/>
          <w:noProof/>
        </w:rPr>
        <w:t>Informationssystemet för viseringar</w:t>
      </w:r>
      <w:r>
        <w:rPr>
          <w:noProof/>
        </w:rPr>
        <w:t>, som ska öka säkerheten vid gränserna och inom EU genom bättre kontroller vid visumsbehandlingen; detta ska uppnås genom driftskompatibilitet och genom att de återstående informationsluckorna sluts. Kommissionen fortsätter att övervaka irreguljära migrationsproblem i visumsfria länder och vidtar vid behov proaktiva åtgärder.</w:t>
      </w:r>
    </w:p>
    <w:p>
      <w:pPr>
        <w:keepNext/>
        <w:spacing w:after="120"/>
        <w:rPr>
          <w:i/>
          <w:noProof/>
          <w:szCs w:val="24"/>
        </w:rPr>
      </w:pPr>
      <w:r>
        <w:rPr>
          <w:i/>
          <w:noProof/>
        </w:rPr>
        <w:t>Östra Medelhavsrutten – Stöd till Grekland och Bulgarien</w:t>
      </w:r>
    </w:p>
    <w:p>
      <w:pPr>
        <w:rPr>
          <w:noProof/>
          <w:szCs w:val="24"/>
        </w:rPr>
      </w:pPr>
      <w:r>
        <w:rPr>
          <w:noProof/>
        </w:rPr>
        <w:t xml:space="preserve">Ett viktigt inslag i EU:s stöd till Grekland fortsätter att vara systemet med </w:t>
      </w:r>
      <w:r>
        <w:rPr>
          <w:b/>
          <w:noProof/>
        </w:rPr>
        <w:t>mottagningscentrum</w:t>
      </w:r>
      <w:r>
        <w:rPr>
          <w:noProof/>
        </w:rPr>
        <w:t xml:space="preserve"> (hotspots). Stödet till ytterligare mottagningskapacitet har bibehållits. Den sammanlagda mottagningskapaciteten har ökat något (från 6 292 till 6 338 platser)</w:t>
      </w:r>
      <w:r>
        <w:rPr>
          <w:rStyle w:val="FootnoteReference"/>
          <w:noProof/>
        </w:rPr>
        <w:footnoteReference w:id="18"/>
      </w:r>
      <w:r>
        <w:rPr>
          <w:noProof/>
        </w:rPr>
        <w:t xml:space="preserve">, tack vare de extra platser som skapats i mottagningscentrumet på Kos. Kapaciteten för förvar i samband med återsändande har bibehållits med 710 platser; över 200 förvarstagna hålls i dessa centrum. </w:t>
      </w:r>
    </w:p>
    <w:p>
      <w:pPr>
        <w:rPr>
          <w:rFonts w:eastAsia="Calibri"/>
          <w:noProof/>
          <w:color w:val="000000"/>
          <w:szCs w:val="24"/>
        </w:rPr>
      </w:pPr>
      <w:r>
        <w:rPr>
          <w:noProof/>
        </w:rPr>
        <w:t>Mottagningsvillkoren</w:t>
      </w:r>
      <w:r>
        <w:rPr>
          <w:noProof/>
          <w:color w:val="000000"/>
        </w:rPr>
        <w:t xml:space="preserve"> förblir emellertid ett allvarligt problem. Fram till den 6 maj utgjorde det sammanlagda antalet migranter på de fem egeiska öarna 16 565, vilket medför en ständig allvarlig överbefolkning. Därför har myndigheterna på Lesbos satt in tält, både inom och utanför mottagningscentrumet, för att ta emot nyanlända, och trycket på infrastruktur, hälso- och sjukvård och avfallshanteringen är stort. Spänningarna mellan befolkningsgrupper och mellan migranter och delar av lokalbefolkningen har ökat. För att hantera några av de mest brådskande problemen på öarna har de grekiska myndigheterna investerat 3 miljoner euro i avfalls- och vattenförvaltning, och drivit på EU-finansierade projekt för att förbättra infrastrukturen (15 miljoner euro) och tillhandahållandet av tjänster och andra förnödenheter än livsmedel (63 miljoner euro). </w:t>
      </w:r>
    </w:p>
    <w:p>
      <w:pPr>
        <w:rPr>
          <w:noProof/>
          <w:szCs w:val="24"/>
        </w:rPr>
      </w:pPr>
      <w:r>
        <w:rPr>
          <w:noProof/>
        </w:rPr>
        <w:t xml:space="preserve">Ett särskilt problem är att tillhandahållande lämpligt boende för ensamkommande barn, både på öarna och på fastlandet. Över 2 000 ensamkommande barn (inbegripet barn som skilts från sina föräldrar) står nu på väntelistan för nödbostäder, både sådana barn som bor i mottagningscentrumen och sådana som tagits i skyddsförvar. Ett anbudsförfarande är på gång, och man har fått in anbud på 1 785 inkvarteringsplatser. De grekiska myndigheterna har slutit ett antal kontrakt, men det krävs ytterligare insatser från alla parter, bland annat kommuner </w:t>
      </w:r>
      <w:r>
        <w:rPr>
          <w:noProof/>
        </w:rPr>
        <w:lastRenderedPageBreak/>
        <w:t xml:space="preserve">och icke-statliga organisationer, för att inrätta ett hållbart nationellt system. Detta ska kompletteras med ny lagstiftning om fosterhem, som också ska täcka ensamkommande migrantbarn: denna behandlas för närvarande i det grekiska parlamentet. Barnskyddsombud har anställts, utbildats och satts in i mottagningscentrumen. </w:t>
      </w:r>
    </w:p>
    <w:p>
      <w:pPr>
        <w:rPr>
          <w:noProof/>
          <w:szCs w:val="24"/>
        </w:rPr>
      </w:pPr>
      <w:r>
        <w:rPr>
          <w:noProof/>
        </w:rPr>
        <w:t>Dessa behov åtföljs av den stora belastningen av alla ankommande vid landgränserna, och de grekiska myndigheterna utarbetar nu en beredskapsplan inför den sannolika ökningen av ankommande under sommarmånaderna. Denna plan ska ligga till grund för en omfattande strategi för ett hållbart nationellt mottagningssystem utgående från nuvarande och förväntade migrationsströmmar, antalet potentiella mottagare av internationellt skydd, påskyndad behandling av asylansökningar och ökad återsändning.</w:t>
      </w:r>
    </w:p>
    <w:p>
      <w:pPr>
        <w:rPr>
          <w:rFonts w:eastAsia="Calibri"/>
          <w:noProof/>
          <w:szCs w:val="24"/>
        </w:rPr>
      </w:pPr>
      <w:r>
        <w:rPr>
          <w:noProof/>
        </w:rPr>
        <w:t xml:space="preserve">EU fortsätter att tillhandahålla ekonomiskt stöd till Grekland för att hantera de migrationsrelaterade utmaningarna. Finansieringsplanen för 2018, som för närvarande genomförs, ska främja de nationella programmen med 561 miljoner euro. Dessutom samarbetar instrumentet för krisstöd md humanitära partner för att hjälpa flyktingar att leva säkrare och normalt och bättre integrera sig i den lokala ekonomin och samhället. I dag tillhandahåller instrumentet över 24 500 förhyrda inkvarteringsplatser och månatliga kontantbidrag för att ge flyktingarna möjlighet att tillgodose sina grundläggande behov och skapa ett grundläggande socialt skyddsnät för asylsökande och flyktingar i Grekland, samtidigt som man stöder den lokala ekonomin. Nästan 45 000 personer drar i dag nytta av detta system. </w:t>
      </w:r>
    </w:p>
    <w:p>
      <w:pPr>
        <w:rPr>
          <w:noProof/>
          <w:szCs w:val="24"/>
        </w:rPr>
      </w:pPr>
      <w:r>
        <w:rPr>
          <w:b/>
          <w:noProof/>
        </w:rPr>
        <w:t>EU-byråerna</w:t>
      </w:r>
      <w:r>
        <w:rPr>
          <w:noProof/>
        </w:rPr>
        <w:t xml:space="preserve"> har fortsatt sitt viktiga arbete med att stödja de grekiska myndigheterna. Fram till den 30 april har Europeiska stödkontoret för asylfrågor stationerat ut totalt 63 nationella experter i Grekland, biträdda av 27 tillfälligt anställda och 85 tolkar. Från och med den 7 maj har 13 gästande tjänstemän och två anställda från Europol utstationerats till fem platser i Grekland, där de utför sekundära säkerhetskontroller. Europols verksamhet ingår också i en handlingsplan för genomförandet av rekommendationerna från en nyligen genomförd utvärdering. Från Europeiska gräns- och kustbevakningsbyrån hade 573 personer utstationerats den 14 maj. Detta stöd räcker fortfarande inte för att avhjälpa behoven, och osäkerheten om medlemsstaternas ersättning av roterande tjänstemän leder på längre sikt till att den hjälp som EU kan ge blir ostabil.</w:t>
      </w:r>
    </w:p>
    <w:p>
      <w:pPr>
        <w:rPr>
          <w:noProof/>
          <w:szCs w:val="24"/>
        </w:rPr>
      </w:pPr>
      <w:r>
        <w:rPr>
          <w:noProof/>
        </w:rPr>
        <w:t xml:space="preserve">Det ökande trycket på landgränsen mellan Grekland och Turkiet har visat på et behov av mer stöd vid gränsen. Utöver det pågående samarbetet mellan Turkiet och Grekland är Europeiska gräns- och kustbevakningsbyrån redo att öka sin närvaro och förstärka de gemensamma insatserna. Det skulle naturligtvis förutsätta ytterligare engagemang från medlemsstaterna. </w:t>
      </w:r>
    </w:p>
    <w:p>
      <w:pPr>
        <w:rPr>
          <w:noProof/>
          <w:szCs w:val="24"/>
        </w:rPr>
      </w:pPr>
      <w:r>
        <w:rPr>
          <w:noProof/>
        </w:rPr>
        <w:t xml:space="preserve">Det viktigaste stödprogrammet för </w:t>
      </w:r>
      <w:r>
        <w:rPr>
          <w:b/>
          <w:noProof/>
        </w:rPr>
        <w:t>Bulgarien</w:t>
      </w:r>
      <w:r>
        <w:rPr>
          <w:noProof/>
        </w:rPr>
        <w:t xml:space="preserve"> fortsätter, med ytterligare 13 miljoner euro som tillhandahålls som tillägg för 2018, utöver 97,2 miljoner euro i de nationella programmen och 172 miljoner euro i nödhjälp sedan början av 2015. Genomförandet av vissa bidrag inom ramen för nödhjälpen för särskild utrustning till gränskontrollerna har gått långsamt till följd av förseningar i anbudsförfaranden, men medlen i de nationella programmen används nu i god takt. I Bulgarien återstår också luckor i utstationeringen av Europeiska gräns- och kustbevakningsbyråns personal: I dag ligger antalet experter på 130, vilket är 57 under det fastställda behovet.</w:t>
      </w:r>
    </w:p>
    <w:p>
      <w:pPr>
        <w:keepNext/>
        <w:spacing w:after="120"/>
        <w:rPr>
          <w:i/>
          <w:noProof/>
          <w:szCs w:val="24"/>
        </w:rPr>
      </w:pPr>
      <w:r>
        <w:rPr>
          <w:i/>
          <w:noProof/>
        </w:rPr>
        <w:t xml:space="preserve">Uttalandet från EU och Turkiet </w:t>
      </w:r>
    </w:p>
    <w:p>
      <w:pPr>
        <w:rPr>
          <w:noProof/>
          <w:szCs w:val="24"/>
        </w:rPr>
      </w:pPr>
      <w:r>
        <w:rPr>
          <w:noProof/>
        </w:rPr>
        <w:t xml:space="preserve">Uttalandet från Eu och Turkiet är fortfarande mycket viktigt för att minska irreguljära och farliga överfarter till de grekiska öarna, för att rädda liv till havs och för att främja </w:t>
      </w:r>
      <w:r>
        <w:rPr>
          <w:noProof/>
        </w:rPr>
        <w:lastRenderedPageBreak/>
        <w:t xml:space="preserve">vidarebosättning av syrier som behöver internationellt skydd. Dess fortsatta framgång beror på alla berörda parters engagemang och fortlöpande insatser. Det är av avgörande betydelse att Turkiet fortsätter sina intensiva tillsynsinsatser för att spränga smugglarnätverk och stoppa irreguljära gränspassager till Grekland, både fastlandet och öarna, och att Turkiet fortsäter att samarbeta i fråga om återsändning och återtagande från Grekland, antingen genom uttalandet från EU och Turkiet eller genom det bilaterala protokollet mellan Grekland och Turkiet. </w:t>
      </w:r>
    </w:p>
    <w:p>
      <w:pPr>
        <w:rPr>
          <w:noProof/>
          <w:szCs w:val="24"/>
        </w:rPr>
      </w:pPr>
      <w:r>
        <w:rPr>
          <w:noProof/>
        </w:rPr>
        <w:t xml:space="preserve">Turkiet har gjort utomordentliga insatser för att tillhandhålla inkvartering och stöd till över 3,5 miljoner registrerade syriska flyktingar, och EU har visat sitt engagemang för att stödja Turkiet i denna utmaning. </w:t>
      </w:r>
      <w:r>
        <w:rPr>
          <w:b/>
          <w:noProof/>
        </w:rPr>
        <w:t>Faciliteten för flyktingar i Turkiet</w:t>
      </w:r>
      <w:r>
        <w:rPr>
          <w:noProof/>
        </w:rPr>
        <w:t xml:space="preserve"> fortsätter att bidra till tillgodoseendet av flyktingarnas och de turkiska värdsamhällenas behov, i nära samarbete med de turkiska myndigheterna</w:t>
      </w:r>
      <w:r>
        <w:rPr>
          <w:rStyle w:val="FootnoteReference"/>
          <w:noProof/>
        </w:rPr>
        <w:footnoteReference w:id="19"/>
      </w:r>
      <w:r>
        <w:rPr>
          <w:noProof/>
        </w:rPr>
        <w:t>. Det har visat sig vara en av EU:s snabbaste och effektivaste stödmekanismer, med utbetalningar som uppgår till 1,9 miljarder euro. Faciliteten hjälper över 1,3 miljoner flyktingar med månatliga kontantöverföringar, och ger stöd till utbildning och hälso- och sjukvård för hundratusentals människor. Mobiliseringen av andra delen av de 3 miljarder euro har inletts En snabb utbetalning ska garantera en skarvlös uppföljning av facilitetens framgångsrika insatser som finansierats under första delen, särskilt extra finansiering till utbildningsstöd, som måste föreliga innan det nya skolåret börjar.</w:t>
      </w:r>
    </w:p>
    <w:p>
      <w:pPr>
        <w:pStyle w:val="ListParagraph"/>
        <w:ind w:left="0"/>
        <w:rPr>
          <w:noProof/>
          <w:szCs w:val="24"/>
        </w:rPr>
      </w:pPr>
      <w:r>
        <w:rPr>
          <w:noProof/>
        </w:rPr>
        <w:t xml:space="preserve">Den långsamma behandlingen av asylansökningar i Grekland fortsätter att sinka </w:t>
      </w:r>
      <w:r>
        <w:rPr>
          <w:b/>
          <w:noProof/>
        </w:rPr>
        <w:t>återsändningarna till Turkiet</w:t>
      </w:r>
      <w:r>
        <w:rPr>
          <w:noProof/>
        </w:rPr>
        <w:t xml:space="preserve"> inom ramen för uttalandet. Risken för ökade antal anländande under sommaren gör det om möjligt ännu viktigare att de grekiska myndigheterna snarast tar sig an detta problem. EU fortsätter att stödja den grekiska asylmyndigheten och överklagandekommittéerna</w:t>
      </w:r>
      <w:r>
        <w:rPr>
          <w:rStyle w:val="FootnoteReference"/>
          <w:noProof/>
        </w:rPr>
        <w:footnoteReference w:id="20"/>
      </w:r>
      <w:r>
        <w:rPr>
          <w:noProof/>
        </w:rPr>
        <w:t xml:space="preserve">. </w:t>
      </w:r>
    </w:p>
    <w:p>
      <w:pPr>
        <w:pStyle w:val="ListParagraph"/>
        <w:ind w:left="0"/>
        <w:rPr>
          <w:noProof/>
          <w:szCs w:val="24"/>
        </w:rPr>
      </w:pPr>
    </w:p>
    <w:p>
      <w:pPr>
        <w:pStyle w:val="ListParagraph"/>
        <w:ind w:left="0"/>
        <w:rPr>
          <w:noProof/>
          <w:szCs w:val="24"/>
        </w:rPr>
      </w:pPr>
      <w:r>
        <w:rPr>
          <w:noProof/>
        </w:rPr>
        <w:t xml:space="preserve">Samtidigt upphävdes de allmänna </w:t>
      </w:r>
      <w:r>
        <w:rPr>
          <w:b/>
          <w:noProof/>
        </w:rPr>
        <w:t>geografiska restriktionerna</w:t>
      </w:r>
      <w:r>
        <w:rPr>
          <w:noProof/>
        </w:rPr>
        <w:t xml:space="preserve"> för asylsökande på de Egeiska öarna genom ett beslut i Greklands högsta förvaltningsdomstol i april. Domstolen slog fast att det saknades rättsligt resonemang för restriktionerna och konstaterade att restriktionerna utgör en betydande börda för öarna. De grekiska myndigheterna reagerade genast på domstolens beslut och den grekiska asylmyndigheten antog ett nytt beslut, som enligt de grekiska myndigheterna beaktar högsta förvaltningsdomstolens synpunkter. Grekland har också lagt fram ny lagstiftning som syftar till att slutföra införlivandet av direktivet om mottagningsvillkor och på så sätt ge det nya beslutet en starkare rättslig grund. Den nya lagstiftningen håller på att slutföras för antagande i grekiska parlamentet. </w:t>
      </w:r>
    </w:p>
    <w:p>
      <w:pPr>
        <w:pStyle w:val="ListParagraph"/>
        <w:ind w:left="0"/>
        <w:rPr>
          <w:noProof/>
          <w:szCs w:val="24"/>
        </w:rPr>
      </w:pPr>
    </w:p>
    <w:p>
      <w:pPr>
        <w:pStyle w:val="ListParagraph"/>
        <w:ind w:left="0"/>
        <w:rPr>
          <w:noProof/>
          <w:szCs w:val="24"/>
        </w:rPr>
      </w:pPr>
      <w:r>
        <w:rPr>
          <w:noProof/>
        </w:rPr>
        <w:t xml:space="preserve">I väntan på att Turkiet i praktiken omsätter bestämmelsen om tredjelandsmedborgare i </w:t>
      </w:r>
      <w:r>
        <w:rPr>
          <w:b/>
          <w:noProof/>
        </w:rPr>
        <w:t>återtagandeavtalet mellan EU och Turkiet</w:t>
      </w:r>
      <w:r>
        <w:rPr>
          <w:noProof/>
        </w:rPr>
        <w:t xml:space="preserve"> uppmuntras Grekland och Turkiet att se till att de tillämpliga bestämmelserna i det bilaterala återtagandeavtalet mellan Grekland och Turkiet tillämpas i praktiken på de anländande som inte omfattas av uttalandet från EU och Turkiet. </w:t>
      </w:r>
    </w:p>
    <w:p>
      <w:pPr>
        <w:rPr>
          <w:noProof/>
        </w:rPr>
      </w:pPr>
      <w:r>
        <w:rPr>
          <w:b/>
          <w:noProof/>
        </w:rPr>
        <w:t>Stöd i Syrien och dess grannländer</w:t>
      </w:r>
      <w:r>
        <w:rPr>
          <w:noProof/>
        </w:rPr>
        <w:t xml:space="preserve"> förblir en viktig prioritering. EU har avsatt över 1 miljard euro till Jordanien och Libanon sedan krisens början, för att hjälpa de mest utsatta med humanitärt stöd och tillhandahålla skolundervisning och hälso- och sjukvård samt främja flyktingarnas och värdsamhällenas leverbröd. Stödet till Libanon backades dessutom upp i två internationella konferenser på ministernivå, om säkerhet och investeringar</w:t>
      </w:r>
      <w:r>
        <w:rPr>
          <w:rStyle w:val="FootnoteReference"/>
          <w:noProof/>
        </w:rPr>
        <w:footnoteReference w:id="21"/>
      </w:r>
      <w:r>
        <w:rPr>
          <w:noProof/>
        </w:rPr>
        <w:t>. Bryssel II-</w:t>
      </w:r>
      <w:r>
        <w:rPr>
          <w:noProof/>
        </w:rPr>
        <w:lastRenderedPageBreak/>
        <w:t>konferensen om stödet för Syriens och regionens framtid leddes av EU och FN och ägde rum i april 2018. Där bekräftades EU:s stöd för en politisk lösning i Syrien, och dess åtagande att ta sig an de enorma behoven där, bland annat genom bekräftandet av 560 miljoner euro för 2018 och anslag på ytterligare 560 miljoner euro för 2019. Sammanlagt mobiliserade konferensen 6,2 miljarder euro i bidrag från det internationella samfundet, fram till 2020, varav tre fjärdedelar kommer från EU och dess medlemsstater.</w:t>
      </w:r>
    </w:p>
    <w:p>
      <w:pPr>
        <w:keepNext/>
        <w:spacing w:after="120"/>
        <w:rPr>
          <w:i/>
          <w:noProof/>
          <w:szCs w:val="24"/>
        </w:rPr>
      </w:pPr>
      <w:r>
        <w:rPr>
          <w:i/>
          <w:noProof/>
        </w:rPr>
        <w:t xml:space="preserve">Västra Balkanrutten </w:t>
      </w:r>
    </w:p>
    <w:p>
      <w:pPr>
        <w:rPr>
          <w:noProof/>
          <w:szCs w:val="24"/>
        </w:rPr>
      </w:pPr>
      <w:r>
        <w:rPr>
          <w:noProof/>
        </w:rPr>
        <w:t>Kommissionen håller för närvarande på att slutföra sitt interna förfarande för att underteckna ett avtal med Albanien, som paraferats redan i februari 2018. Avtalet innebär att Europeiska gräns- och kustbevakningsbyrån kan tillhandahålla stöd för förvaltning av de yttre gränserna, samt snabbt utplacera enheter på Albaniens territorium i händelse av en plötslig förändring i migrationsströmmarna. Den 30 april nåddes en överenskommelse på teknisk nivå om ett liknande arrangemang med f.d. jugoslaviska republiken Makedonien. För närvarande pågår förhandlingar med Serbien, och kommissionen har föreslagit att inleda förhandlingar om sådana överenskommelser med Montenegro samt med Bosnien och Hercegovina.</w:t>
      </w:r>
    </w:p>
    <w:p>
      <w:pPr>
        <w:rPr>
          <w:noProof/>
          <w:szCs w:val="24"/>
        </w:rPr>
      </w:pPr>
      <w:r>
        <w:rPr>
          <w:noProof/>
        </w:rPr>
        <w:t xml:space="preserve">Europeiska centrumet för bekämpning av människosmuggling inom Europol fortsätter att stödja operationellt samarbete för att bekämpa människosmugglingen utmed västra Balkanrutten. Under första kvartalet 2018 organiserade Europol 11 operationella möten med inriktning på västra Balkan, och hanterade 28 prioriterade ärenden. Samtidigt organiserades sju dagar med gemensamma insatser för att fånga smugglare i länderna på västra Balkan. Europol har fortsatt att övervaka den ökande smugglingen av migranter i lastbilar och stora fordon. Länderna i regionen har skärpt sina gränskontroller och sin övervakningskapacitet, och flyttat patruller till utsatta gränsavsnitt. </w:t>
      </w:r>
    </w:p>
    <w:p>
      <w:pPr>
        <w:rPr>
          <w:noProof/>
          <w:szCs w:val="24"/>
        </w:rPr>
      </w:pPr>
      <w:r>
        <w:rPr>
          <w:noProof/>
        </w:rPr>
        <w:t>Samtidigt fortsätter EU stödja länderna på västra Balkanrutten genom att fokusera på bättre mottagningsförhållanden och mottagningskapacitet för migranter och flyktingar och genom kompetensutveckling för att stärka systemen för migrationshantering. De regelbundna videokonferenserna varannan vecka mellan kommissionen, medlemsstaterna, EU-byråerna och parterna på västra Balkan har fortsatt och syftar till att underlätta samarbete och informationsutbyte om migrationssituationen utmed västra Balkanrutten. I kommissionens årliga utvidgningspaket, som antogs den 17 april 2018, betonas att länderna måste skärpa sina insatser för att konkret lösa de migrationsrelaterade problemen</w:t>
      </w:r>
      <w:r>
        <w:rPr>
          <w:rStyle w:val="FootnoteReference"/>
          <w:noProof/>
        </w:rPr>
        <w:footnoteReference w:id="22"/>
      </w:r>
      <w:r>
        <w:rPr>
          <w:noProof/>
        </w:rPr>
        <w:t>.</w:t>
      </w:r>
    </w:p>
    <w:p>
      <w:pPr>
        <w:keepNext/>
        <w:pBdr>
          <w:top w:val="single" w:sz="4" w:space="1" w:color="auto"/>
          <w:left w:val="single" w:sz="4" w:space="4" w:color="auto"/>
          <w:bottom w:val="single" w:sz="4" w:space="1" w:color="auto"/>
          <w:right w:val="single" w:sz="4" w:space="4" w:color="auto"/>
        </w:pBdr>
        <w:ind w:left="66"/>
        <w:rPr>
          <w:i/>
          <w:noProof/>
          <w:szCs w:val="24"/>
        </w:rPr>
      </w:pPr>
      <w:r>
        <w:rPr>
          <w:i/>
          <w:noProof/>
        </w:rPr>
        <w:t>Nästa steg:</w:t>
      </w:r>
    </w:p>
    <w:p>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rPr>
        <w:t>De grekiska myndigheterna bör förbättra villkoren i mottagningscentrumen, med särskild hänsyn tagen till sårbara grupper och ensamkommande barn.</w:t>
      </w:r>
    </w:p>
    <w:p>
      <w:pPr>
        <w:pStyle w:val="ListParagraph"/>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rPr>
        <w:t>De grekiska myndigheterna bör snarast skynda på genomförandet av återsändningar till Turkiet inom ramen för uttalandet från EU och Turkiet.</w:t>
      </w:r>
    </w:p>
    <w:p>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rPr>
        <w:t>De grekiska myndigheterna bör snarast möjligt slutföra sin beredskapsplan för att kunna hantera det ökande antalet anländande på öarna och via landgränserna.</w:t>
      </w:r>
    </w:p>
    <w:p>
      <w:pPr>
        <w:pStyle w:val="ListParagraph"/>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rPr>
        <w:t>Förstärkt samarbete med Turkiet för att stänga av nuvarande och framtida lad- och sjörutter för olaglig migration, i enlighet med uttalandet från EU och Turkiet.</w:t>
      </w:r>
    </w:p>
    <w:p>
      <w:pPr>
        <w:pStyle w:val="ListParagraph"/>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rPr>
        <w:lastRenderedPageBreak/>
        <w:t>Förstärkt samarbete mellan Grekland och Turkiet om återsändning från Grekland inom ramen för uttalandet från EU och Turkiet, liksom inom ramen för det bilaterala protokollet mellan Grekland och Turkiet.</w:t>
      </w:r>
    </w:p>
    <w:p>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rPr>
        <w:t xml:space="preserve">Medlemsstaterna bör säkerställa det expertstöd som krävs för EU-byråernas arbete i Grekland och Bulgarien. </w:t>
      </w:r>
    </w:p>
    <w:p>
      <w:pPr>
        <w:pStyle w:val="ListParagraph"/>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rPr>
        <w:t>Avtal mellan EU och parterna på västra Balkan om Europeiska gräns- och kustbevakningsbyråns operationella stöd bör ingås så snart som möjligt.</w:t>
      </w:r>
    </w:p>
    <w:p>
      <w:pPr>
        <w:keepNext/>
        <w:spacing w:after="120"/>
        <w:rPr>
          <w:i/>
          <w:noProof/>
          <w:szCs w:val="24"/>
        </w:rPr>
      </w:pPr>
    </w:p>
    <w:p>
      <w:pPr>
        <w:keepNext/>
        <w:spacing w:after="120"/>
        <w:rPr>
          <w:i/>
          <w:noProof/>
          <w:szCs w:val="24"/>
        </w:rPr>
      </w:pPr>
      <w:r>
        <w:rPr>
          <w:i/>
          <w:noProof/>
        </w:rPr>
        <w:t xml:space="preserve">Centrala Medelhavsrutten </w:t>
      </w:r>
    </w:p>
    <w:p>
      <w:pPr>
        <w:keepNext/>
        <w:spacing w:after="120"/>
        <w:rPr>
          <w:i/>
          <w:noProof/>
          <w:szCs w:val="24"/>
        </w:rPr>
      </w:pPr>
      <w:r>
        <w:rPr>
          <w:i/>
          <w:noProof/>
        </w:rPr>
        <w:t>-</w:t>
      </w:r>
      <w:r>
        <w:rPr>
          <w:noProof/>
        </w:rPr>
        <w:tab/>
      </w:r>
      <w:r>
        <w:rPr>
          <w:i/>
          <w:noProof/>
        </w:rPr>
        <w:t>Stöd till Italien</w:t>
      </w:r>
    </w:p>
    <w:p>
      <w:pPr>
        <w:pStyle w:val="Default"/>
        <w:jc w:val="both"/>
        <w:rPr>
          <w:noProof/>
        </w:rPr>
      </w:pPr>
      <w:r>
        <w:rPr>
          <w:noProof/>
        </w:rPr>
        <w:t xml:space="preserve">EU fortsätter sitt stöd till Italien för genomförandet av </w:t>
      </w:r>
      <w:r>
        <w:rPr>
          <w:b/>
          <w:noProof/>
        </w:rPr>
        <w:t>systemet med mottagningscentrum</w:t>
      </w:r>
      <w:r>
        <w:rPr>
          <w:noProof/>
        </w:rPr>
        <w:t xml:space="preserve">. Verksamheten i mottagningscentrumet i Taranto har tillfälligt lagts ned för underhållsarbeten, och även i mottagningscentrumet på Lampedusa begränsas verksamheten av renoveringar. Samtidigt har de italienska myndigheterna bekräftat sitt åtagande att senare i år öppna ytterligare tre mottagningscentrum i Kalabrien och på Sicilien. En översyn av mottagningscentrumens standardrutiner är på gång. </w:t>
      </w:r>
    </w:p>
    <w:p>
      <w:pPr>
        <w:pStyle w:val="Default"/>
        <w:jc w:val="both"/>
        <w:rPr>
          <w:noProof/>
        </w:rPr>
      </w:pPr>
    </w:p>
    <w:p>
      <w:pPr>
        <w:pStyle w:val="Default"/>
        <w:jc w:val="both"/>
        <w:rPr>
          <w:noProof/>
        </w:rPr>
      </w:pPr>
      <w:r>
        <w:rPr>
          <w:noProof/>
        </w:rPr>
        <w:t>EU-byråerna håller på att anpassa sina personalresurser och inriktningen på sin verksamhet i Italien, i linje med dagens behov. Den 30 april hade Europeiska stödkontoret för asylfrågor 38 nationella experter utstationerade i Italien, stödda av 54 tillfälligt anställda och 98 kulturtolkar. 428 experter från Europeiska gräns- och kustbevakningsbyrån bistår med mottagandet av nyanlända migranter. Fram till den 7 maj 2018 har totalt 15 gästande tjänstemän och tre anställda från Europol utstationerats till fem platser i Italien, där de genomför sekundära säkerhetskontroller. Italien har också ökat sin kapacitet för förvar, i och med att förvarsenheten i Potenza nått sin fulla kapacitet med 96 platser.</w:t>
      </w:r>
    </w:p>
    <w:p>
      <w:pPr>
        <w:pStyle w:val="Default"/>
        <w:jc w:val="both"/>
        <w:rPr>
          <w:noProof/>
        </w:rPr>
      </w:pPr>
    </w:p>
    <w:p>
      <w:pPr>
        <w:rPr>
          <w:noProof/>
          <w:szCs w:val="24"/>
        </w:rPr>
      </w:pPr>
      <w:r>
        <w:rPr>
          <w:noProof/>
        </w:rPr>
        <w:t xml:space="preserve">EU fotsätter att ge betydande </w:t>
      </w:r>
      <w:r>
        <w:rPr>
          <w:b/>
          <w:noProof/>
        </w:rPr>
        <w:t>finansiellt stöd</w:t>
      </w:r>
      <w:r>
        <w:rPr>
          <w:noProof/>
        </w:rPr>
        <w:t xml:space="preserve"> till Italien. De italienska myndigheterna ar börjat genomföra insatser inom ramen för den finansieringsram som tilldelats Italien i november, inom områdena medicinsk hjälp, interkulturell tolkning, utrustning för screening av migranter i mottagningscentrumen och insatser för övervakning av sjögränserna, samt sök- och räddningsinsatser. I en uppföljning av brevet till premiärminister Gentiloni av den 25 juli 2017 fortsatte Italiens inrikesministerium sina diskussioner för att välja ut insatser som kan finansieras som nödhjälp för stöd till integration på lokalnivå, skydd av offer för människohandel och effektivare asyl- och återsändningsförfaranden. Den nödhjälp som tillhandahålls Italien kompletterar de över 654 miljoner euro som ges i stöd till Italiens nationella program</w:t>
      </w:r>
      <w:r>
        <w:rPr>
          <w:rStyle w:val="FootnoteReference"/>
          <w:noProof/>
        </w:rPr>
        <w:footnoteReference w:id="23"/>
      </w:r>
      <w:r>
        <w:rPr>
          <w:noProof/>
        </w:rPr>
        <w:t xml:space="preserve">. </w:t>
      </w:r>
    </w:p>
    <w:p>
      <w:pPr>
        <w:rPr>
          <w:noProof/>
          <w:szCs w:val="24"/>
        </w:rPr>
      </w:pPr>
      <w:r>
        <w:rPr>
          <w:b/>
          <w:noProof/>
        </w:rPr>
        <w:t>Den gemensamma insatsen Themis</w:t>
      </w:r>
      <w:r>
        <w:rPr>
          <w:noProof/>
        </w:rPr>
        <w:t xml:space="preserve"> har fortsatt, och hjälper Italien hantera olaglig invandring via centrala Medelhavet, rädda liv till havs och förebygga och upptäcka gränsöverskridande brottslighet. Themis är nu verksamt över hela Adriatiska havet, och dess brottsbekämpande bransch har utökats, inte minst vad gäller kampen mot terrorism och utländska stridande. I dag stöder Europeiska gräns- och kustbevakningsbyrån (med bidrag från 27 medlemsstater) Italien med 428 gränsvakter och besättningspersoner, två flygplan, en helikopter, ett havspatrullfartyg, sju kustpatrullfartyg, fyra kustpatrullbåtar och 14 mobila kontor.</w:t>
      </w:r>
    </w:p>
    <w:p>
      <w:pPr>
        <w:keepNext/>
        <w:pBdr>
          <w:top w:val="single" w:sz="4" w:space="1" w:color="auto"/>
          <w:left w:val="single" w:sz="4" w:space="4" w:color="auto"/>
          <w:bottom w:val="single" w:sz="4" w:space="2" w:color="auto"/>
          <w:right w:val="single" w:sz="4" w:space="4" w:color="auto"/>
        </w:pBdr>
        <w:ind w:left="66"/>
        <w:rPr>
          <w:i/>
          <w:noProof/>
          <w:szCs w:val="24"/>
        </w:rPr>
      </w:pPr>
      <w:r>
        <w:rPr>
          <w:noProof/>
        </w:rPr>
        <w:lastRenderedPageBreak/>
        <w:t xml:space="preserve"> </w:t>
      </w:r>
      <w:r>
        <w:rPr>
          <w:i/>
          <w:noProof/>
        </w:rPr>
        <w:t>Nästa steg:</w:t>
      </w:r>
    </w:p>
    <w:p>
      <w:pPr>
        <w:pStyle w:val="ListParagraph"/>
        <w:keepNext/>
        <w:widowControl w:val="0"/>
        <w:numPr>
          <w:ilvl w:val="0"/>
          <w:numId w:val="20"/>
        </w:numPr>
        <w:pBdr>
          <w:top w:val="single" w:sz="4" w:space="1" w:color="auto"/>
          <w:left w:val="single" w:sz="4" w:space="4" w:color="auto"/>
          <w:bottom w:val="single" w:sz="4" w:space="2" w:color="auto"/>
          <w:right w:val="single" w:sz="4" w:space="4" w:color="auto"/>
        </w:pBdr>
        <w:spacing w:after="0"/>
        <w:rPr>
          <w:noProof/>
          <w:szCs w:val="24"/>
        </w:rPr>
      </w:pPr>
      <w:r>
        <w:rPr>
          <w:noProof/>
        </w:rPr>
        <w:t>Italien kommer att som planerat öppna ytterligare tre mottagningscentrum.</w:t>
      </w:r>
    </w:p>
    <w:p>
      <w:pPr>
        <w:pStyle w:val="ListParagraph"/>
        <w:keepNext/>
        <w:widowControl w:val="0"/>
        <w:numPr>
          <w:ilvl w:val="0"/>
          <w:numId w:val="20"/>
        </w:numPr>
        <w:pBdr>
          <w:top w:val="single" w:sz="4" w:space="1" w:color="auto"/>
          <w:left w:val="single" w:sz="4" w:space="4" w:color="auto"/>
          <w:bottom w:val="single" w:sz="4" w:space="2" w:color="auto"/>
          <w:right w:val="single" w:sz="4" w:space="4" w:color="auto"/>
        </w:pBdr>
        <w:spacing w:after="0"/>
        <w:rPr>
          <w:noProof/>
          <w:szCs w:val="24"/>
        </w:rPr>
      </w:pPr>
      <w:r>
        <w:rPr>
          <w:noProof/>
        </w:rPr>
        <w:t>Italien kommer att öka sin kapacitet för förvar ytterligare.</w:t>
      </w:r>
    </w:p>
    <w:p>
      <w:pPr>
        <w:pStyle w:val="ListParagraph"/>
        <w:keepNext/>
        <w:widowControl w:val="0"/>
        <w:numPr>
          <w:ilvl w:val="0"/>
          <w:numId w:val="20"/>
        </w:numPr>
        <w:pBdr>
          <w:top w:val="single" w:sz="4" w:space="1" w:color="auto"/>
          <w:left w:val="single" w:sz="4" w:space="4" w:color="auto"/>
          <w:bottom w:val="single" w:sz="4" w:space="2" w:color="auto"/>
          <w:right w:val="single" w:sz="4" w:space="4" w:color="auto"/>
        </w:pBdr>
        <w:spacing w:after="0"/>
        <w:rPr>
          <w:noProof/>
          <w:szCs w:val="24"/>
        </w:rPr>
      </w:pPr>
      <w:r>
        <w:rPr>
          <w:noProof/>
        </w:rPr>
        <w:t>En ny fas av nödfinansiering kommer att slutföras med de italienska myndigheterna.</w:t>
      </w:r>
    </w:p>
    <w:p>
      <w:pPr>
        <w:pStyle w:val="ListParagraph"/>
        <w:keepNext/>
        <w:widowControl w:val="0"/>
        <w:numPr>
          <w:ilvl w:val="0"/>
          <w:numId w:val="20"/>
        </w:numPr>
        <w:pBdr>
          <w:top w:val="single" w:sz="4" w:space="1" w:color="auto"/>
          <w:left w:val="single" w:sz="4" w:space="4" w:color="auto"/>
          <w:bottom w:val="single" w:sz="4" w:space="2" w:color="auto"/>
          <w:right w:val="single" w:sz="4" w:space="4" w:color="auto"/>
        </w:pBdr>
        <w:spacing w:after="0"/>
        <w:rPr>
          <w:noProof/>
          <w:szCs w:val="24"/>
        </w:rPr>
      </w:pPr>
      <w:r>
        <w:rPr>
          <w:noProof/>
        </w:rPr>
        <w:t xml:space="preserve">Medlemsstaterna kommer att öka sina bidrag till EU-byråerna (personal och driftstöd) i Italien, i linje med behoven. </w:t>
      </w:r>
    </w:p>
    <w:p>
      <w:pPr>
        <w:pStyle w:val="ListParagraph"/>
        <w:keepNext/>
        <w:widowControl w:val="0"/>
        <w:numPr>
          <w:ilvl w:val="0"/>
          <w:numId w:val="20"/>
        </w:numPr>
        <w:pBdr>
          <w:top w:val="single" w:sz="4" w:space="1" w:color="auto"/>
          <w:left w:val="single" w:sz="4" w:space="4" w:color="auto"/>
          <w:bottom w:val="single" w:sz="4" w:space="2" w:color="auto"/>
          <w:right w:val="single" w:sz="4" w:space="4" w:color="auto"/>
        </w:pBdr>
        <w:spacing w:after="0"/>
        <w:rPr>
          <w:noProof/>
          <w:szCs w:val="24"/>
        </w:rPr>
      </w:pPr>
      <w:r>
        <w:rPr>
          <w:noProof/>
        </w:rPr>
        <w:t xml:space="preserve">Italien kommer att fortsätta genomförandet av alla åtgärder som anges i handlingsplanen av den 4 juli 2017. </w:t>
      </w:r>
    </w:p>
    <w:p>
      <w:pPr>
        <w:keepNext/>
        <w:widowControl w:val="0"/>
        <w:spacing w:after="0"/>
        <w:ind w:left="68"/>
        <w:contextualSpacing/>
        <w:rPr>
          <w:noProof/>
          <w:szCs w:val="24"/>
        </w:rPr>
      </w:pPr>
    </w:p>
    <w:p>
      <w:pPr>
        <w:keepNext/>
        <w:spacing w:after="120"/>
        <w:rPr>
          <w:i/>
          <w:noProof/>
          <w:szCs w:val="24"/>
        </w:rPr>
      </w:pPr>
      <w:r>
        <w:rPr>
          <w:i/>
          <w:noProof/>
        </w:rPr>
        <w:t>-</w:t>
      </w:r>
      <w:r>
        <w:rPr>
          <w:noProof/>
        </w:rPr>
        <w:tab/>
      </w:r>
      <w:r>
        <w:rPr>
          <w:i/>
          <w:noProof/>
        </w:rPr>
        <w:t>Libyen med kringområde, och länderna längs med rutten.</w:t>
      </w:r>
    </w:p>
    <w:p>
      <w:pPr>
        <w:spacing w:after="120"/>
        <w:outlineLvl w:val="0"/>
        <w:rPr>
          <w:noProof/>
          <w:szCs w:val="24"/>
        </w:rPr>
      </w:pPr>
      <w:r>
        <w:rPr>
          <w:noProof/>
        </w:rPr>
        <w:t xml:space="preserve">EU fortsätter att förbättra de vedervärdiga </w:t>
      </w:r>
      <w:r>
        <w:rPr>
          <w:b/>
          <w:noProof/>
        </w:rPr>
        <w:t>omständigheter</w:t>
      </w:r>
      <w:r>
        <w:rPr>
          <w:noProof/>
        </w:rPr>
        <w:t xml:space="preserve"> under vilka många migranter och flyktingar tvingas leva i Libyen, och att bekämpa människosmugglingen. Det pågår EU-finansierade program för att tillgodos migranternas och flyktingarnas omedelbara behov, hjälpa migranter att återvända hem eller att, genom vidarebosättning, hitta säkra vägar till Europa för dem som behöver skydd, samt på lång sikt försöka stabilisera lokalsamhällen. </w:t>
      </w:r>
    </w:p>
    <w:p>
      <w:pPr>
        <w:spacing w:after="120"/>
        <w:outlineLvl w:val="0"/>
        <w:rPr>
          <w:noProof/>
          <w:szCs w:val="24"/>
        </w:rPr>
      </w:pPr>
      <w:r>
        <w:rPr>
          <w:noProof/>
        </w:rPr>
        <w:t>Hittills har internationella organisationen för migration, med EU-stöd, försett närmare 41 000 migranter med filtar, madrasser och hygienartiklar vid landstigningsplatsser, i mottagningscentrum och i värdsamhällen i Libyen Över 14 500 sårbara flyktingar har fått medicinsk hjälp. Över 950 migranter har dessutom fått hjälp via den resursmekanism för migration som finns på plats i södra Libyen. Därutöver har specifika hjälpinsatser gjorts av FN:s barnfond, Unicef, för att tillhandahålla vinterkläder i förvarsenheter, liksom livsförnödenheter och anständiga levnadsförhållanden samt fritids- och skolaktiviteter. En gemensam insats pågår även för att propagera att barn släpps fria och att man hittar alternativ till förvar.</w:t>
      </w:r>
      <w:r>
        <w:rPr>
          <w:noProof/>
          <w:vertAlign w:val="superscript"/>
        </w:rPr>
        <w:footnoteReference w:id="24"/>
      </w:r>
      <w:r>
        <w:rPr>
          <w:noProof/>
        </w:rPr>
        <w:t xml:space="preserve"> FN:s utvecklingsprogram har också inrättat ett campus för entreprenörskap som ska hjälpa unga företagare</w:t>
      </w:r>
      <w:r>
        <w:rPr>
          <w:rStyle w:val="FootnoteReference"/>
          <w:noProof/>
        </w:rPr>
        <w:footnoteReference w:id="25"/>
      </w:r>
      <w:r>
        <w:rPr>
          <w:noProof/>
        </w:rPr>
        <w:t xml:space="preserve">. </w:t>
      </w:r>
    </w:p>
    <w:p>
      <w:pPr>
        <w:rPr>
          <w:noProof/>
          <w:szCs w:val="24"/>
        </w:rPr>
      </w:pPr>
      <w:r>
        <w:rPr>
          <w:noProof/>
        </w:rPr>
        <w:t>EU har fortsatt att stödja libyska lokalsamhällen runt om i landet, med återuppbyggnad av viktig infrastruktur för att ge både lokalbefolkningen och migranterna tillgång till grundläggande tjänster. För närvarande diskuterar EU med de genomförande parterna (Italian Cooperation, FN:s utvecklingsprogram och FN:s barnfond Unicef) om att ta ett nytt program i drift, med 50 miljoner euro för att stödja lokalsamhällen. Programmet antogs i mars 2018. Detta skulle utveckla kapaciteten hos de libyska kommunerna för att tillhandahålla grundläggande tjänster (hälso- och sjukvård, utbildning, sanitet och vatten).</w:t>
      </w:r>
    </w:p>
    <w:p>
      <w:pPr>
        <w:rPr>
          <w:noProof/>
          <w:szCs w:val="24"/>
        </w:rPr>
      </w:pPr>
      <w:r>
        <w:rPr>
          <w:noProof/>
        </w:rPr>
        <w:t xml:space="preserve">Fram till den 4 maj hade 1 006 flyktingar och asylsökande släppts från förvar efter det att FN:s flyktingkommissariat UNHCR ingripit 2018. Detta är en ökning jämfört med det sammanlagda antalet för hela 2017 (1 428 personer). Hittills har flyktingkommissariatet genofört 486 övervakningsbesök till förvarsenheter under 2018 EU:s stöd har givit FN:s flyktingkommissariat UNHCR möjlighet att genomföra 15 216 medicinska undersökningar av flyktingar och asylsökande, samtidigt som man strävade efter att få dem frisläppta. </w:t>
      </w:r>
    </w:p>
    <w:p>
      <w:pPr>
        <w:pStyle w:val="CommentText"/>
        <w:rPr>
          <w:noProof/>
          <w:sz w:val="24"/>
        </w:rPr>
      </w:pPr>
      <w:r>
        <w:rPr>
          <w:noProof/>
          <w:sz w:val="24"/>
        </w:rPr>
        <w:t xml:space="preserve">Den internationella organisationen för migration fortsätter att, med EU-stöd, genomföra sitt program för frivilligt återvändande, och fram till den 24 april 2018 hade 6 185 personer återvänt hem i säkerhet. Under evakueringsfasen mellan den 28 november 2017 och den 1 </w:t>
      </w:r>
      <w:r>
        <w:rPr>
          <w:noProof/>
          <w:sz w:val="24"/>
        </w:rPr>
        <w:lastRenderedPageBreak/>
        <w:t>mars 2018 återvände sammanlagt 15 391 personer hem frivilligt</w:t>
      </w:r>
      <w:r>
        <w:rPr>
          <w:rStyle w:val="FootnoteReference"/>
          <w:noProof/>
          <w:sz w:val="24"/>
        </w:rPr>
        <w:footnoteReference w:id="26"/>
      </w:r>
      <w:r>
        <w:rPr>
          <w:noProof/>
          <w:sz w:val="24"/>
        </w:rPr>
        <w:t>. Därigenom har kommissionen nått det mål man satt sig i december</w:t>
      </w:r>
      <w:r>
        <w:rPr>
          <w:rStyle w:val="FootnoteReference"/>
          <w:noProof/>
          <w:sz w:val="24"/>
        </w:rPr>
        <w:footnoteReference w:id="27"/>
      </w:r>
      <w:r>
        <w:rPr>
          <w:noProof/>
          <w:sz w:val="24"/>
        </w:rPr>
        <w:t>. Återanpassningsstöd tillhandahålls sammanlagt 27 138 personer som återvänt sedan maj 2017.</w:t>
      </w:r>
    </w:p>
    <w:p>
      <w:pPr>
        <w:rPr>
          <w:noProof/>
        </w:rPr>
      </w:pPr>
      <w:r>
        <w:rPr>
          <w:noProof/>
        </w:rPr>
        <w:t xml:space="preserve">EU har samarbetat nära med medlemsstaterna och FN:s flyktingkommissariat UNHCR för att se till att så många sårbara personer i behov av internationellt stöd som möjligt evakueras från Libyen till Niger och sedan snabbt vidarebosätts. Efter ett tillfälligt upphävande av evakueringarna i början av mars till följd av Nigers farhågor att de fortsatta omplaceringarna till andra länder inte höll takten med inströmningen till Niger, återupptog FN:s flyktingkommissariat UNHCR </w:t>
      </w:r>
      <w:r>
        <w:rPr>
          <w:b/>
          <w:noProof/>
        </w:rPr>
        <w:t>nödförflyttningsmekanismen</w:t>
      </w:r>
      <w:r>
        <w:rPr>
          <w:noProof/>
        </w:rPr>
        <w:t xml:space="preserve"> den 10 maj, och flög ut 132 sårbara flyktingar och asylsökande</w:t>
      </w:r>
      <w:r>
        <w:rPr>
          <w:rStyle w:val="FootnoteReference"/>
          <w:noProof/>
        </w:rPr>
        <w:footnoteReference w:id="28"/>
      </w:r>
      <w:r>
        <w:rPr>
          <w:noProof/>
        </w:rPr>
        <w:t>. Av de 1 152 personer som evakuerades från Libyen till Niger hade FN:s flyktingkommissariat UNHCR den 13 maj presenterat 475 personer för vidarebosättning</w:t>
      </w:r>
      <w:r>
        <w:rPr>
          <w:rStyle w:val="FootnoteReference"/>
          <w:noProof/>
        </w:rPr>
        <w:footnoteReference w:id="29"/>
      </w:r>
      <w:r>
        <w:rPr>
          <w:noProof/>
        </w:rPr>
        <w:t>, och av dem har redan 108 lämnat Niger</w:t>
      </w:r>
      <w:r>
        <w:rPr>
          <w:rStyle w:val="FootnoteReference"/>
          <w:noProof/>
        </w:rPr>
        <w:footnoteReference w:id="30"/>
      </w:r>
      <w:r>
        <w:rPr>
          <w:noProof/>
        </w:rPr>
        <w:t>. Ytterligare 71 har accepterats av vidarebosättningsländer och väntar på att få resa ut</w:t>
      </w:r>
      <w:r>
        <w:rPr>
          <w:rStyle w:val="FootnoteReference"/>
          <w:noProof/>
        </w:rPr>
        <w:footnoteReference w:id="31"/>
      </w:r>
      <w:r>
        <w:rPr>
          <w:noProof/>
        </w:rPr>
        <w:t>. Det innebär att vidarebosättningsländer redan har tagit emot cirka 38 % av alla personer som presenterats. Det behövs visserligen fortfarande fler åtaganden om vidarebosättning från Niger, men antalet tillgängliga vidarebosättningsåtaganden är inte längre den begränsande faktorn, eftersom 2 681 åtaganden har gjorts</w:t>
      </w:r>
      <w:r>
        <w:rPr>
          <w:rStyle w:val="FootnoteReference"/>
          <w:noProof/>
        </w:rPr>
        <w:footnoteReference w:id="32"/>
      </w:r>
      <w:r>
        <w:rPr>
          <w:noProof/>
        </w:rPr>
        <w:t>. Det är viktigt att FN:s flyktingkommissariat UNHCR skyndar på sin hantering, så åtaganden kan göras och de personer som evakuerats från Libyen så snart som möjligt kan vidarebosättas</w:t>
      </w:r>
      <w:r>
        <w:rPr>
          <w:rStyle w:val="FootnoteReference"/>
          <w:noProof/>
        </w:rPr>
        <w:footnoteReference w:id="33"/>
      </w:r>
      <w:r>
        <w:rPr>
          <w:noProof/>
        </w:rPr>
        <w:t>. EU stöder dessa insatser till fullo ock kommer att komplettera det nuvarande ekonomiska stödet till FN:s flyktingkommissariat UNHCR på 20 miljoner euro. Medlemsstater som inte har avsatt en del av sitt vidarebosättningsåtagande för Niger uppmanas att göra det, och de som redan vidarebosätter bör fortsätta att arbeta för att överföringarna går snabbt så snart ett hänskjutande gjorts. UNHCR bör uppmuntras att fokusera sina hänskjutanden för vidarebosättning i Niger främst på de personer som evakuerats från Libyen.</w:t>
      </w:r>
    </w:p>
    <w:p>
      <w:pPr>
        <w:rPr>
          <w:noProof/>
          <w:szCs w:val="24"/>
        </w:rPr>
      </w:pPr>
      <w:r>
        <w:rPr>
          <w:noProof/>
        </w:rPr>
        <w:t>Efter det trilaterala högnivåbesöket</w:t>
      </w:r>
      <w:r>
        <w:rPr>
          <w:rStyle w:val="FootnoteReference"/>
          <w:noProof/>
        </w:rPr>
        <w:footnoteReference w:id="34"/>
      </w:r>
      <w:r>
        <w:rPr>
          <w:noProof/>
        </w:rPr>
        <w:t xml:space="preserve">, med Afrikanska unionen, EU och FN, till Tripoli i februari har kommissionen hållit kontakt till de libyska myndigheterna för att se till att de åtaganden som gjorts efterlevs. Åtagandena omfattar den viktiga frågan om underlättad humanitär evakuering genom att kravet på utresevisum hävs, möjlighet för FN:s flyktingkommissariat UNHCR att till fullo efterleva sitt mandat utöver de begränsningar som sätts på nationaliteter, förbättrad åtkomst till och bättre förhållanden för migranter och flyktingar i förvarsenheterna, utveckling mot stängning av förvarsenheterna i deras nuvarande form, alternativ till kriminaliseringen av irreguljära migranter, garanterad fullständig registrering och spårning av landstigna migranter. </w:t>
      </w:r>
    </w:p>
    <w:p>
      <w:pPr>
        <w:tabs>
          <w:tab w:val="left" w:pos="360"/>
        </w:tabs>
        <w:rPr>
          <w:noProof/>
          <w:szCs w:val="24"/>
        </w:rPr>
      </w:pPr>
      <w:r>
        <w:rPr>
          <w:noProof/>
        </w:rPr>
        <w:lastRenderedPageBreak/>
        <w:t xml:space="preserve">EU:s ansträngningar för att stödja </w:t>
      </w:r>
      <w:r>
        <w:rPr>
          <w:b/>
          <w:noProof/>
        </w:rPr>
        <w:t>Libyens två kustbevakningar</w:t>
      </w:r>
      <w:r>
        <w:rPr>
          <w:noProof/>
        </w:rPr>
        <w:t xml:space="preserve"> fortsätter. Eunavfor MED:s insats Sophia har hittills utbildat omkring 191 medlemmar av den libyska flottans kustbevakning, inklusive 5 patrullbåtsbesättningar i en kombination av sjö- och landbaserad utbildning. Just nu utbildas 22 libyer i Grekland, och en ytterligare modul planeras i Spanien, för 34 kandidater, i början av juli 2018. I den första övervakningsrapporten i mars noterades att kompetens och professionalism ökar, men att effektiv övervakning skulle främjas ytterligare om personal från Eunavfor MED kunde fortsätta vara på plats i den libyska kustbevakningens driftcentrum. </w:t>
      </w:r>
    </w:p>
    <w:p>
      <w:pPr>
        <w:tabs>
          <w:tab w:val="left" w:pos="360"/>
        </w:tabs>
        <w:rPr>
          <w:noProof/>
          <w:szCs w:val="24"/>
        </w:rPr>
      </w:pPr>
      <w:r>
        <w:rPr>
          <w:noProof/>
        </w:rPr>
        <w:t xml:space="preserve">Inrättandet av ett säkert kommunikationsnät i Medelhavsområdet för att utbyta information om irreguljär migration sjövägen närmar sig nu slutfasen, och Seahorse-nätverket för Medelhavet bör vara i drift under andra halvan av 2018. </w:t>
      </w:r>
    </w:p>
    <w:p>
      <w:pPr>
        <w:rPr>
          <w:noProof/>
          <w:szCs w:val="24"/>
        </w:rPr>
      </w:pPr>
      <w:r>
        <w:rPr>
          <w:noProof/>
        </w:rPr>
        <w:t>Ett pilotprojekt för att stärka samarbetet mellan EU-byråerna och Eunavfor MED:s insats Sophia, med direkt samarbete kring information om brott i en enhet med placering inom insatsen godkändes av ministrarna under rådsmötet (rättsliga och inrikes frågor) i mars 2018. Enheten bör inleda sin verksamhet så snart som möjligt. Europeiska unionens integrerade gränsförvaltningsuppdrag i Libyen håller på att undersöka möjligheterna att till maj 2018 öka kapaciteten på fältet till 17 anställda i Tripolis på permanent eller roterande bas, utgående från det fördjupade engagemang från de libyska myndigheterna sida som blivit möjligt sedan den ”mindre närvaron”, som infördes i december 2017.</w:t>
      </w:r>
    </w:p>
    <w:p>
      <w:pPr>
        <w:keepNext/>
        <w:spacing w:after="120"/>
        <w:rPr>
          <w:i/>
          <w:noProof/>
          <w:szCs w:val="24"/>
        </w:rPr>
      </w:pPr>
      <w:r>
        <w:rPr>
          <w:i/>
          <w:noProof/>
        </w:rPr>
        <w:t>-</w:t>
      </w:r>
      <w:r>
        <w:rPr>
          <w:noProof/>
        </w:rPr>
        <w:tab/>
      </w:r>
      <w:r>
        <w:rPr>
          <w:i/>
          <w:noProof/>
        </w:rPr>
        <w:t>Finansiering</w:t>
      </w:r>
    </w:p>
    <w:p>
      <w:pPr>
        <w:rPr>
          <w:rFonts w:eastAsia="Calibri"/>
          <w:noProof/>
        </w:rPr>
      </w:pPr>
      <w:r>
        <w:rPr>
          <w:b/>
          <w:noProof/>
        </w:rPr>
        <w:t>EU:s förvaltningsfond för nödåtgärder i Afrika</w:t>
      </w:r>
      <w:r>
        <w:rPr>
          <w:noProof/>
        </w:rPr>
        <w:t xml:space="preserve"> fortsätter att spela en viktig roll i EU:s arbete. Fram till den 8 maj 2018 hade </w:t>
      </w:r>
      <w:r>
        <w:rPr>
          <w:noProof/>
          <w:color w:val="000000"/>
        </w:rPr>
        <w:t>147 program överenskommits till ett sammanlagt belopp på cirka</w:t>
      </w:r>
      <w:r>
        <w:rPr>
          <w:noProof/>
        </w:rPr>
        <w:t xml:space="preserve"> 2 593,4 </w:t>
      </w:r>
      <w:r>
        <w:rPr>
          <w:noProof/>
          <w:color w:val="000000"/>
        </w:rPr>
        <w:t xml:space="preserve">miljoner euro, uppdelat på tre områden: Sahel/Chadsjön 1 293 miljoner euro (79 program), Afrikas horn 820,3 miljoner euro (50 program), Nordafrika 335 miljoner euro (14 program). Detta belopp omfattar även 4 områdesövergripande program (145,1 miljoner euro). </w:t>
      </w:r>
      <w:r>
        <w:rPr>
          <w:noProof/>
        </w:rPr>
        <w:t>Hittills har</w:t>
      </w:r>
      <w:r>
        <w:rPr>
          <w:noProof/>
          <w:color w:val="000000"/>
        </w:rPr>
        <w:t xml:space="preserve"> sammanlagt 235 kontrakt</w:t>
      </w:r>
      <w:r>
        <w:rPr>
          <w:noProof/>
        </w:rPr>
        <w:t xml:space="preserve"> undertecknats med projektledare, till ett sammanlagt belopp på 1 611,2 miljoner euro, och sammanlagt har 650 miljoner euro betalats ut.</w:t>
      </w:r>
    </w:p>
    <w:p>
      <w:pPr>
        <w:rPr>
          <w:rFonts w:eastAsia="Calibri"/>
          <w:noProof/>
          <w:color w:val="000000"/>
        </w:rPr>
      </w:pPr>
      <w:r>
        <w:rPr>
          <w:noProof/>
        </w:rPr>
        <w:t>Anslagen till EU: s förvaltningsfond för Afrika uppgår till 3,39 miljarder euro, inbegripet över 2,98 miljarder euro från Europeiska utvecklingsfonden och EU-budgeten. Sammanlagt har EU:s medlemsstater och andra givarländer (Schweiz och Norge) bidragit med 413,8 miljoner euro, varav 378 miljoner euro betalats ut hittills.</w:t>
      </w:r>
      <w:r>
        <w:rPr>
          <w:noProof/>
          <w:color w:val="000000"/>
        </w:rPr>
        <w:t xml:space="preserve"> de viktigaste givarländerna är fortfarande Tyskland (157,5 miljoner euro) och Italien (104 miljoner euro). </w:t>
      </w:r>
      <w:r>
        <w:rPr>
          <w:noProof/>
        </w:rPr>
        <w:t xml:space="preserve">Medlemsstaternas bidrag till Nordafrikadelen av EU:s förvaltningsfond var särskilt viktig för nystarten med samarbetet med Libyen: Efter diskussioner i Europeiska rådet lovade medlemsstaterna ytterligare bidrag på 178,6 miljoner euro, främst för att fylla på Nordafrikadelen av fonden. </w:t>
      </w:r>
    </w:p>
    <w:p>
      <w:pPr>
        <w:tabs>
          <w:tab w:val="left" w:pos="360"/>
        </w:tabs>
        <w:rPr>
          <w:noProof/>
          <w:szCs w:val="24"/>
          <w:highlight w:val="yellow"/>
        </w:rPr>
      </w:pPr>
      <w:r>
        <w:rPr>
          <w:noProof/>
          <w:color w:val="000000"/>
        </w:rPr>
        <w:t xml:space="preserve">Trots detta förväntas ett betydande finansieringsgap redan under 2018. Detta diskuterades vid det strategiska styrelsemötet den 24 april 2018. Förteckningen för de tre områdena, som omfattar viktiga åtgärder som fortsatta insatser i Libyen och bibehållande av takten för frivilligt återvändande och evakuering, uppskattas kräva cirka 2 miljarder euro. De återstående medlen kan täcka vissa prioriteringar, men ett finansieringsgap på 1,2 miljarder euro har konstgaterats för de tre områdena, om den nuvarande ambitionsnivån ska bibehållas. För Nordafrika kommer prioriteringarna att fortsätta att bidra till effektiv migrationshantering, med skydd av sårbara migranter, frivilligt återvändande, stabilisering av lokalsamhälen, integrerad gränsförvaltning och stöd till arbetsmigration. Verksamheten vid Afrikas horn, i </w:t>
      </w:r>
      <w:r>
        <w:rPr>
          <w:noProof/>
          <w:color w:val="000000"/>
        </w:rPr>
        <w:lastRenderedPageBreak/>
        <w:t xml:space="preserve">Sahel och vid Chadsjön har direkt inverkan på hur effektiva EU:s insatser i Nordafrika kan bli, och är dessutom nödvändig för en verkligt omfattande EU-strategi. </w:t>
      </w:r>
      <w:r>
        <w:rPr>
          <w:noProof/>
        </w:rPr>
        <w:t xml:space="preserve">Medlemsstaterna har bekräftat förteckningens relevans och gått med på ytterligare prioriterade insatser på följande områden: Återvändande och återanpassning, en vittomspännande åtgärdsram för flyktingar, säkra dokument och folkbokföring, bekämpning av människohandel, grundläggande stabiliseringsinsatser i Somalien, Sudan och Sydsudan, samt stöd till migrantdialoger. Samtidigt gick styrelsen med på att förvaltningsfonden fortsätter sin verksamhet efter 2018, och därför måste dess medel fyllas på. </w:t>
      </w:r>
    </w:p>
    <w:p>
      <w:pPr>
        <w:tabs>
          <w:tab w:val="left" w:pos="360"/>
        </w:tabs>
        <w:rPr>
          <w:noProof/>
          <w:szCs w:val="24"/>
        </w:rPr>
      </w:pPr>
      <w:r>
        <w:rPr>
          <w:noProof/>
        </w:rPr>
        <w:t xml:space="preserve">Inom första pelaren för den </w:t>
      </w:r>
      <w:r>
        <w:rPr>
          <w:b/>
          <w:noProof/>
        </w:rPr>
        <w:t>externa investeringsplanen</w:t>
      </w:r>
      <w:r>
        <w:rPr>
          <w:noProof/>
        </w:rPr>
        <w:t>, EFHU-garantifonden, har sammanlagt 12 behöriga finansinstitut föreslagit över 46 investeringsprogram inom fem investeringsområden, för vilka garantifonder på 1,5 miljarder euro finns tillgängliga. De inkomna förslagen uppgår tillsammanlagt 3,5 miljarder euro för de fem områdena</w:t>
      </w:r>
      <w:r>
        <w:rPr>
          <w:rStyle w:val="FootnoteReference"/>
          <w:noProof/>
        </w:rPr>
        <w:footnoteReference w:id="35"/>
      </w:r>
      <w:r>
        <w:rPr>
          <w:noProof/>
        </w:rPr>
        <w:t>. De första besluten från kommissionen om godkännande av programmen väntas under den tidiga sommaren. Blandfinansieringsinsatser inom ramen för investeringsplanens investeringsplattformar för Afrika och grannskapet är på väg.</w:t>
      </w:r>
    </w:p>
    <w:p>
      <w:pPr>
        <w:keepNext/>
        <w:spacing w:after="120"/>
        <w:rPr>
          <w:i/>
          <w:noProof/>
          <w:szCs w:val="24"/>
        </w:rPr>
      </w:pPr>
      <w:r>
        <w:rPr>
          <w:i/>
          <w:noProof/>
        </w:rPr>
        <w:t>-</w:t>
      </w:r>
      <w:r>
        <w:rPr>
          <w:noProof/>
        </w:rPr>
        <w:tab/>
      </w:r>
      <w:r>
        <w:rPr>
          <w:i/>
          <w:noProof/>
        </w:rPr>
        <w:t>Länder längs med rutten</w:t>
      </w:r>
    </w:p>
    <w:p>
      <w:pPr>
        <w:rPr>
          <w:noProof/>
          <w:szCs w:val="24"/>
        </w:rPr>
      </w:pPr>
      <w:r>
        <w:rPr>
          <w:noProof/>
        </w:rPr>
        <w:t xml:space="preserve">Samarbetet med en rad olika parter i Afrika har utökats. Trots politiska oroligheter har samarbetet med de </w:t>
      </w:r>
      <w:r>
        <w:rPr>
          <w:b/>
          <w:noProof/>
        </w:rPr>
        <w:t>etiopiska</w:t>
      </w:r>
      <w:r>
        <w:rPr>
          <w:noProof/>
        </w:rPr>
        <w:t xml:space="preserve"> myndigheterna kring Valettadeklarationens fem pelare fortsatt ostört. Dialogen om migration och samarbete med </w:t>
      </w:r>
      <w:r>
        <w:rPr>
          <w:b/>
          <w:noProof/>
        </w:rPr>
        <w:t>Guinea</w:t>
      </w:r>
      <w:r>
        <w:rPr>
          <w:noProof/>
        </w:rPr>
        <w:t xml:space="preserve"> och </w:t>
      </w:r>
      <w:r>
        <w:rPr>
          <w:b/>
          <w:noProof/>
        </w:rPr>
        <w:t>Gambia</w:t>
      </w:r>
      <w:r>
        <w:rPr>
          <w:noProof/>
        </w:rPr>
        <w:t xml:space="preserve"> fortsätter, med ett framgångsrikt seminarium om bästa praxis för organisationen av återvändanderelaterade verksamheter i mars, anordnat av Europeiska gräns- och kustbevakningsbyrån. En dialog om migration har återinletts med </w:t>
      </w:r>
      <w:r>
        <w:rPr>
          <w:b/>
          <w:noProof/>
        </w:rPr>
        <w:t>Elfenbenskusten</w:t>
      </w:r>
      <w:r>
        <w:rPr>
          <w:noProof/>
        </w:rPr>
        <w:t xml:space="preserve">. Diskussionerna med </w:t>
      </w:r>
      <w:r>
        <w:rPr>
          <w:b/>
          <w:noProof/>
        </w:rPr>
        <w:t>Nigeria</w:t>
      </w:r>
      <w:r>
        <w:rPr>
          <w:noProof/>
        </w:rPr>
        <w:t xml:space="preserve"> om ett migrations- och mobilitetspaket fortsätter, och omfattar tillväxt och investering, gränsförvaltning och digital identifiering, smuggling, människohandel samt återtagande och återanpassning.</w:t>
      </w:r>
    </w:p>
    <w:p>
      <w:pPr>
        <w:rPr>
          <w:noProof/>
          <w:szCs w:val="24"/>
        </w:rPr>
      </w:pPr>
      <w:r>
        <w:rPr>
          <w:noProof/>
        </w:rPr>
        <w:t xml:space="preserve">Utöver det pågående operationella samarbetet kommer ytterligare stöd till </w:t>
      </w:r>
      <w:r>
        <w:rPr>
          <w:b/>
          <w:noProof/>
        </w:rPr>
        <w:t>Niger</w:t>
      </w:r>
      <w:r>
        <w:rPr>
          <w:noProof/>
        </w:rPr>
        <w:t xml:space="preserve"> att inriktas på hanteringen av nya migrationsrutter nära Nigers gräns och förstärkning a programmen för ekonomisk utjämning. I mars 2018 var Niger värdland för en minsterkonferens med alla berörda parter för att diskutera och främja samarbetet i kampen mot människosmuggling och människohandel</w:t>
      </w:r>
      <w:r>
        <w:rPr>
          <w:rStyle w:val="FootnoteReference"/>
          <w:noProof/>
        </w:rPr>
        <w:footnoteReference w:id="36"/>
      </w:r>
      <w:r>
        <w:rPr>
          <w:noProof/>
        </w:rPr>
        <w:t xml:space="preserve">. Niger, Chad, Libyen och Sudan nådde dessutom en ny överenskommelse om samarbete för att säkra de gemensamma gränserna och bekämpa organiserad brottslighet. </w:t>
      </w:r>
    </w:p>
    <w:p>
      <w:pPr>
        <w:rPr>
          <w:noProof/>
          <w:szCs w:val="24"/>
        </w:rPr>
      </w:pPr>
      <w:r>
        <w:rPr>
          <w:noProof/>
        </w:rPr>
        <w:t xml:space="preserve">Arbetet med att bekämpa nätverk för människosmuggling på </w:t>
      </w:r>
      <w:r>
        <w:rPr>
          <w:b/>
          <w:noProof/>
        </w:rPr>
        <w:t>Afrikas horn</w:t>
      </w:r>
      <w:r>
        <w:rPr>
          <w:noProof/>
        </w:rPr>
        <w:t xml:space="preserve"> har också intensifierats med den fortsatta utvecklingen av det regionala operativa centrumet för Khartoumprocessen som finansieras av EU:s förvaltningsfond och syftar till att stärka gemensamma utredningar mellan länderna på Afrikas horn och därutöver. Inom ramen för ett program för bättre migrationshantering på Afrikas horn har över 400 statstjänstemän fortbildas i migrations- och gränsförvaltning och cirka 150 berörda parter från den offentliga förvaltningen och icke-statliga organisationer har fortbildats om migranters rättigheter. </w:t>
      </w:r>
    </w:p>
    <w:p>
      <w:pPr>
        <w:rPr>
          <w:b/>
          <w:bCs/>
          <w:noProof/>
          <w:szCs w:val="24"/>
        </w:rPr>
      </w:pPr>
      <w:r>
        <w:rPr>
          <w:noProof/>
        </w:rPr>
        <w:t xml:space="preserve">Migration ingick också i dagordningen för det stabiliteskluster mellan EU och </w:t>
      </w:r>
      <w:r>
        <w:rPr>
          <w:b/>
          <w:noProof/>
        </w:rPr>
        <w:t>Egypten</w:t>
      </w:r>
      <w:r>
        <w:rPr>
          <w:noProof/>
        </w:rPr>
        <w:t xml:space="preserve"> som ägde rum i Kairo den 15 mars. Detta var en uppföljning av det första mötet i </w:t>
      </w:r>
      <w:r>
        <w:rPr>
          <w:noProof/>
        </w:rPr>
        <w:lastRenderedPageBreak/>
        <w:t>migrationsdialogen mellan EU och Egypten i december 2017, och kartlade framstegen inom de olika områdena för EU:s bilaterala samarbete med Egypten i fråga om migration. Man diskuterade också ökat samarbete med EU-byråerna.</w:t>
      </w:r>
    </w:p>
    <w:p>
      <w:pPr>
        <w:keepNext/>
        <w:spacing w:after="120"/>
        <w:rPr>
          <w:i/>
          <w:noProof/>
          <w:szCs w:val="24"/>
        </w:rPr>
      </w:pPr>
      <w:r>
        <w:rPr>
          <w:i/>
          <w:noProof/>
        </w:rPr>
        <w:t>Västra Medelhavsrutten</w:t>
      </w:r>
    </w:p>
    <w:p>
      <w:pPr>
        <w:rPr>
          <w:noProof/>
          <w:szCs w:val="24"/>
        </w:rPr>
      </w:pPr>
      <w:r>
        <w:rPr>
          <w:b/>
          <w:noProof/>
        </w:rPr>
        <w:t>Marocko</w:t>
      </w:r>
      <w:r>
        <w:rPr>
          <w:noProof/>
        </w:rPr>
        <w:t xml:space="preserve"> fortsätter sina ansträngningar för att förhindra irreguljär migration genom samarbete om gränsövervakning, särskilt med Spanien. Tekniska kontakter pågår, i syfte att staka ut ett stödpaket som ska stärka gränsförvaltningskapaciteterna och återuppliva förhandlingarna om avtal om förenklad visering och återanpassning. Ett program för budgetstöd till Marockos migrationspolitik (35 miljoner euro) undertecknades av kommissionen och Marocko i december 2017. Den 2 maj bekräftade Rabatprocessens femte ministerkonferens i Marrakesh sitt engagemang genom en gemensam handlingsplan för fortsatt samarbete kring orsakerna till migration, kampen mot smuggling och ökat återvändande och återanpassning</w:t>
      </w:r>
      <w:r>
        <w:rPr>
          <w:rStyle w:val="FootnoteReference"/>
          <w:noProof/>
        </w:rPr>
        <w:footnoteReference w:id="37"/>
      </w:r>
      <w:r>
        <w:rPr>
          <w:noProof/>
        </w:rPr>
        <w:t>.</w:t>
      </w:r>
    </w:p>
    <w:p>
      <w:pPr>
        <w:rPr>
          <w:noProof/>
          <w:szCs w:val="24"/>
        </w:rPr>
      </w:pPr>
      <w:r>
        <w:rPr>
          <w:noProof/>
        </w:rPr>
        <w:t xml:space="preserve">Efter att ha ökat med 43 % mellan 2016 och 2017 sjönk antalet </w:t>
      </w:r>
      <w:r>
        <w:rPr>
          <w:b/>
          <w:noProof/>
        </w:rPr>
        <w:t>algerier</w:t>
      </w:r>
      <w:r>
        <w:rPr>
          <w:noProof/>
        </w:rPr>
        <w:t xml:space="preserve"> som irreguljärt anländer till Europa under första kvartalet 2018, jämfört med samma period 2017</w:t>
      </w:r>
      <w:r>
        <w:rPr>
          <w:rStyle w:val="FootnoteReference"/>
          <w:noProof/>
        </w:rPr>
        <w:footnoteReference w:id="38"/>
      </w:r>
      <w:r>
        <w:rPr>
          <w:noProof/>
        </w:rPr>
        <w:t>. Algeriet fortsätter också att vara ett transitland för irreguljära migranter som försöker ta sig till Marocko och Libyen, och de algeriska myndigheterna rapporerar ökande ankomster från länderna söder om Sahara till Algeriet. EU och Algeriet har avtalat förbättrat informationsutbyte om olagliga ankomster, legala mobilitetsmöjligheter och återvändande, men detta har ännu inte omsatts i konkret samarbete.</w:t>
      </w:r>
    </w:p>
    <w:p>
      <w:pPr>
        <w:keepNext/>
        <w:pBdr>
          <w:top w:val="single" w:sz="4" w:space="1" w:color="auto"/>
          <w:left w:val="single" w:sz="4" w:space="4" w:color="auto"/>
          <w:bottom w:val="single" w:sz="4" w:space="1" w:color="auto"/>
          <w:right w:val="single" w:sz="4" w:space="4" w:color="auto"/>
        </w:pBdr>
        <w:rPr>
          <w:i/>
          <w:noProof/>
          <w:szCs w:val="24"/>
        </w:rPr>
      </w:pPr>
      <w:r>
        <w:rPr>
          <w:i/>
          <w:noProof/>
        </w:rPr>
        <w:t>Nästa steg:</w:t>
      </w:r>
    </w:p>
    <w:p>
      <w:pPr>
        <w:pStyle w:val="ListParagraph"/>
        <w:widowControl w:val="0"/>
        <w:numPr>
          <w:ilvl w:val="0"/>
          <w:numId w:val="25"/>
        </w:numPr>
        <w:pBdr>
          <w:top w:val="single" w:sz="4" w:space="1" w:color="auto"/>
          <w:left w:val="single" w:sz="4" w:space="4" w:color="auto"/>
          <w:bottom w:val="single" w:sz="4" w:space="1" w:color="auto"/>
          <w:right w:val="single" w:sz="4" w:space="4" w:color="auto"/>
        </w:pBdr>
        <w:tabs>
          <w:tab w:val="left" w:pos="567"/>
        </w:tabs>
        <w:spacing w:after="0"/>
        <w:rPr>
          <w:noProof/>
          <w:szCs w:val="24"/>
        </w:rPr>
      </w:pPr>
      <w:r>
        <w:rPr>
          <w:noProof/>
        </w:rPr>
        <w:t>UNHCR och medlemsstaterna bör fortsätta ansträngningarna för ökad evakuering och vidarebosättning genom nödförflyttningsmekanismen, genom att öka hänskjutandena och påskynda vidarebosättningen.</w:t>
      </w:r>
    </w:p>
    <w:p>
      <w:pPr>
        <w:pStyle w:val="ListParagraph"/>
        <w:widowControl w:val="0"/>
        <w:numPr>
          <w:ilvl w:val="0"/>
          <w:numId w:val="25"/>
        </w:numPr>
        <w:pBdr>
          <w:top w:val="single" w:sz="4" w:space="1" w:color="auto"/>
          <w:left w:val="single" w:sz="4" w:space="4" w:color="auto"/>
          <w:bottom w:val="single" w:sz="4" w:space="1" w:color="auto"/>
          <w:right w:val="single" w:sz="4" w:space="4" w:color="auto"/>
        </w:pBdr>
        <w:tabs>
          <w:tab w:val="left" w:pos="567"/>
        </w:tabs>
        <w:spacing w:after="0"/>
        <w:rPr>
          <w:noProof/>
          <w:szCs w:val="24"/>
        </w:rPr>
      </w:pPr>
      <w:r>
        <w:rPr>
          <w:noProof/>
        </w:rPr>
        <w:t>Fortsätta arbetet med EU:s, Afrikanska unionens och FN:s gemensamma arbetsgrupp för att hjälpa människor att lämna Libyen och med de libyska myndigheterna för att avsluta det systematiska frihetsberövandet av migranter.</w:t>
      </w:r>
    </w:p>
    <w:p>
      <w:pPr>
        <w:pStyle w:val="ListParagraph"/>
        <w:widowControl w:val="0"/>
        <w:numPr>
          <w:ilvl w:val="0"/>
          <w:numId w:val="25"/>
        </w:numPr>
        <w:pBdr>
          <w:top w:val="single" w:sz="4" w:space="1" w:color="auto"/>
          <w:left w:val="single" w:sz="4" w:space="4" w:color="auto"/>
          <w:bottom w:val="single" w:sz="4" w:space="1" w:color="auto"/>
          <w:right w:val="single" w:sz="4" w:space="4" w:color="auto"/>
        </w:pBdr>
        <w:tabs>
          <w:tab w:val="left" w:pos="567"/>
        </w:tabs>
        <w:spacing w:after="0"/>
        <w:rPr>
          <w:noProof/>
          <w:szCs w:val="24"/>
        </w:rPr>
      </w:pPr>
      <w:r>
        <w:rPr>
          <w:noProof/>
        </w:rPr>
        <w:t xml:space="preserve">Öka samarbetet med Sahelländerna i kampen mot människosmuggling och människohandel, i enlighet med den deklaration som antogs i Niamey i mars. </w:t>
      </w:r>
    </w:p>
    <w:p>
      <w:pPr>
        <w:pStyle w:val="ListParagraph"/>
        <w:widowControl w:val="0"/>
        <w:numPr>
          <w:ilvl w:val="0"/>
          <w:numId w:val="25"/>
        </w:numPr>
        <w:pBdr>
          <w:top w:val="single" w:sz="4" w:space="1" w:color="auto"/>
          <w:left w:val="single" w:sz="4" w:space="4" w:color="auto"/>
          <w:bottom w:val="single" w:sz="4" w:space="1" w:color="auto"/>
          <w:right w:val="single" w:sz="4" w:space="4" w:color="auto"/>
        </w:pBdr>
        <w:tabs>
          <w:tab w:val="left" w:pos="567"/>
        </w:tabs>
        <w:spacing w:after="0"/>
        <w:rPr>
          <w:noProof/>
          <w:szCs w:val="24"/>
        </w:rPr>
      </w:pPr>
      <w:r>
        <w:rPr>
          <w:noProof/>
        </w:rPr>
        <w:t>Fortsätta att förstärka migrationsdialogerna med härkomstländerna, och sammankoppla alla pelare i handlingsplanen från Valetta.</w:t>
      </w:r>
    </w:p>
    <w:p>
      <w:pPr>
        <w:pStyle w:val="Heading1"/>
        <w:spacing w:before="480"/>
        <w:ind w:left="482" w:hanging="482"/>
        <w:rPr>
          <w:noProof/>
        </w:rPr>
      </w:pPr>
      <w:r>
        <w:rPr>
          <w:noProof/>
        </w:rPr>
        <w:t xml:space="preserve">ÅTERVÄNDANDE OCH ÅTERTAGANDE </w:t>
      </w:r>
    </w:p>
    <w:p>
      <w:pPr>
        <w:rPr>
          <w:noProof/>
          <w:szCs w:val="24"/>
        </w:rPr>
      </w:pPr>
      <w:r>
        <w:rPr>
          <w:noProof/>
        </w:rPr>
        <w:t xml:space="preserve">Statistiken om återvändande under 2017 visar att antalet utfärdade återvändandebeslut i EU under 2017 (516 115 återvändandebeslut), jämfört med 2016 (493 785 återvändandebeslut), ökat med 4 %. Ökningen kan främst hänföras till att ett stort antal asylförfaranden och asylöverklaganden (många inleddes i samband med massinströmningen till EU) håller på att slutföras, och i många fall leder till ett negativt beslut. Antalet utfärdade återvändandebeslut i de mest berörda medlemsstaterna ökar stadigt, särskilt i Tyskland och Grekland. </w:t>
      </w:r>
    </w:p>
    <w:p>
      <w:pPr>
        <w:rPr>
          <w:noProof/>
          <w:szCs w:val="24"/>
        </w:rPr>
      </w:pPr>
      <w:r>
        <w:rPr>
          <w:noProof/>
        </w:rPr>
        <w:lastRenderedPageBreak/>
        <w:t>Antalet utfärdade återvändandebeslut leder emellertid inte till en lika stor ökning av antalet faktiskt genomförda återvändanden. Tvärt om visar de uppgifter medlemsstaterna gett till Eurostat tydligt att antalet genomförda återvändanden under 2017 sjönk med nästan 20 %, från 226 150 under 2016 till 188 920 under 2017. Detta utgör en betydande minskning av återvändandeandelen</w:t>
      </w:r>
      <w:r>
        <w:rPr>
          <w:rStyle w:val="FootnoteReference"/>
          <w:noProof/>
        </w:rPr>
        <w:footnoteReference w:id="39"/>
      </w:r>
      <w:r>
        <w:rPr>
          <w:noProof/>
        </w:rPr>
        <w:t xml:space="preserve"> i hela EU, från 45,8 % 2016 till endast 36,6 % 2017. </w:t>
      </w:r>
    </w:p>
    <w:p>
      <w:pPr>
        <w:rPr>
          <w:noProof/>
          <w:szCs w:val="24"/>
        </w:rPr>
      </w:pPr>
      <w:r>
        <w:rPr>
          <w:noProof/>
        </w:rPr>
        <w:t xml:space="preserve">Den negativa trenden kan delvis förklaras med att antalet potentiella återvändande från länderna på västra Balkan har minskat betydligt. Samarbete med dessa länder om återtagande av egna medborgare har varit föredömligt under de senaste två åren, vilket har underlättats av EU:s återanpassningsavtal. Därigenom kunde man under 2015 och 2016 arbeta undan de förseningar med återvändande till dessa länder som samlats på hög, och detta ökade i sin tur EU:s genomsnittliga återvändandeandel. </w:t>
      </w:r>
    </w:p>
    <w:p>
      <w:pPr>
        <w:rPr>
          <w:noProof/>
          <w:szCs w:val="24"/>
        </w:rPr>
      </w:pPr>
      <w:r>
        <w:rPr>
          <w:noProof/>
        </w:rPr>
        <w:t>Men även om man räknar bort siffrorna för västra Balkan från de sammanlagda siffrorna för 2017 ser man ändå en minskning av återvändandeandelen från 34,5 % 2016 till 29,2 % 2017. Detta kan förklaras med en proportionell ökning av antalet återvändandebeslut för personer från mindre samarbetsvilliga härkomstländer för irreguljära migranter, som inte motsvaras av faktiska återvändanden. Det visar tydligt på behovet av extra insatser från medlemsstaternas sida för att se till att återvändandebeslut omsätts i praktiken. Därvid bör man utgå från arbetet inom ramen för partnerskapen och utnyttja Europeiska gräns- och kustbevakningsbyrån.</w:t>
      </w:r>
    </w:p>
    <w:p>
      <w:pPr>
        <w:rPr>
          <w:noProof/>
          <w:szCs w:val="24"/>
        </w:rPr>
      </w:pPr>
      <w:r>
        <w:rPr>
          <w:noProof/>
        </w:rPr>
        <w:t>Tredjeländers samarbete kring återanpassning av de egna medborgarna förblir problematiskt, men man har under 2017 sett betydande framsteg och slutet lera nya konkreta överenskommelser. Det mål som sattes upp i kommissionens färdplan från december 2017 om att nå en överenskommelse med tre partnerländer om återvändande och återtagande har uppnåtts</w:t>
      </w:r>
      <w:r>
        <w:rPr>
          <w:rStyle w:val="FootnoteReference"/>
          <w:noProof/>
        </w:rPr>
        <w:footnoteReference w:id="40"/>
      </w:r>
      <w:r>
        <w:rPr>
          <w:noProof/>
        </w:rPr>
        <w:t>. Den översyn av lagstiftningen om sambandsmän för invandring som kommissionen föreslår kommer också att bidra till ökad samordning på detta område</w:t>
      </w:r>
      <w:r>
        <w:rPr>
          <w:rStyle w:val="FootnoteReference"/>
          <w:noProof/>
        </w:rPr>
        <w:footnoteReference w:id="41"/>
      </w:r>
      <w:r>
        <w:rPr>
          <w:noProof/>
        </w:rPr>
        <w:t xml:space="preserve">. </w:t>
      </w:r>
    </w:p>
    <w:p>
      <w:pPr>
        <w:rPr>
          <w:noProof/>
          <w:sz w:val="23"/>
          <w:szCs w:val="23"/>
        </w:rPr>
      </w:pPr>
      <w:r>
        <w:rPr>
          <w:noProof/>
          <w:sz w:val="23"/>
        </w:rPr>
        <w:t>I samband med förslaget till ändring av viseringskodexen</w:t>
      </w:r>
      <w:r>
        <w:rPr>
          <w:rStyle w:val="FootnoteReference"/>
          <w:noProof/>
          <w:sz w:val="23"/>
        </w:rPr>
        <w:footnoteReference w:id="42"/>
      </w:r>
      <w:r>
        <w:rPr>
          <w:noProof/>
          <w:sz w:val="23"/>
        </w:rPr>
        <w:t xml:space="preserve"> föreslår kommissionen att stärka användningen av viseringspolitik som ett verktyg för att uppnå framsteg i samarbetet om återvändande och återtagande med länder utanför EU. Strängare villkor kommer att fastställas för handläggning av ansökningar om visering för medborgare från länder utanför EU som inte samarbetar på ett tillfredsställande sätt i fråga om återvändande och återtagande.</w:t>
      </w:r>
    </w:p>
    <w:p>
      <w:pPr>
        <w:rPr>
          <w:noProof/>
          <w:szCs w:val="24"/>
        </w:rPr>
      </w:pPr>
      <w:r>
        <w:rPr>
          <w:noProof/>
        </w:rPr>
        <w:t xml:space="preserve">Medlemsstaternas engagemang i detta samarbete och deras helhjärtade utnyttjande av dessa verktyg är emellertid en förutsättning för at ten avgörande ökning av antalet återvändanden ska kunna uppnås. Hittills har det iakttagits stora skillnader på detta område: Vissa medlemsstater utnyttjar de befintliga verktygen på ett proaktivt och effektivt sätt, och börjar därför se resultat, men andrahar ännu inte tagit upp de nya förfarandena i sitt arbetsflöde och har inte inlett genomförandet. Kommissionen och Europeiska gräns- och kustbevakningsbyrån erbjuder särskilt stöd till medlemsstaterna för att utnyttja de nya arrangemangen optimalt, till exempel genom informationsseminarier med tredjeländer om de nya förfarandena. På lång sikt torde vissa specifika insatser, som inrättandet av en elektronisk </w:t>
      </w:r>
      <w:r>
        <w:rPr>
          <w:noProof/>
        </w:rPr>
        <w:lastRenderedPageBreak/>
        <w:t xml:space="preserve">plattform (Pakistan) eller uppdatering av befintliga plattformar (Sri Lanka), eller förfaranden för elektronisk kontroll av medborgarskap (Bangladesh) ge betydande resultat. </w:t>
      </w:r>
    </w:p>
    <w:p>
      <w:pPr>
        <w:rPr>
          <w:noProof/>
          <w:szCs w:val="24"/>
        </w:rPr>
      </w:pPr>
      <w:r>
        <w:rPr>
          <w:noProof/>
        </w:rPr>
        <w:t xml:space="preserve">Ett växande antal återvändandeinsatser har fått operationellt stöd av </w:t>
      </w:r>
      <w:r>
        <w:rPr>
          <w:b/>
          <w:noProof/>
        </w:rPr>
        <w:t>Europeiska gräns- och kustbevakningsbyrån</w:t>
      </w:r>
      <w:r>
        <w:rPr>
          <w:noProof/>
        </w:rPr>
        <w:t>. Europeiska gräns- och kustbevakningsbyrån har organiserat eller samordnat 111 insatser under 2018 (fram till slutet av april), jämfört med 39 under samma period 2016 och 108 under samma period 2017</w:t>
      </w:r>
      <w:r>
        <w:rPr>
          <w:rStyle w:val="FootnoteReference"/>
          <w:noProof/>
        </w:rPr>
        <w:footnoteReference w:id="43"/>
      </w:r>
      <w:r>
        <w:rPr>
          <w:noProof/>
        </w:rPr>
        <w:t xml:space="preserve">. Medlemsstaterna måste emellertid utnyttja byråns nya och utvidgade mandat för återvändande bättre. De måste också se till att de ökande behoven i tillräcklig utsträckning tillgodoses genom tillgänglig kapacitet för att genomföra återvändanden, garantera de återvändandes fysiska närvaro och tillämpa snabba och effektiva återvändandeförfaranden. </w:t>
      </w:r>
    </w:p>
    <w:p>
      <w:pPr>
        <w:rPr>
          <w:noProof/>
          <w:szCs w:val="24"/>
        </w:rPr>
      </w:pPr>
      <w:r>
        <w:rPr>
          <w:noProof/>
        </w:rPr>
        <w:t>Som uppföljning på kommissionens åtagande</w:t>
      </w:r>
      <w:r>
        <w:rPr>
          <w:rStyle w:val="FootnoteReference"/>
          <w:noProof/>
        </w:rPr>
        <w:footnoteReference w:id="44"/>
      </w:r>
      <w:r>
        <w:rPr>
          <w:noProof/>
        </w:rPr>
        <w:t xml:space="preserve"> för ökad tydlighet kring riskerna för kriminalisering av dem som ger genuint humanitärt stöd till migranter i nöd organiserades den 3 maj ett första utbyte av synpunkter med de viktigaste berörda icke-statliga organisationerna och byrån för grundläggande rättigheter. Detta skulle leda till samsyn om den nuvarande situationen och utbyten om möjliga vägar framåt. </w:t>
      </w:r>
    </w:p>
    <w:p>
      <w:pPr>
        <w:rPr>
          <w:noProof/>
          <w:szCs w:val="24"/>
        </w:rPr>
      </w:pPr>
      <w:r>
        <w:rPr>
          <w:noProof/>
        </w:rPr>
        <w:t>Mer detaljerad, regelbunden och aktuell statistik om asyl och hantering av migration (inbegripet återvändande och återanpassning) är en förutsättning för att man ska kunna övervaka återvändanden. Sådan statistik skulle bidra till en mer omfattande och regelbunden översikt över situationen inom området asyl och hantering av migration. Mot bakgrund av detta föreslår kommissionen, så som annonserats i lägesrapporten i november 2017</w:t>
      </w:r>
      <w:r>
        <w:rPr>
          <w:rStyle w:val="FootnoteReference"/>
          <w:noProof/>
        </w:rPr>
        <w:footnoteReference w:id="45"/>
      </w:r>
      <w:r>
        <w:rPr>
          <w:noProof/>
        </w:rPr>
        <w:t>, att avhjälpa de största luckorna genom att anpassa lagstiftningen om statistik om migration och internationellt skydd</w:t>
      </w:r>
      <w:r>
        <w:rPr>
          <w:rStyle w:val="FootnoteReference"/>
          <w:noProof/>
        </w:rPr>
        <w:footnoteReference w:id="46"/>
      </w:r>
      <w:r>
        <w:rPr>
          <w:noProof/>
        </w:rPr>
        <w:t>. I syfte att ytterligare förbättra samarbetet kring återvändande måste alla incitament och drivmedel i vår inrikes- och utrikespolitik utnyttjas.</w:t>
      </w:r>
    </w:p>
    <w:p>
      <w:pPr>
        <w:keepNext/>
        <w:pBdr>
          <w:top w:val="single" w:sz="4" w:space="1" w:color="auto"/>
          <w:left w:val="single" w:sz="4" w:space="4" w:color="auto"/>
          <w:bottom w:val="single" w:sz="4" w:space="1" w:color="auto"/>
          <w:right w:val="single" w:sz="4" w:space="4" w:color="auto"/>
        </w:pBdr>
        <w:rPr>
          <w:i/>
          <w:noProof/>
          <w:szCs w:val="24"/>
        </w:rPr>
      </w:pPr>
      <w:r>
        <w:rPr>
          <w:i/>
          <w:noProof/>
        </w:rPr>
        <w:t>Nästa steg:</w:t>
      </w:r>
    </w:p>
    <w:p>
      <w:pPr>
        <w:pStyle w:val="ListParagraph"/>
        <w:widowControl w:val="0"/>
        <w:numPr>
          <w:ilvl w:val="0"/>
          <w:numId w:val="23"/>
        </w:numPr>
        <w:pBdr>
          <w:top w:val="single" w:sz="4" w:space="1" w:color="auto"/>
          <w:left w:val="single" w:sz="4" w:space="4" w:color="auto"/>
          <w:bottom w:val="single" w:sz="4" w:space="1" w:color="auto"/>
          <w:right w:val="single" w:sz="4" w:space="4" w:color="auto"/>
        </w:pBdr>
        <w:spacing w:after="0"/>
        <w:rPr>
          <w:noProof/>
          <w:szCs w:val="24"/>
        </w:rPr>
      </w:pPr>
      <w:r>
        <w:rPr>
          <w:noProof/>
        </w:rPr>
        <w:t xml:space="preserve">Uppnå medlemsstaternas fulla utnyttjande av de nyligen införda arrangemangen om återvändande och återtagande samt öka antalet ansökningar om återtagande till de berörda länderna. </w:t>
      </w:r>
    </w:p>
    <w:p>
      <w:pPr>
        <w:pStyle w:val="ListParagraph"/>
        <w:widowControl w:val="0"/>
        <w:numPr>
          <w:ilvl w:val="0"/>
          <w:numId w:val="23"/>
        </w:numPr>
        <w:pBdr>
          <w:top w:val="single" w:sz="4" w:space="1" w:color="auto"/>
          <w:left w:val="single" w:sz="4" w:space="4" w:color="auto"/>
          <w:bottom w:val="single" w:sz="4" w:space="1" w:color="auto"/>
          <w:right w:val="single" w:sz="4" w:space="4" w:color="auto"/>
        </w:pBdr>
        <w:spacing w:after="0"/>
        <w:rPr>
          <w:noProof/>
          <w:szCs w:val="24"/>
        </w:rPr>
      </w:pPr>
      <w:r>
        <w:rPr>
          <w:noProof/>
        </w:rPr>
        <w:t>Uppnå medlemsstaternas fulla utnyttjande av de möjligheter som Europeiska gräns- och kustbevakningsbyrån erbjuder för återvändandeinsatser, i syfte att understödja en kraftfullare approach i medlemsstaterna för att garantera att återvändandebeslut omsätts i praktiken.</w:t>
      </w:r>
    </w:p>
    <w:p>
      <w:pPr>
        <w:pStyle w:val="ListParagraph"/>
        <w:widowControl w:val="0"/>
        <w:numPr>
          <w:ilvl w:val="0"/>
          <w:numId w:val="23"/>
        </w:numPr>
        <w:pBdr>
          <w:top w:val="single" w:sz="4" w:space="1" w:color="auto"/>
          <w:left w:val="single" w:sz="4" w:space="4" w:color="auto"/>
          <w:bottom w:val="single" w:sz="4" w:space="1" w:color="auto"/>
          <w:right w:val="single" w:sz="4" w:space="4" w:color="auto"/>
        </w:pBdr>
        <w:spacing w:after="0"/>
        <w:rPr>
          <w:noProof/>
          <w:szCs w:val="24"/>
        </w:rPr>
      </w:pPr>
      <w:r>
        <w:rPr>
          <w:noProof/>
        </w:rPr>
        <w:t>Europaparlamentet och rådet bör fortsätta sina insatser för att snabbt komma vidare med kommissionens förslag av den 14 mars om ändring av viseringskodexen.</w:t>
      </w:r>
    </w:p>
    <w:p>
      <w:pPr>
        <w:pStyle w:val="ListParagraph"/>
        <w:widowControl w:val="0"/>
        <w:numPr>
          <w:ilvl w:val="0"/>
          <w:numId w:val="23"/>
        </w:numPr>
        <w:pBdr>
          <w:top w:val="single" w:sz="4" w:space="1" w:color="auto"/>
          <w:left w:val="single" w:sz="4" w:space="4" w:color="auto"/>
          <w:bottom w:val="single" w:sz="4" w:space="1" w:color="auto"/>
          <w:right w:val="single" w:sz="4" w:space="4" w:color="auto"/>
        </w:pBdr>
        <w:spacing w:after="0"/>
        <w:rPr>
          <w:noProof/>
          <w:szCs w:val="24"/>
        </w:rPr>
      </w:pPr>
      <w:r>
        <w:rPr>
          <w:noProof/>
        </w:rPr>
        <w:t>Snabbt genomförande av de nya reglerna om förbättrad statistik om asyl och hantering av migration, inbegripet om återvändande och återanpassning.</w:t>
      </w:r>
    </w:p>
    <w:p>
      <w:pPr>
        <w:pStyle w:val="Heading1"/>
        <w:spacing w:before="480"/>
        <w:ind w:left="482" w:hanging="482"/>
        <w:rPr>
          <w:noProof/>
        </w:rPr>
      </w:pPr>
      <w:r>
        <w:rPr>
          <w:noProof/>
        </w:rPr>
        <w:t xml:space="preserve">FÖRSTÄRKT FÖRVALTNING AV DE YTTRE GRÄNSERNA </w:t>
      </w:r>
    </w:p>
    <w:p>
      <w:pPr>
        <w:pStyle w:val="CommentText"/>
        <w:rPr>
          <w:noProof/>
          <w:color w:val="000000"/>
          <w:sz w:val="24"/>
          <w:szCs w:val="24"/>
        </w:rPr>
      </w:pPr>
      <w:r>
        <w:rPr>
          <w:noProof/>
          <w:color w:val="000000"/>
          <w:sz w:val="24"/>
        </w:rPr>
        <w:t>Europeiska gräns- och kustbevakningsbyrån fortsätter att stödja medlemsstaterna genom gemensamma insatser längs de huvudsakliga migrationsrutterna i det östra, centrala och västra Medelhavsområdet samt på västra Balkan, med över</w:t>
      </w:r>
      <w:r>
        <w:rPr>
          <w:noProof/>
        </w:rPr>
        <w:t xml:space="preserve"> </w:t>
      </w:r>
      <w:r>
        <w:rPr>
          <w:noProof/>
          <w:sz w:val="24"/>
        </w:rPr>
        <w:t xml:space="preserve">1 300 </w:t>
      </w:r>
      <w:r>
        <w:rPr>
          <w:noProof/>
          <w:color w:val="000000"/>
          <w:sz w:val="24"/>
        </w:rPr>
        <w:t xml:space="preserve">gränsbevakningstjänstemän och </w:t>
      </w:r>
      <w:r>
        <w:rPr>
          <w:noProof/>
          <w:color w:val="000000"/>
          <w:sz w:val="24"/>
        </w:rPr>
        <w:lastRenderedPageBreak/>
        <w:t>andra anställda utstationerade</w:t>
      </w:r>
      <w:r>
        <w:rPr>
          <w:noProof/>
          <w:sz w:val="24"/>
        </w:rPr>
        <w:t>.</w:t>
      </w:r>
      <w:r>
        <w:rPr>
          <w:noProof/>
          <w:color w:val="000000"/>
          <w:sz w:val="24"/>
        </w:rPr>
        <w:t xml:space="preserve"> Byrån har erbjudit sig att tredubbla sina insatser vid de grekiska landgränserna till Albanien och f.d. jugoslaviska republiken Makedonien. </w:t>
      </w:r>
    </w:p>
    <w:p>
      <w:pPr>
        <w:rPr>
          <w:noProof/>
          <w:color w:val="000000"/>
          <w:szCs w:val="24"/>
        </w:rPr>
      </w:pPr>
      <w:r>
        <w:rPr>
          <w:noProof/>
          <w:color w:val="000000"/>
        </w:rPr>
        <w:t xml:space="preserve">Allvarliga brister i åtagandena för den operativa verksamheten under 2018 har konstaterats. Trots två öppna anbudsförfaranden den 19 januari 2018 och den 23 mars 2018 kunde inga större förbättringar iakttas. Tillsammans skulle alla åtaganden som gjorts fram till slutet av april 2018 endast täcka 49 % av de fastställda operationella behoven för experter och 44 % av de tekniska tillgängarna för verksamheten vid landgränserna under perioden maj-juni 2018. För verksamheten vid sjögränserna finns åtaganden för 85 % av experterna men endast 51 % de av tekniska resurserna. </w:t>
      </w:r>
    </w:p>
    <w:p>
      <w:pPr>
        <w:rPr>
          <w:noProof/>
          <w:color w:val="000000"/>
          <w:szCs w:val="24"/>
        </w:rPr>
      </w:pPr>
      <w:r>
        <w:rPr>
          <w:noProof/>
          <w:color w:val="000000"/>
        </w:rPr>
        <w:t xml:space="preserve">Dessa betydande brister riskerar att även fortsättningsvis begränsa genomförandet av den verksamhet som planerats fram till december 2018. Den 17 april 2018 höll byrån ett högnivåmöte med medlemsstaterna och kommissionen för att förbättra förfarandet med årliga åtaganden för 2019 genom att öka flexibiliteten och transparensen och inleda förfarandet tidigare för att möjliggöra anpassningar och andra lindrande insatser (till exempel utnyttjandet av egna tekniska resurser). </w:t>
      </w:r>
    </w:p>
    <w:p>
      <w:pPr>
        <w:rPr>
          <w:noProof/>
        </w:rPr>
      </w:pPr>
      <w:r>
        <w:rPr>
          <w:noProof/>
        </w:rPr>
        <w:t xml:space="preserve">Det totala antalet utnämnda gränsbevakningstjänstemän som är tillgängliga för utplacering inom ramen för de sammanslagna resurserna för snabba insatser uppgick den 30 april 2018 till 1 482 personer, vilket utgör 99 % av de sammanslagna resurserna. Endast två medlemsstater har ännu inte utsett gränsbevakningstjänstemän. Medlemsstaterna har inte åtgärdat den stora luckan i den europeiska reserven med utrustning för snabba insatserreserven med utrustning för snabba insatser sedan förra rapporten. </w:t>
      </w:r>
    </w:p>
    <w:p>
      <w:pPr>
        <w:rPr>
          <w:noProof/>
          <w:szCs w:val="24"/>
        </w:rPr>
      </w:pPr>
      <w:r>
        <w:rPr>
          <w:noProof/>
        </w:rPr>
        <w:t>Den 2 maj antog kommissionen sitt förslag till den fleråriga budgetramen 2021-2027. Där avsätts betydande medel till stöd för den framtida utvecklingen av Europeiska gräns- och kustbevakningsbyrån, med inrättandet av en ständig styrka på 10 000 gränsbevakningstjänstemän som står till byråns förfogande, så att byrån i praktiken kan utföra sin uppgift att stödja säkra yttergränser i EU.</w:t>
      </w:r>
    </w:p>
    <w:tbl>
      <w:tblPr>
        <w:tblStyle w:val="TableGrid"/>
        <w:tblW w:w="0" w:type="auto"/>
        <w:tblLook w:val="04A0" w:firstRow="1" w:lastRow="0" w:firstColumn="1" w:lastColumn="0" w:noHBand="0" w:noVBand="1"/>
      </w:tblPr>
      <w:tblGrid>
        <w:gridCol w:w="9286"/>
      </w:tblGrid>
      <w:tr>
        <w:tc>
          <w:tcPr>
            <w:tcW w:w="9286" w:type="dxa"/>
          </w:tcPr>
          <w:p>
            <w:pPr>
              <w:keepNext/>
              <w:rPr>
                <w:rFonts w:ascii="Times New Roman" w:hAnsi="Times New Roman"/>
                <w:i/>
                <w:noProof/>
                <w:szCs w:val="24"/>
              </w:rPr>
            </w:pPr>
            <w:r>
              <w:rPr>
                <w:rFonts w:ascii="Times New Roman" w:hAnsi="Times New Roman"/>
                <w:i/>
                <w:noProof/>
              </w:rPr>
              <w:t>Nästa steg</w:t>
            </w:r>
          </w:p>
          <w:p>
            <w:pPr>
              <w:pStyle w:val="ListParagraph"/>
              <w:numPr>
                <w:ilvl w:val="0"/>
                <w:numId w:val="21"/>
              </w:numPr>
              <w:spacing w:after="0"/>
              <w:ind w:left="426"/>
              <w:rPr>
                <w:rFonts w:ascii="Times New Roman" w:hAnsi="Times New Roman"/>
                <w:noProof/>
                <w:szCs w:val="24"/>
              </w:rPr>
            </w:pPr>
            <w:r>
              <w:rPr>
                <w:rFonts w:ascii="Times New Roman" w:hAnsi="Times New Roman"/>
                <w:noProof/>
              </w:rPr>
              <w:t>Medlemsstaterna bör snabbt och fullt ut följa upp rekommendationerna från sårbarhetsanalysen 2017.</w:t>
            </w:r>
          </w:p>
          <w:p>
            <w:pPr>
              <w:pStyle w:val="ListParagraph"/>
              <w:numPr>
                <w:ilvl w:val="0"/>
                <w:numId w:val="21"/>
              </w:numPr>
              <w:spacing w:after="0"/>
              <w:ind w:left="426"/>
              <w:rPr>
                <w:rFonts w:ascii="Times New Roman" w:hAnsi="Times New Roman"/>
                <w:noProof/>
                <w:szCs w:val="24"/>
              </w:rPr>
            </w:pPr>
            <w:r>
              <w:rPr>
                <w:rFonts w:ascii="Times New Roman" w:hAnsi="Times New Roman"/>
                <w:noProof/>
              </w:rPr>
              <w:t xml:space="preserve">Medlemsstaterna bör utan dröjsmål göra de åtaganden som saknas för den Europeiska gräns- och kustbevakningsbyråns operativa verksamhet som planeras för 2018 vid EU:s yttre gränser. </w:t>
            </w:r>
          </w:p>
          <w:p>
            <w:pPr>
              <w:pStyle w:val="ListParagraph"/>
              <w:numPr>
                <w:ilvl w:val="0"/>
                <w:numId w:val="21"/>
              </w:numPr>
              <w:spacing w:after="0"/>
              <w:ind w:left="426"/>
              <w:rPr>
                <w:noProof/>
                <w:szCs w:val="24"/>
              </w:rPr>
            </w:pPr>
            <w:r>
              <w:rPr>
                <w:rFonts w:ascii="Times New Roman" w:hAnsi="Times New Roman"/>
                <w:noProof/>
              </w:rPr>
              <w:t>Europeiska gräns- och kustbevakningsbyrån bör under de kommande månaderna fastställa en teknisk och operativ strategi för europeisk integrerad gränsförvaltning och medlemsstaterna bör säkerställa att motsvarande nationella strategier finns på plats.</w:t>
            </w:r>
          </w:p>
        </w:tc>
      </w:tr>
    </w:tbl>
    <w:p>
      <w:pPr>
        <w:pStyle w:val="Heading1"/>
        <w:numPr>
          <w:ilvl w:val="0"/>
          <w:numId w:val="0"/>
        </w:numPr>
        <w:spacing w:before="0" w:after="0"/>
        <w:ind w:left="480"/>
        <w:rPr>
          <w:noProof/>
        </w:rPr>
      </w:pPr>
    </w:p>
    <w:p>
      <w:pPr>
        <w:pStyle w:val="Heading1"/>
        <w:rPr>
          <w:noProof/>
        </w:rPr>
      </w:pPr>
      <w:r>
        <w:rPr>
          <w:noProof/>
        </w:rPr>
        <w:t xml:space="preserve">OMPLACERING, VIDAREBOSÄTTNING, VISUM OCH LAGLIGA VÄGAR </w:t>
      </w:r>
    </w:p>
    <w:p>
      <w:pPr>
        <w:pStyle w:val="ListParagraph"/>
        <w:ind w:left="0"/>
        <w:rPr>
          <w:rFonts w:eastAsiaTheme="minorHAnsi"/>
          <w:bCs/>
          <w:noProof/>
          <w:color w:val="000000"/>
          <w:szCs w:val="24"/>
        </w:rPr>
      </w:pPr>
      <w:r>
        <w:rPr>
          <w:rFonts w:eastAsiaTheme="minorHAnsi"/>
          <w:noProof/>
          <w:color w:val="000000"/>
        </w:rPr>
        <w:t>I slutet av mars 2018 hade alla behöriga sökande omplacerats från Grekland till andra medlemsstater, sammanlagt 21 999 personer, inbegripet 546 ensamkommande barn till 24 länder</w:t>
      </w:r>
      <w:r>
        <w:rPr>
          <w:rStyle w:val="FootnoteReference"/>
          <w:noProof/>
        </w:rPr>
        <w:footnoteReference w:id="47"/>
      </w:r>
      <w:r>
        <w:rPr>
          <w:rFonts w:eastAsiaTheme="minorHAnsi"/>
          <w:noProof/>
          <w:color w:val="000000"/>
        </w:rPr>
        <w:t xml:space="preserve">. Fram till den 7 maj 2018 hade 12 691 personer omplacerats från Italien (inbegripet </w:t>
      </w:r>
      <w:r>
        <w:rPr>
          <w:rFonts w:eastAsiaTheme="minorHAnsi"/>
          <w:noProof/>
          <w:color w:val="000000"/>
        </w:rPr>
        <w:lastRenderedPageBreak/>
        <w:t>256 ensamkommande barn), med 31 sökande (inbegripet 26 ensamkommande barn) som redan tagits emot för vidarebosättning och som väntade på att överföras. Italien har skickat fyra vidarebosättningsansökningar för ensamkommande barn som ännu inte har besvarats</w:t>
      </w:r>
      <w:r>
        <w:rPr>
          <w:rStyle w:val="FootnoteReference"/>
          <w:noProof/>
        </w:rPr>
        <w:footnoteReference w:id="48"/>
      </w:r>
      <w:r>
        <w:rPr>
          <w:rFonts w:eastAsiaTheme="minorHAnsi"/>
          <w:noProof/>
          <w:color w:val="000000"/>
        </w:rPr>
        <w:t xml:space="preserve">. </w:t>
      </w:r>
      <w:r>
        <w:rPr>
          <w:noProof/>
        </w:rPr>
        <w:t xml:space="preserve">Vidarebosättning har varit en framgång, och sammanlagt har </w:t>
      </w:r>
      <w:r>
        <w:rPr>
          <w:rFonts w:eastAsiaTheme="minorHAnsi"/>
          <w:noProof/>
          <w:color w:val="000000"/>
        </w:rPr>
        <w:t xml:space="preserve">96 % av alla behöriga personer omplacerats.  </w:t>
      </w:r>
    </w:p>
    <w:p>
      <w:pPr>
        <w:pStyle w:val="ListParagraph"/>
        <w:rPr>
          <w:rFonts w:eastAsiaTheme="minorHAnsi"/>
          <w:bCs/>
          <w:noProof/>
          <w:color w:val="000000"/>
          <w:szCs w:val="24"/>
        </w:rPr>
      </w:pPr>
    </w:p>
    <w:p>
      <w:pPr>
        <w:pStyle w:val="ListParagraph"/>
        <w:ind w:left="0"/>
        <w:rPr>
          <w:rFonts w:eastAsiaTheme="minorHAnsi"/>
          <w:bCs/>
          <w:noProof/>
          <w:color w:val="000000"/>
          <w:szCs w:val="24"/>
        </w:rPr>
      </w:pPr>
      <w:r>
        <w:rPr>
          <w:rFonts w:eastAsiaTheme="minorHAnsi"/>
          <w:noProof/>
          <w:color w:val="000000"/>
        </w:rPr>
        <w:t>På grund av det fortsatt migrationstrycket på Grekland och Italien uppmanade kommissionen i september 2017 alla medlemsstater att överväga omplaceringar på frivillig bas, utöver omplaceringsmekanismerna för nödsituationer, och åtog sig att tillhandahålla det ekonomiska stöd som behövdes. Kommissionen uppmuntrar alla medlemsstater att rådgöra med Grekland och Italien och utnyttja denna möjlighet om det går.</w:t>
      </w:r>
    </w:p>
    <w:p>
      <w:pPr>
        <w:pStyle w:val="ListParagraph"/>
        <w:ind w:left="0"/>
        <w:rPr>
          <w:rFonts w:eastAsiaTheme="minorHAnsi"/>
          <w:bCs/>
          <w:noProof/>
          <w:color w:val="000000"/>
          <w:szCs w:val="24"/>
        </w:rPr>
      </w:pPr>
    </w:p>
    <w:p>
      <w:pPr>
        <w:pStyle w:val="ListParagraph"/>
        <w:ind w:left="0"/>
        <w:rPr>
          <w:rFonts w:eastAsiaTheme="minorHAnsi"/>
          <w:noProof/>
          <w:szCs w:val="24"/>
        </w:rPr>
      </w:pPr>
      <w:r>
        <w:rPr>
          <w:rFonts w:eastAsiaTheme="minorHAnsi"/>
          <w:noProof/>
          <w:color w:val="000000"/>
        </w:rPr>
        <w:t xml:space="preserve">EU:s första </w:t>
      </w:r>
      <w:r>
        <w:rPr>
          <w:rFonts w:eastAsiaTheme="minorHAnsi"/>
          <w:b/>
          <w:noProof/>
          <w:color w:val="000000"/>
        </w:rPr>
        <w:t>vidarebosättningssystem</w:t>
      </w:r>
      <w:r>
        <w:rPr>
          <w:rFonts w:eastAsiaTheme="minorHAnsi"/>
          <w:noProof/>
          <w:color w:val="000000"/>
        </w:rPr>
        <w:t xml:space="preserve"> från juli 2015</w:t>
      </w:r>
      <w:r>
        <w:rPr>
          <w:rStyle w:val="FootnoteReference"/>
          <w:rFonts w:eastAsiaTheme="minorHAnsi"/>
          <w:noProof/>
          <w:color w:val="000000"/>
        </w:rPr>
        <w:footnoteReference w:id="49"/>
      </w:r>
      <w:r>
        <w:rPr>
          <w:rFonts w:eastAsiaTheme="minorHAnsi"/>
          <w:noProof/>
          <w:color w:val="000000"/>
        </w:rPr>
        <w:t xml:space="preserve"> har löpt ut. </w:t>
      </w:r>
      <w:r>
        <w:rPr>
          <w:noProof/>
        </w:rPr>
        <w:t>Det</w:t>
      </w:r>
      <w:r>
        <w:rPr>
          <w:rStyle w:val="CommentReference"/>
          <w:noProof/>
        </w:rPr>
        <w:t> </w:t>
      </w:r>
      <w:r>
        <w:rPr>
          <w:noProof/>
        </w:rPr>
        <w:t>totala antalet personer som vidarebosatts enligt EU:s samtliga vidarebosättningssystem sedan dess, inklusive syrier som vidarebosatts från Turkiet enligt uttalandet från EU och Turkiet är 32 207.</w:t>
      </w:r>
      <w:r>
        <w:rPr>
          <w:rStyle w:val="CommentReference"/>
          <w:noProof/>
        </w:rPr>
        <w:t xml:space="preserve"> </w:t>
      </w:r>
      <w:r>
        <w:rPr>
          <w:rFonts w:eastAsiaTheme="minorHAnsi"/>
          <w:noProof/>
          <w:color w:val="000000"/>
        </w:rPr>
        <w:t>I dag inriktas medlemsstaternas vidarebosättningsinsatser på att uppfylla de åtaganden man gjort i det nya EU-systemet. Efter Tysklands beslut, nyligen, att erbjuda 10 200 nya vidarebosättningsplatser, har 20 medlemsstater</w:t>
      </w:r>
      <w:r>
        <w:rPr>
          <w:rStyle w:val="FootnoteReference"/>
          <w:rFonts w:eastAsiaTheme="minorHAnsi"/>
          <w:noProof/>
          <w:color w:val="000000"/>
        </w:rPr>
        <w:footnoteReference w:id="50"/>
      </w:r>
      <w:r>
        <w:rPr>
          <w:rFonts w:eastAsiaTheme="minorHAnsi"/>
          <w:noProof/>
          <w:color w:val="000000"/>
        </w:rPr>
        <w:t xml:space="preserve"> erbjudit över 50 000 platser, i det största kollektiva åtagande som EU och dess medlemsstater hittills gjort i fråga om vidarebosättning</w:t>
      </w:r>
      <w:r>
        <w:rPr>
          <w:rStyle w:val="FootnoteReference"/>
          <w:rFonts w:eastAsiaTheme="minorHAnsi"/>
          <w:noProof/>
          <w:color w:val="000000"/>
        </w:rPr>
        <w:footnoteReference w:id="51"/>
      </w:r>
      <w:r>
        <w:rPr>
          <w:rFonts w:eastAsiaTheme="minorHAnsi"/>
          <w:noProof/>
          <w:color w:val="000000"/>
        </w:rPr>
        <w:t>. Mekanismen stöds med 500 miljoner euro från EU-budgeten, oc</w:t>
      </w:r>
      <w:r>
        <w:rPr>
          <w:noProof/>
        </w:rPr>
        <w:t>h 10 medlemsstater</w:t>
      </w:r>
      <w:r>
        <w:rPr>
          <w:rStyle w:val="FootnoteReference"/>
          <w:rFonts w:eastAsiaTheme="minorHAnsi"/>
          <w:noProof/>
        </w:rPr>
        <w:footnoteReference w:id="52"/>
      </w:r>
      <w:r>
        <w:rPr>
          <w:noProof/>
        </w:rPr>
        <w:t xml:space="preserve"> har redan placerat 4 252 personer inom ramen för det nya EU-systemet för vidarebosättning. Det är en betydande framgång, och ytterligare 2 397 personer har vidarebosatts sedan lägesrapporten i mars.</w:t>
      </w:r>
    </w:p>
    <w:p>
      <w:pPr>
        <w:autoSpaceDE w:val="0"/>
        <w:autoSpaceDN w:val="0"/>
        <w:adjustRightInd w:val="0"/>
        <w:rPr>
          <w:rFonts w:eastAsiaTheme="minorHAnsi"/>
          <w:noProof/>
          <w:color w:val="000000"/>
          <w:szCs w:val="24"/>
        </w:rPr>
      </w:pPr>
      <w:r>
        <w:rPr>
          <w:noProof/>
        </w:rPr>
        <w:t>Det omfattar även personer som vidarebosatts efter evakuering från Libyen till Niger och vidarebosättning av syrier från Turkiet inom ramen för uttalandet från EU och Turkiet</w:t>
      </w:r>
      <w:r>
        <w:rPr>
          <w:rStyle w:val="FootnoteReference"/>
          <w:rFonts w:eastAsiaTheme="minorHAnsi"/>
          <w:noProof/>
        </w:rPr>
        <w:footnoteReference w:id="53"/>
      </w:r>
      <w:r>
        <w:rPr>
          <w:noProof/>
        </w:rPr>
        <w:t>.</w:t>
      </w:r>
      <w:r>
        <w:rPr>
          <w:b/>
          <w:noProof/>
        </w:rPr>
        <w:t xml:space="preserve"> </w:t>
      </w:r>
      <w:r>
        <w:rPr>
          <w:noProof/>
        </w:rPr>
        <w:t>Vidarebosättningen från Turkiet i enlighet med uttalandet från EU och Turkiet pågår i långsammare takt jämfört med det rekordhöga antalet syrier som vidarebosattes under sommaren 2017. Endast sju medlemsstater har hittills bidragit till vidarebosättning från Turkiet i år, och inga ytterligare medlemsstater har bidragit sedan den senaste lägesrapporten. Sedan mars månads lägesrapport har 837 syrier vidarebosatts, varvid det totala antalet efter uttalandet uppgår till 13 313.</w:t>
      </w:r>
    </w:p>
    <w:p>
      <w:pPr>
        <w:rPr>
          <w:noProof/>
          <w:szCs w:val="24"/>
        </w:rPr>
      </w:pPr>
      <w:r>
        <w:rPr>
          <w:noProof/>
        </w:rPr>
        <w:t>Kommissionen uppmanar medlemsstaterna att genomföra 50 % av åtagandena under det nya EU-systemet fram till oktober, det mål som anges i kommissionens färdplan från december 2017. En kontinuerlig vidarebosättning från samtliga prioriterade regioner bör ske tillsammans med ett omedelbart fokus på vidarebosättningen av personer som evakuerats från Libyen till Niger genom nödförflyttningsmekanismen.</w:t>
      </w:r>
    </w:p>
    <w:p>
      <w:pPr>
        <w:pStyle w:val="ListParagraph"/>
        <w:ind w:left="0"/>
        <w:rPr>
          <w:noProof/>
          <w:szCs w:val="24"/>
        </w:rPr>
      </w:pPr>
      <w:r>
        <w:rPr>
          <w:noProof/>
        </w:rPr>
        <w:t xml:space="preserve">Dessutom håller kommissionen på att slutföra en studie om genomförbarhet och mervärde av </w:t>
      </w:r>
      <w:r>
        <w:rPr>
          <w:b/>
          <w:noProof/>
        </w:rPr>
        <w:t>sponsorsystem</w:t>
      </w:r>
      <w:r>
        <w:rPr>
          <w:noProof/>
        </w:rPr>
        <w:t xml:space="preserve">, som en möjlighet att skapa säkra kanaler för tillträde till EU, i syfte att </w:t>
      </w:r>
      <w:r>
        <w:rPr>
          <w:noProof/>
        </w:rPr>
        <w:lastRenderedPageBreak/>
        <w:t xml:space="preserve">kartlägga medlemsstaternas potentiella stöd för att ytterligare utveckla alternativa lagliga sätt att ge skydd. Studien förväntas bli klar i juli 2018. </w:t>
      </w:r>
    </w:p>
    <w:p>
      <w:pPr>
        <w:rPr>
          <w:noProof/>
          <w:szCs w:val="24"/>
        </w:rPr>
      </w:pPr>
      <w:r>
        <w:rPr>
          <w:noProof/>
        </w:rPr>
        <w:t xml:space="preserve">Kommissionen har fortsatt att hjälpa medlemsstaterna att utveckla </w:t>
      </w:r>
      <w:r>
        <w:rPr>
          <w:b/>
          <w:noProof/>
        </w:rPr>
        <w:t>pilotprojekt för laglig migration</w:t>
      </w:r>
      <w:r>
        <w:rPr>
          <w:noProof/>
        </w:rPr>
        <w:t xml:space="preserve"> med utvalda länder i Afrika. Den 16 april offentliggjordes ett anbudsförfarande inom ramen för instrumentet för partnerskap för rörlighet</w:t>
      </w:r>
      <w:r>
        <w:rPr>
          <w:rStyle w:val="FootnoteReference"/>
          <w:noProof/>
        </w:rPr>
        <w:footnoteReference w:id="54"/>
      </w:r>
      <w:r>
        <w:rPr>
          <w:noProof/>
        </w:rPr>
        <w:t>. Anbudsförfarandet kompletterar ett regionalt program på 15 miljoner euro för att främja laglig migration i Nordafrika, som ska antas inom ramen för EU: s förvaltningsfond för Afrika i samband med nästa möte i den operativa kommittén för Nordafrika.</w:t>
      </w:r>
    </w:p>
    <w:p>
      <w:pPr>
        <w:rPr>
          <w:noProof/>
          <w:szCs w:val="24"/>
        </w:rPr>
      </w:pPr>
      <w:r>
        <w:rPr>
          <w:noProof/>
        </w:rPr>
        <w:t xml:space="preserve">Under första kvartalet 2018 inleddes genomförandet av partnerskapet (undertecknat i december 2017) mellan kommissionen och ekonomiska och sociala parter för att främja flyktingars </w:t>
      </w:r>
      <w:r>
        <w:rPr>
          <w:b/>
          <w:noProof/>
        </w:rPr>
        <w:t>integration</w:t>
      </w:r>
      <w:r>
        <w:rPr>
          <w:noProof/>
        </w:rPr>
        <w:t xml:space="preserve"> på arbetsmarknaden. Hit hör utbyten mellan ekonomiska och sociala parter och berörda grupper som europeiska nätverket för offentliga arbetsförmedlingar, europeiska integrationsnätverket och kommittén för Europeiska socialfonden. En inventering för att mäta de framsteg som gjorts kommer att äga rum under andra hälften av 2018.</w:t>
      </w:r>
    </w:p>
    <w:p>
      <w:pPr>
        <w:rPr>
          <w:noProof/>
        </w:rPr>
      </w:pPr>
      <w:r>
        <w:rPr>
          <w:noProof/>
        </w:rPr>
        <w:t>Insatser för att integrera personer från tredjeländer är särskilt relevanta i ljuset av resultaten från en särskild Eurobarometerundersökning om integration</w:t>
      </w:r>
      <w:r>
        <w:rPr>
          <w:rStyle w:val="FootnoteReference"/>
          <w:noProof/>
        </w:rPr>
        <w:footnoteReference w:id="55"/>
      </w:r>
      <w:r>
        <w:rPr>
          <w:noProof/>
        </w:rPr>
        <w:t xml:space="preserve"> (från slutet av oktober 2017). Undersökningen visar att en stor majoritet av européer (69 %) ser integration som en nödvändig långsiktig investering för det egna landet. Fyra av fem svar (och en majoritet i alla medlemsstater) ser integration a invandrare som en viktig uppgift för EU, med särskilt mervärde i utbyte av bästa praxis mellanmedlemsstater, främjat samarbete mellan alla berörda parter och tillhandahållande av ekonomiskt stöd. För att framgångsrikt kunna integrera det stora antalet erkända flyktingar och asylsökande som väntar på resultaten för sin ansökan kommer man att behöva tillräckliga investeringar under de kommande åren. </w:t>
      </w:r>
    </w:p>
    <w:p>
      <w:pPr>
        <w:keepNext/>
        <w:pBdr>
          <w:top w:val="single" w:sz="4" w:space="1" w:color="auto"/>
          <w:left w:val="single" w:sz="4" w:space="4" w:color="auto"/>
          <w:bottom w:val="single" w:sz="4" w:space="1" w:color="auto"/>
          <w:right w:val="single" w:sz="4" w:space="4" w:color="auto"/>
        </w:pBdr>
        <w:ind w:left="66"/>
        <w:rPr>
          <w:i/>
          <w:noProof/>
        </w:rPr>
      </w:pPr>
      <w:r>
        <w:rPr>
          <w:i/>
          <w:noProof/>
        </w:rPr>
        <w:t>Nästa steg:</w:t>
      </w:r>
    </w:p>
    <w:p>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rPr>
        <w:t>Medlemsstaterna ska svara på alla obesvarade ansökningar om omplacering från Italien och snarast överföra alla återstående behöriga sökande, med absolut prioritering av barn.</w:t>
      </w:r>
    </w:p>
    <w:p>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rPr>
        <w:t>Medlemsstaterna bör överväga frivillig vidarebosättning från Italien och Grekland.</w:t>
      </w:r>
    </w:p>
    <w:p>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rPr>
        <w:t>Medlemsstaterna bör snarast omplacera personer från prioriterade områden, i synnerhet personer som evakuerats från Libyen till Niger.</w:t>
      </w:r>
    </w:p>
    <w:p>
      <w:pPr>
        <w:pStyle w:val="ListParagraph"/>
        <w:widowControl w:val="0"/>
        <w:numPr>
          <w:ilvl w:val="0"/>
          <w:numId w:val="20"/>
        </w:numPr>
        <w:pBdr>
          <w:top w:val="single" w:sz="4" w:space="1" w:color="auto"/>
          <w:left w:val="single" w:sz="4" w:space="4" w:color="auto"/>
          <w:bottom w:val="single" w:sz="4" w:space="1" w:color="auto"/>
          <w:right w:val="single" w:sz="4" w:space="4" w:color="auto"/>
        </w:pBdr>
        <w:spacing w:after="0"/>
        <w:rPr>
          <w:noProof/>
          <w:szCs w:val="24"/>
        </w:rPr>
      </w:pPr>
      <w:r>
        <w:rPr>
          <w:noProof/>
        </w:rPr>
        <w:t>Medlemsstaterna bör lägga fram konkreta erbjudanden i syfte att inleda diskussioner med utvalda tredjeländer om pilotprojekt för laglig migration.</w:t>
      </w:r>
    </w:p>
    <w:p>
      <w:pPr>
        <w:rPr>
          <w:noProof/>
          <w:color w:val="000000"/>
          <w:szCs w:val="24"/>
        </w:rPr>
      </w:pPr>
    </w:p>
    <w:p>
      <w:pPr>
        <w:pStyle w:val="Heading1"/>
        <w:spacing w:before="0"/>
        <w:ind w:left="482" w:hanging="482"/>
        <w:rPr>
          <w:noProof/>
        </w:rPr>
      </w:pPr>
      <w:r>
        <w:rPr>
          <w:noProof/>
        </w:rPr>
        <w:t xml:space="preserve">SLUTSATSER OCH KOMMANDE ÅTGÄRDER </w:t>
      </w:r>
    </w:p>
    <w:p>
      <w:pPr>
        <w:rPr>
          <w:noProof/>
          <w:szCs w:val="24"/>
        </w:rPr>
      </w:pPr>
      <w:r>
        <w:rPr>
          <w:noProof/>
        </w:rPr>
        <w:t xml:space="preserve">Denna rapport visar att de framsteg som gjorts under det senaste året i stort har upprätthållits, och att de olika åtgärder som vidtagits fortsätter att ge resultat. Erfarenheten visar dock att migrationsflöden kan variera kraftigt och plötsligt. De bakomliggande migrationsorsakerna i regioner som gränsar till EU är likaså fortfarande starka. Situationen är därför fortfarande osäker och ger ingen anledning till självgodhet. EU måste vara vaksamt och förberett för att kunna reagera på årstidsbundna toppar eller förskjutningar av trycket, tillexempel från en rutt till en annan.  </w:t>
      </w:r>
    </w:p>
    <w:p>
      <w:pPr>
        <w:rPr>
          <w:noProof/>
          <w:szCs w:val="24"/>
        </w:rPr>
      </w:pPr>
      <w:r>
        <w:rPr>
          <w:noProof/>
        </w:rPr>
        <w:lastRenderedPageBreak/>
        <w:t>Ur det perspektivet har rapporten identifierat områden där de nuvarande insatserna måste förstärkas. I synnerhet måste kommissioner återigen konstatera att medlemsstaterna måste omsätta sina åtaganden i praktiken för att främja Europeiska gräns- och kustbevakningsbyråns viktiga insatser vid yttergränserna. I rapporten framhävs även problem som iakttagits i samband med att öka den faktiska återvändandeandelen. Det finns också områden där det är av avgörande betydelse att förstärka insatserna för att konsolidera de framgångar som hittills gjorts: skydd av migranter och kampen mot smuggling i Libyen och längs centrala Medelhavsrutten, vidarebosättning och genomförande av uttalandet från EU och Turkiet. Här har EU:s förvaltningsfond för Afrika och faciliteten för flyktingar i Turkiet visat sig vara snabba och effektiva verktyg, men en förutsättning för att de ska kunna fungera vidare är att de får tillräckliga medel, även från medlemsstaterna, En förutsättning för att man ska kunna uppnå konkreta resultat och stödja befintliga regionala, kontinentala och globala dialoger om migration är att EU talar med en röst. Kommissionen betonar också vikten av fortsatt regelbunden och effektiv samordning av hanteringen av migranter, både inom EU-institutionerna och med medlemsstater och partnerländer.</w:t>
      </w:r>
    </w:p>
    <w:p>
      <w:pPr>
        <w:rPr>
          <w:noProof/>
          <w:szCs w:val="24"/>
        </w:rPr>
      </w:pPr>
      <w:r>
        <w:rPr>
          <w:noProof/>
        </w:rPr>
        <w:t>Denna lägesrapport betonar återigen vikten av EU:s breda grepp på hanteringen av migrationsfrågor. Europeiska migrationsagendan bygger på en rad ömsesidigt förstärkande målsättningar som tillsammans ger en långsiktig lösning på migrationsproblemet. Det reformerade gemensamma europeiska asylsystemet är centralt i denna strategi, och man kan inte nog betona vikten av att snabbt uppnå enighet om reformen. Tillsammans med den stora satsningen på migrations- och gränsförvaltning i förslaget till flerårig budgetram</w:t>
      </w:r>
      <w:r>
        <w:rPr>
          <w:rStyle w:val="FootnoteReference"/>
          <w:noProof/>
        </w:rPr>
        <w:footnoteReference w:id="56"/>
      </w:r>
      <w:r>
        <w:rPr>
          <w:noProof/>
        </w:rPr>
        <w:t xml:space="preserve"> är det gemensamma europeiska asylsystemet en förutsättning för att EU ska vara väl förberett och kunna hantera framtida migrationskriser. </w:t>
      </w:r>
    </w:p>
    <w:p>
      <w:pPr>
        <w:rPr>
          <w:noProof/>
        </w:rPr>
      </w:pPr>
      <w:r>
        <w:rPr>
          <w:noProof/>
        </w:rPr>
        <w:t xml:space="preserve">Vid Europeiska rådets kommande möte i juni kommer man att diskutera en överenskommelse om en inre och yttre migrationspolitiken. Kommissionen kommer att bidra till detta. </w:t>
      </w:r>
    </w:p>
    <w:sectPr>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C Square Sans Pro">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387684"/>
      <w:docPartObj>
        <w:docPartGallery w:val="Page Numbers (Bottom of Page)"/>
        <w:docPartUnique/>
      </w:docPartObj>
    </w:sdtPr>
    <w:sdtEndPr>
      <w:rPr>
        <w:noProof/>
      </w:rPr>
    </w:sdtEndPr>
    <w:sdtContent>
      <w:p>
        <w:pPr>
          <w:pStyle w:val="Footer"/>
          <w:jc w:val="right"/>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sz w:val="18"/>
          <w:szCs w:val="18"/>
        </w:rPr>
      </w:pPr>
      <w:r>
        <w:rPr>
          <w:rStyle w:val="FootnoteReference"/>
          <w:sz w:val="18"/>
        </w:rPr>
        <w:footnoteRef/>
      </w:r>
      <w:r>
        <w:rPr>
          <w:sz w:val="18"/>
          <w:vertAlign w:val="superscript"/>
        </w:rPr>
        <w:t xml:space="preserve"> </w:t>
      </w:r>
      <w:r>
        <w:tab/>
      </w:r>
      <w:r>
        <w:rPr>
          <w:sz w:val="18"/>
        </w:rPr>
        <w:t>COM(2018) 250 final, 14.3.2018.</w:t>
      </w:r>
    </w:p>
  </w:footnote>
  <w:footnote w:id="2">
    <w:p>
      <w:pPr>
        <w:pStyle w:val="FootnoteText"/>
        <w:spacing w:after="0"/>
        <w:ind w:left="284" w:hanging="284"/>
        <w:rPr>
          <w:sz w:val="18"/>
          <w:szCs w:val="18"/>
        </w:rPr>
      </w:pPr>
      <w:r>
        <w:rPr>
          <w:rStyle w:val="FootnoteReference"/>
          <w:sz w:val="18"/>
        </w:rPr>
        <w:footnoteRef/>
      </w:r>
      <w:r>
        <w:rPr>
          <w:sz w:val="18"/>
          <w:vertAlign w:val="superscript"/>
        </w:rPr>
        <w:t xml:space="preserve"> </w:t>
      </w:r>
      <w:r>
        <w:tab/>
      </w:r>
      <w:r>
        <w:rPr>
          <w:sz w:val="18"/>
        </w:rPr>
        <w:t>COM(2017) 820 final, 7.12.2017.</w:t>
      </w:r>
    </w:p>
  </w:footnote>
  <w:footnote w:id="3">
    <w:p>
      <w:pPr>
        <w:pStyle w:val="FootnoteText"/>
        <w:spacing w:after="0"/>
        <w:ind w:left="284" w:hanging="284"/>
        <w:rPr>
          <w:sz w:val="18"/>
          <w:szCs w:val="18"/>
        </w:rPr>
      </w:pPr>
      <w:r>
        <w:rPr>
          <w:rStyle w:val="FootnoteReference"/>
          <w:sz w:val="18"/>
        </w:rPr>
        <w:footnoteRef/>
      </w:r>
      <w:r>
        <w:rPr>
          <w:sz w:val="18"/>
        </w:rPr>
        <w:t xml:space="preserve"> </w:t>
      </w:r>
      <w:r>
        <w:tab/>
      </w:r>
      <w:r>
        <w:rPr>
          <w:sz w:val="18"/>
        </w:rPr>
        <w:t xml:space="preserve">Jämför exempelvis två publikationer från </w:t>
      </w:r>
      <w:r>
        <w:rPr>
          <w:color w:val="000000"/>
          <w:sz w:val="18"/>
        </w:rPr>
        <w:t xml:space="preserve">Europeiska kommissionens gemensamma forskningscentrum: </w:t>
      </w:r>
      <w:r>
        <w:rPr>
          <w:i/>
          <w:color w:val="000000"/>
          <w:sz w:val="18"/>
        </w:rPr>
        <w:t>Demographic and Human Capital Scenarios for the 21st Century: 2018 assessment for 201 countries</w:t>
      </w:r>
      <w:r>
        <w:rPr>
          <w:color w:val="000000"/>
          <w:sz w:val="18"/>
        </w:rPr>
        <w:t xml:space="preserve">, och </w:t>
      </w:r>
      <w:r>
        <w:rPr>
          <w:i/>
          <w:sz w:val="18"/>
        </w:rPr>
        <w:t>Many more to come? Migration from and within Africa</w:t>
      </w:r>
      <w:r>
        <w:rPr>
          <w:sz w:val="18"/>
        </w:rPr>
        <w:t xml:space="preserve"> (Europeiska unionens publikationsbyrå, Luxemburg, 2018).</w:t>
      </w:r>
    </w:p>
  </w:footnote>
  <w:footnote w:id="4">
    <w:p>
      <w:pPr>
        <w:pStyle w:val="FootnoteText"/>
        <w:spacing w:after="0"/>
        <w:ind w:left="284" w:hanging="284"/>
        <w:rPr>
          <w:sz w:val="18"/>
          <w:szCs w:val="18"/>
        </w:rPr>
      </w:pPr>
      <w:r>
        <w:rPr>
          <w:rStyle w:val="FootnoteReference"/>
          <w:sz w:val="18"/>
        </w:rPr>
        <w:footnoteRef/>
      </w:r>
      <w:r>
        <w:rPr>
          <w:sz w:val="18"/>
          <w:vertAlign w:val="superscript"/>
        </w:rPr>
        <w:t xml:space="preserve"> </w:t>
      </w:r>
      <w:r>
        <w:tab/>
      </w:r>
      <w:r>
        <w:rPr>
          <w:sz w:val="18"/>
        </w:rPr>
        <w:t>Uppgifter från den grekiska polisen.</w:t>
      </w:r>
    </w:p>
  </w:footnote>
  <w:footnote w:id="5">
    <w:p>
      <w:pPr>
        <w:pStyle w:val="FootnoteText"/>
        <w:spacing w:after="0"/>
        <w:ind w:left="284" w:hanging="284"/>
        <w:rPr>
          <w:sz w:val="18"/>
          <w:szCs w:val="18"/>
        </w:rPr>
      </w:pPr>
      <w:r>
        <w:rPr>
          <w:rStyle w:val="FootnoteReference"/>
          <w:sz w:val="18"/>
        </w:rPr>
        <w:footnoteRef/>
      </w:r>
      <w:r>
        <w:rPr>
          <w:sz w:val="18"/>
        </w:rPr>
        <w:t xml:space="preserve"> </w:t>
      </w:r>
      <w:r>
        <w:tab/>
      </w:r>
      <w:r>
        <w:rPr>
          <w:sz w:val="18"/>
        </w:rPr>
        <w:t>Uppgifter från Europeiska gräns- och kustbevakningsbyrån.</w:t>
      </w:r>
    </w:p>
  </w:footnote>
  <w:footnote w:id="6">
    <w:p>
      <w:pPr>
        <w:pStyle w:val="FootnoteText"/>
        <w:spacing w:after="0"/>
        <w:ind w:left="284" w:hanging="284"/>
        <w:rPr>
          <w:sz w:val="18"/>
          <w:szCs w:val="18"/>
        </w:rPr>
      </w:pPr>
      <w:r>
        <w:rPr>
          <w:rStyle w:val="FootnoteReference"/>
          <w:sz w:val="18"/>
        </w:rPr>
        <w:footnoteRef/>
      </w:r>
      <w:r>
        <w:rPr>
          <w:sz w:val="18"/>
          <w:vertAlign w:val="superscript"/>
        </w:rPr>
        <w:t xml:space="preserve"> </w:t>
      </w:r>
      <w:r>
        <w:tab/>
      </w:r>
      <w:r>
        <w:rPr>
          <w:sz w:val="18"/>
        </w:rPr>
        <w:t>Uppgifter från den grekiska polisen.</w:t>
      </w:r>
    </w:p>
  </w:footnote>
  <w:footnote w:id="7">
    <w:p>
      <w:pPr>
        <w:pStyle w:val="FootnoteText"/>
        <w:spacing w:after="0"/>
        <w:ind w:left="284" w:hanging="284"/>
        <w:rPr>
          <w:sz w:val="18"/>
          <w:szCs w:val="18"/>
        </w:rPr>
      </w:pPr>
      <w:r>
        <w:rPr>
          <w:rStyle w:val="FootnoteReference"/>
          <w:sz w:val="18"/>
        </w:rPr>
        <w:footnoteRef/>
      </w:r>
      <w:r>
        <w:rPr>
          <w:sz w:val="18"/>
        </w:rPr>
        <w:t xml:space="preserve"> </w:t>
      </w:r>
      <w:r>
        <w:tab/>
      </w:r>
      <w:r>
        <w:rPr>
          <w:sz w:val="18"/>
        </w:rPr>
        <w:t>Källa: IOM:s projekt Missing migrants (</w:t>
      </w:r>
      <w:hyperlink r:id="rId1">
        <w:r>
          <w:rPr>
            <w:rStyle w:val="Hyperlink"/>
            <w:sz w:val="18"/>
          </w:rPr>
          <w:t>https://missingmigrants.iom.int/region/mediterranean</w:t>
        </w:r>
      </w:hyperlink>
      <w:r>
        <w:rPr>
          <w:sz w:val="18"/>
        </w:rPr>
        <w:t>).</w:t>
      </w:r>
    </w:p>
  </w:footnote>
  <w:footnote w:id="8">
    <w:p>
      <w:pPr>
        <w:pStyle w:val="FootnoteText"/>
        <w:spacing w:after="0"/>
        <w:ind w:left="284" w:hanging="284"/>
        <w:rPr>
          <w:sz w:val="18"/>
          <w:szCs w:val="18"/>
        </w:rPr>
      </w:pPr>
      <w:r>
        <w:rPr>
          <w:rStyle w:val="FootnoteReference"/>
          <w:sz w:val="18"/>
        </w:rPr>
        <w:footnoteRef/>
      </w:r>
      <w:r>
        <w:rPr>
          <w:sz w:val="18"/>
        </w:rPr>
        <w:t xml:space="preserve"> </w:t>
      </w:r>
      <w:r>
        <w:tab/>
      </w:r>
      <w:r>
        <w:rPr>
          <w:sz w:val="18"/>
        </w:rPr>
        <w:t>Uppgifter från Europeiska gräns- och kustbevakningsbyrån.</w:t>
      </w:r>
    </w:p>
  </w:footnote>
  <w:footnote w:id="9">
    <w:p>
      <w:pPr>
        <w:pStyle w:val="FootnoteText"/>
        <w:spacing w:after="0"/>
        <w:ind w:left="284" w:hanging="284"/>
        <w:rPr>
          <w:sz w:val="18"/>
          <w:szCs w:val="18"/>
        </w:rPr>
      </w:pPr>
      <w:r>
        <w:rPr>
          <w:rStyle w:val="FootnoteReference"/>
        </w:rPr>
        <w:footnoteRef/>
      </w:r>
      <w:r>
        <w:rPr>
          <w:rStyle w:val="FootnoteReference"/>
        </w:rPr>
        <w:t xml:space="preserve"> </w:t>
      </w:r>
      <w:r>
        <w:tab/>
      </w:r>
      <w:r>
        <w:rPr>
          <w:sz w:val="18"/>
        </w:rPr>
        <w:t>Uppgifter från Italiens inrikesministerium.</w:t>
      </w:r>
    </w:p>
  </w:footnote>
  <w:footnote w:id="10">
    <w:p>
      <w:pPr>
        <w:pStyle w:val="FootnoteText"/>
        <w:tabs>
          <w:tab w:val="left" w:pos="284"/>
        </w:tabs>
        <w:spacing w:after="0"/>
        <w:ind w:left="284" w:hanging="284"/>
        <w:rPr>
          <w:sz w:val="18"/>
          <w:szCs w:val="18"/>
        </w:rPr>
      </w:pPr>
      <w:r>
        <w:rPr>
          <w:rStyle w:val="FootnoteReference"/>
          <w:sz w:val="18"/>
        </w:rPr>
        <w:footnoteRef/>
      </w:r>
      <w:r>
        <w:rPr>
          <w:sz w:val="18"/>
        </w:rPr>
        <w:t xml:space="preserve"> </w:t>
      </w:r>
      <w:r>
        <w:tab/>
      </w:r>
      <w:r>
        <w:rPr>
          <w:sz w:val="18"/>
        </w:rPr>
        <w:t xml:space="preserve">Uppgifter från Internationella organisationen för migration omfattar perioden 1 januari–31 mars 2018. </w:t>
      </w:r>
      <w:hyperlink r:id="rId2">
        <w:r>
          <w:rPr>
            <w:rStyle w:val="Hyperlink"/>
            <w:sz w:val="18"/>
          </w:rPr>
          <w:t>https://www.iom.int/sites/default/files/situation_reports/file/libya_sr_20180301-31.pdf</w:t>
        </w:r>
      </w:hyperlink>
      <w:r>
        <w:rPr>
          <w:sz w:val="18"/>
        </w:rPr>
        <w:t xml:space="preserve"> </w:t>
      </w:r>
    </w:p>
  </w:footnote>
  <w:footnote w:id="11">
    <w:p>
      <w:pPr>
        <w:pStyle w:val="FootnoteText"/>
        <w:spacing w:after="0"/>
        <w:ind w:left="284" w:hanging="284"/>
        <w:rPr>
          <w:sz w:val="18"/>
          <w:szCs w:val="18"/>
        </w:rPr>
      </w:pPr>
      <w:r>
        <w:rPr>
          <w:rStyle w:val="FootnoteReference"/>
          <w:sz w:val="18"/>
        </w:rPr>
        <w:footnoteRef/>
      </w:r>
      <w:r>
        <w:rPr>
          <w:rStyle w:val="FootnoteReference"/>
          <w:sz w:val="18"/>
        </w:rPr>
        <w:t xml:space="preserve"> </w:t>
      </w:r>
      <w:r>
        <w:tab/>
      </w:r>
      <w:r>
        <w:rPr>
          <w:sz w:val="18"/>
        </w:rPr>
        <w:t>Uppgifter från Europeiska gräns- och kustbevakningsbyrån, omfattande anländande sjövägen i västra Medelhavet.</w:t>
      </w:r>
    </w:p>
  </w:footnote>
  <w:footnote w:id="12">
    <w:p>
      <w:pPr>
        <w:pStyle w:val="FootnoteText"/>
        <w:spacing w:after="0"/>
        <w:ind w:left="284" w:hanging="284"/>
        <w:rPr>
          <w:sz w:val="18"/>
          <w:szCs w:val="18"/>
        </w:rPr>
      </w:pPr>
      <w:r>
        <w:rPr>
          <w:rStyle w:val="FootnoteReference"/>
          <w:sz w:val="18"/>
        </w:rPr>
        <w:footnoteRef/>
      </w:r>
      <w:r>
        <w:rPr>
          <w:sz w:val="18"/>
        </w:rPr>
        <w:t xml:space="preserve"> </w:t>
      </w:r>
      <w:r>
        <w:tab/>
      </w:r>
      <w:r>
        <w:rPr>
          <w:sz w:val="18"/>
        </w:rPr>
        <w:t>Uppgifter från FN:s barnfond Unicef.</w:t>
      </w:r>
    </w:p>
  </w:footnote>
  <w:footnote w:id="13">
    <w:p>
      <w:pPr>
        <w:pStyle w:val="FootnoteText"/>
        <w:spacing w:after="0"/>
        <w:ind w:left="284" w:hanging="284"/>
        <w:rPr>
          <w:sz w:val="18"/>
          <w:szCs w:val="18"/>
        </w:rPr>
      </w:pPr>
      <w:r>
        <w:rPr>
          <w:rStyle w:val="FootnoteReference"/>
          <w:sz w:val="18"/>
        </w:rPr>
        <w:footnoteRef/>
      </w:r>
      <w:r>
        <w:rPr>
          <w:rStyle w:val="FootnoteReference"/>
          <w:sz w:val="18"/>
        </w:rPr>
        <w:t xml:space="preserve"> </w:t>
      </w:r>
      <w:r>
        <w:tab/>
      </w:r>
      <w:r>
        <w:rPr>
          <w:sz w:val="18"/>
        </w:rPr>
        <w:t>Uppgifter som tillhandahålls av Europeiska stödkontoret för asylfrågor.</w:t>
      </w:r>
    </w:p>
  </w:footnote>
  <w:footnote w:id="14">
    <w:p>
      <w:pPr>
        <w:pStyle w:val="FootnoteText"/>
        <w:spacing w:after="0"/>
        <w:ind w:left="284" w:hanging="284"/>
      </w:pPr>
      <w:r>
        <w:rPr>
          <w:rStyle w:val="FootnoteReference"/>
        </w:rPr>
        <w:footnoteRef/>
      </w:r>
      <w:r>
        <w:tab/>
      </w:r>
      <w:hyperlink r:id="rId3">
        <w:r>
          <w:rPr>
            <w:rStyle w:val="Hyperlink"/>
          </w:rPr>
          <w:t>https://data2.unhcr.org/en/documents/download/63435</w:t>
        </w:r>
      </w:hyperlink>
      <w:r>
        <w:t xml:space="preserve">.  </w:t>
      </w:r>
    </w:p>
  </w:footnote>
  <w:footnote w:id="15">
    <w:p>
      <w:pPr>
        <w:pStyle w:val="FootnoteText"/>
        <w:tabs>
          <w:tab w:val="left" w:pos="284"/>
        </w:tabs>
        <w:spacing w:after="0"/>
        <w:ind w:left="284" w:hanging="284"/>
        <w:rPr>
          <w:sz w:val="18"/>
          <w:szCs w:val="18"/>
          <w:lang w:val="pt-PT"/>
        </w:rPr>
      </w:pPr>
      <w:r>
        <w:rPr>
          <w:rStyle w:val="FootnoteReference"/>
          <w:sz w:val="18"/>
        </w:rPr>
        <w:footnoteRef/>
      </w:r>
      <w:r>
        <w:rPr>
          <w:sz w:val="18"/>
          <w:lang w:val="pt-PT"/>
        </w:rPr>
        <w:t xml:space="preserve"> </w:t>
      </w:r>
      <w:r>
        <w:rPr>
          <w:lang w:val="pt-PT"/>
        </w:rPr>
        <w:tab/>
      </w:r>
      <w:r>
        <w:rPr>
          <w:sz w:val="18"/>
          <w:lang w:val="pt-PT"/>
        </w:rPr>
        <w:t xml:space="preserve">COM(2017) 211 final, 12.4.2017. </w:t>
      </w:r>
    </w:p>
  </w:footnote>
  <w:footnote w:id="16">
    <w:p>
      <w:pPr>
        <w:pStyle w:val="FootnoteText"/>
        <w:spacing w:after="0"/>
        <w:ind w:left="284" w:hanging="284"/>
        <w:rPr>
          <w:sz w:val="18"/>
          <w:szCs w:val="18"/>
          <w:lang w:val="pt-PT"/>
        </w:rPr>
      </w:pPr>
      <w:r>
        <w:rPr>
          <w:rStyle w:val="FootnoteReference"/>
          <w:sz w:val="18"/>
        </w:rPr>
        <w:footnoteRef/>
      </w:r>
      <w:r>
        <w:rPr>
          <w:sz w:val="18"/>
          <w:lang w:val="pt-PT"/>
        </w:rPr>
        <w:t xml:space="preserve"> </w:t>
      </w:r>
      <w:r>
        <w:rPr>
          <w:lang w:val="pt-PT"/>
        </w:rPr>
        <w:tab/>
      </w:r>
      <w:r>
        <w:rPr>
          <w:sz w:val="18"/>
          <w:lang w:val="pt-PT"/>
        </w:rPr>
        <w:t>COM(2018) 303 final, 16.5.2018.</w:t>
      </w:r>
    </w:p>
  </w:footnote>
  <w:footnote w:id="17">
    <w:p>
      <w:pPr>
        <w:pStyle w:val="FootnoteText"/>
        <w:spacing w:after="0"/>
        <w:ind w:left="284" w:hanging="284"/>
        <w:rPr>
          <w:sz w:val="18"/>
          <w:szCs w:val="18"/>
          <w:lang w:val="pt-PT"/>
        </w:rPr>
      </w:pPr>
      <w:r>
        <w:rPr>
          <w:rStyle w:val="FootnoteReference"/>
          <w:sz w:val="18"/>
        </w:rPr>
        <w:footnoteRef/>
      </w:r>
      <w:r>
        <w:rPr>
          <w:sz w:val="18"/>
          <w:lang w:val="pt-PT"/>
        </w:rPr>
        <w:t xml:space="preserve"> </w:t>
      </w:r>
      <w:r>
        <w:rPr>
          <w:lang w:val="pt-PT"/>
        </w:rPr>
        <w:tab/>
      </w:r>
      <w:r>
        <w:rPr>
          <w:sz w:val="18"/>
          <w:lang w:val="pt-PT"/>
        </w:rPr>
        <w:t>COM(2018) 302 final, 16.5.2018.</w:t>
      </w:r>
    </w:p>
  </w:footnote>
  <w:footnote w:id="18">
    <w:p>
      <w:pPr>
        <w:pStyle w:val="FootnoteText"/>
        <w:spacing w:after="0"/>
        <w:ind w:left="284" w:hanging="284"/>
        <w:rPr>
          <w:sz w:val="18"/>
          <w:szCs w:val="18"/>
        </w:rPr>
      </w:pPr>
      <w:r>
        <w:rPr>
          <w:rStyle w:val="FootnoteReference"/>
          <w:sz w:val="18"/>
        </w:rPr>
        <w:footnoteRef/>
      </w:r>
      <w:r>
        <w:rPr>
          <w:sz w:val="18"/>
          <w:vertAlign w:val="superscript"/>
        </w:rPr>
        <w:t xml:space="preserve"> </w:t>
      </w:r>
      <w:r>
        <w:tab/>
      </w:r>
      <w:r>
        <w:rPr>
          <w:sz w:val="18"/>
        </w:rPr>
        <w:t>Uppgifter från Greklands inrikesministerium, nationella samordningscentrumet för gränskontroll, immigration och asyl (NCCBCIA-ESKESMA).</w:t>
      </w:r>
    </w:p>
  </w:footnote>
  <w:footnote w:id="19">
    <w:p>
      <w:pPr>
        <w:pStyle w:val="FootnoteText"/>
        <w:spacing w:after="0"/>
        <w:ind w:left="284" w:hanging="284"/>
        <w:rPr>
          <w:sz w:val="18"/>
          <w:szCs w:val="18"/>
        </w:rPr>
      </w:pPr>
      <w:r>
        <w:rPr>
          <w:rStyle w:val="FootnoteReference"/>
          <w:sz w:val="18"/>
        </w:rPr>
        <w:footnoteRef/>
      </w:r>
      <w:r>
        <w:tab/>
      </w:r>
      <w:r>
        <w:rPr>
          <w:sz w:val="18"/>
        </w:rPr>
        <w:t>Närmare upplysningar kan erhållas från projekttabellen på nätet</w:t>
      </w:r>
      <w:r>
        <w:t xml:space="preserve"> </w:t>
      </w:r>
      <w:hyperlink r:id="rId4">
        <w:r>
          <w:rPr>
            <w:rStyle w:val="Hyperlink"/>
            <w:sz w:val="18"/>
          </w:rPr>
          <w:t>https://ec.europa.eu/neighbourhood-enlargement/sites/near/files/facility_table.pdf</w:t>
        </w:r>
      </w:hyperlink>
      <w:r>
        <w:rPr>
          <w:sz w:val="18"/>
        </w:rPr>
        <w:t>.</w:t>
      </w:r>
    </w:p>
  </w:footnote>
  <w:footnote w:id="20">
    <w:p>
      <w:pPr>
        <w:pStyle w:val="FootnoteText"/>
        <w:spacing w:after="0"/>
        <w:ind w:left="284" w:hanging="284"/>
        <w:rPr>
          <w:sz w:val="18"/>
          <w:szCs w:val="18"/>
        </w:rPr>
      </w:pPr>
      <w:r>
        <w:rPr>
          <w:rStyle w:val="FootnoteReference"/>
          <w:sz w:val="18"/>
        </w:rPr>
        <w:footnoteRef/>
      </w:r>
      <w:r>
        <w:rPr>
          <w:sz w:val="18"/>
        </w:rPr>
        <w:t xml:space="preserve"> </w:t>
      </w:r>
      <w:r>
        <w:tab/>
      </w:r>
      <w:r>
        <w:rPr>
          <w:sz w:val="18"/>
        </w:rPr>
        <w:t>57 nationella experter från medlemsstaterna är utstationerade till Europeiska stödkontoret för asylfrågor för att stödja genomförandet av uttalandet från EU och Turkiet i Grekland.</w:t>
      </w:r>
    </w:p>
  </w:footnote>
  <w:footnote w:id="21">
    <w:p>
      <w:pPr>
        <w:pStyle w:val="FootnoteText"/>
        <w:spacing w:after="0"/>
        <w:ind w:left="284" w:hanging="284"/>
        <w:rPr>
          <w:sz w:val="18"/>
          <w:szCs w:val="18"/>
        </w:rPr>
      </w:pPr>
      <w:r>
        <w:rPr>
          <w:rStyle w:val="FootnoteReference"/>
          <w:sz w:val="18"/>
        </w:rPr>
        <w:footnoteRef/>
      </w:r>
      <w:r>
        <w:rPr>
          <w:sz w:val="18"/>
        </w:rPr>
        <w:t xml:space="preserve"> </w:t>
      </w:r>
      <w:r>
        <w:tab/>
      </w:r>
      <w:r>
        <w:rPr>
          <w:sz w:val="18"/>
        </w:rPr>
        <w:t>De ägde rum i Rom den 15 mars 2018 (stöd till Libanons försvarsmakt och interna säkerhetstyrkor) och i Paris den 6 april 2018 (stöd till investeringar och ekonomiska reformer).</w:t>
      </w:r>
    </w:p>
  </w:footnote>
  <w:footnote w:id="22">
    <w:p>
      <w:pPr>
        <w:pStyle w:val="FootnoteText"/>
        <w:spacing w:after="0"/>
        <w:ind w:left="284" w:hanging="284"/>
        <w:rPr>
          <w:sz w:val="18"/>
          <w:szCs w:val="18"/>
        </w:rPr>
      </w:pPr>
      <w:r>
        <w:rPr>
          <w:rStyle w:val="FootnoteReference"/>
          <w:sz w:val="18"/>
        </w:rPr>
        <w:footnoteRef/>
      </w:r>
      <w:r>
        <w:rPr>
          <w:sz w:val="18"/>
        </w:rPr>
        <w:t xml:space="preserve"> </w:t>
      </w:r>
      <w:r>
        <w:tab/>
      </w:r>
      <w:r>
        <w:rPr>
          <w:sz w:val="18"/>
        </w:rPr>
        <w:t>Se COM(2018) 450 final av den 17.4.2018 och enskilda landsrapporter. Det andra flaggskeppsinitiativet i strategin för västra Balkan (</w:t>
      </w:r>
      <w:r>
        <w:rPr>
          <w:i/>
          <w:sz w:val="18"/>
        </w:rPr>
        <w:t>Stärkt samarbete om säkerhet och migration</w:t>
      </w:r>
      <w:r>
        <w:rPr>
          <w:sz w:val="18"/>
        </w:rPr>
        <w:t>) (COM(2018) 65 final av den 6 februari 2018) bekräftade åtagandet att fortsätta samarbetet och informationsutbytet utmed rutten. Det ska ligga till grund för de specifika insatser som EU ska göra under de kommande åren för att hjälpa länderna i regionen.</w:t>
      </w:r>
    </w:p>
  </w:footnote>
  <w:footnote w:id="23">
    <w:p>
      <w:pPr>
        <w:spacing w:after="0"/>
        <w:ind w:left="284" w:hanging="284"/>
        <w:rPr>
          <w:sz w:val="18"/>
          <w:szCs w:val="18"/>
        </w:rPr>
      </w:pPr>
      <w:r>
        <w:rPr>
          <w:rStyle w:val="FootnoteReference"/>
          <w:sz w:val="18"/>
        </w:rPr>
        <w:footnoteRef/>
      </w:r>
      <w:r>
        <w:rPr>
          <w:sz w:val="18"/>
        </w:rPr>
        <w:t xml:space="preserve"> </w:t>
      </w:r>
      <w:r>
        <w:tab/>
      </w:r>
      <w:r>
        <w:rPr>
          <w:sz w:val="18"/>
        </w:rPr>
        <w:t xml:space="preserve">För perioden 2014–2020, uppgår detta till 387,7 miljoner euro inom ramen för asyl-, migrations- och integrationsfonden, inklusive 43,6 miljoner euro för omplacering/vidarebosättning, och 266 miljoner euro inom ramen för Fonden för inre säkerhet, varav 201,5 miljoner euro för gränser och viseringar och 64,5 miljoner euro till polisen. </w:t>
      </w:r>
    </w:p>
  </w:footnote>
  <w:footnote w:id="24">
    <w:p>
      <w:pPr>
        <w:pStyle w:val="FootnoteText"/>
        <w:spacing w:after="0"/>
        <w:ind w:left="284" w:hanging="284"/>
        <w:rPr>
          <w:sz w:val="18"/>
          <w:szCs w:val="18"/>
        </w:rPr>
      </w:pPr>
      <w:r>
        <w:rPr>
          <w:rStyle w:val="FootnoteReference"/>
          <w:sz w:val="18"/>
        </w:rPr>
        <w:footnoteRef/>
      </w:r>
      <w:r>
        <w:rPr>
          <w:sz w:val="18"/>
        </w:rPr>
        <w:t xml:space="preserve"> </w:t>
      </w:r>
      <w:r>
        <w:tab/>
      </w:r>
      <w:hyperlink r:id="rId5">
        <w:r>
          <w:rPr>
            <w:rStyle w:val="Hyperlink"/>
            <w:sz w:val="18"/>
          </w:rPr>
          <w:t>https://blogs.unicef.org/blog/invisible-child-migrants-libya/</w:t>
        </w:r>
      </w:hyperlink>
      <w:r>
        <w:rPr>
          <w:sz w:val="18"/>
        </w:rPr>
        <w:t xml:space="preserve"> </w:t>
      </w:r>
    </w:p>
  </w:footnote>
  <w:footnote w:id="25">
    <w:p>
      <w:pPr>
        <w:pStyle w:val="FootnoteText"/>
        <w:spacing w:after="0"/>
        <w:ind w:left="284" w:hanging="284"/>
        <w:rPr>
          <w:sz w:val="18"/>
          <w:szCs w:val="18"/>
        </w:rPr>
      </w:pPr>
      <w:r>
        <w:rPr>
          <w:rStyle w:val="FootnoteReference"/>
          <w:sz w:val="18"/>
        </w:rPr>
        <w:footnoteRef/>
      </w:r>
      <w:r>
        <w:rPr>
          <w:sz w:val="18"/>
        </w:rPr>
        <w:t xml:space="preserve">  </w:t>
      </w:r>
      <w:r>
        <w:tab/>
      </w:r>
      <w:r>
        <w:rPr>
          <w:sz w:val="18"/>
        </w:rPr>
        <w:t xml:space="preserve">Läs mer på </w:t>
      </w:r>
      <w:hyperlink r:id="rId6">
        <w:r>
          <w:rPr>
            <w:rStyle w:val="Hyperlink"/>
            <w:sz w:val="18"/>
          </w:rPr>
          <w:t>http://tec.ly/</w:t>
        </w:r>
      </w:hyperlink>
      <w:r>
        <w:rPr>
          <w:sz w:val="18"/>
        </w:rPr>
        <w:t>.</w:t>
      </w:r>
    </w:p>
  </w:footnote>
  <w:footnote w:id="26">
    <w:p>
      <w:pPr>
        <w:pStyle w:val="FootnoteText"/>
        <w:spacing w:after="0"/>
        <w:ind w:left="284" w:hanging="284"/>
      </w:pPr>
      <w:r>
        <w:rPr>
          <w:rStyle w:val="FootnoteReference"/>
        </w:rPr>
        <w:footnoteRef/>
      </w:r>
      <w:r>
        <w:tab/>
      </w:r>
      <w:hyperlink r:id="rId7">
        <w:r>
          <w:rPr>
            <w:sz w:val="18"/>
          </w:rPr>
          <w:t>https://eeas.europa.eu/headquarters/headquarters-homepage/40705/joint-au-eu-un-taskforce-assists-16000-people_en</w:t>
        </w:r>
      </w:hyperlink>
      <w:r>
        <w:rPr>
          <w:sz w:val="18"/>
        </w:rPr>
        <w:t xml:space="preserve"> </w:t>
      </w:r>
    </w:p>
  </w:footnote>
  <w:footnote w:id="27">
    <w:p>
      <w:pPr>
        <w:pStyle w:val="FootnoteText"/>
        <w:spacing w:after="0"/>
        <w:ind w:left="284" w:hanging="284"/>
        <w:rPr>
          <w:sz w:val="18"/>
          <w:szCs w:val="18"/>
        </w:rPr>
      </w:pPr>
      <w:r>
        <w:rPr>
          <w:sz w:val="18"/>
          <w:vertAlign w:val="superscript"/>
        </w:rPr>
        <w:footnoteRef/>
      </w:r>
      <w:r>
        <w:tab/>
      </w:r>
      <w:r>
        <w:rPr>
          <w:sz w:val="18"/>
        </w:rPr>
        <w:t>COM(2017) 820 final, 7.12.2017.</w:t>
      </w:r>
    </w:p>
  </w:footnote>
  <w:footnote w:id="28">
    <w:p>
      <w:pPr>
        <w:pStyle w:val="FootnoteText"/>
        <w:spacing w:after="0"/>
        <w:ind w:left="284" w:hanging="284"/>
        <w:rPr>
          <w:sz w:val="18"/>
          <w:szCs w:val="18"/>
        </w:rPr>
      </w:pPr>
      <w:r>
        <w:rPr>
          <w:rStyle w:val="FootnoteReference"/>
          <w:sz w:val="18"/>
        </w:rPr>
        <w:footnoteRef/>
      </w:r>
      <w:r>
        <w:rPr>
          <w:sz w:val="18"/>
        </w:rPr>
        <w:t xml:space="preserve"> </w:t>
      </w:r>
      <w:r>
        <w:tab/>
      </w:r>
      <w:r>
        <w:rPr>
          <w:sz w:val="18"/>
        </w:rPr>
        <w:t>Sedan evakueringarna från Libyen inleddes i slutet av 2017 har sammanlagt 1 474 personer evakuerats till Niger (1 152), Italien (312) och transitcentrumet (Emergency Transit Centre, ETC) i Rumänien (10).</w:t>
      </w:r>
    </w:p>
  </w:footnote>
  <w:footnote w:id="29">
    <w:p>
      <w:pPr>
        <w:pStyle w:val="FootnoteText"/>
        <w:spacing w:after="0"/>
        <w:ind w:left="284" w:hanging="284"/>
        <w:rPr>
          <w:sz w:val="18"/>
          <w:szCs w:val="18"/>
        </w:rPr>
      </w:pPr>
      <w:r>
        <w:rPr>
          <w:rStyle w:val="FootnoteReference"/>
          <w:sz w:val="18"/>
        </w:rPr>
        <w:footnoteRef/>
      </w:r>
      <w:r>
        <w:rPr>
          <w:sz w:val="18"/>
          <w:vertAlign w:val="superscript"/>
        </w:rPr>
        <w:t xml:space="preserve"> </w:t>
      </w:r>
      <w:r>
        <w:tab/>
      </w:r>
      <w:r>
        <w:rPr>
          <w:sz w:val="18"/>
        </w:rPr>
        <w:t>Till Frankrike, Tyskland, Nederländerna, Sverige, Finland, Schweiz och Kanada.</w:t>
      </w:r>
    </w:p>
  </w:footnote>
  <w:footnote w:id="30">
    <w:p>
      <w:pPr>
        <w:pStyle w:val="FootnoteText"/>
        <w:spacing w:after="0"/>
        <w:ind w:left="284" w:hanging="284"/>
        <w:rPr>
          <w:sz w:val="18"/>
          <w:szCs w:val="18"/>
        </w:rPr>
      </w:pPr>
      <w:r>
        <w:rPr>
          <w:rStyle w:val="FootnoteReference"/>
          <w:sz w:val="18"/>
        </w:rPr>
        <w:footnoteRef/>
      </w:r>
      <w:r>
        <w:rPr>
          <w:sz w:val="18"/>
          <w:vertAlign w:val="superscript"/>
        </w:rPr>
        <w:t xml:space="preserve"> </w:t>
      </w:r>
      <w:r>
        <w:tab/>
      </w:r>
      <w:r>
        <w:rPr>
          <w:sz w:val="18"/>
        </w:rPr>
        <w:t>Till Frankrike, Sverige och Schweiz.</w:t>
      </w:r>
    </w:p>
  </w:footnote>
  <w:footnote w:id="31">
    <w:p>
      <w:pPr>
        <w:pStyle w:val="FootnoteText"/>
        <w:spacing w:after="0"/>
        <w:ind w:left="284" w:hanging="284"/>
        <w:rPr>
          <w:sz w:val="18"/>
          <w:szCs w:val="18"/>
        </w:rPr>
      </w:pPr>
      <w:r>
        <w:rPr>
          <w:rStyle w:val="FootnoteReference"/>
          <w:sz w:val="18"/>
        </w:rPr>
        <w:footnoteRef/>
      </w:r>
      <w:r>
        <w:rPr>
          <w:sz w:val="18"/>
        </w:rPr>
        <w:t xml:space="preserve"> </w:t>
      </w:r>
      <w:r>
        <w:tab/>
      </w:r>
      <w:r>
        <w:rPr>
          <w:sz w:val="18"/>
        </w:rPr>
        <w:t>Dessutom har Frankrike vidarebosatt 97 flyktingar som redan var registrerade i Niger, och 42 personer har vidarebosatts från Libyen direkt till Frankrike, Sverige och Nederländerna.</w:t>
      </w:r>
    </w:p>
  </w:footnote>
  <w:footnote w:id="32">
    <w:p>
      <w:pPr>
        <w:pStyle w:val="FootnoteText"/>
        <w:spacing w:after="0"/>
        <w:ind w:left="284" w:hanging="284"/>
        <w:rPr>
          <w:sz w:val="18"/>
          <w:szCs w:val="18"/>
        </w:rPr>
      </w:pPr>
      <w:r>
        <w:rPr>
          <w:rStyle w:val="FootnoteReference"/>
          <w:sz w:val="18"/>
        </w:rPr>
        <w:footnoteRef/>
      </w:r>
      <w:r>
        <w:rPr>
          <w:sz w:val="18"/>
        </w:rPr>
        <w:t xml:space="preserve"> </w:t>
      </w:r>
      <w:r>
        <w:tab/>
      </w:r>
      <w:r>
        <w:rPr>
          <w:sz w:val="18"/>
        </w:rPr>
        <w:t>Vidarebosättningsländer i och utanför EU (Frankrike, Kanada, Tyskland, Finland, Nederländerna, Schweiz, Sverige, Storbritannien) har hittills gjort 2 680 åtaganden för vidarebosättning från Niger (för personer som evakuerats från Libyen samt för flyktingar som redan är registrerade i Niger).</w:t>
      </w:r>
    </w:p>
  </w:footnote>
  <w:footnote w:id="33">
    <w:p>
      <w:pPr>
        <w:pStyle w:val="FootnoteText"/>
        <w:spacing w:after="0"/>
        <w:ind w:left="284" w:hanging="284"/>
        <w:rPr>
          <w:sz w:val="18"/>
          <w:szCs w:val="18"/>
        </w:rPr>
      </w:pPr>
      <w:r>
        <w:rPr>
          <w:rStyle w:val="FootnoteReference"/>
          <w:sz w:val="18"/>
        </w:rPr>
        <w:footnoteRef/>
      </w:r>
      <w:r>
        <w:rPr>
          <w:sz w:val="18"/>
        </w:rPr>
        <w:t xml:space="preserve"> </w:t>
      </w:r>
      <w:r>
        <w:tab/>
      </w:r>
      <w:r>
        <w:rPr>
          <w:sz w:val="18"/>
        </w:rPr>
        <w:t>Mellan den 9 och den 11 april genomfördes ett besök på fältet i Niger, inom ramen för den särskilda gruppen för utökad vidarebosättning utmed centrala Medelhavet. Ett antal vidarebosättningsländer och Europeiska kommissionen deltog, och syftet var att ytterligare öka insatserna på detta område.</w:t>
      </w:r>
    </w:p>
  </w:footnote>
  <w:footnote w:id="34">
    <w:p>
      <w:pPr>
        <w:pStyle w:val="FootnoteText"/>
        <w:spacing w:after="0"/>
        <w:ind w:left="284" w:hanging="284"/>
        <w:rPr>
          <w:sz w:val="18"/>
          <w:szCs w:val="18"/>
        </w:rPr>
      </w:pPr>
      <w:r>
        <w:rPr>
          <w:rStyle w:val="FootnoteReference"/>
          <w:sz w:val="18"/>
        </w:rPr>
        <w:footnoteRef/>
      </w:r>
      <w:r>
        <w:rPr>
          <w:sz w:val="18"/>
          <w:vertAlign w:val="superscript"/>
        </w:rPr>
        <w:t xml:space="preserve"> </w:t>
      </w:r>
      <w:r>
        <w:tab/>
      </w:r>
      <w:r>
        <w:rPr>
          <w:sz w:val="18"/>
        </w:rPr>
        <w:t>Arbetsgruppen (Afrikanska unionen, EU och FN) inrättades i anslutning till det femte toppmötet den 29–30 november 2017 i Abidjan, Elfenbenskusten.</w:t>
      </w:r>
    </w:p>
  </w:footnote>
  <w:footnote w:id="35">
    <w:p>
      <w:pPr>
        <w:pStyle w:val="FootnoteText"/>
        <w:spacing w:after="0"/>
        <w:ind w:left="284" w:hanging="284"/>
        <w:rPr>
          <w:sz w:val="18"/>
          <w:szCs w:val="18"/>
        </w:rPr>
      </w:pPr>
      <w:r>
        <w:rPr>
          <w:rStyle w:val="FootnoteReference"/>
          <w:sz w:val="18"/>
        </w:rPr>
        <w:footnoteRef/>
      </w:r>
      <w:r>
        <w:rPr>
          <w:sz w:val="18"/>
          <w:vertAlign w:val="superscript"/>
        </w:rPr>
        <w:t xml:space="preserve"> </w:t>
      </w:r>
      <w:r>
        <w:tab/>
      </w:r>
      <w:r>
        <w:rPr>
          <w:sz w:val="18"/>
        </w:rPr>
        <w:t>De flesta förslagen (2,5 miljarder euro) avser den del som berör mikroföretag och små och medelstora företag (15 förslag) samt den del som berör hållbar energi och sammanlänkning (15 förslag). Dessutom har förslag på sammanlagt över 1 miljard euro inkommit för de andra tre delarna: Hållbart jordbruk, företagare på landsbygden och jordbruksindustrin, hållbara städer och digitalisering för utveckling.</w:t>
      </w:r>
    </w:p>
  </w:footnote>
  <w:footnote w:id="36">
    <w:p>
      <w:pPr>
        <w:pStyle w:val="FootnoteText"/>
        <w:spacing w:after="0"/>
        <w:ind w:left="284" w:hanging="284"/>
        <w:rPr>
          <w:sz w:val="18"/>
          <w:szCs w:val="18"/>
        </w:rPr>
      </w:pPr>
      <w:r>
        <w:rPr>
          <w:rStyle w:val="FootnoteReference"/>
          <w:sz w:val="18"/>
        </w:rPr>
        <w:footnoteRef/>
      </w:r>
      <w:r>
        <w:rPr>
          <w:sz w:val="18"/>
        </w:rPr>
        <w:t xml:space="preserve"> </w:t>
      </w:r>
      <w:r>
        <w:tab/>
      </w:r>
      <w:r>
        <w:rPr>
          <w:sz w:val="18"/>
        </w:rPr>
        <w:t xml:space="preserve">Konferensen antog en deklaration: </w:t>
      </w:r>
      <w:hyperlink r:id="rId8">
        <w:r>
          <w:rPr>
            <w:rStyle w:val="Hyperlink"/>
            <w:sz w:val="18"/>
          </w:rPr>
          <w:t>http://europa.eu/rapid/press-release_STATEMENT-18-2067_en.htm</w:t>
        </w:r>
      </w:hyperlink>
      <w:r>
        <w:rPr>
          <w:rStyle w:val="Hyperlink"/>
          <w:sz w:val="18"/>
          <w:u w:val="none"/>
        </w:rPr>
        <w:t>.</w:t>
      </w:r>
      <w:r>
        <w:rPr>
          <w:sz w:val="18"/>
        </w:rPr>
        <w:t xml:space="preserve"> </w:t>
      </w:r>
    </w:p>
  </w:footnote>
  <w:footnote w:id="37">
    <w:p>
      <w:pPr>
        <w:pStyle w:val="FootnoteText"/>
        <w:spacing w:after="0"/>
        <w:ind w:left="284" w:hanging="284"/>
        <w:rPr>
          <w:sz w:val="18"/>
          <w:szCs w:val="18"/>
        </w:rPr>
      </w:pPr>
      <w:r>
        <w:rPr>
          <w:rStyle w:val="FootnoteReference"/>
          <w:sz w:val="18"/>
        </w:rPr>
        <w:footnoteRef/>
      </w:r>
      <w:r>
        <w:rPr>
          <w:sz w:val="18"/>
        </w:rPr>
        <w:t xml:space="preserve"> </w:t>
      </w:r>
      <w:r>
        <w:tab/>
      </w:r>
      <w:r>
        <w:rPr>
          <w:sz w:val="18"/>
        </w:rPr>
        <w:t>https://ec.europa.eu/home-affairs/sites/homeaffairs/files/20180503_declaration-and-action-plan-marrakesh_en.pdf</w:t>
      </w:r>
    </w:p>
  </w:footnote>
  <w:footnote w:id="38">
    <w:p>
      <w:pPr>
        <w:pStyle w:val="FootnoteText"/>
        <w:spacing w:after="0"/>
        <w:ind w:left="284" w:hanging="284"/>
        <w:rPr>
          <w:sz w:val="18"/>
          <w:szCs w:val="18"/>
        </w:rPr>
      </w:pPr>
      <w:r>
        <w:rPr>
          <w:rStyle w:val="FootnoteReference"/>
          <w:sz w:val="18"/>
        </w:rPr>
        <w:footnoteRef/>
      </w:r>
      <w:r>
        <w:rPr>
          <w:sz w:val="18"/>
        </w:rPr>
        <w:t xml:space="preserve"> </w:t>
      </w:r>
      <w:r>
        <w:tab/>
      </w:r>
      <w:r>
        <w:rPr>
          <w:sz w:val="18"/>
        </w:rPr>
        <w:t>Algerier använder både den centra Medelhavsrutten (1 980 anländande under 2017, 114 under 2018 års första kvartal) och västra Medelhavsrutten (3 687 anländande 2017 och 125 under första kvartalet 2018).</w:t>
      </w:r>
    </w:p>
  </w:footnote>
  <w:footnote w:id="39">
    <w:p>
      <w:pPr>
        <w:pStyle w:val="FootnoteText"/>
        <w:spacing w:after="0"/>
        <w:ind w:left="284" w:hanging="284"/>
        <w:rPr>
          <w:sz w:val="18"/>
          <w:szCs w:val="18"/>
        </w:rPr>
      </w:pPr>
      <w:r>
        <w:rPr>
          <w:sz w:val="18"/>
          <w:vertAlign w:val="superscript"/>
        </w:rPr>
        <w:footnoteRef/>
      </w:r>
      <w:r>
        <w:rPr>
          <w:sz w:val="18"/>
        </w:rPr>
        <w:t xml:space="preserve"> </w:t>
      </w:r>
      <w:r>
        <w:tab/>
      </w:r>
      <w:r>
        <w:rPr>
          <w:sz w:val="18"/>
        </w:rPr>
        <w:t>Andelen återvändande är förhållandet mellan antalet personer som fått ett beslut om återsändande och antalet personer som faktiskt återvänt (oavsett om detta skett frivilligt eller under tvång).</w:t>
      </w:r>
    </w:p>
  </w:footnote>
  <w:footnote w:id="40">
    <w:p>
      <w:pPr>
        <w:pStyle w:val="FootnoteText"/>
        <w:spacing w:after="0"/>
        <w:ind w:left="284" w:hanging="284"/>
        <w:rPr>
          <w:sz w:val="18"/>
          <w:szCs w:val="18"/>
        </w:rPr>
      </w:pPr>
      <w:r>
        <w:rPr>
          <w:sz w:val="18"/>
          <w:vertAlign w:val="superscript"/>
        </w:rPr>
        <w:footnoteRef/>
      </w:r>
      <w:r>
        <w:rPr>
          <w:sz w:val="18"/>
        </w:rPr>
        <w:t xml:space="preserve"> </w:t>
      </w:r>
      <w:r>
        <w:tab/>
      </w:r>
      <w:r>
        <w:rPr>
          <w:sz w:val="18"/>
        </w:rPr>
        <w:t xml:space="preserve">Även med asiatiska länder fortsätter samarbetet om migration att förbättras. En rad positiva möten har ägt rum med Afghanistan, Pakistan och Bangladesh. Bland de konkreta resultaten märks en elektronisk plattform för hantering av återanpassningsansökningar med Pakistan och återvändandeinsatser inom ramen för standardrutinerna med Bangladesh. Dialoger pågår för att uppnå en liknande samarbetsnivå med andra länder, som Tunisien och Nigeria. </w:t>
      </w:r>
    </w:p>
  </w:footnote>
  <w:footnote w:id="41">
    <w:p>
      <w:pPr>
        <w:pStyle w:val="FootnoteText"/>
        <w:spacing w:after="0"/>
        <w:ind w:left="284" w:hanging="284"/>
      </w:pPr>
      <w:r>
        <w:rPr>
          <w:rStyle w:val="FootnoteReference"/>
        </w:rPr>
        <w:footnoteRef/>
      </w:r>
      <w:r>
        <w:t xml:space="preserve"> </w:t>
      </w:r>
      <w:r>
        <w:tab/>
      </w:r>
      <w:r>
        <w:rPr>
          <w:sz w:val="18"/>
        </w:rPr>
        <w:t>COM(2018) 303 final, 16.5.2018.</w:t>
      </w:r>
    </w:p>
  </w:footnote>
  <w:footnote w:id="42">
    <w:p>
      <w:pPr>
        <w:pStyle w:val="FootnoteText"/>
        <w:spacing w:after="0"/>
        <w:ind w:left="284" w:hanging="284"/>
        <w:rPr>
          <w:sz w:val="18"/>
          <w:szCs w:val="18"/>
        </w:rPr>
      </w:pPr>
      <w:r>
        <w:rPr>
          <w:vertAlign w:val="superscript"/>
        </w:rPr>
        <w:footnoteRef/>
      </w:r>
      <w:r>
        <w:rPr>
          <w:sz w:val="18"/>
          <w:vertAlign w:val="superscript"/>
        </w:rPr>
        <w:t xml:space="preserve"> </w:t>
      </w:r>
      <w:r>
        <w:tab/>
      </w:r>
      <w:r>
        <w:rPr>
          <w:sz w:val="18"/>
        </w:rPr>
        <w:t>COM(2018) 252 final, 14.3.2018.</w:t>
      </w:r>
    </w:p>
  </w:footnote>
  <w:footnote w:id="43">
    <w:p>
      <w:pPr>
        <w:pStyle w:val="FootnoteText"/>
        <w:spacing w:after="0"/>
        <w:ind w:left="284" w:hanging="284"/>
        <w:rPr>
          <w:sz w:val="18"/>
          <w:szCs w:val="18"/>
        </w:rPr>
      </w:pPr>
      <w:r>
        <w:rPr>
          <w:rStyle w:val="FootnoteReference"/>
          <w:sz w:val="18"/>
        </w:rPr>
        <w:footnoteRef/>
      </w:r>
      <w:r>
        <w:rPr>
          <w:sz w:val="18"/>
        </w:rPr>
        <w:t xml:space="preserve"> </w:t>
      </w:r>
      <w:r>
        <w:tab/>
      </w:r>
      <w:r>
        <w:rPr>
          <w:sz w:val="18"/>
        </w:rPr>
        <w:t xml:space="preserve">Uppgifter från </w:t>
      </w:r>
      <w:r>
        <w:rPr>
          <w:i/>
          <w:sz w:val="18"/>
        </w:rPr>
        <w:t>Frontex Application Return.</w:t>
      </w:r>
      <w:r>
        <w:rPr>
          <w:sz w:val="18"/>
        </w:rPr>
        <w:t xml:space="preserve"> </w:t>
      </w:r>
    </w:p>
  </w:footnote>
  <w:footnote w:id="44">
    <w:p>
      <w:pPr>
        <w:pStyle w:val="FootnoteText"/>
        <w:spacing w:after="0"/>
        <w:ind w:left="284" w:hanging="284"/>
        <w:rPr>
          <w:sz w:val="18"/>
          <w:szCs w:val="18"/>
        </w:rPr>
      </w:pPr>
      <w:r>
        <w:rPr>
          <w:rStyle w:val="FootnoteReference"/>
          <w:sz w:val="18"/>
        </w:rPr>
        <w:footnoteRef/>
      </w:r>
      <w:r>
        <w:rPr>
          <w:sz w:val="18"/>
          <w:vertAlign w:val="superscript"/>
        </w:rPr>
        <w:t xml:space="preserve"> </w:t>
      </w:r>
      <w:r>
        <w:tab/>
      </w:r>
      <w:r>
        <w:rPr>
          <w:sz w:val="18"/>
        </w:rPr>
        <w:t>SWD(2017) 117 final, 22.3.2017, och COM(2017) 558 final, 27.9.2017.</w:t>
      </w:r>
    </w:p>
  </w:footnote>
  <w:footnote w:id="45">
    <w:p>
      <w:pPr>
        <w:pStyle w:val="FootnoteText"/>
        <w:spacing w:after="0"/>
        <w:ind w:left="284" w:hanging="284"/>
        <w:rPr>
          <w:sz w:val="18"/>
          <w:szCs w:val="18"/>
        </w:rPr>
      </w:pPr>
      <w:r>
        <w:rPr>
          <w:sz w:val="18"/>
          <w:vertAlign w:val="superscript"/>
        </w:rPr>
        <w:footnoteRef/>
      </w:r>
      <w:r>
        <w:tab/>
      </w:r>
      <w:r>
        <w:rPr>
          <w:sz w:val="18"/>
        </w:rPr>
        <w:t>COM(2017) 669 final, 15.11.2017.</w:t>
      </w:r>
    </w:p>
  </w:footnote>
  <w:footnote w:id="46">
    <w:p>
      <w:pPr>
        <w:pStyle w:val="FootnoteText"/>
        <w:spacing w:after="0"/>
        <w:ind w:left="284" w:hanging="284"/>
        <w:rPr>
          <w:sz w:val="18"/>
          <w:szCs w:val="18"/>
        </w:rPr>
      </w:pPr>
      <w:r>
        <w:rPr>
          <w:rStyle w:val="FootnoteReference"/>
          <w:sz w:val="18"/>
        </w:rPr>
        <w:footnoteRef/>
      </w:r>
      <w:r>
        <w:rPr>
          <w:sz w:val="18"/>
        </w:rPr>
        <w:t xml:space="preserve"> </w:t>
      </w:r>
      <w:r>
        <w:tab/>
      </w:r>
      <w:r>
        <w:rPr>
          <w:sz w:val="18"/>
        </w:rPr>
        <w:t>COM(2018) 307, 16.5.2018.</w:t>
      </w:r>
    </w:p>
  </w:footnote>
  <w:footnote w:id="47">
    <w:p>
      <w:pPr>
        <w:pStyle w:val="FootnoteText"/>
        <w:spacing w:after="0"/>
        <w:ind w:left="284" w:hanging="284"/>
        <w:rPr>
          <w:sz w:val="18"/>
          <w:szCs w:val="18"/>
        </w:rPr>
      </w:pPr>
      <w:r>
        <w:rPr>
          <w:rStyle w:val="FootnoteReference"/>
          <w:sz w:val="18"/>
        </w:rPr>
        <w:footnoteRef/>
      </w:r>
      <w:r>
        <w:rPr>
          <w:sz w:val="18"/>
          <w:vertAlign w:val="superscript"/>
        </w:rPr>
        <w:t xml:space="preserve"> </w:t>
      </w:r>
      <w:r>
        <w:tab/>
      </w:r>
      <w:r>
        <w:rPr>
          <w:sz w:val="18"/>
        </w:rPr>
        <w:t>Belgien, Bulgarien, Cypern, Estland, Finland, Frankrike, Irland, Kroatien, Lettland, Liechtenstein, Litauen, Luxemburg, Malta, Nederländerna, Norge, Portugal, Rumänien, Slovakien, Slovenien, Schweiz, Spanien, Sverige, Tjeckien och Tyskland.</w:t>
      </w:r>
    </w:p>
  </w:footnote>
  <w:footnote w:id="48">
    <w:p>
      <w:pPr>
        <w:pStyle w:val="FootnoteText"/>
        <w:spacing w:after="0"/>
        <w:ind w:left="284" w:hanging="284"/>
        <w:rPr>
          <w:sz w:val="18"/>
          <w:szCs w:val="18"/>
        </w:rPr>
      </w:pPr>
      <w:r>
        <w:rPr>
          <w:rStyle w:val="FootnoteReference"/>
          <w:sz w:val="18"/>
        </w:rPr>
        <w:footnoteRef/>
      </w:r>
      <w:r>
        <w:rPr>
          <w:sz w:val="18"/>
          <w:vertAlign w:val="superscript"/>
        </w:rPr>
        <w:t xml:space="preserve"> </w:t>
      </w:r>
      <w:r>
        <w:tab/>
      </w:r>
      <w:r>
        <w:rPr>
          <w:sz w:val="18"/>
        </w:rPr>
        <w:t>En begäran har sänts till Portugal.</w:t>
      </w:r>
    </w:p>
  </w:footnote>
  <w:footnote w:id="49">
    <w:p>
      <w:pPr>
        <w:pStyle w:val="FootnoteText"/>
        <w:spacing w:after="0"/>
        <w:ind w:left="284" w:hanging="284"/>
        <w:rPr>
          <w:sz w:val="18"/>
          <w:szCs w:val="18"/>
        </w:rPr>
      </w:pPr>
      <w:r>
        <w:rPr>
          <w:rStyle w:val="FootnoteReference"/>
          <w:sz w:val="18"/>
        </w:rPr>
        <w:footnoteRef/>
      </w:r>
      <w:r>
        <w:rPr>
          <w:sz w:val="18"/>
        </w:rPr>
        <w:t xml:space="preserve"> </w:t>
      </w:r>
      <w:r>
        <w:tab/>
      </w:r>
      <w:r>
        <w:rPr>
          <w:sz w:val="18"/>
        </w:rPr>
        <w:t>Rådets slutsatser (om vidarebosättning av 20 000 personer med ett klart behov av internationellt skydd genom multilaterala och nationella system) av den 20.7.2015, dokument 11130/15.</w:t>
      </w:r>
    </w:p>
  </w:footnote>
  <w:footnote w:id="50">
    <w:p>
      <w:pPr>
        <w:pStyle w:val="FootnoteText"/>
        <w:spacing w:after="0"/>
        <w:ind w:left="284" w:hanging="284"/>
        <w:rPr>
          <w:sz w:val="18"/>
          <w:szCs w:val="18"/>
        </w:rPr>
      </w:pPr>
      <w:r>
        <w:rPr>
          <w:rStyle w:val="FootnoteReference"/>
          <w:sz w:val="18"/>
        </w:rPr>
        <w:footnoteRef/>
      </w:r>
      <w:r>
        <w:rPr>
          <w:sz w:val="18"/>
          <w:vertAlign w:val="superscript"/>
        </w:rPr>
        <w:t xml:space="preserve"> </w:t>
      </w:r>
      <w:r>
        <w:tab/>
      </w:r>
      <w:r>
        <w:rPr>
          <w:sz w:val="18"/>
        </w:rPr>
        <w:t>Belgien, Bulgarien, Cypern, Estland, Finland, Frankrike, Förenade kungariket, Irland, Italien, Kroatien, Litauen, Luxemburg, Malta, Nederländerna, Portugal, Rumänien, Slovenien, Spanien, Sverige och Tyskland.</w:t>
      </w:r>
    </w:p>
  </w:footnote>
  <w:footnote w:id="51">
    <w:p>
      <w:pPr>
        <w:pStyle w:val="FootnoteText"/>
        <w:spacing w:after="0"/>
        <w:ind w:left="284" w:hanging="284"/>
        <w:rPr>
          <w:sz w:val="18"/>
          <w:szCs w:val="18"/>
        </w:rPr>
      </w:pPr>
      <w:r>
        <w:rPr>
          <w:rStyle w:val="FootnoteReference"/>
          <w:sz w:val="18"/>
        </w:rPr>
        <w:footnoteRef/>
      </w:r>
      <w:r>
        <w:rPr>
          <w:sz w:val="18"/>
          <w:vertAlign w:val="superscript"/>
        </w:rPr>
        <w:t xml:space="preserve"> </w:t>
      </w:r>
      <w:r>
        <w:tab/>
      </w:r>
      <w:r>
        <w:rPr>
          <w:sz w:val="18"/>
        </w:rPr>
        <w:t>I rekommendation C(2017) 6504 av den 27 september 2017 efterlystes platser för att vidarebosätta minst 50 000 personer i behov av internationellt skydd senast den 31 oktober 2019.</w:t>
      </w:r>
    </w:p>
  </w:footnote>
  <w:footnote w:id="52">
    <w:p>
      <w:pPr>
        <w:pStyle w:val="FootnoteText"/>
        <w:spacing w:after="0"/>
        <w:ind w:left="284" w:hanging="284"/>
        <w:rPr>
          <w:sz w:val="18"/>
          <w:szCs w:val="18"/>
        </w:rPr>
      </w:pPr>
      <w:r>
        <w:rPr>
          <w:rStyle w:val="FootnoteReference"/>
          <w:sz w:val="18"/>
        </w:rPr>
        <w:footnoteRef/>
      </w:r>
      <w:r>
        <w:rPr>
          <w:rStyle w:val="FootnoteReference"/>
          <w:sz w:val="18"/>
        </w:rPr>
        <w:t xml:space="preserve"> </w:t>
      </w:r>
      <w:r>
        <w:tab/>
      </w:r>
      <w:r>
        <w:rPr>
          <w:sz w:val="18"/>
        </w:rPr>
        <w:t>Belgien, Finland, Frankrike, Italien, Kroatien, Litauen, Nederländerna, Portugal, Spanien, Sverige.</w:t>
      </w:r>
    </w:p>
  </w:footnote>
  <w:footnote w:id="53">
    <w:p>
      <w:pPr>
        <w:pStyle w:val="FootnoteText"/>
        <w:spacing w:after="0"/>
        <w:ind w:left="284" w:hanging="284"/>
        <w:rPr>
          <w:sz w:val="18"/>
          <w:szCs w:val="18"/>
        </w:rPr>
      </w:pPr>
      <w:r>
        <w:rPr>
          <w:rStyle w:val="FootnoteReference"/>
          <w:sz w:val="18"/>
        </w:rPr>
        <w:footnoteRef/>
      </w:r>
      <w:r>
        <w:rPr>
          <w:sz w:val="18"/>
        </w:rPr>
        <w:t xml:space="preserve"> </w:t>
      </w:r>
      <w:r>
        <w:tab/>
      </w:r>
      <w:r>
        <w:rPr>
          <w:sz w:val="18"/>
        </w:rPr>
        <w:t>Hittills har medlemsstaterna vidarebosatt personer från över 2 tredjeländer. De högsta antalen vidarebosättningar hittills var från Libanon, Turkiet, Jordanien, Uganda, Chad och Niger.</w:t>
      </w:r>
    </w:p>
  </w:footnote>
  <w:footnote w:id="54">
    <w:p>
      <w:pPr>
        <w:pStyle w:val="FootnoteText"/>
        <w:spacing w:after="0"/>
        <w:ind w:left="284" w:hanging="284"/>
        <w:rPr>
          <w:sz w:val="18"/>
          <w:szCs w:val="18"/>
        </w:rPr>
      </w:pPr>
      <w:r>
        <w:rPr>
          <w:rStyle w:val="FootnoteReference"/>
          <w:sz w:val="18"/>
        </w:rPr>
        <w:footnoteRef/>
      </w:r>
      <w:r>
        <w:tab/>
      </w:r>
      <w:r>
        <w:rPr>
          <w:color w:val="000000"/>
          <w:sz w:val="18"/>
        </w:rPr>
        <w:t>http</w:t>
      </w:r>
      <w:r>
        <w:rPr>
          <w:sz w:val="18"/>
        </w:rPr>
        <w:t>s://www.icmpd.org/our-work/capacity-building/multi-thematic-programmes/mobility-partnership-facility-mpf/pilot-projects-on-legal-migration-call-for-proposals-application-package/</w:t>
      </w:r>
    </w:p>
  </w:footnote>
  <w:footnote w:id="55">
    <w:p>
      <w:pPr>
        <w:pStyle w:val="FootnoteText"/>
        <w:spacing w:after="0"/>
        <w:ind w:left="284" w:hanging="284"/>
        <w:rPr>
          <w:sz w:val="18"/>
          <w:szCs w:val="18"/>
        </w:rPr>
      </w:pPr>
      <w:r>
        <w:rPr>
          <w:rStyle w:val="FootnoteReference"/>
          <w:sz w:val="18"/>
        </w:rPr>
        <w:footnoteRef/>
      </w:r>
      <w:r>
        <w:rPr>
          <w:sz w:val="18"/>
        </w:rPr>
        <w:t xml:space="preserve">  </w:t>
      </w:r>
      <w:r>
        <w:tab/>
      </w:r>
      <w:r>
        <w:rPr>
          <w:color w:val="000000"/>
          <w:sz w:val="18"/>
        </w:rPr>
        <w:t>http://ec.europa.eu/commfrontoffice/publicopinion/index.cfm/survey/getsurveydetail/instruments/special/surveyky/2169</w:t>
      </w:r>
    </w:p>
  </w:footnote>
  <w:footnote w:id="56">
    <w:p>
      <w:pPr>
        <w:pStyle w:val="FootnoteText"/>
        <w:spacing w:after="0"/>
        <w:ind w:left="284" w:hanging="284"/>
        <w:rPr>
          <w:sz w:val="18"/>
          <w:szCs w:val="18"/>
        </w:rPr>
      </w:pPr>
      <w:r>
        <w:rPr>
          <w:rStyle w:val="FootnoteReference"/>
          <w:sz w:val="18"/>
        </w:rPr>
        <w:footnoteRef/>
      </w:r>
      <w:r>
        <w:rPr>
          <w:sz w:val="18"/>
        </w:rPr>
        <w:t xml:space="preserve"> </w:t>
      </w:r>
      <w:r>
        <w:tab/>
      </w:r>
      <w:r>
        <w:rPr>
          <w:sz w:val="18"/>
        </w:rPr>
        <w:t xml:space="preserve"> En modern budget för ett EU som skyddar, försvarar och sätter medborgarna i centrum – den fleråriga budgetramen för 2021–2027. COM(2018) 321 final, 2.5.2018.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9E5B2F"/>
    <w:multiLevelType w:val="hybridMultilevel"/>
    <w:tmpl w:val="C6EE2720"/>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8CB0669"/>
    <w:multiLevelType w:val="hybridMultilevel"/>
    <w:tmpl w:val="06BE1784"/>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6C6233B"/>
    <w:multiLevelType w:val="hybridMultilevel"/>
    <w:tmpl w:val="0548D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9A72055"/>
    <w:multiLevelType w:val="hybridMultilevel"/>
    <w:tmpl w:val="38B6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5E650808"/>
    <w:multiLevelType w:val="hybridMultilevel"/>
    <w:tmpl w:val="B296B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4"/>
  </w:num>
  <w:num w:numId="5">
    <w:abstractNumId w:val="7"/>
  </w:num>
  <w:num w:numId="6">
    <w:abstractNumId w:val="13"/>
  </w:num>
  <w:num w:numId="7">
    <w:abstractNumId w:val="22"/>
  </w:num>
  <w:num w:numId="8">
    <w:abstractNumId w:val="23"/>
  </w:num>
  <w:num w:numId="9">
    <w:abstractNumId w:val="10"/>
  </w:num>
  <w:num w:numId="10">
    <w:abstractNumId w:val="21"/>
  </w:num>
  <w:num w:numId="11">
    <w:abstractNumId w:val="19"/>
  </w:num>
  <w:num w:numId="12">
    <w:abstractNumId w:val="15"/>
  </w:num>
  <w:num w:numId="13">
    <w:abstractNumId w:val="16"/>
  </w:num>
  <w:num w:numId="14">
    <w:abstractNumId w:val="6"/>
  </w:num>
  <w:num w:numId="15">
    <w:abstractNumId w:val="11"/>
  </w:num>
  <w:num w:numId="16">
    <w:abstractNumId w:val="4"/>
  </w:num>
  <w:num w:numId="17">
    <w:abstractNumId w:val="8"/>
  </w:num>
  <w:num w:numId="18">
    <w:abstractNumId w:val="24"/>
  </w:num>
  <w:num w:numId="19">
    <w:abstractNumId w:val="9"/>
  </w:num>
  <w:num w:numId="20">
    <w:abstractNumId w:val="12"/>
  </w:num>
  <w:num w:numId="21">
    <w:abstractNumId w:val="1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
  </w:num>
  <w:num w:numId="25">
    <w:abstractNumId w:val="20"/>
  </w:num>
  <w:num w:numId="26">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EL Alexandra (HOME)">
    <w15:presenceInfo w15:providerId="None" w15:userId="KIEL Alexandra (HOME)"/>
  </w15:person>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D23D6AF6-5120-42FC-AEFF-1FACF11AD385"/>
    <w:docVar w:name="LW_COVERPAGE_TYPE" w:val="1"/>
    <w:docVar w:name="LW_CROSSREFERENCE" w:val="&lt;UNUSED&gt;"/>
    <w:docVar w:name="LW_DATE.ADOPT.CP_ISODATE" w:val="&lt;EMPTY&gt;"/>
    <w:docVar w:name="LW_DocType" w:val="REP"/>
    <w:docVar w:name="LW_EMISSION" w:val="16.5.2018"/>
    <w:docVar w:name="LW_EMISSION_ISODATE" w:val="2018-05-16"/>
    <w:docVar w:name="LW_EMISSION_LOCATION" w:val="BRX"/>
    <w:docVar w:name="LW_EMISSION_PREFIX" w:val="Bryssel den "/>
    <w:docVar w:name="LW_EMISSION_SUFFIX" w:val="&lt;EMPTY&gt;"/>
    <w:docVar w:name="LW_ID_DOCTYPE_NONLW" w:val="CP-009"/>
    <w:docVar w:name="LW_INTERETEEE.CP" w:val="&lt;UNUSED&gt;"/>
    <w:docVar w:name="LW_LANGUE" w:val="SV"/>
    <w:docVar w:name="LW_LANGUESFAISANTFOI.CP" w:val="&lt;UNUSED&gt;"/>
    <w:docVar w:name="LW_LEVEL_OF_SENSITIVITY" w:val="Standard treatment"/>
    <w:docVar w:name="LW_NOM.INST" w:val="EUROPEISKA KOMMISSIONE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ägesrapport om genomförandet av den europeiska migrationsagendan_x000b_"/>
    <w:docVar w:name="LW_TYPE.DOC.CP" w:val="MEDDELANDE FRÅN KOMMISSIONEN"/>
    <w:docVar w:name="LW_TYPE.DOC.CP.USERTEXT" w:val="TILL EUROPAPARLAMENTET, EUROPEISKA RÅDET OCH RÅDE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sv-SE"/>
    </w:rPr>
  </w:style>
  <w:style w:type="character" w:customStyle="1" w:styleId="HeaderChar">
    <w:name w:val="Header Char"/>
    <w:basedOn w:val="DefaultParagraphFont"/>
    <w:link w:val="Header"/>
    <w:uiPriority w:val="99"/>
    <w:rPr>
      <w:sz w:val="24"/>
      <w:lang w:eastAsia="sv-S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lang w:eastAsia="sv-SE"/>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jc w:val="left"/>
    </w:pPr>
    <w:rPr>
      <w:sz w:val="20"/>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sz w:val="24"/>
      <w:lang w:eastAsia="sv-SE"/>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spacing w:after="0"/>
      <w:ind w:left="0" w:firstLine="0"/>
    </w:pPr>
    <w:rPr>
      <w:rFonts w:ascii="EC Square Sans Pro" w:hAnsi="EC Square Sans Pro"/>
      <w:sz w:val="18"/>
    </w:rPr>
  </w:style>
  <w:style w:type="paragraph" w:customStyle="1" w:styleId="ISAANormal">
    <w:name w:val="ISAA_Normal"/>
    <w:basedOn w:val="Normal"/>
    <w:qFormat/>
    <w:rPr>
      <w:rFonts w:ascii="EC Square Sans Pro" w:hAnsi="EC Square Sans Pro"/>
      <w:sz w:val="20"/>
    </w:rPr>
  </w:style>
  <w:style w:type="paragraph" w:styleId="BalloonText">
    <w:name w:val="Balloon Text"/>
    <w:basedOn w:val="Normal"/>
    <w:link w:val="BalloonTextChar"/>
    <w:uiPriority w:val="99"/>
    <w:semiHidden/>
    <w:unhideWhenUsed/>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sv-S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rPr>
      <w:sz w:val="20"/>
      <w:szCs w:val="20"/>
    </w:rPr>
  </w:style>
  <w:style w:type="paragraph" w:customStyle="1" w:styleId="Default">
    <w:name w:val="Default"/>
    <w:pPr>
      <w:autoSpaceDE w:val="0"/>
      <w:autoSpaceDN w:val="0"/>
      <w:adjustRightInd w:val="0"/>
    </w:pPr>
    <w:rPr>
      <w:rFonts w:eastAsiaTheme="minorHAnsi"/>
      <w:color w:val="000000"/>
      <w:sz w:val="24"/>
      <w:szCs w:val="24"/>
    </w:rPr>
  </w:style>
  <w:style w:type="paragraph" w:styleId="CommentSubject">
    <w:name w:val="annotation subject"/>
    <w:basedOn w:val="CommentText"/>
    <w:next w:val="CommentText"/>
    <w:link w:val="CommentSubjectChar"/>
    <w:uiPriority w:val="99"/>
    <w:semiHidden/>
    <w:unhideWhenUsed/>
    <w:pPr>
      <w:spacing w:after="0"/>
      <w:jc w:val="left"/>
    </w:pPr>
    <w:rPr>
      <w:rFonts w:ascii="Calibri" w:hAnsi="Calibri"/>
      <w:b/>
      <w:bCs/>
    </w:rPr>
  </w:style>
  <w:style w:type="character" w:customStyle="1" w:styleId="CommentTextChar1">
    <w:name w:val="Comment Text Char1"/>
    <w:basedOn w:val="DefaultParagraphFont"/>
    <w:link w:val="CommentText"/>
    <w:uiPriority w:val="99"/>
    <w:rPr>
      <w:lang w:eastAsia="sv-SE"/>
    </w:rPr>
  </w:style>
  <w:style w:type="character" w:customStyle="1" w:styleId="CommentSubjectChar">
    <w:name w:val="Comment Subject Char"/>
    <w:basedOn w:val="CommentTextChar1"/>
    <w:link w:val="CommentSubject"/>
    <w:uiPriority w:val="99"/>
    <w:semiHidden/>
    <w:rPr>
      <w:rFonts w:ascii="Calibri" w:hAnsi="Calibri"/>
      <w:b/>
      <w:bCs/>
      <w:lang w:eastAsia="sv-SE"/>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rFonts w:ascii="Calibri" w:hAnsi="Calibri"/>
      <w:sz w:val="22"/>
      <w:szCs w:val="2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rPr>
  </w:style>
  <w:style w:type="character" w:customStyle="1" w:styleId="5NormalChar">
    <w:name w:val="5 Normal Char"/>
    <w:link w:val="5Normal"/>
    <w:locked/>
    <w:rPr>
      <w:rFonts w:ascii="Verdana" w:hAnsi="Verdana"/>
      <w:spacing w:val="-2"/>
      <w:szCs w:val="24"/>
    </w:rPr>
  </w:style>
  <w:style w:type="table" w:customStyle="1" w:styleId="Calendar2">
    <w:name w:val="Calendar 2"/>
    <w:basedOn w:val="TableNormal"/>
    <w:uiPriority w:val="99"/>
    <w:qFormat/>
    <w:pPr>
      <w:jc w:val="center"/>
    </w:pPr>
    <w:rPr>
      <w:rFonts w:asciiTheme="minorHAnsi" w:eastAsiaTheme="minorEastAsia" w:hAnsiTheme="minorHAnsi" w:cstheme="minorBidi"/>
      <w:sz w:val="28"/>
      <w:szCs w:val="22"/>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rPr>
      <w:b/>
      <w:smallCaps/>
      <w:sz w:val="24"/>
      <w:lang w:eastAsia="sv-SE"/>
    </w:rPr>
  </w:style>
  <w:style w:type="character" w:customStyle="1" w:styleId="Heading2Char">
    <w:name w:val="Heading 2 Char"/>
    <w:basedOn w:val="DefaultParagraphFont"/>
    <w:link w:val="Heading2"/>
    <w:rPr>
      <w:b/>
      <w:sz w:val="24"/>
      <w:lang w:eastAsia="sv-SE"/>
    </w:rPr>
  </w:style>
  <w:style w:type="character" w:customStyle="1" w:styleId="Heading3Char">
    <w:name w:val="Heading 3 Char"/>
    <w:basedOn w:val="DefaultParagraphFont"/>
    <w:link w:val="Heading3"/>
    <w:rPr>
      <w:i/>
      <w:sz w:val="24"/>
      <w:lang w:eastAsia="sv-SE"/>
    </w:rPr>
  </w:style>
  <w:style w:type="character" w:customStyle="1" w:styleId="Heading4Char">
    <w:name w:val="Heading 4 Char"/>
    <w:basedOn w:val="DefaultParagraphFont"/>
    <w:link w:val="Heading4"/>
    <w:rPr>
      <w:sz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sv-SE"/>
    </w:rPr>
  </w:style>
  <w:style w:type="character" w:customStyle="1" w:styleId="HeaderChar">
    <w:name w:val="Header Char"/>
    <w:basedOn w:val="DefaultParagraphFont"/>
    <w:link w:val="Header"/>
    <w:uiPriority w:val="99"/>
    <w:rPr>
      <w:sz w:val="24"/>
      <w:lang w:eastAsia="sv-S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lang w:eastAsia="sv-SE"/>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jc w:val="left"/>
    </w:pPr>
    <w:rPr>
      <w:sz w:val="20"/>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sz w:val="24"/>
      <w:lang w:eastAsia="sv-SE"/>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spacing w:after="0"/>
      <w:ind w:left="0" w:firstLine="0"/>
    </w:pPr>
    <w:rPr>
      <w:rFonts w:ascii="EC Square Sans Pro" w:hAnsi="EC Square Sans Pro"/>
      <w:sz w:val="18"/>
    </w:rPr>
  </w:style>
  <w:style w:type="paragraph" w:customStyle="1" w:styleId="ISAANormal">
    <w:name w:val="ISAA_Normal"/>
    <w:basedOn w:val="Normal"/>
    <w:qFormat/>
    <w:rPr>
      <w:rFonts w:ascii="EC Square Sans Pro" w:hAnsi="EC Square Sans Pro"/>
      <w:sz w:val="20"/>
    </w:rPr>
  </w:style>
  <w:style w:type="paragraph" w:styleId="BalloonText">
    <w:name w:val="Balloon Text"/>
    <w:basedOn w:val="Normal"/>
    <w:link w:val="BalloonTextChar"/>
    <w:uiPriority w:val="99"/>
    <w:semiHidden/>
    <w:unhideWhenUsed/>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sv-S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rPr>
      <w:sz w:val="20"/>
      <w:szCs w:val="20"/>
    </w:rPr>
  </w:style>
  <w:style w:type="paragraph" w:customStyle="1" w:styleId="Default">
    <w:name w:val="Default"/>
    <w:pPr>
      <w:autoSpaceDE w:val="0"/>
      <w:autoSpaceDN w:val="0"/>
      <w:adjustRightInd w:val="0"/>
    </w:pPr>
    <w:rPr>
      <w:rFonts w:eastAsiaTheme="minorHAnsi"/>
      <w:color w:val="000000"/>
      <w:sz w:val="24"/>
      <w:szCs w:val="24"/>
    </w:rPr>
  </w:style>
  <w:style w:type="paragraph" w:styleId="CommentSubject">
    <w:name w:val="annotation subject"/>
    <w:basedOn w:val="CommentText"/>
    <w:next w:val="CommentText"/>
    <w:link w:val="CommentSubjectChar"/>
    <w:uiPriority w:val="99"/>
    <w:semiHidden/>
    <w:unhideWhenUsed/>
    <w:pPr>
      <w:spacing w:after="0"/>
      <w:jc w:val="left"/>
    </w:pPr>
    <w:rPr>
      <w:rFonts w:ascii="Calibri" w:hAnsi="Calibri"/>
      <w:b/>
      <w:bCs/>
    </w:rPr>
  </w:style>
  <w:style w:type="character" w:customStyle="1" w:styleId="CommentTextChar1">
    <w:name w:val="Comment Text Char1"/>
    <w:basedOn w:val="DefaultParagraphFont"/>
    <w:link w:val="CommentText"/>
    <w:uiPriority w:val="99"/>
    <w:rPr>
      <w:lang w:eastAsia="sv-SE"/>
    </w:rPr>
  </w:style>
  <w:style w:type="character" w:customStyle="1" w:styleId="CommentSubjectChar">
    <w:name w:val="Comment Subject Char"/>
    <w:basedOn w:val="CommentTextChar1"/>
    <w:link w:val="CommentSubject"/>
    <w:uiPriority w:val="99"/>
    <w:semiHidden/>
    <w:rPr>
      <w:rFonts w:ascii="Calibri" w:hAnsi="Calibri"/>
      <w:b/>
      <w:bCs/>
      <w:lang w:eastAsia="sv-SE"/>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rFonts w:ascii="Calibri" w:hAnsi="Calibri"/>
      <w:sz w:val="22"/>
      <w:szCs w:val="2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rPr>
  </w:style>
  <w:style w:type="character" w:customStyle="1" w:styleId="5NormalChar">
    <w:name w:val="5 Normal Char"/>
    <w:link w:val="5Normal"/>
    <w:locked/>
    <w:rPr>
      <w:rFonts w:ascii="Verdana" w:hAnsi="Verdana"/>
      <w:spacing w:val="-2"/>
      <w:szCs w:val="24"/>
    </w:rPr>
  </w:style>
  <w:style w:type="table" w:customStyle="1" w:styleId="Calendar2">
    <w:name w:val="Calendar 2"/>
    <w:basedOn w:val="TableNormal"/>
    <w:uiPriority w:val="99"/>
    <w:qFormat/>
    <w:pPr>
      <w:jc w:val="center"/>
    </w:pPr>
    <w:rPr>
      <w:rFonts w:asciiTheme="minorHAnsi" w:eastAsiaTheme="minorEastAsia" w:hAnsiTheme="minorHAnsi" w:cstheme="minorBidi"/>
      <w:sz w:val="28"/>
      <w:szCs w:val="22"/>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rPr>
      <w:b/>
      <w:smallCaps/>
      <w:sz w:val="24"/>
      <w:lang w:eastAsia="sv-SE"/>
    </w:rPr>
  </w:style>
  <w:style w:type="character" w:customStyle="1" w:styleId="Heading2Char">
    <w:name w:val="Heading 2 Char"/>
    <w:basedOn w:val="DefaultParagraphFont"/>
    <w:link w:val="Heading2"/>
    <w:rPr>
      <w:b/>
      <w:sz w:val="24"/>
      <w:lang w:eastAsia="sv-SE"/>
    </w:rPr>
  </w:style>
  <w:style w:type="character" w:customStyle="1" w:styleId="Heading3Char">
    <w:name w:val="Heading 3 Char"/>
    <w:basedOn w:val="DefaultParagraphFont"/>
    <w:link w:val="Heading3"/>
    <w:rPr>
      <w:i/>
      <w:sz w:val="24"/>
      <w:lang w:eastAsia="sv-SE"/>
    </w:rPr>
  </w:style>
  <w:style w:type="character" w:customStyle="1" w:styleId="Heading4Char">
    <w:name w:val="Heading 4 Char"/>
    <w:basedOn w:val="DefaultParagraphFont"/>
    <w:link w:val="Heading4"/>
    <w:rPr>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3389">
      <w:bodyDiv w:val="1"/>
      <w:marLeft w:val="0"/>
      <w:marRight w:val="0"/>
      <w:marTop w:val="0"/>
      <w:marBottom w:val="0"/>
      <w:divBdr>
        <w:top w:val="none" w:sz="0" w:space="0" w:color="auto"/>
        <w:left w:val="none" w:sz="0" w:space="0" w:color="auto"/>
        <w:bottom w:val="none" w:sz="0" w:space="0" w:color="auto"/>
        <w:right w:val="none" w:sz="0" w:space="0" w:color="auto"/>
      </w:divBdr>
    </w:div>
    <w:div w:id="208736173">
      <w:bodyDiv w:val="1"/>
      <w:marLeft w:val="0"/>
      <w:marRight w:val="0"/>
      <w:marTop w:val="0"/>
      <w:marBottom w:val="0"/>
      <w:divBdr>
        <w:top w:val="none" w:sz="0" w:space="0" w:color="auto"/>
        <w:left w:val="none" w:sz="0" w:space="0" w:color="auto"/>
        <w:bottom w:val="none" w:sz="0" w:space="0" w:color="auto"/>
        <w:right w:val="none" w:sz="0" w:space="0" w:color="auto"/>
      </w:divBdr>
    </w:div>
    <w:div w:id="464199016">
      <w:bodyDiv w:val="1"/>
      <w:marLeft w:val="0"/>
      <w:marRight w:val="0"/>
      <w:marTop w:val="0"/>
      <w:marBottom w:val="0"/>
      <w:divBdr>
        <w:top w:val="none" w:sz="0" w:space="0" w:color="auto"/>
        <w:left w:val="none" w:sz="0" w:space="0" w:color="auto"/>
        <w:bottom w:val="none" w:sz="0" w:space="0" w:color="auto"/>
        <w:right w:val="none" w:sz="0" w:space="0" w:color="auto"/>
      </w:divBdr>
    </w:div>
    <w:div w:id="1314409341">
      <w:bodyDiv w:val="1"/>
      <w:marLeft w:val="0"/>
      <w:marRight w:val="0"/>
      <w:marTop w:val="0"/>
      <w:marBottom w:val="0"/>
      <w:divBdr>
        <w:top w:val="none" w:sz="0" w:space="0" w:color="auto"/>
        <w:left w:val="none" w:sz="0" w:space="0" w:color="auto"/>
        <w:bottom w:val="none" w:sz="0" w:space="0" w:color="auto"/>
        <w:right w:val="none" w:sz="0" w:space="0" w:color="auto"/>
      </w:divBdr>
    </w:div>
    <w:div w:id="1505240165">
      <w:bodyDiv w:val="1"/>
      <w:marLeft w:val="0"/>
      <w:marRight w:val="0"/>
      <w:marTop w:val="0"/>
      <w:marBottom w:val="0"/>
      <w:divBdr>
        <w:top w:val="none" w:sz="0" w:space="0" w:color="auto"/>
        <w:left w:val="none" w:sz="0" w:space="0" w:color="auto"/>
        <w:bottom w:val="none" w:sz="0" w:space="0" w:color="auto"/>
        <w:right w:val="none" w:sz="0" w:space="0" w:color="auto"/>
      </w:divBdr>
    </w:div>
    <w:div w:id="1540432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STATEMENT-18-2067_en.htm" TargetMode="External"/><Relationship Id="rId3" Type="http://schemas.openxmlformats.org/officeDocument/2006/relationships/hyperlink" Target="https://data2.unhcr.org/en/documents/download/63435" TargetMode="External"/><Relationship Id="rId7" Type="http://schemas.openxmlformats.org/officeDocument/2006/relationships/hyperlink" Target="https://eeas.europa.eu/headquarters/headquarters-homepage/40705/joint-au-eu-un-taskforce-assists-16000-people_en" TargetMode="External"/><Relationship Id="rId2" Type="http://schemas.openxmlformats.org/officeDocument/2006/relationships/hyperlink" Target="https://www.iom.int/sites/default/files/situation_reports/file/libya_sr_20180301-31.pdf" TargetMode="External"/><Relationship Id="rId1" Type="http://schemas.openxmlformats.org/officeDocument/2006/relationships/hyperlink" Target="https://missingmigrants.iom.int/region/mediterranean" TargetMode="External"/><Relationship Id="rId6" Type="http://schemas.openxmlformats.org/officeDocument/2006/relationships/hyperlink" Target="http://tec.ly/" TargetMode="External"/><Relationship Id="rId5" Type="http://schemas.openxmlformats.org/officeDocument/2006/relationships/hyperlink" Target="https://blogs.unicef.org/blog/invisible-child-migrants-libya/" TargetMode="External"/><Relationship Id="rId4" Type="http://schemas.openxmlformats.org/officeDocument/2006/relationships/hyperlink" Target="https://ec.europa.eu/neighbourhood-enlargement/sites/near/files/facility_table.pdf"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schutfk\AppData\Local\Microsoft\Windows\INetCache\Content.Outlook\H9RSWI2V\progress%20report%20%20May%202018%20migr_asyappctz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Data!$A$14</c:f>
              <c:strCache>
                <c:ptCount val="1"/>
                <c:pt idx="0">
                  <c:v>European Union (current composition)</c:v>
                </c:pt>
              </c:strCache>
            </c:strRef>
          </c:tx>
          <c:spPr>
            <a:solidFill>
              <a:schemeClr val="dk1">
                <a:tint val="88500"/>
              </a:schemeClr>
            </a:solidFill>
            <a:ln>
              <a:noFill/>
            </a:ln>
            <a:effectLst/>
          </c:spPr>
          <c:invertIfNegative val="0"/>
          <c:dPt>
            <c:idx val="10"/>
            <c:invertIfNegative val="0"/>
            <c:bubble3D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17BA-47FF-92F5-2A49FF28E462}"/>
              </c:ext>
            </c:extLst>
          </c:dPt>
          <c:cat>
            <c:strRef>
              <c:f>Data!$B$13:$L$13</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Data!$B$14:$L$14</c:f>
              <c:numCache>
                <c:formatCode>#,##0</c:formatCode>
                <c:ptCount val="11"/>
                <c:pt idx="0">
                  <c:v>225150</c:v>
                </c:pt>
                <c:pt idx="1">
                  <c:v>263835</c:v>
                </c:pt>
                <c:pt idx="2">
                  <c:v>259630</c:v>
                </c:pt>
                <c:pt idx="3">
                  <c:v>309040</c:v>
                </c:pt>
                <c:pt idx="4">
                  <c:v>335290</c:v>
                </c:pt>
                <c:pt idx="5">
                  <c:v>431090</c:v>
                </c:pt>
                <c:pt idx="6">
                  <c:v>626960</c:v>
                </c:pt>
                <c:pt idx="7">
                  <c:v>1322825</c:v>
                </c:pt>
                <c:pt idx="8">
                  <c:v>1260910</c:v>
                </c:pt>
                <c:pt idx="9">
                  <c:v>705705</c:v>
                </c:pt>
                <c:pt idx="10">
                  <c:v>186522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2-17BA-47FF-92F5-2A49FF28E462}"/>
            </c:ext>
          </c:extLst>
        </c:ser>
        <c:dLbls>
          <c:showLegendKey val="0"/>
          <c:showVal val="0"/>
          <c:showCatName val="0"/>
          <c:showSerName val="0"/>
          <c:showPercent val="0"/>
          <c:showBubbleSize val="0"/>
        </c:dLbls>
        <c:gapWidth val="219"/>
        <c:overlap val="-27"/>
        <c:axId val="54508928"/>
        <c:axId val="34743424"/>
      </c:barChart>
      <c:catAx>
        <c:axId val="5450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4743424"/>
        <c:crosses val="autoZero"/>
        <c:auto val="1"/>
        <c:lblAlgn val="ctr"/>
        <c:lblOffset val="100"/>
        <c:noMultiLvlLbl val="0"/>
      </c:catAx>
      <c:valAx>
        <c:axId val="347434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450892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C226904-10DE-4069-B014-53F1E162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8398</Words>
  <Characters>51485</Characters>
  <Application>Microsoft Office Word</Application>
  <DocSecurity>0</DocSecurity>
  <PresentationFormat>Microsoft Word 14.0</PresentationFormat>
  <Lines>757</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23</cp:revision>
  <dcterms:created xsi:type="dcterms:W3CDTF">2018-05-16T14:37:00Z</dcterms:created>
  <dcterms:modified xsi:type="dcterms:W3CDTF">2018-06-01T09:42:00Z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