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55391643"/>
      <w:bookmarkStart w:id="1" w:name="_Toc286070785"/>
      <w:bookmarkStart w:id="2" w:name="_Toc286411786"/>
      <w:bookmarkStart w:id="3" w:name="_Toc28699206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C126DFB1-D3DD-42B1-8CC9-8337A5F1662F" style="width:450.8pt;height:388.8pt">
            <v:imagedata r:id="rId9" o:title=""/>
          </v:shape>
        </w:pict>
      </w:r>
    </w:p>
    <w:bookmarkEnd w:id="4"/>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60"/>
        <w:rPr>
          <w:rFonts w:ascii="Verdana" w:hAnsi="Verdana"/>
          <w:b/>
          <w:noProof/>
          <w:color w:val="000080"/>
        </w:rPr>
      </w:pPr>
      <w:bookmarkStart w:id="5" w:name="_GoBack"/>
      <w:bookmarkEnd w:id="5"/>
    </w:p>
    <w:p>
      <w:pPr>
        <w:spacing w:after="200" w:line="276" w:lineRule="auto"/>
        <w:rPr>
          <w:rFonts w:ascii="Verdana" w:hAnsi="Verdana"/>
          <w:b/>
          <w:noProof/>
          <w:color w:val="000080"/>
        </w:rPr>
      </w:pPr>
      <w:r>
        <w:rPr>
          <w:noProof/>
        </w:rPr>
        <w:br w:type="page"/>
      </w:r>
    </w:p>
    <w:p>
      <w:pPr>
        <w:spacing w:after="60"/>
        <w:rPr>
          <w:rFonts w:ascii="Verdana" w:hAnsi="Verdana"/>
          <w:b/>
          <w:noProof/>
          <w:color w:val="000080"/>
        </w:rPr>
      </w:pPr>
    </w:p>
    <w:sdt>
      <w:sdtPr>
        <w:rPr>
          <w:rFonts w:ascii="Times New Roman" w:eastAsia="Times New Roman" w:hAnsi="Times New Roman"/>
          <w:b w:val="0"/>
          <w:bCs/>
          <w:i w:val="0"/>
          <w:noProof/>
          <w:color w:val="auto"/>
          <w:sz w:val="24"/>
          <w:szCs w:val="24"/>
        </w:rPr>
        <w:id w:val="-796521479"/>
        <w:docPartObj>
          <w:docPartGallery w:val="Table of Contents"/>
          <w:docPartUnique/>
        </w:docPartObj>
      </w:sdtPr>
      <w:sdtContent>
        <w:p>
          <w:pPr>
            <w:pStyle w:val="TOCHeading"/>
            <w:rPr>
              <w:noProof/>
            </w:rPr>
          </w:pPr>
          <w:r>
            <w:rPr>
              <w:noProof/>
            </w:rPr>
            <w:t>Περιεχόμενα</w:t>
          </w:r>
        </w:p>
        <w:p>
          <w:pPr>
            <w:pStyle w:val="TOC1"/>
            <w:rPr>
              <w:rFonts w:asciiTheme="minorHAnsi" w:eastAsiaTheme="minorEastAsia" w:hAnsiTheme="minorHAnsi" w:cstheme="minorBidi"/>
              <w:b w:val="0"/>
              <w:bCs w:val="0"/>
              <w:sz w:val="22"/>
              <w:szCs w:val="22"/>
              <w:lang w:val="en-GB" w:eastAsia="en-GB" w:bidi="ar-SA"/>
            </w:rPr>
          </w:pPr>
          <w:r>
            <w:fldChar w:fldCharType="begin"/>
          </w:r>
          <w:r>
            <w:instrText xml:space="preserve"> TOC \o "1-3" \h \z \u </w:instrText>
          </w:r>
          <w:r>
            <w:fldChar w:fldCharType="separate"/>
          </w:r>
          <w:hyperlink w:anchor="_Toc513969597" w:history="1">
            <w:r>
              <w:rPr>
                <w:rStyle w:val="Hyperlink"/>
              </w:rPr>
              <w:t>1. Εισαγωγή</w:t>
            </w:r>
            <w:r>
              <w:rPr>
                <w:webHidden/>
              </w:rPr>
              <w:tab/>
            </w:r>
            <w:r>
              <w:rPr>
                <w:webHidden/>
              </w:rPr>
              <w:fldChar w:fldCharType="begin"/>
            </w:r>
            <w:r>
              <w:rPr>
                <w:webHidden/>
              </w:rPr>
              <w:instrText xml:space="preserve"> PAGEREF _Toc513969597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598" w:history="1">
            <w:r>
              <w:rPr>
                <w:rStyle w:val="Hyperlink"/>
              </w:rPr>
              <w:t>2. Δραστηριότητες και αποτελέσματα του 2015</w:t>
            </w:r>
            <w:r>
              <w:rPr>
                <w:webHidden/>
              </w:rPr>
              <w:tab/>
            </w:r>
            <w:r>
              <w:rPr>
                <w:webHidden/>
              </w:rPr>
              <w:fldChar w:fldCharType="begin"/>
            </w:r>
            <w:r>
              <w:rPr>
                <w:webHidden/>
              </w:rPr>
              <w:instrText xml:space="preserve"> PAGEREF _Toc513969598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599" w:history="1">
            <w:r>
              <w:rPr>
                <w:rStyle w:val="Hyperlink"/>
              </w:rPr>
              <w:t>2.1 Πρόσβαση σε χρηματοδότηση</w:t>
            </w:r>
            <w:r>
              <w:rPr>
                <w:webHidden/>
              </w:rPr>
              <w:tab/>
            </w:r>
            <w:r>
              <w:rPr>
                <w:webHidden/>
              </w:rPr>
              <w:fldChar w:fldCharType="begin"/>
            </w:r>
            <w:r>
              <w:rPr>
                <w:webHidden/>
              </w:rPr>
              <w:instrText xml:space="preserve"> PAGEREF _Toc513969599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0" w:history="1">
            <w:r>
              <w:rPr>
                <w:rStyle w:val="Hyperlink"/>
              </w:rPr>
              <w:t>2.2 Πρόσβαση στις αγορές</w:t>
            </w:r>
            <w:r>
              <w:rPr>
                <w:webHidden/>
              </w:rPr>
              <w:tab/>
            </w:r>
            <w:r>
              <w:rPr>
                <w:webHidden/>
              </w:rPr>
              <w:fldChar w:fldCharType="begin"/>
            </w:r>
            <w:r>
              <w:rPr>
                <w:webHidden/>
              </w:rPr>
              <w:instrText xml:space="preserve"> PAGEREF _Toc513969600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1" w:history="1">
            <w:r>
              <w:rPr>
                <w:rStyle w:val="Hyperlink"/>
              </w:rPr>
              <w:t>2.3 Βελτίωση του πλαισίου προϋποθέσεων και της ανταγωνιστικότητας</w:t>
            </w:r>
            <w:r>
              <w:rPr>
                <w:webHidden/>
              </w:rPr>
              <w:tab/>
            </w:r>
            <w:r>
              <w:rPr>
                <w:webHidden/>
              </w:rPr>
              <w:fldChar w:fldCharType="begin"/>
            </w:r>
            <w:r>
              <w:rPr>
                <w:webHidden/>
              </w:rPr>
              <w:instrText xml:space="preserve"> PAGEREF _Toc513969601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2" w:history="1">
            <w:r>
              <w:rPr>
                <w:rStyle w:val="Hyperlink"/>
              </w:rPr>
              <w:t>2.4 Προώθηση της επιχειρηματικότητας και της επιχειρηματικής νοοτροπίας</w:t>
            </w:r>
            <w:r>
              <w:rPr>
                <w:webHidden/>
              </w:rPr>
              <w:tab/>
            </w:r>
            <w:r>
              <w:rPr>
                <w:webHidden/>
              </w:rPr>
              <w:fldChar w:fldCharType="begin"/>
            </w:r>
            <w:r>
              <w:rPr>
                <w:webHidden/>
              </w:rPr>
              <w:instrText xml:space="preserve"> PAGEREF _Toc513969602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3" w:history="1">
            <w:r>
              <w:rPr>
                <w:rStyle w:val="Hyperlink"/>
              </w:rPr>
              <w:t>3. Μέτρα στήριξης και διοικητικές δαπάνες</w:t>
            </w:r>
            <w:r>
              <w:rPr>
                <w:webHidden/>
              </w:rPr>
              <w:tab/>
            </w:r>
            <w:r>
              <w:rPr>
                <w:webHidden/>
              </w:rPr>
              <w:fldChar w:fldCharType="begin"/>
            </w:r>
            <w:r>
              <w:rPr>
                <w:webHidden/>
              </w:rPr>
              <w:instrText xml:space="preserve"> PAGEREF _Toc513969603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4" w:history="1">
            <w:r>
              <w:rPr>
                <w:rStyle w:val="Hyperlink"/>
              </w:rPr>
              <w:t>4. Συνεισφορά στην επίτευξη του στόχου για την ενσωμάτωση της διάστασης του κλίματος</w:t>
            </w:r>
            <w:r>
              <w:rPr>
                <w:webHidden/>
              </w:rPr>
              <w:tab/>
            </w:r>
            <w:r>
              <w:rPr>
                <w:webHidden/>
              </w:rPr>
              <w:fldChar w:fldCharType="begin"/>
            </w:r>
            <w:r>
              <w:rPr>
                <w:webHidden/>
              </w:rPr>
              <w:instrText xml:space="preserve"> PAGEREF _Toc513969604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5" w:history="1">
            <w:r>
              <w:rPr>
                <w:rStyle w:val="Hyperlink"/>
              </w:rPr>
              <w:t>5. Συμπέρασμα</w:t>
            </w:r>
            <w:r>
              <w:rPr>
                <w:webHidden/>
              </w:rPr>
              <w:tab/>
            </w:r>
            <w:r>
              <w:rPr>
                <w:webHidden/>
              </w:rPr>
              <w:fldChar w:fldCharType="begin"/>
            </w:r>
            <w:r>
              <w:rPr>
                <w:webHidden/>
              </w:rPr>
              <w:instrText xml:space="preserve"> PAGEREF _Toc513969605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 w:val="0"/>
              <w:bCs w:val="0"/>
              <w:sz w:val="22"/>
              <w:szCs w:val="22"/>
              <w:lang w:val="en-GB" w:eastAsia="en-GB" w:bidi="ar-SA"/>
            </w:rPr>
          </w:pPr>
          <w:hyperlink w:anchor="_Toc513969606" w:history="1">
            <w:r>
              <w:rPr>
                <w:rStyle w:val="Hyperlink"/>
              </w:rPr>
              <w:t>ΠΑΡΑΡΤΗΜΑ</w:t>
            </w:r>
            <w:r>
              <w:rPr>
                <w:webHidden/>
              </w:rPr>
              <w:tab/>
            </w:r>
            <w:r>
              <w:rPr>
                <w:webHidden/>
              </w:rPr>
              <w:fldChar w:fldCharType="begin"/>
            </w:r>
            <w:r>
              <w:rPr>
                <w:webHidden/>
              </w:rPr>
              <w:instrText xml:space="preserve"> PAGEREF _Toc513969606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b w:val="0"/>
              <w:bCs w:val="0"/>
              <w:sz w:val="22"/>
              <w:szCs w:val="22"/>
            </w:rPr>
          </w:pPr>
          <w:r>
            <w:fldChar w:fldCharType="end"/>
          </w:r>
        </w:p>
      </w:sdtContent>
    </w:sdt>
    <w:p>
      <w:pPr>
        <w:spacing w:after="200" w:line="276" w:lineRule="auto"/>
        <w:rPr>
          <w:b/>
          <w:bCs/>
          <w:noProof/>
        </w:rPr>
      </w:pPr>
      <w:r>
        <w:rPr>
          <w:noProof/>
        </w:rPr>
        <w:br w:type="page"/>
      </w:r>
    </w:p>
    <w:p>
      <w:pPr>
        <w:pStyle w:val="Heading1"/>
        <w:rPr>
          <w:noProof/>
          <w:sz w:val="32"/>
          <w:szCs w:val="32"/>
        </w:rPr>
      </w:pPr>
      <w:bookmarkStart w:id="6" w:name="_Toc504659413"/>
      <w:bookmarkStart w:id="7" w:name="_Toc513969597"/>
      <w:r>
        <w:rPr>
          <w:noProof/>
          <w:sz w:val="32"/>
        </w:rPr>
        <w:lastRenderedPageBreak/>
        <w:t>1. Εισαγωγή</w:t>
      </w:r>
      <w:bookmarkEnd w:id="6"/>
      <w:bookmarkEnd w:id="7"/>
    </w:p>
    <w:p>
      <w:pPr>
        <w:spacing w:before="100" w:beforeAutospacing="1" w:after="100" w:afterAutospacing="1"/>
        <w:jc w:val="both"/>
        <w:rPr>
          <w:bCs/>
          <w:noProof/>
        </w:rPr>
      </w:pPr>
      <w:r>
        <w:rPr>
          <w:noProof/>
        </w:rPr>
        <w:t>Το COSME είναι το πρόγραμμα δράσεων της ΕΕ που αποβλέπει στη βελτίωση της ανταγωνιστικότητας των επιχειρήσεων, με ιδιαίτερη έμφαση στις μικρομεσαίες επιχειρήσεις (ΜΜΕ).</w:t>
      </w:r>
      <w:r>
        <w:rPr>
          <w:b/>
          <w:noProof/>
        </w:rPr>
        <w:t xml:space="preserve"> </w:t>
      </w:r>
      <w:r>
        <w:rPr>
          <w:noProof/>
        </w:rPr>
        <w:t xml:space="preserve">Βασίζεται στο πρόγραμμα «Επιχειρηματικότητα και καινοτομία» (EIP), το οποίο θεσπίστηκε για την περίοδο 2007-2013 δυνάμει του προγράμματος-πλαισίου για την ανταγωνιστικότητα και την καινοτομία (CIP). Σκοπός των δράσεων του προγράμματος COSME είναι να βελτιωθούν οι συνέργειες με άλλα προγράμματα δαπανών της ΕΕ, ιδίως με τα Ευρωπαϊκά Διαρθρωτικά και Επενδυτικά Ταμεία (ΕΔΕΤ) και το πρόγραμμα «Ορίζοντας 2020», το οποίο περιλαμβάνει τις δραστηριότητες καινοτομίας που εντάσσονταν παλαιότερα στο EIP. </w:t>
      </w:r>
    </w:p>
    <w:p>
      <w:pPr>
        <w:autoSpaceDE w:val="0"/>
        <w:autoSpaceDN w:val="0"/>
        <w:adjustRightInd w:val="0"/>
        <w:jc w:val="both"/>
        <w:rPr>
          <w:rFonts w:eastAsia="Calibri" w:cs="Arial"/>
          <w:noProof/>
          <w:szCs w:val="22"/>
        </w:rPr>
      </w:pPr>
      <w:r>
        <w:rPr>
          <w:noProof/>
        </w:rPr>
        <w:t>Το πρόγραμμα COSME αποφέρει προστιθέμενη αξία, καθώς ρυθμίζει διακρατικά ζητήματα και αδυναμίες της αγοράς σε τέσσερις βασικούς τομείς που καθορίζονται στη νομική βάση</w:t>
      </w:r>
      <w:r>
        <w:rPr>
          <w:rStyle w:val="FootnoteReference"/>
          <w:noProof/>
        </w:rPr>
        <w:footnoteReference w:id="1"/>
      </w:r>
      <w:r>
        <w:rPr>
          <w:noProof/>
        </w:rPr>
        <w:t>:</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 xml:space="preserve">βελτίωση της </w:t>
      </w:r>
      <w:r>
        <w:rPr>
          <w:b/>
          <w:noProof/>
        </w:rPr>
        <w:t xml:space="preserve">πρόσβασης </w:t>
      </w:r>
      <w:r>
        <w:rPr>
          <w:noProof/>
        </w:rPr>
        <w:t>των ΜΜΕ</w:t>
      </w:r>
      <w:r>
        <w:rPr>
          <w:b/>
          <w:noProof/>
        </w:rPr>
        <w:t xml:space="preserve"> σε χρηματοδότηση</w:t>
      </w:r>
      <w:r>
        <w:rPr>
          <w:noProof/>
        </w:rPr>
        <w:t xml:space="preserve"> με τη μορφή μετοχικού κεφαλαίου και δανείων (τουλάχιστον 60 % του συνολικού δημοσιονομικού κονδυλίου)·</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 xml:space="preserve">βελτίωση της </w:t>
      </w:r>
      <w:r>
        <w:rPr>
          <w:b/>
          <w:noProof/>
        </w:rPr>
        <w:t>πρόσβασης στις αγορές</w:t>
      </w:r>
      <w:r>
        <w:rPr>
          <w:noProof/>
        </w:rPr>
        <w:t>, εντός και εκτός της Ένωσης (21,5 %)·</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noProof/>
        </w:rPr>
        <w:t xml:space="preserve">βελτίωση του </w:t>
      </w:r>
      <w:r>
        <w:rPr>
          <w:b/>
          <w:noProof/>
        </w:rPr>
        <w:t>πλαισίου προϋποθέσεων</w:t>
      </w:r>
      <w:r>
        <w:rPr>
          <w:noProof/>
        </w:rPr>
        <w:t xml:space="preserve"> για τις επιχειρήσεις και της </w:t>
      </w:r>
      <w:r>
        <w:rPr>
          <w:b/>
          <w:noProof/>
        </w:rPr>
        <w:t>ανταγωνιστικότητας των επιχειρήσεων</w:t>
      </w:r>
      <w:r>
        <w:rPr>
          <w:noProof/>
        </w:rPr>
        <w:t>, συμπεριλαμβανομένων των ΜΜΕ (11 %)·</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b/>
          <w:noProof/>
        </w:rPr>
        <w:t>προώθηση της επιχειρηματικότητας</w:t>
      </w:r>
      <w:r>
        <w:rPr>
          <w:noProof/>
        </w:rPr>
        <w:t xml:space="preserve"> και της επιχειρηματικής νοοτροπίας (2,5 %).</w:t>
      </w:r>
    </w:p>
    <w:p>
      <w:pPr>
        <w:autoSpaceDE w:val="0"/>
        <w:autoSpaceDN w:val="0"/>
        <w:adjustRightInd w:val="0"/>
        <w:jc w:val="both"/>
        <w:rPr>
          <w:rFonts w:eastAsia="Calibri" w:cs="Arial"/>
          <w:noProof/>
          <w:szCs w:val="22"/>
        </w:rPr>
      </w:pPr>
    </w:p>
    <w:p>
      <w:pPr>
        <w:spacing w:before="100" w:beforeAutospacing="1" w:after="100" w:afterAutospacing="1"/>
        <w:jc w:val="both"/>
        <w:rPr>
          <w:bCs/>
          <w:noProof/>
        </w:rPr>
      </w:pPr>
      <w:r>
        <w:rPr>
          <w:noProof/>
        </w:rPr>
        <w:t>Εκτός από τα 28 κράτη μέλη της ΕΕ, το 2015 συμμετείχαν στο πρόγραμμα COSME και οι εξής χώρες: Αλβανία, Σερβία, Αρμενία, Τουρκία, Μαυροβούνιο, πρώην Γιουγκοσλαβική Δημοκρατία της Μακεδονίας και Μολδαβία.</w:t>
      </w:r>
    </w:p>
    <w:p>
      <w:pPr>
        <w:spacing w:before="100" w:beforeAutospacing="1" w:after="100" w:afterAutospacing="1"/>
        <w:jc w:val="both"/>
        <w:rPr>
          <w:bCs/>
          <w:noProof/>
        </w:rPr>
      </w:pPr>
      <w:r>
        <w:rPr>
          <w:noProof/>
        </w:rPr>
        <w:t xml:space="preserve">Η Επιτροπή είναι υπεύθυνη για τη γενική εφαρμογή του προγράμματος COSME. Ο πρώτος στόχος υλοποιείται με τα χρηματοδοτικά μέσα που έχουν ανατεθεί στο Ευρωπαϊκό Ταμείο Επενδύσεων (ΕΤΕ). Η υλοποίηση των δράσεων των στόχων 2, 3 και 4 έχει ανατεθεί σε μεγάλο βαθμό στον Εκτελεστικό Οργανισμό για τις Μικρομεσαίες Επιχειρήσεις (EASME). Για ορισμένες δραστηριότητες ανάλυσης και συγκριτικής αξιολόγησης προβλέπεται επίσης έμμεση διαχείριση από διεθνείς οργανισμούς. </w:t>
      </w:r>
    </w:p>
    <w:p>
      <w:pPr>
        <w:spacing w:before="100" w:beforeAutospacing="1" w:after="100" w:afterAutospacing="1"/>
        <w:jc w:val="both"/>
        <w:rPr>
          <w:rStyle w:val="ListDashChar"/>
          <w:noProof/>
        </w:rPr>
      </w:pPr>
      <w:r>
        <w:rPr>
          <w:rStyle w:val="ListDashChar"/>
          <w:noProof/>
        </w:rPr>
        <w:t>Η παρούσα έκθεση παρέχει επισκόπηση της δημοσιονομικής εκτέλεσης του προγράμματος COSME το 2015, σύμφωνα με το άρθρο 15 του κανονισμού για το πρόγραμμα COSME, συμπεριλαμβανομένων</w:t>
      </w:r>
      <w:r>
        <w:rPr>
          <w:noProof/>
        </w:rPr>
        <w:t xml:space="preserve"> μέτρων στήριξης και δαπανών διοικητικής φύσης</w:t>
      </w:r>
      <w:r>
        <w:rPr>
          <w:rStyle w:val="ListDashChar"/>
          <w:noProof/>
        </w:rPr>
        <w:t>. Λεπτομερή στοιχεία για την υλοποίηση κάθε στόχου περιλαμβάνονται στο παράρτημα 1. Το παράρτημα 2 περιλαμβάνει τον κατάλογο των δικαιούχων για τις προσκλήσεις υποβολής προτάσεων.</w:t>
      </w:r>
    </w:p>
    <w:p>
      <w:pPr>
        <w:spacing w:after="60"/>
        <w:jc w:val="both"/>
        <w:rPr>
          <w:rStyle w:val="ListDashChar"/>
          <w:noProof/>
        </w:rPr>
      </w:pPr>
    </w:p>
    <w:p>
      <w:pPr>
        <w:pStyle w:val="Heading1"/>
        <w:rPr>
          <w:noProof/>
          <w:sz w:val="32"/>
          <w:szCs w:val="32"/>
        </w:rPr>
      </w:pPr>
      <w:bookmarkStart w:id="8" w:name="_Toc444193149"/>
      <w:bookmarkStart w:id="9" w:name="_Toc504659414"/>
      <w:bookmarkStart w:id="10" w:name="_Toc513969598"/>
      <w:r>
        <w:rPr>
          <w:noProof/>
          <w:sz w:val="32"/>
        </w:rPr>
        <w:t>2. Δραστηριότητες και αποτελέσματα του 2015</w:t>
      </w:r>
      <w:bookmarkEnd w:id="8"/>
      <w:r>
        <w:rPr>
          <w:rStyle w:val="FootnoteReference"/>
          <w:noProof/>
          <w:sz w:val="32"/>
        </w:rPr>
        <w:footnoteReference w:id="2"/>
      </w:r>
      <w:bookmarkEnd w:id="9"/>
      <w:bookmarkEnd w:id="10"/>
    </w:p>
    <w:p>
      <w:pPr>
        <w:spacing w:before="100" w:beforeAutospacing="1" w:after="100" w:afterAutospacing="1"/>
        <w:jc w:val="both"/>
        <w:rPr>
          <w:bCs/>
          <w:noProof/>
        </w:rPr>
      </w:pPr>
      <w:r>
        <w:rPr>
          <w:noProof/>
        </w:rPr>
        <w:t>Στη νομική βάση του προγράμματος COSME καθορίζεται συνολικός ενδεικτικός προϋπολογισμός ύψους 2,3 δισ. ευρώ για την επταετή περίοδο του συγκεκριμένου προγράμματος (2014-2020). Ο προϋπολογισμός ακολουθεί κύκλο δαπανών και οι αναλήψεις υποχρεώσεων προβλέπεται ότι θα αυξάνονται σταδιακά έως το τελευταίο έτος του προγράμματος, δηλ. το 2020.  Οι πιστώσεις πληρωμών αναμένεται ότι θα ακολουθήσουν την ίδια τάση, ωστόσο σε χαμηλότερο επίπεδο το 2015, καθώς το πρόγραμμα δεν είχε ακόμα δημιουργήσει τις απαραίτητες νομικές δεσμεύσεις για την καταβολή των πληρωμών. Η νομική βάση του προγράμματος COSME ορίζει ότι το πρόγραμμα υλοποιείται μέσω ετήσιου προγράμματος εργασίας και μέσω μέτρων στήριξης. Στον προϋπολογισμό περιλαμβάνονται επίσης διοικητικές πιστώσεις για τη διαχείριση του προγράμματος.</w:t>
      </w:r>
    </w:p>
    <w:p>
      <w:pPr>
        <w:autoSpaceDE w:val="0"/>
        <w:autoSpaceDN w:val="0"/>
        <w:adjustRightInd w:val="0"/>
        <w:spacing w:before="100" w:beforeAutospacing="1" w:after="100" w:afterAutospacing="1"/>
        <w:jc w:val="both"/>
        <w:rPr>
          <w:bCs/>
          <w:noProof/>
        </w:rPr>
      </w:pPr>
      <w:r>
        <w:rPr>
          <w:noProof/>
        </w:rPr>
        <w:t>Ο προϋπολογισμός του προγράμματος COSME εκτελείται μέσω τεσσάρων γραμμών του προϋπολογισμού και οι πιστώσεις καθορίζονται στην αντίστοιχη αναθεωρημένη απόφαση χρηματοδότησης για το 2015</w:t>
      </w:r>
      <w:r>
        <w:rPr>
          <w:rStyle w:val="FootnoteReference"/>
          <w:noProof/>
        </w:rPr>
        <w:footnoteReference w:id="3"/>
      </w:r>
      <w:r>
        <w:rPr>
          <w:noProof/>
        </w:rPr>
        <w:t>. Μετά την προσθήκη συνεισφορών από τρίτες χώρες, αχρησιμοποίητων πιστώσεων από την προηγούμενη περίοδο προγραμματισμού και διαφόρων μεταφορών, ο διαθέσιμος προϋπολογισμός για το 2015 είχε ως εξής:</w:t>
      </w:r>
    </w:p>
    <w:p>
      <w:pPr>
        <w:autoSpaceDE w:val="0"/>
        <w:autoSpaceDN w:val="0"/>
        <w:adjustRightInd w:val="0"/>
        <w:spacing w:before="100" w:beforeAutospacing="1" w:after="100" w:afterAutospacing="1"/>
        <w:jc w:val="both"/>
        <w:rPr>
          <w:rFonts w:eastAsiaTheme="minorHAnsi"/>
          <w:noProof/>
        </w:rPr>
      </w:pPr>
      <w:r>
        <w:rPr>
          <w:noProof/>
        </w:rPr>
        <w:t>α) γραμμή του προϋπολογισμού 02 01 04 01 για διοικητικές δαπάνες: 4 199 483 ευρώ·</w:t>
      </w:r>
    </w:p>
    <w:p>
      <w:pPr>
        <w:autoSpaceDE w:val="0"/>
        <w:autoSpaceDN w:val="0"/>
        <w:adjustRightInd w:val="0"/>
        <w:spacing w:before="100" w:beforeAutospacing="1" w:after="100" w:afterAutospacing="1"/>
        <w:jc w:val="both"/>
        <w:rPr>
          <w:rFonts w:eastAsiaTheme="minorHAnsi"/>
          <w:noProof/>
        </w:rPr>
      </w:pPr>
      <w:r>
        <w:rPr>
          <w:noProof/>
        </w:rPr>
        <w:t>β) γραμμή του προϋπολογισμού 02 01 06 01 για τη λειτουργία του οργανισμού EASME: 8 112 465 ευρώ·</w:t>
      </w:r>
    </w:p>
    <w:p>
      <w:pPr>
        <w:autoSpaceDE w:val="0"/>
        <w:autoSpaceDN w:val="0"/>
        <w:adjustRightInd w:val="0"/>
        <w:spacing w:before="100" w:beforeAutospacing="1" w:after="100" w:afterAutospacing="1"/>
        <w:jc w:val="both"/>
        <w:rPr>
          <w:rFonts w:eastAsiaTheme="minorHAnsi"/>
          <w:noProof/>
        </w:rPr>
      </w:pPr>
      <w:r>
        <w:rPr>
          <w:noProof/>
        </w:rPr>
        <w:t>γ) γραμμή του προϋπολογισμού 02 02 01 για το σύνολο των λοιπών επιχειρησιακών δαπανών: 117 350 819 ευρώ·</w:t>
      </w:r>
    </w:p>
    <w:p>
      <w:pPr>
        <w:spacing w:before="100" w:beforeAutospacing="1" w:after="100" w:afterAutospacing="1"/>
        <w:jc w:val="both"/>
        <w:rPr>
          <w:rFonts w:eastAsiaTheme="minorHAnsi"/>
          <w:noProof/>
        </w:rPr>
      </w:pPr>
      <w:r>
        <w:rPr>
          <w:noProof/>
        </w:rPr>
        <w:t>δ) γραμμή του προϋπολογισμού 02 02 02 για τις επιχειρησιακές δαπάνες με σκοπό την πρόσβαση σε χρηματοδότηση: 200 036 997 ευρώ.</w:t>
      </w:r>
    </w:p>
    <w:p>
      <w:pPr>
        <w:spacing w:before="100" w:beforeAutospacing="1" w:after="100" w:afterAutospacing="1"/>
        <w:jc w:val="both"/>
        <w:rPr>
          <w:rFonts w:eastAsiaTheme="minorHAnsi"/>
          <w:noProof/>
        </w:rPr>
      </w:pPr>
      <w:r>
        <w:rPr>
          <w:noProof/>
        </w:rPr>
        <w:t>Στην απόφαση χρηματοδότησης για τα μέτρα στήριξης</w:t>
      </w:r>
      <w:r>
        <w:rPr>
          <w:rStyle w:val="FootnoteReference"/>
          <w:rFonts w:eastAsiaTheme="minorHAnsi"/>
          <w:noProof/>
        </w:rPr>
        <w:footnoteReference w:id="4"/>
      </w:r>
      <w:r>
        <w:rPr>
          <w:noProof/>
        </w:rPr>
        <w:t xml:space="preserve"> προβλέπεται συνεισφορά ύψους 8 342 000 ευρώ, η οποία περιλαμβάνεται στη γραμμή 02 02 01 του γενικού προϋπολογισμού της Ευρωπαϊκής Ένωσης για το 2015.</w:t>
      </w:r>
    </w:p>
    <w:p>
      <w:pPr>
        <w:spacing w:before="100" w:beforeAutospacing="1" w:after="100" w:afterAutospacing="1"/>
        <w:jc w:val="both"/>
        <w:rPr>
          <w:noProof/>
        </w:rPr>
      </w:pPr>
      <w:r>
        <w:rPr>
          <w:noProof/>
        </w:rPr>
        <w:t>Κατά μέσο όρο, το 92 % των δραστηριοτήτων του προγράμματος COSME, εξαιρουμένης της πρόσβασης σε χρηματοδότηση, ανατέθηκαν στον EASME</w:t>
      </w:r>
      <w:r>
        <w:rPr>
          <w:noProof/>
          <w:vertAlign w:val="superscript"/>
        </w:rPr>
        <w:footnoteReference w:id="5"/>
      </w:r>
      <w:r>
        <w:rPr>
          <w:noProof/>
        </w:rPr>
        <w:t>.</w:t>
      </w:r>
    </w:p>
    <w:p>
      <w:pPr>
        <w:spacing w:before="100" w:beforeAutospacing="1" w:after="100" w:afterAutospacing="1"/>
        <w:jc w:val="both"/>
        <w:rPr>
          <w:noProof/>
        </w:rPr>
      </w:pPr>
      <w:r>
        <w:rPr>
          <w:noProof/>
        </w:rPr>
        <w:t xml:space="preserve">Συνολικά, </w:t>
      </w:r>
      <w:r>
        <w:rPr>
          <w:b/>
          <w:noProof/>
        </w:rPr>
        <w:t>δεσμεύτηκε το 99 % των διαθέσιμων 329 εκατ. ευρώ</w:t>
      </w:r>
      <w:r>
        <w:rPr>
          <w:noProof/>
        </w:rPr>
        <w:t xml:space="preserve">.  Όσον αφορά τις πληρωμές, το ποσοστό εκτέλεσης ήταν, κατά μέσο όρο, 89 %.  </w:t>
      </w:r>
    </w:p>
    <w:p>
      <w:pPr>
        <w:spacing w:after="200" w:line="276" w:lineRule="auto"/>
        <w:rPr>
          <w:noProof/>
        </w:rPr>
      </w:pPr>
      <w:r>
        <w:rPr>
          <w:noProof/>
        </w:rPr>
        <w:br w:type="page"/>
      </w:r>
    </w:p>
    <w:p>
      <w:pPr>
        <w:pStyle w:val="Heading1"/>
        <w:rPr>
          <w:bCs w:val="0"/>
          <w:noProof/>
          <w:sz w:val="32"/>
          <w:szCs w:val="32"/>
        </w:rPr>
      </w:pPr>
      <w:bookmarkStart w:id="11" w:name="_Toc504659415"/>
      <w:bookmarkStart w:id="12" w:name="_Toc513969599"/>
      <w:r>
        <w:rPr>
          <w:noProof/>
          <w:sz w:val="32"/>
        </w:rPr>
        <w:t>2.1 Πρόσβαση σε χρηματοδότηση</w:t>
      </w:r>
      <w:bookmarkEnd w:id="11"/>
      <w:bookmarkEnd w:id="12"/>
      <w:r>
        <w:rPr>
          <w:noProof/>
          <w:sz w:val="32"/>
        </w:rPr>
        <w:t xml:space="preserve"> </w:t>
      </w:r>
    </w:p>
    <w:p>
      <w:pPr>
        <w:spacing w:before="100" w:beforeAutospacing="1" w:after="100" w:afterAutospacing="1"/>
        <w:jc w:val="both"/>
        <w:rPr>
          <w:b/>
          <w:bCs/>
          <w:noProof/>
        </w:rPr>
      </w:pPr>
      <w:r>
        <w:rPr>
          <w:b/>
          <w:noProof/>
        </w:rPr>
        <w:t>Στον κανονισμό για το πρόγραμμα COSME ορίζεται ότι τουλάχιστον το 60 % του συνολικού προϋπολογισμού (1,4 δισ. ευρώ) πρέπει να διατεθεί στα χρηματοδοτικά μέσα για την περίοδο 2014-2020.</w:t>
      </w:r>
    </w:p>
    <w:p>
      <w:pPr>
        <w:spacing w:before="100" w:beforeAutospacing="1" w:after="100" w:afterAutospacing="1"/>
        <w:jc w:val="both"/>
        <w:rPr>
          <w:bCs/>
          <w:noProof/>
        </w:rPr>
      </w:pPr>
      <w:r>
        <w:rPr>
          <w:noProof/>
        </w:rPr>
        <w:t>Το 2015 η πρόσβαση σε χρηματοδότηση αντιστοιχούσε στο 59,2 % του χρηματοδοτικού κονδυλίου για το πρόγραμμα COSME. Ο τελικός προϋπολογισμός που διατίθεται για τα χρηματοδοτικά μέσα και τις συνοδευτικές δράσεις, συμπεριλαμβανομένης της συμμετοχής των κρατών ΕΖΕΣ και των τρίτων χωρών στο πρόγραμμα, ανερχόταν σε 200 εκατ. ευρώ. Ο συνολικός προϋπολογισμός που δεσμεύτηκε για τον μηχανισμό εγγύησης δανείων (LGF)</w:t>
      </w:r>
      <w:r>
        <w:rPr>
          <w:noProof/>
          <w:vertAlign w:val="superscript"/>
        </w:rPr>
        <w:footnoteReference w:id="6"/>
      </w:r>
      <w:r>
        <w:rPr>
          <w:noProof/>
        </w:rPr>
        <w:t xml:space="preserve"> ανερχόταν σε 148,5 εκατ. ευρώ, ενώ ο συνολικός προϋπολογισμός που δεσμεύτηκε για τον μηχανισμό μετοχικού κεφαλαίου για την ανάπτυξη (EFG) ανερχόταν σε 50,7 εκατ. ευρώ. Ο προϋπολογισμός που δεσμεύθηκε το 2015 για τις συνοδευτικές δράσεις ανερχόταν σε 0,8 εκατ. ευρώ. Οι δράσεις αυτές περιλάμβαναν την προώθηση των χρηματοδοτικών μέσων και τη συγκέντρωση στοιχείων σχετικά με την πρόσβαση των ΜΜΕ σε χρηματοδότηση.</w:t>
      </w:r>
    </w:p>
    <w:p>
      <w:pPr>
        <w:spacing w:before="100" w:beforeAutospacing="1" w:after="100" w:afterAutospacing="1"/>
        <w:jc w:val="both"/>
        <w:rPr>
          <w:bCs/>
          <w:noProof/>
        </w:rPr>
      </w:pPr>
      <w:r>
        <w:rPr>
          <w:noProof/>
        </w:rPr>
        <w:t>Μηχανισμός εγγύησης δανείων (LGF)</w:t>
      </w:r>
    </w:p>
    <w:p>
      <w:pPr>
        <w:spacing w:before="100" w:beforeAutospacing="1" w:after="100" w:afterAutospacing="1"/>
        <w:jc w:val="both"/>
        <w:rPr>
          <w:bCs/>
          <w:noProof/>
        </w:rPr>
      </w:pPr>
      <w:r>
        <w:rPr>
          <w:noProof/>
        </w:rPr>
        <w:t xml:space="preserve">Το 2015 υπογράφηκαν 27 συμβάσεις εγγυήσεων στο πλαίσιο του LGF, με τους ενδιάμεσους χρηματοπιστωτικούς οργανισμούς να βρίσκονται σε 17 χώρες (16 κράτη μέλη και 1 συμμετέχουσα τρίτη χώρα). Περισσότερες από 51 000 ΜΜΕ έλαβαν χρηματοδότηση ύψους περίπου 1 300 εκατ. ευρώ στο πλαίσιο του LGF, χάρη και στην ενίσχυση του LGF μέσω της πρόσθετης δυνατότητας ανάληψης κινδύνου που παρείχε το Ευρωπαϊκό Ταμείο Στρατηγικών Επενδύσεων (ΕΤΣΕ), η οποία είναι διαθέσιμη από τον Ιούλιο του 2015. Η υλοποίηση εξακολούθησε να υπερβαίνει τις προσδοκίες και επιβεβαίωσε την υψηλή ζήτηση της αγοράς για χρηματοδότηση ΜΜΕ που ενέχουν μεγαλύτερο κίνδυνο, ιδίως νεοφυών επιχειρήσεων και μικρών επιχειρήσεων. </w:t>
      </w:r>
    </w:p>
    <w:p>
      <w:pPr>
        <w:spacing w:before="100" w:beforeAutospacing="1" w:after="100" w:afterAutospacing="1"/>
        <w:jc w:val="both"/>
        <w:rPr>
          <w:bCs/>
          <w:noProof/>
        </w:rPr>
      </w:pPr>
      <w:r>
        <w:rPr>
          <w:noProof/>
        </w:rPr>
        <w:t>Μηχανισμός μετοχικού κεφαλαίου για την ανάπτυξη (EFG)</w:t>
      </w:r>
    </w:p>
    <w:p>
      <w:pPr>
        <w:spacing w:before="100" w:beforeAutospacing="1" w:after="100" w:afterAutospacing="1"/>
        <w:jc w:val="both"/>
        <w:rPr>
          <w:bCs/>
          <w:noProof/>
        </w:rPr>
      </w:pPr>
      <w:r>
        <w:rPr>
          <w:noProof/>
        </w:rPr>
        <w:t>Το 2015 υπογράφηκαν πέντε δεσμεύσεις από το ΕΤΕ στο πλαίσιο του EFG για τη δημιουργία ταμείων που εστιάζονται κυρίως σε επενδύσεις στην Ιταλία, τη Γαλλία, τις Κάτω Χώρες, την Ελλάδα και τη Γερμανία, αλλά είναι ανοικτά σε διασυνοριακές επενδύσεις. Ο αναμενόμενος όγκος των επενδύσεων σε επιλέξιμους τελικούς αποδέκτες ανέρχεται σε σχεδόν 395 εκατ. ευρώ και αναμένεται ότι θα παρέχει κεφάλαια επιχειρηματικού κινδύνου σε περίπου 53 ΜΜΕ. Από τις πέντε πράξεις που υπογράφηκαν το 2015, δύο αφορούν κονδύλια για το στάδιο ανάπτυξης και επέκτασης και τρεις αφορούν κονδύλια πολλαπλών σταδίων, σε συνδυασμό με τον μηχανισμό μετοχικού κεφαλαίου InnovFin για το αρχικό στάδιο, που δημιουργήθηκε δυνάμει του προγράμματος «Ορίζοντας 2020». Στα τέλη του 2015 έκλεισαν άνευ όρων δύο από αυτές τις πράξεις και υπογράφησαν οι αντίστοιχες συμβάσεις χρηματοδότησης με όλους τους επενδυτές. Το 2016 υπογράφησαν άνευ όρων οι τρεις υπόλοιπες πράξεις. Οι πρώτες επενδύσεις σε ΜΜΕ πραγματοποιήθηκαν το 2016.</w:t>
      </w:r>
    </w:p>
    <w:p>
      <w:pPr>
        <w:spacing w:before="100" w:beforeAutospacing="1" w:after="100" w:afterAutospacing="1"/>
        <w:jc w:val="both"/>
        <w:rPr>
          <w:bCs/>
          <w:noProof/>
        </w:rPr>
      </w:pPr>
      <w:r>
        <w:rPr>
          <w:noProof/>
        </w:rPr>
        <w:t>Το 2015 ο μηχανισμός GIF (μηχανισμός υψηλής ανάπτυξης και καινοτομίας για τις ΜΜΕ) εξακολούθησε επίσης να παρέχει κεφάλαια επιχειρηματικού κινδύνου σε ΜΜΕ, με επενδύσεις μετοχικού κεφαλαίου σε επιπλέον 68 ΜΜΕ. Ο μηχανισμός GIF, από τότε που δρομολογήθηκε, έχει κινητοποιήσει ίδια κεφάλαια ύψους άνω των 3,1 δισ. ευρώ για τη στήριξη περισσότερων από 500 ΜΜΕ. Ο αριθμός αυτός θα εξακολουθήσει να αυξάνεται τα επόμενα χρόνια, δεδομένου ότι η επενδυτική περίοδος είναι ακόμα σε εξέλιξη για αρκετά ταμεία.</w:t>
      </w:r>
    </w:p>
    <w:p>
      <w:pPr>
        <w:spacing w:before="100" w:beforeAutospacing="1" w:after="100" w:afterAutospacing="1"/>
        <w:jc w:val="both"/>
        <w:rPr>
          <w:bCs/>
          <w:noProof/>
        </w:rPr>
      </w:pPr>
      <w:r>
        <w:rPr>
          <w:noProof/>
        </w:rPr>
        <w:t>Δραστηριότητες ευαισθητοποίησης</w:t>
      </w:r>
    </w:p>
    <w:p>
      <w:pPr>
        <w:spacing w:before="100" w:beforeAutospacing="1" w:after="100" w:afterAutospacing="1"/>
        <w:jc w:val="both"/>
        <w:rPr>
          <w:bCs/>
          <w:noProof/>
        </w:rPr>
      </w:pPr>
      <w:r>
        <w:rPr>
          <w:noProof/>
        </w:rPr>
        <w:t>Το 2015 η Επιτροπή εξακολούθησε να επικαιροποιεί και να προωθεί την ενιαία πύλη σχετικά με τα χρηματοδοτικά μέσα της ΕΕ</w:t>
      </w:r>
      <w:r>
        <w:rPr>
          <w:rStyle w:val="FootnoteReference"/>
          <w:noProof/>
        </w:rPr>
        <w:footnoteReference w:id="7"/>
      </w:r>
      <w:r>
        <w:rPr>
          <w:noProof/>
        </w:rPr>
        <w:t xml:space="preserve">. Η πύλη αυτή παρέχει πληροφορίες για τον τρόπο με τον οποίο οι επιχειρήσεις μπορούν να έχουν πρόσβαση στο πρόγραμμα COSME και σε άλλα χρηματοδοτικά μέσα της ΕΕ που υποστηρίζονται από το πρόγραμμα «Ορίζοντας 2020», το EaSI, τα ΕΔΕΤ, το ΕΤΣΕ και πόρους από τον όμιλο της ΕΤΕπ. Οι τεχνικές βελτιώσεις συνέβαλαν ώστε η πύλη να ανταποκρίνεται στις ανάγκες ενός αυξανόμενου όγκου κινητών χρηστών. Διάφορες δραστηριότητες προώθησης, όπως η βελτιστοποίηση των μηχανών αναζήτησης, συνέβαλαν στην αύξηση των επισκέψεων σε ιστοσελίδες μηνιαίως από 100 000 στις αρχές του 2015 σε 150 000 τον Νοέμβριο του 2015. </w:t>
      </w:r>
    </w:p>
    <w:p>
      <w:pPr>
        <w:spacing w:before="100" w:beforeAutospacing="1" w:after="100" w:afterAutospacing="1"/>
        <w:jc w:val="both"/>
        <w:rPr>
          <w:bCs/>
          <w:noProof/>
        </w:rPr>
      </w:pPr>
      <w:r>
        <w:rPr>
          <w:noProof/>
        </w:rPr>
        <w:t>Το 2015 η Επιτροπή, σε συνεργασία με εθνικούς ενδιαφερόμενους φορείς και οργανώσεις-εταίρους, διοργάνωσε επίσης οκτώ εκδηλώσεις για την πρόσβαση στη χρηματοδότηση («Access to Finance»), αυξάνοντας σε 29 τον συνολικό αριθμό αυτών των εκδηλώσεων (που καλύπτουν 28 κράτη μέλη και την πρώην Γιουγκοσλαβική Δημοκρατία της Μακεδονίας). Συνολικά, συμμετείχαν σ’ αυτές τις εκδηλώσεις πάνω από 3 000 άτομα.</w:t>
      </w:r>
    </w:p>
    <w:p>
      <w:pPr>
        <w:spacing w:before="100" w:beforeAutospacing="1" w:after="100" w:afterAutospacing="1"/>
        <w:jc w:val="both"/>
        <w:rPr>
          <w:noProof/>
        </w:rPr>
      </w:pPr>
      <w:r>
        <w:rPr>
          <w:noProof/>
        </w:rPr>
        <w:t>Η Επιτροπή, σε συνεργασία με την Ευρωπαϊκή Κεντρική Τράπεζα, διεξάγει τακτικές έρευνες σχετικά με την πρόσβαση των επιχειρήσεων σε χρηματοδότηση (SAFE). Αυτές οι έρευνες παρέχουν πληροφορίες σχετικά με την οικονομική κατάσταση, τις ανάγκες χρηματοδότησης, την πρόσβαση σε χρηματοδότηση και τις προσδοκίες των ΜΜΕ. Τα αποτελέσματα του 2015</w:t>
      </w:r>
      <w:r>
        <w:rPr>
          <w:rStyle w:val="FootnoteReference"/>
          <w:noProof/>
        </w:rPr>
        <w:footnoteReference w:id="8"/>
      </w:r>
      <w:r>
        <w:rPr>
          <w:noProof/>
        </w:rPr>
        <w:t xml:space="preserve"> έδειξαν ότι η πρόσβαση σε χρηματοδότηση αποτελούσε το πλέον σημαντικό πρόβλημα για το 10 % των ΜΜΕ της ΕΕ το 2015 (από 15 % το 2013), ενώ τα τραπεζικά δάνεια παρέμεναν η σημαντικότερη μορφή εξωτερικής χρηματοδότησης για το 50 % των ΜΜΕ.</w:t>
      </w:r>
    </w:p>
    <w:p>
      <w:pPr>
        <w:spacing w:before="100" w:beforeAutospacing="1" w:after="100" w:afterAutospacing="1"/>
        <w:jc w:val="both"/>
        <w:rPr>
          <w:noProof/>
        </w:rPr>
      </w:pPr>
    </w:p>
    <w:p>
      <w:pPr>
        <w:pStyle w:val="Heading1"/>
        <w:rPr>
          <w:bCs w:val="0"/>
          <w:noProof/>
          <w:sz w:val="32"/>
          <w:szCs w:val="32"/>
        </w:rPr>
      </w:pPr>
      <w:bookmarkStart w:id="13" w:name="_Toc504659416"/>
      <w:bookmarkStart w:id="14" w:name="_Toc513969600"/>
      <w:r>
        <w:rPr>
          <w:noProof/>
          <w:sz w:val="32"/>
        </w:rPr>
        <w:t>2.2 Πρόσβαση στις αγορές</w:t>
      </w:r>
      <w:bookmarkEnd w:id="13"/>
      <w:bookmarkEnd w:id="14"/>
      <w:r>
        <w:rPr>
          <w:noProof/>
          <w:sz w:val="32"/>
        </w:rPr>
        <w:t xml:space="preserve">  </w:t>
      </w:r>
    </w:p>
    <w:p>
      <w:pPr>
        <w:spacing w:after="120"/>
        <w:jc w:val="both"/>
        <w:rPr>
          <w:b/>
          <w:bCs/>
          <w:noProof/>
        </w:rPr>
      </w:pPr>
      <w:r>
        <w:rPr>
          <w:b/>
          <w:noProof/>
        </w:rPr>
        <w:t>Στον κανονισμό για το πρόγραμμα COSME ορίζεται ότι ένα ενδεικτικό ποσοστό 21,5 % του συνολικού προϋπολογισμού πρέπει να διατίθεται για τη διευκόλυνση της πρόσβασης στις αγορές.</w:t>
      </w:r>
    </w:p>
    <w:p>
      <w:pPr>
        <w:spacing w:before="100" w:beforeAutospacing="1" w:after="100" w:afterAutospacing="1"/>
        <w:jc w:val="both"/>
        <w:rPr>
          <w:bCs/>
          <w:noProof/>
        </w:rPr>
      </w:pPr>
      <w:r>
        <w:rPr>
          <w:noProof/>
        </w:rPr>
        <w:t>Το 2015 διατέθηκαν 61,5 εκατ. ευρώ για τη διεθνοποίηση των ΜΜΕ.</w:t>
      </w:r>
    </w:p>
    <w:p>
      <w:pPr>
        <w:spacing w:before="100" w:beforeAutospacing="1" w:after="100" w:afterAutospacing="1"/>
        <w:jc w:val="both"/>
        <w:rPr>
          <w:bCs/>
          <w:noProof/>
        </w:rPr>
      </w:pPr>
      <w:r>
        <w:rPr>
          <w:noProof/>
        </w:rPr>
        <w:t>Το πρόγραμμα COSME παρέχει στήριξη σε ευρωπαϊκές επιχειρήσεις, και ιδίως σε ΜΜΕ, προκειμένου αυτές να επωφελούνται από την ενιαία αγορά δημιουργώντας επιχειρηματικούς δεσμούς εκτός της χώρας τους, αλλά και να πραγματοποιούν εξαγωγές εκτός Ευρώπης.</w:t>
      </w:r>
    </w:p>
    <w:p>
      <w:pPr>
        <w:spacing w:before="100" w:beforeAutospacing="1" w:after="100" w:afterAutospacing="1"/>
        <w:jc w:val="both"/>
        <w:rPr>
          <w:bCs/>
          <w:noProof/>
        </w:rPr>
      </w:pPr>
      <w:r>
        <w:rPr>
          <w:noProof/>
        </w:rPr>
        <w:t>Δίκτυο «Enterprise Europe Network»</w:t>
      </w:r>
    </w:p>
    <w:p>
      <w:pPr>
        <w:spacing w:before="100" w:beforeAutospacing="1" w:after="100" w:afterAutospacing="1"/>
        <w:jc w:val="both"/>
        <w:rPr>
          <w:bCs/>
          <w:noProof/>
        </w:rPr>
      </w:pPr>
      <w:r>
        <w:rPr>
          <w:noProof/>
        </w:rPr>
        <w:t xml:space="preserve">Το </w:t>
      </w:r>
      <w:r>
        <w:rPr>
          <w:b/>
          <w:noProof/>
        </w:rPr>
        <w:t>δίκτυο «Enterprise Europe Network»</w:t>
      </w:r>
      <w:r>
        <w:rPr>
          <w:noProof/>
        </w:rPr>
        <w:t xml:space="preserve"> (EEN) παρέχει ολοκληρωμένες υπηρεσίες υποστήριξης στις επιχειρήσεις που επιθυμούν να καινοτομήσουν, να αναπτυχθούν και να διερευνήσουν ευκαιρίες στην ενιαία αγορά και σε τρίτες χώρες. Σε ετήσια βάση, το δίκτυο παρέχει υπηρεσίες σε περίπου 250 000 ΜΜΕ, συμπεριλαμβανομένων ειδικών συμβουλευτικών υπηρεσιών σε περίπου 70 000 ΜΜΕ. Όπως προκύπτει από την αξιολόγηση του δικτύου, οι ΜΜΕ που χρησιμοποιούν το δίκτυο EEN καταγράφουν αύξηση της απασχόλησης και του κύκλου εργασιών κατά 3,1 % σε σύγκριση με τις ΜΜΕ που δεν το χρησιμοποιούν.</w:t>
      </w:r>
    </w:p>
    <w:p>
      <w:pPr>
        <w:spacing w:before="100" w:beforeAutospacing="1" w:after="100" w:afterAutospacing="1"/>
        <w:jc w:val="both"/>
        <w:rPr>
          <w:bCs/>
          <w:noProof/>
        </w:rPr>
      </w:pPr>
      <w:r>
        <w:rPr>
          <w:noProof/>
        </w:rPr>
        <w:t xml:space="preserve">Το 2015 συμμετείχαν 527 οργανώσεις από 90 κοινοπραξίες που κάλυπταν όλες τις περιφέρειες της ΕΕ και 8 χώρες του προγράμματος COSME, μεταξύ των οποίων τη Σερβία και την Αρμενία, που εντάχθηκαν στο δίκτυο. Εφαρμόστηκαν συμφωνίες-πλαίσια εταιρικής σχέσης και υπογράφηκαν ειδικές συμφωνίες επιδότησης για την πρώτη περίοδο λειτουργίας 2015-2016. Η μέση συνεισφορά της ΕΕ για τις επιλέξιμες δαπάνες των εταίρων του δικτύου είναι περίπου 53 %. Επιπλέον, υπογράφηκαν 30 συμφωνίες συνεργασίας για κέντρα επιχειρηματικής συνεργασίας σε 29 τρίτες χώρες. Τα εν λόγω κέντρα εστιάζουν τις δραστηριότητές τους στις υπηρεσίες εταιρικής σχέσης και πρέπει να χρηματοδοτούν τις δραστηριότητές τους με ιδίους πόρους.  (Για τον τρέχοντα κατάλογο εταίρων, επισκεφθείτε τη διεύθυνση </w:t>
      </w:r>
      <w:hyperlink r:id="rId16">
        <w:r>
          <w:rPr>
            <w:rStyle w:val="Hyperlink"/>
            <w:noProof/>
          </w:rPr>
          <w:t>https://een.ec.europa.eu/</w:t>
        </w:r>
      </w:hyperlink>
      <w:r>
        <w:rPr>
          <w:noProof/>
        </w:rPr>
        <w:t>). Επιπλέον, υπογράφηκαν με 13 οργανώσεις όροι για τη συμμετοχή τους με την ιδιότητα του συνδεδεμένου μέλους.</w:t>
      </w:r>
    </w:p>
    <w:p>
      <w:pPr>
        <w:spacing w:before="100" w:beforeAutospacing="1" w:after="100" w:afterAutospacing="1"/>
        <w:jc w:val="both"/>
        <w:rPr>
          <w:bCs/>
          <w:noProof/>
        </w:rPr>
      </w:pPr>
      <w:r>
        <w:rPr>
          <w:noProof/>
        </w:rPr>
        <w:t xml:space="preserve">Το 2015 η Επιτροπή, ο EASME και τα μέλη του δικτύου «Enterprise Europe Network» συγκρότησαν ομάδα εργασίας σχετικά με την πρόσβαση σε χρηματοδότηση. Αυτό αποδείχθηκε αποτελεσματικό μέτρο, καθώς συνέβαλε ώστε, αφενός, να τονωθεί το ενδιαφέρον για το πρόγραμμα COSME και για άλλα χρηματοδοτικά μέσα της ΕΕ και, ως εκ τούτου, να οδηγήσει στην επιτυχημένη εφαρμογή τους σε ολόκληρη την Ευρώπη και, αφετέρου, να ενισχυθεί η ικανότητα παροχής χρηματοδοτικών συμβουλών του δικτύου. </w:t>
      </w:r>
    </w:p>
    <w:p>
      <w:pPr>
        <w:spacing w:before="100" w:beforeAutospacing="1" w:after="100" w:afterAutospacing="1"/>
        <w:jc w:val="both"/>
        <w:rPr>
          <w:bCs/>
          <w:noProof/>
        </w:rPr>
      </w:pPr>
      <w:r>
        <w:rPr>
          <w:noProof/>
        </w:rPr>
        <w:t>Η αύξηση της ετοιμότητας των ΜΜΕ για διεθνοποίηση που χρησιμοποιεί την προσωρινή ονομασία «Ready2Go» έχει ως στόχο να δώσει στις επιχειρήσεις την ευκαιρία να διευρύνουν τους ορίζοντές τους, να δημιουργήσουν επαφές με το εξωτερικό και να διακριθούν στην παγκόσμια αγορά.  Άρχισε να λειτουργεί τον Σεπτέμβριο του 2016 και θα παρέχει κατάρτιση και ευκαιρίες δικτύωσης.</w:t>
      </w:r>
    </w:p>
    <w:p>
      <w:pPr>
        <w:spacing w:before="100" w:beforeAutospacing="1" w:after="100" w:afterAutospacing="1"/>
        <w:jc w:val="both"/>
        <w:rPr>
          <w:bCs/>
          <w:noProof/>
        </w:rPr>
      </w:pPr>
      <w:r>
        <w:rPr>
          <w:noProof/>
        </w:rPr>
        <w:t>Άλλες δραστηριότητες</w:t>
      </w:r>
    </w:p>
    <w:p>
      <w:pPr>
        <w:spacing w:before="100" w:beforeAutospacing="1" w:after="100" w:afterAutospacing="1"/>
        <w:jc w:val="both"/>
        <w:rPr>
          <w:b/>
          <w:bCs/>
          <w:noProof/>
        </w:rPr>
      </w:pPr>
      <w:r>
        <w:rPr>
          <w:noProof/>
        </w:rPr>
        <w:t>Η ανάπτυξη της συνεργασίας ΕΕ-Ιαπωνίας συνεχίζεται μέσω της ετήσιας επιχορήγησης ύψους 2,8 εκατ. ευρώ στο Κέντρο Βιομηχανικής Συνεργασίας ΕΕ–Ιαπωνίας που βελτιώνει την πρόσβαση των ευρωπαϊκών επιχειρήσεων στην ιαπωνική αγορά, παρέχοντάς τους τα απαραίτητα στοιχεία σχετικά με τις τοπικές συνθήκες και εξοικειώνοντάς τους με τις εμπορικές και βιομηχανικές πρακτικές που αντιμετωπίζουν οι επιχειρήσεις της ΕΕ στην Ιαπωνία. Παρέχεται επίσης κατάρτιση στις τεχνολογίες παραγωγής, τη διαχείριση της ποιότητας και την καινοτομία, με στόχο τη βελτίωση της ανταγωνιστικότητας των επιχειρήσεων της ΕΕ.</w:t>
      </w:r>
    </w:p>
    <w:p>
      <w:pPr>
        <w:spacing w:before="100" w:beforeAutospacing="1" w:after="100" w:afterAutospacing="1"/>
        <w:jc w:val="both"/>
        <w:rPr>
          <w:bCs/>
          <w:noProof/>
        </w:rPr>
      </w:pPr>
      <w:r>
        <w:rPr>
          <w:noProof/>
        </w:rPr>
        <w:t>Η δικτυακή πύλη «Η Ευρώπη σου — Επιχειρήσεις» συγκέντρωσε 1,6 εκατομμύριο μοναδικούς επισκέπτες το 2015, που συνιστά αύξηση 21 % σε σύγκριση με το 2014. Τα τμήματα με τις περισσότερες επισκέψεις</w:t>
      </w:r>
      <w:r>
        <w:rPr>
          <w:rStyle w:val="FootnoteReference"/>
          <w:noProof/>
        </w:rPr>
        <w:footnoteReference w:id="9"/>
      </w:r>
      <w:r>
        <w:rPr>
          <w:noProof/>
        </w:rPr>
        <w:t xml:space="preserve"> είναι εκείνα που αφορούν τον ΦΠΑ και τους δασμούς (44 %), τη χρηματοδότηση (24 %), και τη σύσταση και την ανάπτυξη επιχείρησης (11 %). Μια νέα λειτουργία δίνει τη δυνατότητα στους χρήστες που χρειάζονται πιο εξειδικευμένες συμβουλές να υποβάλλουν ερωτήσεις απευθείας σε μέλος του δικτύου «Enterprise Europe Network» (EEN). Οι εταίροι του δικτύου EEN έλαβαν συνολικά 2 884 αιτήσεις για πληροφορίες μέσω του δελτίου που φιλοξενείται στη δικτυακή πύλη. Η χρηματοδότηση ήταν το κορυφαίο θέμα, και ακολουθούσαν τα τμήματα που αφορούν την επέκταση στο εξωτερικό και το ενωσιακό δίκαιο και την έρευνα.</w:t>
      </w:r>
    </w:p>
    <w:p>
      <w:pPr>
        <w:spacing w:before="100" w:beforeAutospacing="1" w:after="100" w:afterAutospacing="1"/>
        <w:jc w:val="both"/>
        <w:rPr>
          <w:bCs/>
          <w:noProof/>
        </w:rPr>
      </w:pPr>
      <w:r>
        <w:rPr>
          <w:noProof/>
        </w:rPr>
        <w:t>Σύμφωνα με έρευνα σχετικά με τους επισκέπτες της πύλης, πάνω από το 83 % των χρηστών αξιολογούν την πύλη ως άριστη, καλή ή ικανοποιητική.</w:t>
      </w:r>
    </w:p>
    <w:p>
      <w:pPr>
        <w:pStyle w:val="Heading1"/>
        <w:rPr>
          <w:bCs w:val="0"/>
          <w:noProof/>
          <w:sz w:val="32"/>
          <w:szCs w:val="32"/>
        </w:rPr>
      </w:pPr>
      <w:bookmarkStart w:id="15" w:name="_Toc504659417"/>
      <w:bookmarkStart w:id="16" w:name="_Toc513969601"/>
      <w:r>
        <w:rPr>
          <w:noProof/>
          <w:sz w:val="32"/>
        </w:rPr>
        <w:t>2.3 Βελτίωση του πλαισίου προϋποθέσεων και της ανταγωνιστικότητας</w:t>
      </w:r>
      <w:bookmarkEnd w:id="15"/>
      <w:bookmarkEnd w:id="16"/>
    </w:p>
    <w:p>
      <w:pPr>
        <w:spacing w:after="120"/>
        <w:jc w:val="both"/>
        <w:rPr>
          <w:bCs/>
          <w:noProof/>
        </w:rPr>
      </w:pPr>
      <w:r>
        <w:rPr>
          <w:b/>
          <w:noProof/>
        </w:rPr>
        <w:t>Στον κανονισμό για το πρόγραμμα COSME ορίζεται ότι ένα ενδεικτικό ποσοστό 11 % του συνολικού προϋπολογισμού πρέπει να διατίθεται για τη βελτίωση του πλαισίου προϋποθέσεων και της ανταγωνιστικότητας.</w:t>
      </w:r>
    </w:p>
    <w:p>
      <w:pPr>
        <w:spacing w:before="100" w:beforeAutospacing="1" w:after="100" w:afterAutospacing="1"/>
        <w:jc w:val="both"/>
        <w:rPr>
          <w:bCs/>
          <w:noProof/>
        </w:rPr>
      </w:pPr>
      <w:r>
        <w:rPr>
          <w:noProof/>
        </w:rPr>
        <w:t>Το 2015 διοχετεύθηκαν στον εν λόγω στόχο 24,3 εκατ. ευρώ από το πρόγραμμα εργασίας και 5,8 εκατ. ευρώ από τα μέτρα στήριξης, ποσά που αντιστοιχούν στο 11,7 % του χρηματοδοτικού κονδυλίου.</w:t>
      </w:r>
    </w:p>
    <w:p>
      <w:pPr>
        <w:spacing w:before="100" w:beforeAutospacing="1" w:after="100" w:afterAutospacing="1"/>
        <w:jc w:val="both"/>
        <w:rPr>
          <w:bCs/>
          <w:noProof/>
        </w:rPr>
      </w:pPr>
      <w:r>
        <w:rPr>
          <w:noProof/>
        </w:rPr>
        <w:t>Το πρόγραμμα COSME χρηματοδότησε δράσεις που είχαν στόχο να μειώσουν τον διοικητικό φόρτο, να ενισχύσουν τον συντονισμό των βιομηχανικών πολιτικών των κρατών μελών και να εντείνουν τη χρήση της αρχής «Προτεραιότητα στις μικρές επιχειρήσεις». Το πρόγραμμα COSME προώθησε επίσης την αποτελεσματική χρήση των πόρων, τη βιωσιμότητα και την εταιρική κοινωνική ευθύνη. Πραγματοποιήθηκαν επίσης δράσεις για να βελτιωθεί η ανταγωνιστικότητα στρατηγικά σημαντικών τομέων της ευρωπαϊκής οικονομίας, καθώς και μια σειρά μελετών που συνθέτουν την έκθεση για την ολοκλήρωση της ενιαίας αγοράς και την ανταγωνιστικότητα στην ΕΕ και τα κράτη μέλη της</w:t>
      </w:r>
      <w:r>
        <w:rPr>
          <w:rStyle w:val="FootnoteReference"/>
          <w:noProof/>
        </w:rPr>
        <w:footnoteReference w:id="10"/>
      </w:r>
      <w:r>
        <w:rPr>
          <w:noProof/>
        </w:rPr>
        <w:t xml:space="preserve">. </w:t>
      </w:r>
    </w:p>
    <w:p>
      <w:pPr>
        <w:spacing w:before="100" w:beforeAutospacing="1" w:after="100" w:afterAutospacing="1"/>
        <w:jc w:val="both"/>
        <w:rPr>
          <w:noProof/>
        </w:rPr>
      </w:pPr>
      <w:r>
        <w:rPr>
          <w:noProof/>
        </w:rPr>
        <w:t>ΣΥΝΕΡΓΑΤΙΚΟΙ ΣΧΗΜΑΤΙΣΜΟΙ</w:t>
      </w:r>
    </w:p>
    <w:p>
      <w:pPr>
        <w:spacing w:before="100" w:beforeAutospacing="1" w:after="100" w:afterAutospacing="1"/>
        <w:jc w:val="both"/>
        <w:rPr>
          <w:noProof/>
        </w:rPr>
      </w:pPr>
      <w:r>
        <w:rPr>
          <w:noProof/>
        </w:rPr>
        <w:t>Το πρόγραμμα διεθνοποίησης συνεργατικών σχηματισμών για ΜΜΕ επικεντρώνεται στην προώθηση της διεθνοποίησης των συνεργατικών σχηματισμών, χάρη στην οποία οι ενδιαφερόμενες κοινοπραξίες έχουν την ευκαιρία να αναπτύξουν από κοινού μια διεθνή στρατηγική και να στηρίξουν τη διεθνοποίηση των ΜΜΕ πέραν της Ευρώπης, ιδίως στους αναδυόμενους θεματικούς τομείς. Επιπλέον, συμβάλλει στη διευκόλυνση της διεθνούς συνεργασίας των συνεργατικών σχηματισμών με την περαιτέρω ανάπτυξη της ευρωπαϊκής πλατφόρμας συνεργασίας των συνεργατικών σχηματισμών.</w:t>
      </w:r>
    </w:p>
    <w:p>
      <w:pPr>
        <w:spacing w:before="100" w:beforeAutospacing="1" w:after="100" w:afterAutospacing="1"/>
        <w:jc w:val="both"/>
        <w:rPr>
          <w:bCs/>
          <w:noProof/>
        </w:rPr>
      </w:pPr>
      <w:r>
        <w:rPr>
          <w:noProof/>
        </w:rPr>
        <w:t>Οι πρωτοβουλίες για τους συνεργατικούς σχηματισμούς απευθύνονται σε ομάδες εξειδικευμένων επιχειρήσεων και υποστηρίζουν τη στρατηγική διαπεριφερειακή και διεθνή συνεργασία.</w:t>
      </w:r>
    </w:p>
    <w:p>
      <w:pPr>
        <w:spacing w:before="100" w:beforeAutospacing="1" w:after="100" w:afterAutospacing="1"/>
        <w:jc w:val="both"/>
        <w:rPr>
          <w:bCs/>
          <w:noProof/>
        </w:rPr>
      </w:pPr>
      <w:r>
        <w:rPr>
          <w:noProof/>
        </w:rPr>
        <w:t>ΚΑΤΑΝΑΛΩΤΙΚΑ ΑΓΑΘΑ ΒΑΣΙΣΜΕΝΑ ΣΤΟΝ ΣΧΕΔΙΑΣΜΟ</w:t>
      </w:r>
    </w:p>
    <w:p>
      <w:pPr>
        <w:spacing w:before="100" w:beforeAutospacing="1" w:after="100" w:afterAutospacing="1"/>
        <w:jc w:val="both"/>
        <w:rPr>
          <w:bCs/>
          <w:noProof/>
        </w:rPr>
      </w:pPr>
      <w:r>
        <w:rPr>
          <w:noProof/>
        </w:rPr>
        <w:t xml:space="preserve">Ο στόχος της δράσης είναι να ενισχυθεί η ανταγωνιστικότητα των ευρωπαϊκών ΜΜΕ που δραστηριοποιούνται στον τομέα των καταναλωτικών αγαθών τα οποία βασίζονται στον σχεδιασμό· αυτό θα επιτευχθεί αν η αγορά υιοθετήσει νέες και δημιουργικές λύσεις όσον αφορά τα βασισμένα στον σχεδιασμό καταναλωτικά αγαθά. Ως εκ τούτου, το μέτρο αποβλέπει στη γεφύρωση του χάσματος μεταξύ της έρευνας και της καινοτομίας, αφενός, και της αγοράς, αφετέρου, στηρίζοντας την ανάπτυξη, την εμπορική αναπαραγωγή και/ή την πρώτη εφαρμογή των έργων που σχετίζονται με νέα προϊόντα, υπηρεσίες, τεχνικές ή διεργασίες. </w:t>
      </w:r>
    </w:p>
    <w:p>
      <w:pPr>
        <w:spacing w:before="100" w:beforeAutospacing="1" w:after="100" w:afterAutospacing="1"/>
        <w:jc w:val="both"/>
        <w:rPr>
          <w:bCs/>
          <w:noProof/>
        </w:rPr>
      </w:pPr>
      <w:r>
        <w:rPr>
          <w:noProof/>
        </w:rPr>
        <w:t>Στο πλαίσιο αυτής της δράσης έχουν ανατεθεί 10 έργα ΜΜΕ: το πεδίο εφαρμογής τους κυμαίνεται από τις καινοτόμες ψηφιακές λύσεις για τη βελτίωση των διεργασιών σχεδιασμού και επικοινωνίας στην αξιακή αλυσίδα του κλωστοϋφαντουργικού τομέα και των ειδών ένδυσης, τα καινοτόμα προϊόντα που ενσωματώνουν τις ψηφιακές τεχνολογίες, μέχρι προϊόντα και νέα επιχειρηματικά μοντέλα για την αντιμετώπιση των περιβαλλοντικών και των κοινωνικών προκλήσεων. Σύμφωνα με τους συμμετέχοντες, οι δράσεις αυτές είναι αναγκαίες, δεδομένου ότι υπάρχουν ήδη πολλές καινοτόμες τεχνολογικές λύσεις, αλλά οι επιχειρήσεις χρειάζονται βοήθεια προκειμένου να υπερκεράσουν ορισμένα εμπόδια που δυσχεραίνουν την προώθησή τους προς την αγορά.</w:t>
      </w:r>
    </w:p>
    <w:p>
      <w:pPr>
        <w:spacing w:before="100" w:beforeAutospacing="1" w:after="100" w:afterAutospacing="1"/>
        <w:jc w:val="both"/>
        <w:rPr>
          <w:bCs/>
          <w:noProof/>
        </w:rPr>
      </w:pPr>
      <w:r>
        <w:rPr>
          <w:noProof/>
        </w:rPr>
        <w:t xml:space="preserve">ΤΟΥΡΙΣΜΟΣ </w:t>
      </w:r>
    </w:p>
    <w:p>
      <w:pPr>
        <w:spacing w:before="100" w:beforeAutospacing="1" w:after="100" w:afterAutospacing="1"/>
        <w:jc w:val="both"/>
        <w:rPr>
          <w:bCs/>
          <w:noProof/>
        </w:rPr>
      </w:pPr>
      <w:r>
        <w:rPr>
          <w:noProof/>
        </w:rPr>
        <w:t xml:space="preserve">Οι τουριστικές πρωτοβουλίες που χρηματοδοτήθηκαν από το COSME το 2015 συνέβαλαν στην ενίσχυση της ανταγωνιστικότητας του ευρωπαϊκού τουριστικού τομέα. Οι πρωτοβουλίες για την αύξηση των ροών ηλικιωμένων και νεαρών τουριστών συνέβαλαν στην παράταση της τουριστικής περιόδου, κάτι που έχει καθοριστική σημασία προκειμένου ο τουριστικός κλάδος να αυξήσει την ανταγωνιστικότητά του και να προσφέρει θέσεις εργασίας καθ’ όλη τη διάρκεια του έτους. Υπάρχουν 11 έργα (9 με έμφαση στους ηλικιωμένους τουρίστες και 2 με έμφαση στους νεαρούς τουρίστες) που συγχρηματοδοτούνται για περίοδο 12/18 μηνών. </w:t>
      </w:r>
    </w:p>
    <w:p>
      <w:pPr>
        <w:spacing w:before="100" w:beforeAutospacing="1" w:after="100" w:afterAutospacing="1"/>
        <w:jc w:val="both"/>
        <w:rPr>
          <w:bCs/>
          <w:noProof/>
        </w:rPr>
      </w:pPr>
      <w:r>
        <w:rPr>
          <w:noProof/>
        </w:rPr>
        <w:t xml:space="preserve">Η θεματική τουριστική προσφορά μεταξύ των κρατών της ΕΕ έχει διευρυνθεί και διαφοροποιηθεί, ενώ νέες συμπράξεις δημόσιου και ιδιωτικού τομέα λαμβάνουν στήριξη και εδραιώνονται. Η συμμετοχή μικρών και πολύ μικρών επιχειρήσεων στο πλαίσιο συμπράξεων στον τομέα του τουρισμού έχουν ενισχυθεί και αυξηθεί σημαντικά. Υπάρχουν 10 έργα που συγχρηματοδοτούνται για περίοδο 15/18 μηνών. </w:t>
      </w:r>
    </w:p>
    <w:p>
      <w:pPr>
        <w:spacing w:before="100" w:beforeAutospacing="1" w:after="100" w:afterAutospacing="1"/>
        <w:jc w:val="both"/>
        <w:rPr>
          <w:bCs/>
          <w:noProof/>
        </w:rPr>
      </w:pPr>
      <w:r>
        <w:rPr>
          <w:noProof/>
        </w:rPr>
        <w:t xml:space="preserve">Οι δράσεις με στόχο την καλύτερη προσβασιμότητα στον τουρισμό συνέβαλαν στη βελτίωση των εγκαταστάσεων και υπηρεσιών που παρέχονται στους τουρίστες με ειδικές ανάγκες πρόσβασης. Υπάρχουν 8 έργα για προσβάσιμες τουριστικές διαδρομές τα οποία συγχρηματοδοτούνται για περίοδο 18/24 μηνών. </w:t>
      </w:r>
    </w:p>
    <w:p>
      <w:pPr>
        <w:spacing w:before="100" w:beforeAutospacing="1" w:after="100" w:afterAutospacing="1"/>
        <w:jc w:val="both"/>
        <w:rPr>
          <w:bCs/>
          <w:noProof/>
        </w:rPr>
      </w:pPr>
      <w:r>
        <w:rPr>
          <w:noProof/>
        </w:rPr>
        <w:t xml:space="preserve">Η προβολή που εξασφαλίζεται στους εξέχοντες ευρωπαϊκούς τουριστικούς προορισμούς έχει βελτιωθεί, γεγονός που θα αυξήσει τις δυνητικές αφίξεις τουριστών και θα αποφέρει δευτερογενή εισοδήματα για τους προορισμούς και τους τουριστικούς φορείς στις τοπικές κοινότητες. Υπάρχουν 13 έργα που συγχρηματοδοτούνταν για περίοδο 15/18 μηνών. </w:t>
      </w:r>
    </w:p>
    <w:p>
      <w:pPr>
        <w:spacing w:before="100" w:beforeAutospacing="1" w:after="100" w:afterAutospacing="1"/>
        <w:jc w:val="both"/>
        <w:rPr>
          <w:bCs/>
          <w:noProof/>
        </w:rPr>
      </w:pPr>
      <w:r>
        <w:rPr>
          <w:noProof/>
        </w:rPr>
        <w:t xml:space="preserve">Οι δραστηριότητες και οι εκδηλώσεις ευαισθητοποίησης είχαν ως αποτέλεσμα την καλύτερη προβολή και υιοθέτηση των τουριστικών πρωτοβουλιών. Το ετήσιο Ευρωπαϊκό Φόρουμ για τον Τουρισμό και η Ευρωπαϊκή Ημέρα Τουρισμού, εκδηλώσεις στις οποίες συμμετείχαν 200 και 400 φορείς αντίστοιχα, συνέβαλαν σημαντικά στην ανταλλαγή απόψεων σχετικά με τα κυριότερα θέματα που παρουσιάζουν ενδιαφέρον για τον τουριστικό κλάδο και τα κράτη μέλη. Όπως προκύπτει από τα σχόλια που διατύπωσαν οι συμμετέχοντες σε σχετικές έρευνες, υπήρξε εντυπωσιακή ικανοποίηση όσον αφορά την επιλογή των θεμάτων, καθώς και τη μορφή και το περιεχόμενο της συζήτησης στο πλαίσιο αυτών των εκδηλώσεων. </w:t>
      </w:r>
    </w:p>
    <w:p>
      <w:pPr>
        <w:spacing w:before="100" w:beforeAutospacing="1" w:after="100" w:afterAutospacing="1"/>
        <w:jc w:val="both"/>
        <w:rPr>
          <w:bCs/>
          <w:noProof/>
        </w:rPr>
      </w:pPr>
      <w:r>
        <w:rPr>
          <w:noProof/>
        </w:rPr>
        <w:t xml:space="preserve">Χάρη στην επιτυχή συνεργασία με την Ευρωπαϊκή Επιτροπή Τουρισμού (ΕΕΤ), έχει αυξηθεί η προβολή της Ευρώπης ως προορισμού σε ταξιδιώτες τόσο στο εσωτερικό της ΕΕ όσο και από τρίτες χώρες. Αυτό επιτεύχθηκε με διάφορες δραστηριότητες εμπορικού σήματος και εμπορικής προώθησης προορισμών μέσω της δικτυακής πύλης www.visiteurope.com, στην οποία η ΕΕΤ ανάρτησε 100 νέες δημοσιεύσεις πανευρωπαϊκού περιεχομένου σε έξι διαφορετικές γλώσσες και ανέπτυξε νέα τεχνικά χαρακτηριστικά. </w:t>
      </w:r>
    </w:p>
    <w:p>
      <w:pPr>
        <w:spacing w:after="120" w:line="276" w:lineRule="auto"/>
        <w:rPr>
          <w:noProof/>
        </w:rPr>
      </w:pPr>
    </w:p>
    <w:p>
      <w:pPr>
        <w:pStyle w:val="Heading1"/>
        <w:rPr>
          <w:bCs w:val="0"/>
          <w:noProof/>
          <w:sz w:val="32"/>
          <w:szCs w:val="32"/>
        </w:rPr>
      </w:pPr>
      <w:bookmarkStart w:id="17" w:name="_Toc504659418"/>
      <w:bookmarkStart w:id="18" w:name="_Toc513969602"/>
      <w:r>
        <w:rPr>
          <w:noProof/>
          <w:sz w:val="32"/>
        </w:rPr>
        <w:t>2.4 Προώθηση της επιχειρηματικότητας και της επιχειρηματικής νοοτροπίας</w:t>
      </w:r>
      <w:bookmarkEnd w:id="17"/>
      <w:bookmarkEnd w:id="18"/>
    </w:p>
    <w:p>
      <w:pPr>
        <w:spacing w:after="120"/>
        <w:jc w:val="both"/>
        <w:rPr>
          <w:bCs/>
          <w:noProof/>
        </w:rPr>
      </w:pPr>
      <w:r>
        <w:rPr>
          <w:b/>
          <w:noProof/>
        </w:rPr>
        <w:t>Στον κανονισμό για το πρόγραμμα COSME ορίζεται ότι ένα ενδεικτικό ποσοστό 2,5 % του χρηματοδοτικού κονδυλίου πρέπει να διατίθεται για την προώθηση της επιχειρηματικότητας και της επιχειρηματικής νοοτροπίας.</w:t>
      </w:r>
    </w:p>
    <w:p>
      <w:pPr>
        <w:spacing w:before="100" w:beforeAutospacing="1" w:after="100" w:afterAutospacing="1"/>
        <w:jc w:val="both"/>
        <w:rPr>
          <w:bCs/>
          <w:noProof/>
        </w:rPr>
      </w:pPr>
      <w:r>
        <w:rPr>
          <w:noProof/>
        </w:rPr>
        <w:t>Το 2015, προϋπολογισμός ύψους 12,9 εκατ. ευρώ</w:t>
      </w:r>
      <w:r>
        <w:rPr>
          <w:rStyle w:val="FootnoteReference"/>
          <w:noProof/>
        </w:rPr>
        <w:footnoteReference w:id="11"/>
      </w:r>
      <w:r>
        <w:rPr>
          <w:noProof/>
        </w:rPr>
        <w:t xml:space="preserve"> διατέθηκε για την </w:t>
      </w:r>
      <w:r>
        <w:rPr>
          <w:b/>
          <w:noProof/>
        </w:rPr>
        <w:t>προώθηση της επιχειρηματικότητας</w:t>
      </w:r>
      <w:r>
        <w:rPr>
          <w:noProof/>
        </w:rPr>
        <w:t>, ιδίως στο πρόγραμμα κινητικότητας «Erasmus για νέους επιχειρηματίες», ποσό που αντιστοιχεί στο 4 % του συνολικού χρηματοδοτικού κονδυλίου για το πρόγραμμα COSME. Η πρόσκληση υποβολής προτάσεων για το πρόγραμμα «Erasmus για νέους επιχειρηματίες» έτυχε μεγάλης ανταπόκρισης και έλαβε πρόσθετη χρηματοδότηση ύψους 1 εκατ. ευρώ σε δημοσιονομικά πλεονάσματα που σχηματίστηκαν μετά από άλλες δράσεις.</w:t>
      </w:r>
    </w:p>
    <w:p>
      <w:pPr>
        <w:spacing w:before="100" w:beforeAutospacing="1" w:after="100" w:afterAutospacing="1"/>
        <w:jc w:val="both"/>
        <w:rPr>
          <w:bCs/>
          <w:noProof/>
        </w:rPr>
      </w:pPr>
      <w:r>
        <w:rPr>
          <w:noProof/>
        </w:rPr>
        <w:t>ERASMUS ΓΙΑ ΝΕΟΥΣ ΕΠΙΧΕΙΡΗΜΑΤΙΕΣ</w:t>
      </w:r>
    </w:p>
    <w:p>
      <w:pPr>
        <w:spacing w:before="100" w:beforeAutospacing="1" w:after="100" w:afterAutospacing="1"/>
        <w:jc w:val="both"/>
        <w:rPr>
          <w:b/>
          <w:bCs/>
          <w:noProof/>
        </w:rPr>
      </w:pPr>
      <w:r>
        <w:rPr>
          <w:noProof/>
        </w:rPr>
        <w:t>Μέχρι στιγμής</w:t>
      </w:r>
      <w:r>
        <w:rPr>
          <w:noProof/>
          <w:vertAlign w:val="superscript"/>
        </w:rPr>
        <w:footnoteReference w:id="12"/>
      </w:r>
      <w:r>
        <w:rPr>
          <w:noProof/>
        </w:rPr>
        <w:t>, έχουν καταχωριστεί περίπου 12 000 προφίλ επιχειρηματιών και έχουν πραγματοποιηθεί 3 900 αντιστοιχίσεις που αφορούν 7 700 επιχειρηματίες. Σύμφωνα με έρευνα, πάνω από το ένα τρίτο των επίδοξων επιχειρηματιών που συμμετείχαν ίδρυσαν πράγματι επιχείρηση.</w:t>
      </w:r>
    </w:p>
    <w:p>
      <w:pPr>
        <w:tabs>
          <w:tab w:val="num" w:pos="720"/>
        </w:tabs>
        <w:spacing w:before="100" w:beforeAutospacing="1" w:after="100" w:afterAutospacing="1"/>
        <w:jc w:val="both"/>
        <w:rPr>
          <w:bCs/>
          <w:noProof/>
        </w:rPr>
      </w:pPr>
      <w:r>
        <w:rPr>
          <w:noProof/>
        </w:rPr>
        <w:t xml:space="preserve">Επιπλέον, το πρόγραμμα COSME υποστήριξε την ανταλλαγή βέλτιστων πρακτικών για την προώθηση της εκπαίδευσης στην επιχειρηματικότητα στην ΕΕ. Παρασχέθηκε ειδική στήριξη για επιχειρηματίες του διαδικτύου. Ορισμένες από τις δράσεις απευθύνονταν σε συγκεκριμένες ομάδες, όπως σε νέους, γυναίκες ή ηλικιωμένους επιχειρηματίες, παρέχοντας καθοδήγηση και άλλα μέτρα προσαρμοσμένα στις ιδιαίτερες ανάγκες τους, ώστε να διευκολύνεται η ανάπτυξη επιχειρηματικότητας στις εν λόγω ομάδες. </w:t>
      </w:r>
    </w:p>
    <w:p>
      <w:pPr>
        <w:spacing w:before="100" w:beforeAutospacing="1" w:after="100" w:afterAutospacing="1"/>
        <w:jc w:val="both"/>
        <w:rPr>
          <w:bCs/>
          <w:noProof/>
        </w:rPr>
      </w:pPr>
      <w:r>
        <w:rPr>
          <w:noProof/>
        </w:rPr>
        <w:t xml:space="preserve">DIGITAL ENTREPRENEURSHIP MONITOR (παρατηρητήριο ψηφιακής επιχειρηματικότητας)  </w:t>
      </w:r>
    </w:p>
    <w:p>
      <w:pPr>
        <w:tabs>
          <w:tab w:val="num" w:pos="720"/>
        </w:tabs>
        <w:spacing w:before="100" w:beforeAutospacing="1" w:after="100" w:afterAutospacing="1"/>
        <w:jc w:val="both"/>
        <w:rPr>
          <w:bCs/>
          <w:noProof/>
        </w:rPr>
      </w:pPr>
      <w:r>
        <w:rPr>
          <w:noProof/>
        </w:rPr>
        <w:t>Οι ψηφιακές τεχνολογίες και η ψηφιοποίηση μπορούν να συμβάλουν σημαντικά, ώστε να ανταποκριθούμε στις πλέον πιεστικές κοινωνικές προκλήσεις (συμπεριλαμβανομένων των στόχων για την κλιματική αλλαγή) και να στηριχθεί η οικονομική ανάπτυξη, με την παροχή νέων γνώσεων, προϊόντων και υπηρεσιών. Η πλήρης αξιοποίηση των νέων τεχνολογιών, και ιδίως των ΤΠΕ, θα είναι νευραλγικός παράγοντας για την οικοδόμηση πιο βιώσιμου και ενεργειακά αποδοτικού μέλλοντος, ώστε να αντιμετωπιστεί επιτυχώς η κλιματική αλλαγή. Οι ψηφιακές τεχνολογίες επηρεάζουν τον πλήρη κύκλο ζωής των προϊόντων. Αποφέρουν σημαντικά οφέλη όσον αφορά την απόδοση άνθρακα και ενέργειας. Επιπλέον, καθιστούν εφικτή τη διαχείριση των προϊόντων στο τέλος του κύκλου ζωής τους με πιο έξυπνο και ενεργειακά αποδοτικό τρόπο.</w:t>
      </w:r>
    </w:p>
    <w:p>
      <w:pPr>
        <w:tabs>
          <w:tab w:val="num" w:pos="720"/>
        </w:tabs>
        <w:spacing w:before="100" w:beforeAutospacing="1" w:after="100" w:afterAutospacing="1"/>
        <w:jc w:val="both"/>
        <w:rPr>
          <w:bCs/>
          <w:noProof/>
        </w:rPr>
      </w:pPr>
      <w:r>
        <w:rPr>
          <w:noProof/>
        </w:rPr>
        <w:t xml:space="preserve">Από τον Μαρτίου του 2015 έχουν διοργανωθεί τέσσερις συνεδριάσεις του Στρατηγικού Φόρουμ Πολιτικής για την Ψηφιακή Επιχειρηματικότητα και δύο συνεδριάσεις του ευρωπαϊκού συμβουλίου για την ψηφιακή επιχειρηματικότητα. Στις 10 Μαρτίου 2016 υποβλήθηκε ένα πρώτο σχέδιο των συστάσεων του Στρατηγικού Φόρουμ Πολιτικής. </w:t>
      </w:r>
    </w:p>
    <w:p>
      <w:pPr>
        <w:pStyle w:val="Heading1"/>
        <w:rPr>
          <w:noProof/>
          <w:sz w:val="32"/>
          <w:szCs w:val="32"/>
        </w:rPr>
      </w:pPr>
      <w:bookmarkStart w:id="19" w:name="_Toc504659419"/>
      <w:bookmarkStart w:id="20" w:name="_Toc513969603"/>
      <w:r>
        <w:rPr>
          <w:noProof/>
          <w:sz w:val="32"/>
        </w:rPr>
        <w:t xml:space="preserve">3. </w:t>
      </w:r>
      <w:bookmarkStart w:id="21" w:name="_Toc380072583"/>
      <w:bookmarkStart w:id="22" w:name="_Toc379805329"/>
      <w:bookmarkStart w:id="23" w:name="_Toc379367415"/>
      <w:bookmarkStart w:id="24" w:name="_Toc318290894"/>
      <w:bookmarkStart w:id="25" w:name="_Toc318206457"/>
      <w:bookmarkStart w:id="26" w:name="_Toc315442450"/>
      <w:r>
        <w:rPr>
          <w:noProof/>
          <w:sz w:val="32"/>
        </w:rPr>
        <w:t>Μέτρα στήριξης</w:t>
      </w:r>
      <w:bookmarkEnd w:id="21"/>
      <w:bookmarkEnd w:id="22"/>
      <w:bookmarkEnd w:id="23"/>
      <w:bookmarkEnd w:id="24"/>
      <w:bookmarkEnd w:id="25"/>
      <w:bookmarkEnd w:id="26"/>
      <w:r>
        <w:rPr>
          <w:noProof/>
          <w:sz w:val="32"/>
        </w:rPr>
        <w:t xml:space="preserve"> και διοικητικές δαπάνες</w:t>
      </w:r>
      <w:bookmarkEnd w:id="19"/>
      <w:bookmarkEnd w:id="20"/>
    </w:p>
    <w:p>
      <w:pPr>
        <w:spacing w:before="100" w:beforeAutospacing="1" w:after="100" w:afterAutospacing="1"/>
        <w:jc w:val="both"/>
        <w:rPr>
          <w:noProof/>
        </w:rPr>
      </w:pPr>
      <w:r>
        <w:rPr>
          <w:noProof/>
        </w:rPr>
        <w:t xml:space="preserve">Τα μέτρα στήριξης του προγράμματος COSME χρηματοδοτούνται από τη γραμμή του προϋπολογισμού 02.0201 για τις επιχειρησιακές δαπάνες.  Το 2015 το συνολικό ποσοστό που είχε διατεθεί για μέτρα στήριξης ανήλθε σε 8,3 εκατ. ευρώ.  </w:t>
      </w:r>
    </w:p>
    <w:p>
      <w:pPr>
        <w:spacing w:before="100" w:beforeAutospacing="1" w:after="100" w:afterAutospacing="1"/>
        <w:jc w:val="both"/>
        <w:rPr>
          <w:noProof/>
        </w:rPr>
      </w:pPr>
      <w:r>
        <w:rPr>
          <w:noProof/>
        </w:rPr>
        <w:t xml:space="preserve">Διοργανώθηκαν διασκέψεις, εργαστήρια και συνεδριάσεις εμπειρογνωμόνων με τη συμμετοχή διαφόρων ενδιαφερομένων (όπως εθνικών αρχών, τομεακών οργανώσεων και οργανώσεων καταναλωτών, εκπροσώπων των ΜΜΕ και μη κυβερνητικών οργανώσεων), προκειμένου να συζητηθούν οι προκλήσεις που αντιμετωπίζουν οι διάφοροι βιομηχανικοί τομείς. Ιδιαίτερη προσοχή δόθηκε στις συστάσεις για τους τρόπους καλύτερης αντιμετώπισης των αναγκών των ΜΜΕ και τους τρόπους περαιτέρω προαγωγής της ανταγωνιστικότητας. </w:t>
      </w:r>
    </w:p>
    <w:p>
      <w:pPr>
        <w:spacing w:before="100" w:beforeAutospacing="1" w:after="100" w:afterAutospacing="1"/>
        <w:jc w:val="both"/>
        <w:rPr>
          <w:noProof/>
          <w:highlight w:val="yellow"/>
        </w:rPr>
      </w:pPr>
      <w:r>
        <w:rPr>
          <w:noProof/>
        </w:rPr>
        <w:t>Οι διοικητικές δαπάνες για τη ΓΔ GROW αντιστοιχούσαν σε 5 017 946 ευρώ, δηλ. σε λιγότερο από το 2 % του συνολικού δεσμευθέντος ποσού. Ο εκτελεσθείς προϋπολογισμός για τη λειτουργία του Εκτελεστικού Οργανισμού για τις ΜΜΕ ήταν 6 626 000 ευρώ και αντιστοιχούσε στο 2,6 % του συνολικού δεσμευθέντος προϋπολογισμού. Συνολικά, οι διοικητικές δαπάνες αντιστοιχούσαν στο 4,6 % του χρηματοδοτικού κονδυλίου το 2015.</w:t>
      </w:r>
    </w:p>
    <w:p>
      <w:pPr>
        <w:spacing w:before="100" w:beforeAutospacing="1" w:after="100" w:afterAutospacing="1"/>
        <w:jc w:val="both"/>
        <w:rPr>
          <w:noProof/>
        </w:rPr>
      </w:pPr>
      <w:r>
        <w:rPr>
          <w:noProof/>
        </w:rPr>
        <w:t>Η εταιρική επικοινωνιακή εκστρατεία σχετικά με τα οφέλη του προγράμματος COSME για τις ΜΜΕ απευθυνόταν σε 9 εκατομμύρια ιδιοκτήτες ΜΜΕ στην Κύπρο, τη Γαλλία, την Ελλάδα, την Ιταλία και την Ισπανία. Η εν λόγω εκστρατεία άρχισε να υλοποιείται σε δύο στάδια: την άνοιξη του 2015 (ραδιόφωνο) και το φθινόπωρο του 2015 (ηλεκτρονική και έντυπη διαφήμιση). Οι στόχοι της επικοινωνιακής στρατηγικής για τις ΜΜΕ ήταν οι εξής: να καλυφθεί το κενό μεταξύ των αναγκών των ΜΜΕ και των διαθέσιμων ευκαιριών· να υπάρξει προσέγγιση μεταξύ της εταιρικής και της πολιτικής επικοινωνίας· να προσδιοριστεί το αφήγημα, με βάση την προσέγγιση «ανάπτυξη δράσης σε τοπικό επίπεδο»· και να αξιολογείται συνεχώς ο αντίκτυπος των ενεργειών μας.</w:t>
      </w:r>
    </w:p>
    <w:p>
      <w:pPr>
        <w:spacing w:before="100" w:beforeAutospacing="1" w:after="100" w:afterAutospacing="1"/>
        <w:jc w:val="both"/>
        <w:rPr>
          <w:noProof/>
        </w:rPr>
      </w:pPr>
      <w:r>
        <w:rPr>
          <w:noProof/>
        </w:rPr>
        <w:t>Επιπλέον, το δίκτυο «Enterprise Europe Network» στις χώρες-στόχους κατέγραψε αύξηση των αιτήσεων κατά τη διάρκεια της εκστρατείας (ειδικότερα, αποδείχθηκε ότι τουλάχιστον 1 000 επιπλέον αιτήσεις επιχειρηματιών συνδέονταν άμεσα με την εκστρατεία).</w:t>
      </w:r>
    </w:p>
    <w:p>
      <w:pPr>
        <w:spacing w:before="100" w:beforeAutospacing="1" w:after="100" w:afterAutospacing="1"/>
        <w:jc w:val="both"/>
        <w:rPr>
          <w:noProof/>
        </w:rPr>
      </w:pPr>
      <w:r>
        <w:rPr>
          <w:noProof/>
        </w:rPr>
        <w:t xml:space="preserve">Οι διοικητικές δαπάνες κάλυπταν μελέτες, συνεδριάσεις εμπειρογνωμόνων, δράσεις ενημέρωσης και επικοινωνίας, συμπεριλαμβανομένης της εταιρικής προβολής των πολιτικών προτεραιοτήτων της Ένωσης που συνδέονται με τους γενικούς στόχους του προγράμματος COSME. Τέλος, καλύφθηκαν τα έξοδα που συνδέονται με δίκτυα πληροφορικής, καθώς και άλλα έξοδα τεχνικής και διοικητικής συνδρομής που βαρύνουν την Επιτροπή στο πλαίσιο της διαχείρισης του προγράμματος COSME. </w:t>
      </w:r>
    </w:p>
    <w:p>
      <w:pPr>
        <w:jc w:val="both"/>
        <w:rPr>
          <w:noProof/>
        </w:rPr>
      </w:pPr>
    </w:p>
    <w:p>
      <w:pPr>
        <w:pStyle w:val="Heading1"/>
        <w:rPr>
          <w:noProof/>
          <w:sz w:val="32"/>
          <w:szCs w:val="32"/>
        </w:rPr>
      </w:pPr>
      <w:bookmarkStart w:id="27" w:name="_Toc504659420"/>
      <w:bookmarkStart w:id="28" w:name="_Toc513969604"/>
      <w:r>
        <w:rPr>
          <w:noProof/>
          <w:sz w:val="32"/>
        </w:rPr>
        <w:t>4. Συνεισφορά στην επίτευξη του στόχου για την ενσωμάτωση της διάστασης του κλίματος</w:t>
      </w:r>
      <w:bookmarkEnd w:id="27"/>
      <w:bookmarkEnd w:id="28"/>
    </w:p>
    <w:p>
      <w:pPr>
        <w:spacing w:before="100" w:beforeAutospacing="1" w:after="100" w:afterAutospacing="1"/>
        <w:jc w:val="both"/>
        <w:rPr>
          <w:noProof/>
        </w:rPr>
      </w:pPr>
      <w:r>
        <w:rPr>
          <w:noProof/>
        </w:rPr>
        <w:t xml:space="preserve">Σύμφωνα με εκτιμήσεις, η συνεισφορά του προγράμματος COSME στον στόχο για την ενσωμάτωση της διάστασης του κλίματος, ο οποίος τέθηκε σε όλα τα προγράμματα της Επιτροπής, ανήλθε σε 21,6 εκατ. ευρώ, ποσό που αντιστοιχεί στο 6,4 % της χρηματοδότησης το 2015.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6175"/>
        <w:gridCol w:w="2795"/>
      </w:tblGrid>
      <w:tr>
        <w:trPr>
          <w:trHeight w:val="468"/>
        </w:trPr>
        <w:tc>
          <w:tcPr>
            <w:tcW w:w="617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20"/>
                <w:szCs w:val="20"/>
              </w:rPr>
            </w:pPr>
            <w:r>
              <w:rPr>
                <w:noProof/>
                <w:sz w:val="20"/>
              </w:rPr>
              <w:t>Σχετικός στόχος/αποτέλεσμα</w:t>
            </w:r>
          </w:p>
        </w:tc>
        <w:tc>
          <w:tcPr>
            <w:tcW w:w="2796" w:type="dxa"/>
            <w:tcBorders>
              <w:top w:val="single" w:sz="4" w:space="0" w:color="auto"/>
              <w:left w:val="single" w:sz="4" w:space="0" w:color="auto"/>
              <w:bottom w:val="single" w:sz="4" w:space="0" w:color="auto"/>
              <w:right w:val="single" w:sz="4" w:space="0" w:color="auto"/>
            </w:tcBorders>
            <w:shd w:val="pct10" w:color="auto" w:fill="auto"/>
            <w:hideMark/>
          </w:tcPr>
          <w:p>
            <w:pPr>
              <w:spacing w:line="276" w:lineRule="auto"/>
              <w:jc w:val="center"/>
              <w:rPr>
                <w:noProof/>
                <w:sz w:val="20"/>
                <w:szCs w:val="20"/>
              </w:rPr>
            </w:pPr>
            <w:r>
              <w:rPr>
                <w:noProof/>
                <w:sz w:val="20"/>
              </w:rPr>
              <w:t>Προϋπολογισμός 2015</w:t>
            </w:r>
          </w:p>
          <w:p>
            <w:pPr>
              <w:spacing w:line="276" w:lineRule="auto"/>
              <w:jc w:val="center"/>
              <w:rPr>
                <w:noProof/>
                <w:sz w:val="20"/>
                <w:szCs w:val="20"/>
              </w:rPr>
            </w:pPr>
            <w:r>
              <w:rPr>
                <w:noProof/>
                <w:sz w:val="20"/>
              </w:rPr>
              <w:t>(σε εκατ. ευρώ)</w:t>
            </w:r>
          </w:p>
        </w:tc>
      </w:tr>
      <w:tr>
        <w:trPr>
          <w:trHeight w:val="371"/>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rPr>
              <w:t>Δίκτυο «Enterprise Europe Network»</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rPr>
            </w:pPr>
            <w:r>
              <w:rPr>
                <w:noProof/>
                <w:sz w:val="20"/>
              </w:rPr>
              <w:t>13,3</w:t>
            </w:r>
          </w:p>
        </w:tc>
      </w:tr>
      <w:tr>
        <w:trPr>
          <w:trHeight w:val="420"/>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r>
              <w:rPr>
                <w:noProof/>
                <w:sz w:val="20"/>
              </w:rPr>
              <w:t>Χρηματοδοτικά μέσα: Μηχανισμός μετοχικού κεφαλαίου για την ανάπτυξη (EFG)</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rPr>
            </w:pPr>
            <w:r>
              <w:rPr>
                <w:noProof/>
                <w:sz w:val="20"/>
              </w:rPr>
              <w:t>8,3</w:t>
            </w:r>
          </w:p>
        </w:tc>
      </w:tr>
      <w:tr>
        <w:trPr>
          <w:trHeight w:val="357"/>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sz w:val="20"/>
                <w:szCs w:val="20"/>
              </w:rPr>
            </w:pPr>
            <w:r>
              <w:rPr>
                <w:b/>
                <w:noProof/>
                <w:sz w:val="20"/>
              </w:rPr>
              <w:t>Σύνολο</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b/>
                <w:noProof/>
                <w:sz w:val="20"/>
                <w:szCs w:val="20"/>
              </w:rPr>
            </w:pPr>
            <w:r>
              <w:rPr>
                <w:b/>
                <w:noProof/>
                <w:sz w:val="20"/>
              </w:rPr>
              <w:t>21,6</w:t>
            </w:r>
          </w:p>
          <w:p>
            <w:pPr>
              <w:spacing w:line="276" w:lineRule="auto"/>
              <w:jc w:val="right"/>
              <w:rPr>
                <w:b/>
                <w:noProof/>
                <w:sz w:val="20"/>
                <w:szCs w:val="20"/>
              </w:rPr>
            </w:pPr>
          </w:p>
        </w:tc>
      </w:tr>
    </w:tbl>
    <w:p>
      <w:pPr>
        <w:spacing w:before="100" w:beforeAutospacing="1" w:after="100" w:afterAutospacing="1"/>
        <w:jc w:val="both"/>
        <w:rPr>
          <w:noProof/>
        </w:rPr>
      </w:pPr>
      <w:r>
        <w:rPr>
          <w:noProof/>
        </w:rPr>
        <w:t xml:space="preserve">Για αρκετές δράσεις του προγράμματος COSME, όπως ο μηχανισμός εγγύησης δανείων, η παρακολούθηση της συνεισφοράς στην ενσωμάτωση της διάστασης του κλίματος καθίσταται δυσχερής χωρίς την επιβολή πρόσθετου διοικητικού φόρτου στους ενδιάμεσους χρηματοπιστωτικούς οργανισμούς και, τελικά, στις εκατοντάδες χιλιάδες συμμετέχουσες ΜΜΕ, οι οποίες είναι και οι τελικοί αποδέκτες. </w:t>
      </w:r>
    </w:p>
    <w:p>
      <w:pPr>
        <w:pStyle w:val="Heading1"/>
        <w:rPr>
          <w:noProof/>
          <w:sz w:val="32"/>
          <w:szCs w:val="32"/>
        </w:rPr>
      </w:pPr>
      <w:bookmarkStart w:id="29" w:name="_Toc504659421"/>
      <w:bookmarkEnd w:id="0"/>
      <w:bookmarkEnd w:id="1"/>
      <w:bookmarkEnd w:id="2"/>
      <w:bookmarkEnd w:id="3"/>
    </w:p>
    <w:p>
      <w:pPr>
        <w:pStyle w:val="Heading1"/>
        <w:rPr>
          <w:noProof/>
          <w:sz w:val="32"/>
          <w:szCs w:val="32"/>
        </w:rPr>
      </w:pPr>
      <w:bookmarkStart w:id="30" w:name="_Toc513969605"/>
      <w:r>
        <w:rPr>
          <w:noProof/>
          <w:sz w:val="32"/>
        </w:rPr>
        <w:t>5. Συμπέρασμα</w:t>
      </w:r>
      <w:bookmarkEnd w:id="29"/>
      <w:bookmarkEnd w:id="30"/>
    </w:p>
    <w:p>
      <w:pPr>
        <w:spacing w:before="100" w:beforeAutospacing="1" w:after="100" w:afterAutospacing="1"/>
        <w:jc w:val="both"/>
        <w:rPr>
          <w:noProof/>
        </w:rPr>
      </w:pPr>
      <w:r>
        <w:rPr>
          <w:noProof/>
        </w:rPr>
        <w:t xml:space="preserve">Το πρόγραμμα άρχισε να εφαρμόζεται το 2015, καθώς άρχισαν να υλοποιούνται τα έργα που είχαν δρομολογηθεί το 2014.  </w:t>
      </w:r>
    </w:p>
    <w:p>
      <w:pPr>
        <w:spacing w:before="100" w:beforeAutospacing="1" w:after="100" w:afterAutospacing="1"/>
        <w:jc w:val="both"/>
        <w:rPr>
          <w:noProof/>
        </w:rPr>
      </w:pPr>
      <w:r>
        <w:rPr>
          <w:noProof/>
        </w:rPr>
        <w:t xml:space="preserve">Η πρόσβαση στη χρηματοδότηση εξακολούθησε να αποτελεί σημαντικό τομέα δράσης.  Περισσότερες από 51 000 ΜΜΕ έλαβαν χρηματοδότηση ύψους περίπου 1 300 εκατ. ευρώ στο πλαίσιο του μηχανισμού εγγύησης δανείων, και υπογράφηκαν συμβάσεις εγγυήσεων σε 17 χώρες.  Το 2015 συμμετείχαν σε ενημερωτικές εκδηλώσεις με θέμα την πρόσβαση σε χρηματοδότηση περισσότερα από 3 000 άτομα. Επίσης, στη δικτυακή πύλη «Η Ευρώπη σου — Επιχειρήσεις», με 1,6 εκατομμύρια μοναδικούς επισκέπτες, το δεύτερο πιο επισκεπτόμενο τμήμα είναι η χρηματοδότηση.   </w:t>
      </w:r>
    </w:p>
    <w:p>
      <w:pPr>
        <w:spacing w:before="100" w:beforeAutospacing="1" w:after="100" w:afterAutospacing="1"/>
        <w:jc w:val="both"/>
        <w:rPr>
          <w:noProof/>
        </w:rPr>
      </w:pPr>
      <w:r>
        <w:rPr>
          <w:noProof/>
        </w:rPr>
        <w:t xml:space="preserve">Το πρόγραμμα COSME, συμπεριλαμβανομένων των ολοκληρωμένων υπηρεσιών υποστήριξης επιχειρήσεων του δικτύου «Enterprise Europe Network», συνέβαλε στη διευκόλυνση της πρόσβασης των ΜΜΕ στη χρηματοδότηση και στις αγορές, στη μείωση του δυσανάλογου διοικητικού φόρτου και στην προώθηση της επιχειρηματικότητας σε ολόκληρη την ΕΕ. Οι δράσεις του προγράμματος COSME, δεδομένου ότι το πρόγραμμα αυτό επικεντρώνεται στις ΜΜΕ, συμπληρώνουν άλλα ενωσιακά προγράμματα και αξιοποιούν την πλούσια πείρα από τα προηγούμενα προγράμματα. </w:t>
      </w:r>
    </w:p>
    <w:p>
      <w:pPr>
        <w:rPr>
          <w:noProof/>
          <w:highlight w:val="yellow"/>
        </w:rPr>
      </w:pPr>
      <w:r>
        <w:rPr>
          <w:noProof/>
        </w:rPr>
        <w:br w:type="page"/>
      </w:r>
    </w:p>
    <w:p>
      <w:pPr>
        <w:pStyle w:val="Heading1"/>
        <w:rPr>
          <w:noProof/>
          <w:sz w:val="32"/>
          <w:szCs w:val="32"/>
        </w:rPr>
      </w:pPr>
      <w:bookmarkStart w:id="31" w:name="_Toc504659422"/>
      <w:bookmarkStart w:id="32" w:name="_Toc513969606"/>
      <w:r>
        <w:rPr>
          <w:noProof/>
          <w:sz w:val="32"/>
        </w:rPr>
        <w:t>ΠΑΡΑΡΤΗΜΑ</w:t>
      </w:r>
      <w:bookmarkEnd w:id="31"/>
      <w:bookmarkEnd w:id="32"/>
    </w:p>
    <w:p>
      <w:pPr>
        <w:spacing w:after="60"/>
        <w:rPr>
          <w:i/>
          <w:noProof/>
        </w:rPr>
      </w:pPr>
      <w:r>
        <w:rPr>
          <w:i/>
          <w:noProof/>
        </w:rPr>
        <w:t>Πίνακας: Συνολικός διαθέσιμος προϋπολογισμός του προγράμματος COSME το 2015 για αναλήψεις υποχρεώσεων</w:t>
      </w:r>
    </w:p>
    <w:p>
      <w:pPr>
        <w:rPr>
          <w:noProof/>
        </w:rPr>
      </w:pPr>
    </w:p>
    <w:p>
      <w:pPr>
        <w:rPr>
          <w:b/>
          <w:noProof/>
          <w:u w:val="single"/>
        </w:rPr>
      </w:pPr>
      <w:r>
        <w:rPr>
          <w:rFonts w:eastAsiaTheme="minorHAnsi"/>
          <w:b/>
          <w:noProof/>
          <w:u w:val="single"/>
        </w:rPr>
        <w:t xml:space="preserve">Γραμμή προϋπολογισμού 02 01 04 01 για διοικητικές δαπάνες </w:t>
      </w:r>
    </w:p>
    <w:p>
      <w:pPr>
        <w:rPr>
          <w:noProof/>
          <w:u w:val="single"/>
        </w:rPr>
      </w:pPr>
    </w:p>
    <w:p>
      <w:pPr>
        <w:rPr>
          <w:noProof/>
          <w:u w:val="single"/>
        </w:rPr>
      </w:pPr>
      <w:r>
        <w:rPr>
          <w:noProof/>
          <w:u w:val="single"/>
        </w:rPr>
        <w:t xml:space="preserve">Ψηφισθείς προϋπολογισμός, διαθέσιμος κατόπιν μεταφορών: </w:t>
      </w:r>
      <w:r>
        <w:rPr>
          <w:noProof/>
          <w:u w:val="single"/>
        </w:rPr>
        <w:tab/>
      </w:r>
      <w:r>
        <w:rPr>
          <w:noProof/>
          <w:u w:val="single"/>
        </w:rPr>
        <w:tab/>
        <w:t xml:space="preserve">  3 864 722</w:t>
      </w:r>
    </w:p>
    <w:p>
      <w:pPr>
        <w:rPr>
          <w:noProof/>
          <w:u w:val="single"/>
        </w:rPr>
      </w:pPr>
      <w:r>
        <w:rPr>
          <w:noProof/>
          <w:u w:val="single"/>
        </w:rPr>
        <w:t xml:space="preserve">Λοιπά εξωτερικά έσοδα για ειδικό προορισμό:    </w:t>
      </w:r>
      <w:r>
        <w:rPr>
          <w:noProof/>
          <w:u w:val="single"/>
        </w:rPr>
        <w:tab/>
      </w:r>
      <w:r>
        <w:rPr>
          <w:noProof/>
          <w:u w:val="single"/>
        </w:rPr>
        <w:tab/>
        <w:t xml:space="preserve">      </w:t>
      </w:r>
      <w:r>
        <w:rPr>
          <w:noProof/>
          <w:u w:val="single"/>
        </w:rPr>
        <w:tab/>
      </w:r>
      <w:r>
        <w:rPr>
          <w:noProof/>
          <w:u w:val="single"/>
        </w:rPr>
        <w:tab/>
        <w:t xml:space="preserve">     154 176</w:t>
      </w:r>
    </w:p>
    <w:p>
      <w:pPr>
        <w:rPr>
          <w:noProof/>
          <w:u w:val="single"/>
        </w:rPr>
      </w:pPr>
      <w:r>
        <w:rPr>
          <w:noProof/>
          <w:u w:val="single"/>
        </w:rPr>
        <w:t>Συνεισφορές τρίτων χωρών:</w:t>
      </w:r>
      <w:r>
        <w:rPr>
          <w:noProof/>
          <w:u w:val="single"/>
        </w:rPr>
        <w:tab/>
      </w:r>
      <w:r>
        <w:rPr>
          <w:noProof/>
          <w:u w:val="single"/>
        </w:rPr>
        <w:tab/>
      </w:r>
      <w:r>
        <w:rPr>
          <w:noProof/>
          <w:u w:val="single"/>
        </w:rPr>
        <w:tab/>
      </w:r>
      <w:r>
        <w:rPr>
          <w:noProof/>
          <w:u w:val="single"/>
        </w:rPr>
        <w:tab/>
      </w:r>
      <w:r>
        <w:rPr>
          <w:noProof/>
          <w:u w:val="single"/>
        </w:rPr>
        <w:tab/>
        <w:t xml:space="preserve">     </w:t>
      </w:r>
      <w:r>
        <w:rPr>
          <w:noProof/>
          <w:u w:val="single"/>
        </w:rPr>
        <w:tab/>
      </w:r>
      <w:r>
        <w:rPr>
          <w:noProof/>
          <w:u w:val="single"/>
        </w:rPr>
        <w:tab/>
        <w:t xml:space="preserve">     180 585</w:t>
      </w:r>
    </w:p>
    <w:p>
      <w:pPr>
        <w:rPr>
          <w:noProof/>
          <w:u w:val="single"/>
        </w:rPr>
      </w:pPr>
    </w:p>
    <w:p>
      <w:pPr>
        <w:rPr>
          <w:noProof/>
          <w:u w:val="single"/>
        </w:rPr>
      </w:pPr>
      <w:r>
        <w:rPr>
          <w:noProof/>
          <w:u w:val="single"/>
        </w:rPr>
        <w:t>Συνολικός διαθέσιμος προϋπολογισμός για αναλήψεις υποχρεώσεων:</w:t>
      </w:r>
      <w:r>
        <w:rPr>
          <w:noProof/>
          <w:u w:val="single"/>
        </w:rPr>
        <w:tab/>
        <w:t xml:space="preserve">  4 199 483</w:t>
      </w:r>
    </w:p>
    <w:p>
      <w:pPr>
        <w:rPr>
          <w:noProof/>
          <w:u w:val="single"/>
        </w:rPr>
      </w:pPr>
    </w:p>
    <w:p>
      <w:pPr>
        <w:rPr>
          <w:noProof/>
          <w:u w:val="single"/>
        </w:rPr>
      </w:pPr>
    </w:p>
    <w:p>
      <w:pPr>
        <w:rPr>
          <w:rFonts w:eastAsiaTheme="minorHAnsi"/>
          <w:b/>
          <w:noProof/>
          <w:u w:val="single"/>
        </w:rPr>
      </w:pPr>
      <w:r>
        <w:rPr>
          <w:rFonts w:eastAsiaTheme="minorHAnsi"/>
          <w:b/>
          <w:noProof/>
          <w:u w:val="single"/>
        </w:rPr>
        <w:t xml:space="preserve">Γραμμή προϋπολογισμού 02 01 06 01 για τη λειτουργία του οργανισμού EASME: </w:t>
      </w:r>
    </w:p>
    <w:p>
      <w:pPr>
        <w:rPr>
          <w:rFonts w:eastAsiaTheme="minorHAnsi"/>
          <w:noProof/>
        </w:rPr>
      </w:pPr>
    </w:p>
    <w:p>
      <w:pPr>
        <w:rPr>
          <w:noProof/>
          <w:u w:val="single"/>
        </w:rPr>
      </w:pPr>
      <w:r>
        <w:rPr>
          <w:noProof/>
          <w:u w:val="single"/>
        </w:rPr>
        <w:t>Ψηφισθείς προϋπολογισμός, διαθέσιμος κατόπιν μεταφορών:</w:t>
      </w:r>
      <w:r>
        <w:rPr>
          <w:noProof/>
          <w:u w:val="single"/>
        </w:rPr>
        <w:tab/>
      </w:r>
      <w:r>
        <w:rPr>
          <w:noProof/>
          <w:u w:val="single"/>
        </w:rPr>
        <w:tab/>
        <w:t xml:space="preserve"> 8 047 977</w:t>
      </w:r>
    </w:p>
    <w:p>
      <w:pPr>
        <w:rPr>
          <w:noProof/>
          <w:u w:val="single"/>
        </w:rPr>
      </w:pPr>
      <w:r>
        <w:rPr>
          <w:noProof/>
          <w:u w:val="single"/>
        </w:rPr>
        <w:t xml:space="preserve">Λοιπά εξωτερικά έσοδα για ειδικό προορισμό: </w:t>
      </w:r>
      <w:r>
        <w:rPr>
          <w:noProof/>
          <w:u w:val="single"/>
        </w:rPr>
        <w:tab/>
      </w:r>
      <w:r>
        <w:rPr>
          <w:noProof/>
          <w:u w:val="single"/>
        </w:rPr>
        <w:tab/>
      </w:r>
      <w:r>
        <w:rPr>
          <w:noProof/>
          <w:u w:val="single"/>
        </w:rPr>
        <w:tab/>
      </w:r>
      <w:r>
        <w:rPr>
          <w:noProof/>
          <w:u w:val="single"/>
        </w:rPr>
        <w:tab/>
        <w:t xml:space="preserve">      37 329</w:t>
      </w:r>
    </w:p>
    <w:p>
      <w:pPr>
        <w:rPr>
          <w:noProof/>
          <w:u w:val="single"/>
        </w:rPr>
      </w:pPr>
      <w:r>
        <w:rPr>
          <w:noProof/>
          <w:u w:val="single"/>
        </w:rPr>
        <w:t xml:space="preserve">Συνεισφορές τρίτων χωρών:        </w:t>
      </w:r>
      <w:r>
        <w:rPr>
          <w:noProof/>
          <w:u w:val="single"/>
        </w:rPr>
        <w:tab/>
      </w:r>
      <w:r>
        <w:rPr>
          <w:noProof/>
          <w:u w:val="single"/>
        </w:rPr>
        <w:tab/>
      </w:r>
      <w:r>
        <w:rPr>
          <w:noProof/>
          <w:u w:val="single"/>
        </w:rPr>
        <w:tab/>
      </w:r>
      <w:r>
        <w:rPr>
          <w:noProof/>
          <w:u w:val="single"/>
        </w:rPr>
        <w:tab/>
      </w:r>
      <w:r>
        <w:rPr>
          <w:noProof/>
          <w:u w:val="single"/>
        </w:rPr>
        <w:tab/>
      </w:r>
      <w:r>
        <w:rPr>
          <w:noProof/>
          <w:u w:val="single"/>
        </w:rPr>
        <w:tab/>
        <w:t xml:space="preserve">      27 158</w:t>
      </w:r>
    </w:p>
    <w:p>
      <w:pPr>
        <w:rPr>
          <w:noProof/>
          <w:u w:val="single"/>
        </w:rPr>
      </w:pPr>
    </w:p>
    <w:p>
      <w:pPr>
        <w:rPr>
          <w:noProof/>
          <w:u w:val="single"/>
        </w:rPr>
      </w:pPr>
    </w:p>
    <w:p>
      <w:pPr>
        <w:rPr>
          <w:noProof/>
          <w:u w:val="single"/>
        </w:rPr>
      </w:pPr>
      <w:r>
        <w:rPr>
          <w:noProof/>
          <w:u w:val="single"/>
        </w:rPr>
        <w:t>Συνολικός διαθέσιμος προϋπολογισμός για αναλήψεις υποχρεώσεων:</w:t>
      </w:r>
      <w:r>
        <w:rPr>
          <w:noProof/>
          <w:u w:val="single"/>
        </w:rPr>
        <w:tab/>
        <w:t xml:space="preserve"> 8 112 464</w:t>
      </w:r>
    </w:p>
    <w:p>
      <w:pPr>
        <w:rPr>
          <w:noProof/>
          <w:u w:val="single"/>
        </w:rPr>
      </w:pPr>
    </w:p>
    <w:p>
      <w:pPr>
        <w:rPr>
          <w:b/>
          <w:noProof/>
          <w:u w:val="single"/>
        </w:rPr>
      </w:pPr>
      <w:r>
        <w:rPr>
          <w:rFonts w:eastAsiaTheme="minorHAnsi"/>
          <w:b/>
          <w:noProof/>
          <w:u w:val="single"/>
        </w:rPr>
        <w:t>Γραμμή προϋπολογισμού 02 02 01 για το σύνολο των λοιπών επιχειρησιακών δαπανών</w:t>
      </w:r>
    </w:p>
    <w:p>
      <w:pPr>
        <w:rPr>
          <w:noProof/>
          <w:u w:val="single"/>
        </w:rPr>
      </w:pPr>
    </w:p>
    <w:p>
      <w:pPr>
        <w:rPr>
          <w:noProof/>
          <w:u w:val="single"/>
        </w:rPr>
      </w:pPr>
      <w:r>
        <w:rPr>
          <w:noProof/>
          <w:u w:val="single"/>
        </w:rPr>
        <w:t>Ψηφισθείς προϋπολογισμός, διαθέσιμος κατόπιν μεταφορών:</w:t>
      </w:r>
      <w:r>
        <w:rPr>
          <w:noProof/>
          <w:u w:val="single"/>
        </w:rPr>
        <w:tab/>
        <w:t xml:space="preserve">        105 648 672</w:t>
      </w:r>
    </w:p>
    <w:p>
      <w:pPr>
        <w:rPr>
          <w:noProof/>
          <w:u w:val="single"/>
        </w:rPr>
      </w:pPr>
      <w:r>
        <w:rPr>
          <w:noProof/>
          <w:u w:val="single"/>
        </w:rPr>
        <w:t xml:space="preserve">Μεταβίβαση/μεταφορά: </w:t>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t>3 447 990</w:t>
      </w:r>
    </w:p>
    <w:p>
      <w:pPr>
        <w:rPr>
          <w:noProof/>
          <w:u w:val="single"/>
        </w:rPr>
      </w:pPr>
      <w:r>
        <w:rPr>
          <w:noProof/>
          <w:u w:val="single"/>
        </w:rPr>
        <w:t xml:space="preserve">Συνεισφορές τρίτων χωρών: </w:t>
      </w:r>
      <w:r>
        <w:rPr>
          <w:noProof/>
          <w:u w:val="single"/>
        </w:rPr>
        <w:tab/>
      </w:r>
      <w:r>
        <w:rPr>
          <w:noProof/>
          <w:u w:val="single"/>
        </w:rPr>
        <w:tab/>
      </w:r>
      <w:r>
        <w:rPr>
          <w:noProof/>
          <w:u w:val="single"/>
        </w:rPr>
        <w:tab/>
      </w:r>
      <w:r>
        <w:rPr>
          <w:noProof/>
          <w:u w:val="single"/>
        </w:rPr>
        <w:tab/>
      </w:r>
      <w:r>
        <w:rPr>
          <w:noProof/>
          <w:u w:val="single"/>
        </w:rPr>
        <w:tab/>
      </w:r>
      <w:r>
        <w:rPr>
          <w:noProof/>
          <w:u w:val="single"/>
        </w:rPr>
        <w:tab/>
        <w:t xml:space="preserve">            8 254 157</w:t>
      </w:r>
    </w:p>
    <w:p>
      <w:pPr>
        <w:rPr>
          <w:noProof/>
          <w:u w:val="single"/>
        </w:rPr>
      </w:pPr>
    </w:p>
    <w:p>
      <w:pPr>
        <w:rPr>
          <w:noProof/>
          <w:u w:val="single"/>
        </w:rPr>
      </w:pPr>
      <w:r>
        <w:rPr>
          <w:noProof/>
          <w:u w:val="single"/>
        </w:rPr>
        <w:t>Συνολικός διαθέσιμος προϋπολογισμός για αναλήψεις υποχρεώσεων:     117 350 819</w:t>
      </w:r>
    </w:p>
    <w:p>
      <w:pPr>
        <w:rPr>
          <w:noProof/>
          <w:u w:val="single"/>
        </w:rPr>
      </w:pPr>
    </w:p>
    <w:p>
      <w:pPr>
        <w:rPr>
          <w:noProof/>
          <w:u w:val="single"/>
        </w:rPr>
      </w:pPr>
    </w:p>
    <w:p>
      <w:pPr>
        <w:rPr>
          <w:b/>
          <w:noProof/>
          <w:u w:val="single"/>
        </w:rPr>
      </w:pPr>
      <w:r>
        <w:rPr>
          <w:rFonts w:eastAsiaTheme="minorHAnsi"/>
          <w:b/>
          <w:noProof/>
          <w:u w:val="single"/>
        </w:rPr>
        <w:t xml:space="preserve">Γραμμή προϋπολογισμού 02 02 02 για τις επιχειρησιακές δαπάνες με στόχο την πρόσβαση σε χρηματοδότηση </w:t>
      </w:r>
    </w:p>
    <w:p>
      <w:pPr>
        <w:rPr>
          <w:noProof/>
          <w:u w:val="single"/>
        </w:rPr>
      </w:pPr>
    </w:p>
    <w:p>
      <w:pPr>
        <w:rPr>
          <w:noProof/>
          <w:u w:val="single"/>
        </w:rPr>
      </w:pPr>
      <w:r>
        <w:rPr>
          <w:noProof/>
          <w:u w:val="single"/>
        </w:rPr>
        <w:t>Ψηφισθείς προϋπολογισμός:</w:t>
      </w:r>
      <w:r>
        <w:rPr>
          <w:noProof/>
          <w:u w:val="single"/>
        </w:rPr>
        <w:tab/>
      </w:r>
      <w:r>
        <w:rPr>
          <w:noProof/>
          <w:u w:val="single"/>
        </w:rPr>
        <w:tab/>
      </w:r>
      <w:r>
        <w:rPr>
          <w:noProof/>
          <w:u w:val="single"/>
        </w:rPr>
        <w:tab/>
      </w:r>
      <w:r>
        <w:rPr>
          <w:noProof/>
          <w:u w:val="single"/>
        </w:rPr>
        <w:tab/>
      </w:r>
      <w:r>
        <w:rPr>
          <w:noProof/>
          <w:u w:val="single"/>
        </w:rPr>
        <w:tab/>
      </w:r>
      <w:r>
        <w:rPr>
          <w:noProof/>
          <w:u w:val="single"/>
        </w:rPr>
        <w:tab/>
        <w:t xml:space="preserve">       174 791 725</w:t>
      </w:r>
    </w:p>
    <w:p>
      <w:pPr>
        <w:rPr>
          <w:noProof/>
          <w:u w:val="single"/>
        </w:rPr>
      </w:pPr>
      <w:r>
        <w:rPr>
          <w:noProof/>
          <w:u w:val="single"/>
        </w:rPr>
        <w:t xml:space="preserve">Συνεισφορές τρίτων χωρών: </w:t>
      </w:r>
      <w:r>
        <w:rPr>
          <w:noProof/>
          <w:u w:val="single"/>
        </w:rPr>
        <w:tab/>
      </w:r>
      <w:r>
        <w:rPr>
          <w:noProof/>
          <w:u w:val="single"/>
        </w:rPr>
        <w:tab/>
      </w:r>
      <w:r>
        <w:rPr>
          <w:noProof/>
          <w:u w:val="single"/>
        </w:rPr>
        <w:tab/>
      </w:r>
      <w:r>
        <w:rPr>
          <w:noProof/>
          <w:u w:val="single"/>
        </w:rPr>
        <w:tab/>
      </w:r>
      <w:r>
        <w:rPr>
          <w:noProof/>
          <w:u w:val="single"/>
        </w:rPr>
        <w:tab/>
      </w:r>
      <w:r>
        <w:rPr>
          <w:noProof/>
          <w:u w:val="single"/>
        </w:rPr>
        <w:tab/>
        <w:t xml:space="preserve">         12 141 530</w:t>
      </w:r>
    </w:p>
    <w:p>
      <w:pPr>
        <w:rPr>
          <w:noProof/>
          <w:u w:val="single"/>
        </w:rPr>
      </w:pPr>
      <w:r>
        <w:rPr>
          <w:noProof/>
          <w:u w:val="single"/>
        </w:rPr>
        <w:t xml:space="preserve">Συνεισφορά ΕΖΕΣ: </w:t>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t xml:space="preserve">  139 833</w:t>
      </w:r>
    </w:p>
    <w:p>
      <w:pPr>
        <w:rPr>
          <w:noProof/>
          <w:u w:val="single"/>
        </w:rPr>
      </w:pPr>
      <w:r>
        <w:rPr>
          <w:noProof/>
          <w:u w:val="single"/>
        </w:rPr>
        <w:t>Πρόσθετες εσωτερικές μεταφορές:</w:t>
      </w:r>
      <w:r>
        <w:rPr>
          <w:noProof/>
          <w:u w:val="single"/>
        </w:rPr>
        <w:tab/>
      </w:r>
      <w:r>
        <w:rPr>
          <w:noProof/>
          <w:u w:val="single"/>
        </w:rPr>
        <w:tab/>
      </w:r>
      <w:r>
        <w:rPr>
          <w:noProof/>
          <w:u w:val="single"/>
        </w:rPr>
        <w:tab/>
      </w:r>
      <w:r>
        <w:rPr>
          <w:noProof/>
          <w:u w:val="single"/>
        </w:rPr>
        <w:tab/>
      </w:r>
      <w:r>
        <w:rPr>
          <w:noProof/>
          <w:u w:val="single"/>
        </w:rPr>
        <w:tab/>
        <w:t xml:space="preserve">         12 963 909</w:t>
      </w:r>
    </w:p>
    <w:p>
      <w:pPr>
        <w:rPr>
          <w:noProof/>
          <w:u w:val="single"/>
        </w:rPr>
      </w:pPr>
    </w:p>
    <w:p>
      <w:pPr>
        <w:rPr>
          <w:noProof/>
          <w:u w:val="single"/>
        </w:rPr>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247" w:right="1418" w:bottom="1134" w:left="1418" w:header="709" w:footer="709" w:gutter="0"/>
          <w:pgNumType w:start="0"/>
          <w:cols w:space="720"/>
        </w:sectPr>
      </w:pPr>
      <w:r>
        <w:rPr>
          <w:noProof/>
          <w:u w:val="single"/>
        </w:rPr>
        <w:t>Συνολικός διαθέσιμος προϋπολογισμός για αναλήψεις υποχρεώσεων:    200 036 997</w:t>
      </w:r>
      <w:r>
        <w:rPr>
          <w:noProof/>
        </w:rPr>
        <w:br w:type="page"/>
      </w:r>
    </w:p>
    <w:p>
      <w:pPr>
        <w:spacing w:after="60"/>
        <w:rPr>
          <w:b/>
          <w:i/>
          <w:noProof/>
        </w:rPr>
      </w:pPr>
      <w:r>
        <w:rPr>
          <w:b/>
          <w:i/>
          <w:noProof/>
        </w:rPr>
        <w:t>Πίνακας: Εκτέλεση προϋπολογισμού του προγράμματος COSME το 2015</w:t>
      </w:r>
    </w:p>
    <w:tbl>
      <w:tblPr>
        <w:tblW w:w="10200" w:type="dxa"/>
        <w:tblInd w:w="-492" w:type="dxa"/>
        <w:tblLayout w:type="fixed"/>
        <w:tblLook w:val="04A0" w:firstRow="1" w:lastRow="0" w:firstColumn="1" w:lastColumn="0" w:noHBand="0" w:noVBand="1"/>
      </w:tblPr>
      <w:tblGrid>
        <w:gridCol w:w="960"/>
        <w:gridCol w:w="1264"/>
        <w:gridCol w:w="536"/>
        <w:gridCol w:w="1320"/>
        <w:gridCol w:w="1320"/>
        <w:gridCol w:w="1080"/>
        <w:gridCol w:w="1320"/>
        <w:gridCol w:w="1320"/>
        <w:gridCol w:w="1080"/>
      </w:tblGrid>
      <w:tr>
        <w:trPr>
          <w:trHeight w:val="240"/>
        </w:trPr>
        <w:tc>
          <w:tcPr>
            <w:tcW w:w="2224" w:type="dxa"/>
            <w:gridSpan w:val="2"/>
            <w:vMerge w:val="restart"/>
            <w:tcBorders>
              <w:top w:val="nil"/>
              <w:left w:val="nil"/>
              <w:bottom w:val="nil"/>
              <w:right w:val="nil"/>
            </w:tcBorders>
            <w:shd w:val="clear" w:color="000000" w:fill="FFFFFF"/>
            <w:vAlign w:val="center"/>
            <w:hideMark/>
          </w:tcPr>
          <w:p>
            <w:pPr>
              <w:rPr>
                <w:noProof/>
                <w:color w:val="000000"/>
              </w:rPr>
            </w:pPr>
            <w:r>
              <w:rPr>
                <w:noProof/>
                <w:color w:val="000000"/>
              </w:rPr>
              <w:t> </w:t>
            </w:r>
          </w:p>
        </w:tc>
        <w:tc>
          <w:tcPr>
            <w:tcW w:w="536" w:type="dxa"/>
            <w:vMerge w:val="restart"/>
            <w:tcBorders>
              <w:top w:val="nil"/>
              <w:left w:val="nil"/>
              <w:bottom w:val="nil"/>
              <w:right w:val="single" w:sz="8" w:space="0" w:color="000000"/>
            </w:tcBorders>
            <w:shd w:val="clear" w:color="000000" w:fill="FFFFFF"/>
            <w:vAlign w:val="center"/>
            <w:hideMark/>
          </w:tcPr>
          <w:p>
            <w:pP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cente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pPr>
              <w:jc w:val="right"/>
              <w:rPr>
                <w:noProof/>
                <w:color w:val="000000"/>
              </w:rPr>
            </w:pPr>
            <w:r>
              <w:rPr>
                <w:noProof/>
                <w:color w:val="000000"/>
              </w:rPr>
              <w:t> </w:t>
            </w:r>
          </w:p>
        </w:tc>
      </w:tr>
      <w:tr>
        <w:trPr>
          <w:trHeight w:val="510"/>
        </w:trPr>
        <w:tc>
          <w:tcPr>
            <w:tcW w:w="2224" w:type="dxa"/>
            <w:gridSpan w:val="2"/>
            <w:vMerge/>
            <w:tcBorders>
              <w:top w:val="nil"/>
              <w:left w:val="nil"/>
              <w:bottom w:val="nil"/>
              <w:right w:val="nil"/>
            </w:tcBorders>
            <w:vAlign w:val="center"/>
            <w:hideMark/>
          </w:tcPr>
          <w:p>
            <w:pPr>
              <w:rPr>
                <w:noProof/>
                <w:color w:val="000000"/>
              </w:rPr>
            </w:pPr>
          </w:p>
        </w:tc>
        <w:tc>
          <w:tcPr>
            <w:tcW w:w="536" w:type="dxa"/>
            <w:vMerge/>
            <w:tcBorders>
              <w:top w:val="nil"/>
              <w:left w:val="nil"/>
              <w:bottom w:val="nil"/>
              <w:right w:val="single" w:sz="8" w:space="0" w:color="000000"/>
            </w:tcBorders>
            <w:vAlign w:val="center"/>
            <w:hideMark/>
          </w:tcPr>
          <w:p>
            <w:pPr>
              <w:rPr>
                <w:noProof/>
                <w:color w:val="000000"/>
              </w:rPr>
            </w:pP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 xml:space="preserve"> Αναλήψεις υποχρεώσεων</w:t>
            </w:r>
            <w:r>
              <w:rPr>
                <w:rStyle w:val="FootnoteReference"/>
                <w:noProof/>
              </w:rPr>
              <w:footnoteReference w:id="13"/>
            </w:r>
          </w:p>
        </w:tc>
        <w:tc>
          <w:tcPr>
            <w:tcW w:w="3720" w:type="dxa"/>
            <w:gridSpan w:val="3"/>
            <w:tcBorders>
              <w:top w:val="nil"/>
              <w:left w:val="nil"/>
              <w:bottom w:val="nil"/>
              <w:right w:val="single" w:sz="8" w:space="0" w:color="000000"/>
            </w:tcBorders>
            <w:shd w:val="clear" w:color="000000" w:fill="C0C0C0"/>
            <w:vAlign w:val="center"/>
            <w:hideMark/>
          </w:tcPr>
          <w:p>
            <w:pPr>
              <w:jc w:val="center"/>
              <w:rPr>
                <w:noProof/>
              </w:rPr>
            </w:pPr>
            <w:r>
              <w:rPr>
                <w:noProof/>
              </w:rPr>
              <w:t>Πληρωμές</w:t>
            </w:r>
            <w:r>
              <w:rPr>
                <w:noProof/>
                <w:vertAlign w:val="superscript"/>
              </w:rPr>
              <w:t>11</w:t>
            </w:r>
          </w:p>
        </w:tc>
      </w:tr>
      <w:tr>
        <w:trPr>
          <w:trHeight w:val="930"/>
        </w:trPr>
        <w:tc>
          <w:tcPr>
            <w:tcW w:w="96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rPr>
              <w:t>Γραμμή του προϋπολογισμού</w:t>
            </w:r>
          </w:p>
        </w:tc>
        <w:tc>
          <w:tcPr>
            <w:tcW w:w="1800"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pPr>
              <w:rPr>
                <w:noProof/>
                <w:color w:val="000000"/>
                <w:sz w:val="20"/>
                <w:szCs w:val="20"/>
              </w:rPr>
            </w:pPr>
            <w:r>
              <w:rPr>
                <w:noProof/>
                <w:color w:val="000000"/>
                <w:sz w:val="20"/>
              </w:rPr>
              <w:t> </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Διαθέσιμος προϋπολογισμός</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Εκτελεσθείς προϋπολογισμός</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Υλοποίηση</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Διαθέσιμες πιστώσεις για πληρωμές</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pPr>
              <w:jc w:val="center"/>
              <w:rPr>
                <w:noProof/>
                <w:color w:val="000000"/>
                <w:sz w:val="20"/>
                <w:szCs w:val="20"/>
              </w:rPr>
            </w:pPr>
            <w:r>
              <w:rPr>
                <w:noProof/>
                <w:color w:val="000000"/>
                <w:sz w:val="20"/>
              </w:rPr>
              <w:t>Εκτελεσθείσα πληρωμή</w:t>
            </w: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Εκτέλεση</w:t>
            </w:r>
          </w:p>
        </w:tc>
      </w:tr>
      <w:tr>
        <w:trPr>
          <w:trHeight w:val="705"/>
        </w:trPr>
        <w:tc>
          <w:tcPr>
            <w:tcW w:w="96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800" w:type="dxa"/>
            <w:gridSpan w:val="2"/>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w:t>
            </w: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pPr>
              <w:jc w:val="center"/>
              <w:rPr>
                <w:noProof/>
                <w:color w:val="000000"/>
                <w:sz w:val="20"/>
                <w:szCs w:val="20"/>
              </w:rPr>
            </w:pPr>
            <w:r>
              <w:rPr>
                <w:noProof/>
                <w:color w:val="000000"/>
                <w:sz w:val="20"/>
              </w:rPr>
              <w:t>%</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02 02 02</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Πρόσβαση σε χρηματοδότηση</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200 036 997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200 036 997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100 %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110 884 513</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98 601 480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88,92 %</w:t>
            </w:r>
          </w:p>
        </w:tc>
      </w:tr>
      <w:tr>
        <w:trPr>
          <w:trHeight w:val="78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02 02 01</w:t>
            </w:r>
          </w:p>
        </w:tc>
        <w:tc>
          <w:tcPr>
            <w:tcW w:w="4440" w:type="dxa"/>
            <w:gridSpan w:val="4"/>
            <w:tcBorders>
              <w:top w:val="nil"/>
              <w:left w:val="nil"/>
              <w:bottom w:val="single" w:sz="8" w:space="0" w:color="auto"/>
              <w:right w:val="nil"/>
            </w:tcBorders>
            <w:shd w:val="clear" w:color="auto" w:fill="auto"/>
            <w:vAlign w:val="center"/>
            <w:hideMark/>
          </w:tcPr>
          <w:p>
            <w:pPr>
              <w:rPr>
                <w:b/>
                <w:bCs/>
                <w:noProof/>
                <w:color w:val="000000"/>
                <w:sz w:val="20"/>
                <w:szCs w:val="20"/>
              </w:rPr>
            </w:pPr>
            <w:r>
              <w:rPr>
                <w:b/>
                <w:noProof/>
                <w:color w:val="000000"/>
                <w:sz w:val="20"/>
              </w:rPr>
              <w:t xml:space="preserve">Πρόσβαση σε αγορές, επιχειρηματικό περιβάλλον και επιχειρηματικότητα </w:t>
            </w:r>
          </w:p>
          <w:p>
            <w:pPr>
              <w:rPr>
                <w:b/>
                <w:bCs/>
                <w:noProof/>
                <w:color w:val="000000"/>
                <w:sz w:val="20"/>
                <w:szCs w:val="20"/>
              </w:rPr>
            </w:pPr>
            <w:r>
              <w:rPr>
                <w:b/>
                <w:noProof/>
                <w:color w:val="000000"/>
                <w:sz w:val="20"/>
              </w:rPr>
              <w:t> </w:t>
            </w:r>
          </w:p>
        </w:tc>
        <w:tc>
          <w:tcPr>
            <w:tcW w:w="1080" w:type="dxa"/>
            <w:tcBorders>
              <w:top w:val="nil"/>
              <w:left w:val="nil"/>
              <w:bottom w:val="single" w:sz="8" w:space="0" w:color="auto"/>
              <w:right w:val="nil"/>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συνολικός δεσμευθείς προϋπολογισμός το 2015, συμπεριλαμβανομένων μεταφορών για τη γραμμή 020201</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117 350 820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115 358 094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98,30 %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103 628 436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93 181 924</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89,92 %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Μεταφορά EASME</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δράσεις που μεταφέρθηκαν στο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33 590 388</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33 104 718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98,55 %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Μεταφορά GROW</w:t>
            </w:r>
          </w:p>
        </w:tc>
        <w:tc>
          <w:tcPr>
            <w:tcW w:w="1800" w:type="dxa"/>
            <w:gridSpan w:val="2"/>
            <w:tcBorders>
              <w:top w:val="nil"/>
              <w:left w:val="nil"/>
              <w:bottom w:val="single" w:sz="8" w:space="0" w:color="auto"/>
              <w:right w:val="single" w:sz="8" w:space="0" w:color="auto"/>
            </w:tcBorders>
            <w:shd w:val="clear" w:color="auto" w:fill="auto"/>
            <w:vAlign w:val="center"/>
            <w:hideMark/>
          </w:tcPr>
          <w:p>
            <w:pPr>
              <w:rPr>
                <w:noProof/>
                <w:color w:val="000000"/>
                <w:sz w:val="20"/>
                <w:szCs w:val="20"/>
              </w:rPr>
            </w:pPr>
            <w:r>
              <w:rPr>
                <w:noProof/>
                <w:color w:val="000000"/>
                <w:sz w:val="20"/>
              </w:rPr>
              <w:t>δράσεις που μεταφέρθηκαν στο 2016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1 515 000</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889 700</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58,73 %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rPr>
                <w:noProof/>
                <w:color w:val="000000"/>
                <w:sz w:val="20"/>
                <w:szCs w:val="20"/>
              </w:rPr>
            </w:pPr>
            <w:r>
              <w:rPr>
                <w:noProof/>
                <w:color w:val="000000"/>
                <w:sz w:val="20"/>
              </w:rPr>
              <w:t>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02 01 04 01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Διοικητικός προϋπολογισμός</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3 799 959</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98,32 %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653 053</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16,90 %</w:t>
            </w:r>
          </w:p>
        </w:tc>
      </w:tr>
      <w:tr>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02 01 06 01</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EASME — Διοικητικός προϋπολογισμός</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100,00 %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noProof/>
                <w:color w:val="000000"/>
                <w:sz w:val="20"/>
                <w:szCs w:val="20"/>
              </w:rPr>
            </w:pPr>
            <w:r>
              <w:rPr>
                <w:noProof/>
                <w:color w:val="000000"/>
                <w:sz w:val="20"/>
              </w:rPr>
              <w:t>100,00 %</w:t>
            </w:r>
          </w:p>
        </w:tc>
      </w:tr>
      <w:tr>
        <w:trPr>
          <w:trHeight w:val="9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 xml:space="preserve">Επιχειρησιακός προϋπολογισμός που δεσμεύτηκε το 2015, συμπεριλαμβανομένων των μεταφορών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329.300.516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327.243.027</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99,38 %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 </w:t>
            </w:r>
          </w:p>
        </w:tc>
      </w:tr>
      <w:tr>
        <w:trPr>
          <w:trHeight w:val="160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pPr>
              <w:rPr>
                <w:b/>
                <w:bCs/>
                <w:noProof/>
                <w:color w:val="000000"/>
                <w:sz w:val="20"/>
                <w:szCs w:val="20"/>
              </w:rPr>
            </w:pPr>
            <w:r>
              <w:rPr>
                <w:b/>
                <w:noProof/>
                <w:color w:val="000000"/>
                <w:sz w:val="20"/>
              </w:rPr>
              <w:t>Σύνολο COSME</w:t>
            </w:r>
          </w:p>
        </w:tc>
        <w:tc>
          <w:tcPr>
            <w:tcW w:w="1800" w:type="dxa"/>
            <w:gridSpan w:val="2"/>
            <w:tcBorders>
              <w:top w:val="nil"/>
              <w:left w:val="nil"/>
              <w:bottom w:val="single" w:sz="8" w:space="0" w:color="auto"/>
              <w:right w:val="single" w:sz="8" w:space="0" w:color="auto"/>
            </w:tcBorders>
            <w:shd w:val="clear" w:color="auto" w:fill="auto"/>
            <w:vAlign w:val="center"/>
            <w:hideMark/>
          </w:tcPr>
          <w:p>
            <w:pPr>
              <w:rPr>
                <w:b/>
                <w:bCs/>
                <w:noProof/>
                <w:color w:val="000000"/>
                <w:sz w:val="20"/>
                <w:szCs w:val="20"/>
              </w:rPr>
            </w:pPr>
            <w:r>
              <w:rPr>
                <w:b/>
                <w:noProof/>
                <w:color w:val="000000"/>
                <w:sz w:val="20"/>
              </w:rPr>
              <w:t>Σύνολο προϋπολογισμού που εκτελέστηκε, συμπεριλαμβανομένων των διοικητικών δαπανών κατόπιν εκτέλεσης των μεταφορών</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329 300 516</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326 132 058</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99,04 %</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226 425 649</w:t>
            </w:r>
          </w:p>
        </w:tc>
        <w:tc>
          <w:tcPr>
            <w:tcW w:w="132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200 484 435</w:t>
            </w:r>
          </w:p>
        </w:tc>
        <w:tc>
          <w:tcPr>
            <w:tcW w:w="1080" w:type="dxa"/>
            <w:tcBorders>
              <w:top w:val="nil"/>
              <w:left w:val="nil"/>
              <w:bottom w:val="single" w:sz="8" w:space="0" w:color="auto"/>
              <w:right w:val="single" w:sz="8" w:space="0" w:color="auto"/>
            </w:tcBorders>
            <w:shd w:val="clear" w:color="auto" w:fill="auto"/>
            <w:noWrap/>
            <w:vAlign w:val="center"/>
            <w:hideMark/>
          </w:tcPr>
          <w:p>
            <w:pPr>
              <w:jc w:val="right"/>
              <w:rPr>
                <w:b/>
                <w:bCs/>
                <w:noProof/>
                <w:color w:val="000000"/>
                <w:sz w:val="20"/>
                <w:szCs w:val="20"/>
              </w:rPr>
            </w:pPr>
            <w:r>
              <w:rPr>
                <w:b/>
                <w:noProof/>
                <w:color w:val="000000"/>
                <w:sz w:val="20"/>
              </w:rPr>
              <w:t>88,54 %</w:t>
            </w:r>
          </w:p>
        </w:tc>
      </w:tr>
    </w:tbl>
    <w:p>
      <w:pPr>
        <w:spacing w:after="60"/>
        <w:rPr>
          <w:noProof/>
        </w:rPr>
      </w:pPr>
    </w:p>
    <w:sectPr>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47" w:right="1418" w:bottom="8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4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Κανονισμός (ΕΕ) αριθ. 1287/2013 του Ευρωπαϊκού Κοινοβουλίου και του Συμβουλίου, της 11ης Δεκεμβρίου 2013.</w:t>
      </w:r>
    </w:p>
  </w:footnote>
  <w:footnote w:id="2">
    <w:p>
      <w:pPr>
        <w:pStyle w:val="FootnoteText"/>
      </w:pPr>
      <w:r>
        <w:rPr>
          <w:rStyle w:val="FootnoteReference"/>
        </w:rPr>
        <w:footnoteRef/>
      </w:r>
      <w:r>
        <w:t xml:space="preserve"> Για περισσότερες λεπτομέρειες, βλ. παράρτημα 1. </w:t>
      </w:r>
    </w:p>
  </w:footnote>
  <w:footnote w:id="3">
    <w:p>
      <w:pPr>
        <w:pStyle w:val="FootnoteText"/>
      </w:pPr>
      <w:r>
        <w:rPr>
          <w:rStyle w:val="FootnoteReference"/>
        </w:rPr>
        <w:footnoteRef/>
      </w:r>
      <w:r>
        <w:t xml:space="preserve"> C(2015) 3767 final.</w:t>
      </w:r>
    </w:p>
  </w:footnote>
  <w:footnote w:id="4">
    <w:p>
      <w:pPr>
        <w:pStyle w:val="FootnoteText"/>
      </w:pPr>
      <w:r>
        <w:rPr>
          <w:rStyle w:val="FootnoteReference"/>
        </w:rPr>
        <w:footnoteRef/>
      </w:r>
      <w:r>
        <w:t xml:space="preserve"> C(2015) 4198 final.</w:t>
      </w:r>
    </w:p>
  </w:footnote>
  <w:footnote w:id="5">
    <w:p>
      <w:pPr>
        <w:pStyle w:val="FootnoteText"/>
      </w:pPr>
      <w:r>
        <w:rPr>
          <w:rStyle w:val="FootnoteReference"/>
        </w:rPr>
        <w:footnoteRef/>
      </w:r>
      <w:r>
        <w:t xml:space="preserve"> SEC(2013) 493 final. </w:t>
      </w:r>
    </w:p>
  </w:footnote>
  <w:footnote w:id="6">
    <w:p>
      <w:pPr>
        <w:pStyle w:val="FootnoteText"/>
        <w:ind w:left="284" w:hanging="284"/>
        <w:jc w:val="both"/>
      </w:pPr>
      <w:r>
        <w:rPr>
          <w:rStyle w:val="FootnoteReference"/>
        </w:rPr>
        <w:footnoteRef/>
      </w:r>
      <w:r>
        <w:tab/>
        <w:t>Περαιτέρω πληροφορίες είναι διαθέσιμες στο πλαίσιο της έκθεσης της Επιτροπής προς το Ευρωπαϊκό Κοινοβούλιο και το Συμβούλιο όσον αφορά τα υποστηριζόμενα από τον γενικό προϋπολογισμό χρηματοδοτικά μέσα σύμφωνα με το άρθρο 140 παράγραφος 8 του δημοσιονομικού κανονισμού στις 31 Δεκεμβρίου 2015 [</w:t>
      </w:r>
      <w:hyperlink r:id="rId1">
        <w:r>
          <w:rPr>
            <w:rStyle w:val="Hyperlink"/>
          </w:rPr>
          <w:t>COM(2016) 675 final</w:t>
        </w:r>
      </w:hyperlink>
      <w:r>
        <w:t>] και το συνοδευτικό έγγραφο εργασίας των υπηρεσιών της Επιτροπής [</w:t>
      </w:r>
      <w:hyperlink r:id="rId2">
        <w:r>
          <w:rPr>
            <w:rStyle w:val="Hyperlink"/>
          </w:rPr>
          <w:t>SWD(2016) 335 final</w:t>
        </w:r>
      </w:hyperlink>
      <w:r>
        <w:t>].</w:t>
      </w:r>
      <w:r>
        <w:rPr>
          <w:highlight w:val="yellow"/>
        </w:rPr>
        <w:t xml:space="preserve"> </w:t>
      </w:r>
    </w:p>
    <w:p>
      <w:pPr>
        <w:pStyle w:val="FootnoteText"/>
      </w:pPr>
    </w:p>
  </w:footnote>
  <w:footnote w:id="7">
    <w:p>
      <w:pPr>
        <w:pStyle w:val="FootnoteText"/>
      </w:pPr>
      <w:r>
        <w:rPr>
          <w:rStyle w:val="FootnoteReference"/>
        </w:rPr>
        <w:footnoteRef/>
      </w:r>
      <w:r>
        <w:t xml:space="preserve"> www.access2finance.eu</w:t>
      </w:r>
    </w:p>
  </w:footnote>
  <w:footnote w:id="8">
    <w:p>
      <w:pPr>
        <w:pStyle w:val="FootnoteText"/>
      </w:pPr>
      <w:r>
        <w:rPr>
          <w:rStyle w:val="FootnoteReference"/>
        </w:rPr>
        <w:footnoteRef/>
      </w:r>
      <w:r>
        <w:t xml:space="preserve"> Λεπτομερή αποτελέσματα διατίθενται στη διεύθυνση </w:t>
      </w:r>
      <w:hyperlink r:id="rId3">
        <w:r>
          <w:rPr>
            <w:rStyle w:val="Hyperlink"/>
          </w:rPr>
          <w:t>http://ec.europa.eu/growth/safe</w:t>
        </w:r>
      </w:hyperlink>
    </w:p>
  </w:footnote>
  <w:footnote w:id="9">
    <w:p>
      <w:pPr>
        <w:pStyle w:val="FootnoteText"/>
      </w:pPr>
      <w:r>
        <w:rPr>
          <w:rStyle w:val="FootnoteReference"/>
        </w:rPr>
        <w:footnoteRef/>
      </w:r>
      <w:r>
        <w:t xml:space="preserve"> Το τμήμα για τον ΦΠΑ ονομάζεται πλέον «Φορολογία» και το τμήμα για τη χρηματοδότηση, «Χρηματοδοτήσεις και χρηματοδοτικά μέσα».</w:t>
      </w:r>
    </w:p>
  </w:footnote>
  <w:footnote w:id="10">
    <w:p>
      <w:pPr>
        <w:pStyle w:val="FootnoteText"/>
      </w:pPr>
      <w:r>
        <w:rPr>
          <w:rStyle w:val="FootnoteReference"/>
        </w:rPr>
        <w:footnoteRef/>
      </w:r>
      <w:r>
        <w:t xml:space="preserve"> http://ec.europa.eu/DocsRoom/documents/13418/</w:t>
      </w:r>
    </w:p>
  </w:footnote>
  <w:footnote w:id="11">
    <w:p>
      <w:pPr>
        <w:pStyle w:val="FootnoteText"/>
      </w:pPr>
      <w:r>
        <w:rPr>
          <w:rStyle w:val="FootnoteReference"/>
        </w:rPr>
        <w:footnoteRef/>
      </w:r>
      <w:r>
        <w:t xml:space="preserve"> Το αρχικό κονδύλιο ήταν 10,8 εκατ. ευρώ. </w:t>
      </w:r>
    </w:p>
  </w:footnote>
  <w:footnote w:id="12">
    <w:p>
      <w:pPr>
        <w:pStyle w:val="FootnoteText"/>
      </w:pPr>
      <w:r>
        <w:rPr>
          <w:rStyle w:val="FootnoteReference"/>
        </w:rPr>
        <w:footnoteRef/>
      </w:r>
      <w:r>
        <w:t xml:space="preserve"> Στοιχεία που συλλέχθηκαν το 2015.</w:t>
      </w:r>
    </w:p>
  </w:footnote>
  <w:footnote w:id="13">
    <w:p>
      <w:pPr>
        <w:pStyle w:val="FootnoteText"/>
      </w:pPr>
      <w:r>
        <w:rPr>
          <w:rStyle w:val="FootnoteReference"/>
        </w:rPr>
        <w:footnoteRef/>
      </w:r>
      <w:r>
        <w:t xml:space="preserve"> Συμπεριλαμβανομένων του ψηφισθέντος προϋπολογισμού, των πιστώσεων ΕΖΕΣ και τρίτων χωρών, και των μεταφορών.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EB"/>
    <w:multiLevelType w:val="hybridMultilevel"/>
    <w:tmpl w:val="8D268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420232"/>
    <w:multiLevelType w:val="hybridMultilevel"/>
    <w:tmpl w:val="611039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0A1785"/>
    <w:multiLevelType w:val="hybridMultilevel"/>
    <w:tmpl w:val="FC82D5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0CB51CF0"/>
    <w:multiLevelType w:val="hybridMultilevel"/>
    <w:tmpl w:val="97F622C8"/>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2027CC"/>
    <w:multiLevelType w:val="multilevel"/>
    <w:tmpl w:val="DF60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A0485"/>
    <w:multiLevelType w:val="hybridMultilevel"/>
    <w:tmpl w:val="0D98C0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F006F84"/>
    <w:lvl w:ilvl="0">
      <w:start w:val="1"/>
      <w:numFmt w:val="upperLetter"/>
      <w:lvlText w:val="%1."/>
      <w:lvlJc w:val="left"/>
      <w:pPr>
        <w:tabs>
          <w:tab w:val="num" w:pos="360"/>
        </w:tabs>
        <w:ind w:left="360" w:hanging="360"/>
      </w:pPr>
      <w:rPr>
        <w:rFonts w:hint="default"/>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6D32"/>
    <w:multiLevelType w:val="hybridMultilevel"/>
    <w:tmpl w:val="ABDA43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21C4D82"/>
    <w:multiLevelType w:val="hybridMultilevel"/>
    <w:tmpl w:val="5E44F348"/>
    <w:lvl w:ilvl="0" w:tplc="040A0001">
      <w:start w:val="1"/>
      <w:numFmt w:val="bullet"/>
      <w:lvlText w:val=""/>
      <w:lvlJc w:val="left"/>
      <w:pPr>
        <w:ind w:left="719" w:hanging="435"/>
      </w:pPr>
      <w:rPr>
        <w:rFonts w:ascii="Symbol" w:hAnsi="Symbol" w:hint="default"/>
      </w:rPr>
    </w:lvl>
    <w:lvl w:ilvl="1" w:tplc="040A0001">
      <w:start w:val="1"/>
      <w:numFmt w:val="bullet"/>
      <w:lvlText w:val=""/>
      <w:lvlJc w:val="left"/>
      <w:pPr>
        <w:ind w:left="1439" w:hanging="435"/>
      </w:pPr>
      <w:rPr>
        <w:rFonts w:ascii="Symbol" w:hAnsi="Symbol"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9">
    <w:nsid w:val="22DD3599"/>
    <w:multiLevelType w:val="multilevel"/>
    <w:tmpl w:val="AE28B0DA"/>
    <w:lvl w:ilvl="0">
      <w:numFmt w:val="decimal"/>
      <w:pStyle w:val="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87B99"/>
    <w:multiLevelType w:val="hybridMultilevel"/>
    <w:tmpl w:val="9EEE99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CD1E14"/>
    <w:multiLevelType w:val="hybridMultilevel"/>
    <w:tmpl w:val="20024004"/>
    <w:lvl w:ilvl="0" w:tplc="5F7A573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nsid w:val="26792896"/>
    <w:multiLevelType w:val="hybridMultilevel"/>
    <w:tmpl w:val="569E424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nsid w:val="28EA4FBB"/>
    <w:multiLevelType w:val="hybridMultilevel"/>
    <w:tmpl w:val="0B78479C"/>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B1B7C"/>
    <w:multiLevelType w:val="hybridMultilevel"/>
    <w:tmpl w:val="2D044A3A"/>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15">
    <w:nsid w:val="2D7E098A"/>
    <w:multiLevelType w:val="hybridMultilevel"/>
    <w:tmpl w:val="4EAA56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30D170E2"/>
    <w:multiLevelType w:val="hybridMultilevel"/>
    <w:tmpl w:val="A5203BC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nsid w:val="31141634"/>
    <w:multiLevelType w:val="hybridMultilevel"/>
    <w:tmpl w:val="0FFC7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1247B25"/>
    <w:multiLevelType w:val="hybridMultilevel"/>
    <w:tmpl w:val="3F121CB6"/>
    <w:lvl w:ilvl="0" w:tplc="9C249D9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nsid w:val="32151CBF"/>
    <w:multiLevelType w:val="hybridMultilevel"/>
    <w:tmpl w:val="DF86D2F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34293F3F"/>
    <w:multiLevelType w:val="singleLevel"/>
    <w:tmpl w:val="B074E4EC"/>
    <w:lvl w:ilvl="0">
      <w:numFmt w:val="decimal"/>
      <w:pStyle w:val="ListDash"/>
      <w:lvlText w:val=""/>
      <w:lvlJc w:val="left"/>
    </w:lvl>
  </w:abstractNum>
  <w:abstractNum w:abstractNumId="21">
    <w:nsid w:val="3D2C01B0"/>
    <w:multiLevelType w:val="hybridMultilevel"/>
    <w:tmpl w:val="B62C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F53D50"/>
    <w:multiLevelType w:val="hybridMultilevel"/>
    <w:tmpl w:val="C2F0174A"/>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B6C310D"/>
    <w:multiLevelType w:val="hybridMultilevel"/>
    <w:tmpl w:val="E662D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C7E3131"/>
    <w:multiLevelType w:val="hybridMultilevel"/>
    <w:tmpl w:val="8500B4D8"/>
    <w:lvl w:ilvl="0" w:tplc="040A0001">
      <w:start w:val="1"/>
      <w:numFmt w:val="bullet"/>
      <w:lvlText w:val=""/>
      <w:lvlJc w:val="left"/>
      <w:rPr>
        <w:rFonts w:ascii="Symbol" w:hAnsi="Symbol" w:hint="default"/>
      </w:rPr>
    </w:lvl>
    <w:lvl w:ilvl="1" w:tplc="040A0001">
      <w:start w:val="1"/>
      <w:numFmt w:val="bullet"/>
      <w:lvlText w:val=""/>
      <w:lvlJc w:val="left"/>
      <w:rPr>
        <w:rFonts w:ascii="Symbol" w:hAnsi="Symbol" w:hint="default"/>
      </w:r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nsid w:val="50602B7F"/>
    <w:multiLevelType w:val="hybridMultilevel"/>
    <w:tmpl w:val="CE40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95557"/>
    <w:multiLevelType w:val="multilevel"/>
    <w:tmpl w:val="719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227B0"/>
    <w:multiLevelType w:val="hybridMultilevel"/>
    <w:tmpl w:val="E74CCEC4"/>
    <w:lvl w:ilvl="0" w:tplc="4574C59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AC74C0"/>
    <w:multiLevelType w:val="hybridMultilevel"/>
    <w:tmpl w:val="10CE2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4F4A77"/>
    <w:multiLevelType w:val="hybridMultilevel"/>
    <w:tmpl w:val="02D4F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C3810DA"/>
    <w:multiLevelType w:val="hybridMultilevel"/>
    <w:tmpl w:val="3D4A8D4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31">
    <w:nsid w:val="5FEF30CE"/>
    <w:multiLevelType w:val="hybridMultilevel"/>
    <w:tmpl w:val="C38EBF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7D10605"/>
    <w:multiLevelType w:val="hybridMultilevel"/>
    <w:tmpl w:val="108AF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9CB528A"/>
    <w:multiLevelType w:val="hybridMultilevel"/>
    <w:tmpl w:val="4A10C9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C26060"/>
    <w:multiLevelType w:val="hybridMultilevel"/>
    <w:tmpl w:val="2FC8977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C00982"/>
    <w:multiLevelType w:val="hybridMultilevel"/>
    <w:tmpl w:val="E898D42C"/>
    <w:lvl w:ilvl="0" w:tplc="040A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nsid w:val="7C4E0094"/>
    <w:multiLevelType w:val="hybridMultilevel"/>
    <w:tmpl w:val="F3DE2C04"/>
    <w:lvl w:ilvl="0" w:tplc="08BEB838">
      <w:numFmt w:val="bullet"/>
      <w:lvlText w:val="•"/>
      <w:lvlJc w:val="left"/>
      <w:pPr>
        <w:ind w:left="1080" w:hanging="72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7F7015"/>
    <w:multiLevelType w:val="hybridMultilevel"/>
    <w:tmpl w:val="76F03E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E7D61C2"/>
    <w:multiLevelType w:val="hybridMultilevel"/>
    <w:tmpl w:val="2FF2B626"/>
    <w:lvl w:ilvl="0" w:tplc="FB823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1"/>
  </w:num>
  <w:num w:numId="6">
    <w:abstractNumId w:val="5"/>
  </w:num>
  <w:num w:numId="7">
    <w:abstractNumId w:val="16"/>
  </w:num>
  <w:num w:numId="8">
    <w:abstractNumId w:val="18"/>
  </w:num>
  <w:num w:numId="9">
    <w:abstractNumId w:val="1"/>
  </w:num>
  <w:num w:numId="10">
    <w:abstractNumId w:val="38"/>
  </w:num>
  <w:num w:numId="11">
    <w:abstractNumId w:val="10"/>
  </w:num>
  <w:num w:numId="12">
    <w:abstractNumId w:val="8"/>
  </w:num>
  <w:num w:numId="13">
    <w:abstractNumId w:val="36"/>
  </w:num>
  <w:num w:numId="14">
    <w:abstractNumId w:val="13"/>
  </w:num>
  <w:num w:numId="15">
    <w:abstractNumId w:val="30"/>
  </w:num>
  <w:num w:numId="16">
    <w:abstractNumId w:val="35"/>
  </w:num>
  <w:num w:numId="17">
    <w:abstractNumId w:val="12"/>
  </w:num>
  <w:num w:numId="18">
    <w:abstractNumId w:val="28"/>
  </w:num>
  <w:num w:numId="19">
    <w:abstractNumId w:val="27"/>
  </w:num>
  <w:num w:numId="20">
    <w:abstractNumId w:val="32"/>
  </w:num>
  <w:num w:numId="21">
    <w:abstractNumId w:val="33"/>
  </w:num>
  <w:num w:numId="22">
    <w:abstractNumId w:val="15"/>
  </w:num>
  <w:num w:numId="23">
    <w:abstractNumId w:val="31"/>
  </w:num>
  <w:num w:numId="24">
    <w:abstractNumId w:val="21"/>
  </w:num>
  <w:num w:numId="25">
    <w:abstractNumId w:val="26"/>
  </w:num>
  <w:num w:numId="26">
    <w:abstractNumId w:val="4"/>
  </w:num>
  <w:num w:numId="27">
    <w:abstractNumId w:val="19"/>
  </w:num>
  <w:num w:numId="28">
    <w:abstractNumId w:val="6"/>
  </w:num>
  <w:num w:numId="29">
    <w:abstractNumId w:val="23"/>
  </w:num>
  <w:num w:numId="30">
    <w:abstractNumId w:val="22"/>
  </w:num>
  <w:num w:numId="31">
    <w:abstractNumId w:val="7"/>
  </w:num>
  <w:num w:numId="32">
    <w:abstractNumId w:val="14"/>
  </w:num>
  <w:num w:numId="33">
    <w:abstractNumId w:val="2"/>
  </w:num>
  <w:num w:numId="34">
    <w:abstractNumId w:val="25"/>
  </w:num>
  <w:num w:numId="35">
    <w:abstractNumId w:val="6"/>
  </w:num>
  <w:num w:numId="36">
    <w:abstractNumId w:val="29"/>
  </w:num>
  <w:num w:numId="37">
    <w:abstractNumId w:val="6"/>
  </w:num>
  <w:num w:numId="38">
    <w:abstractNumId w:val="0"/>
  </w:num>
  <w:num w:numId="39">
    <w:abstractNumId w:val="6"/>
  </w:num>
  <w:num w:numId="40">
    <w:abstractNumId w:val="17"/>
  </w:num>
  <w:num w:numId="41">
    <w:abstractNumId w:val="3"/>
  </w:num>
  <w:num w:numId="42">
    <w:abstractNumId w:val="37"/>
  </w:num>
  <w:num w:numId="43">
    <w:abstractNumId w:val="34"/>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26DFB1-D3DD-42B1-8CC9-8337A5F1662F"/>
    <w:docVar w:name="LW_COVERPAGE_TYPE" w:val="1"/>
    <w:docVar w:name="LW_CROSSREFERENCE" w:val="{SWD(2018) 299 final}_x000b_{SWD(2018) 300 final}"/>
    <w:docVar w:name="LW_DocType" w:val="NORMAL"/>
    <w:docVar w:name="LW_EMISSION" w:val="4.6.2018"/>
    <w:docVar w:name="LW_EMISSION_ISODATE" w:val="2018-06-04"/>
    <w:docVar w:name="LW_EMISSION_LOCATION" w:val="BRX"/>
    <w:docVar w:name="LW_EMISSION_PREFIX" w:val="Βρυξέλλες, "/>
    <w:docVar w:name="LW_EMISSION_SUFFIX" w:val="&lt;EMPTY&gt;"/>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8) 3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Monitoring Report 2015"/>
    <w:docVar w:name="LW_SOUS.TITRE.OBJ.CP" w:val="Monitoring Report 2015"/>
    <w:docVar w:name="LW_SUPERTITRE" w:val="&lt;UNUSED&gt;"/>
    <w:docVar w:name="LW_TITRE.OBJ.CP" w:val="COSME _x000b_\u928?\u961?\u972?\u947?\u961?\u945?\u956?\u956?\u945? \u947?\u953?\u945? \u964?\u951?\u957? \u945?\u957?\u964?\u945?\u947?\u969?\u957?\u953?\u963?\u964?\u953?\u954?\u972?\u964?\u951?\u964?\u945? \u964?\u969?\u957? \u949?\u960?\u953?\u967?\u949?\u953?\u961?\u942?\u963?\u949?\u969?\u957? \u954?\u945?\u953? \u964?\u969?\u957? \u924?\u924?\u917? (2014-2020)_x000b__x000b__x000b_\u904?\u954?\u952?\u949?\u963?\u951? \u960?\u945?\u961?\u945?\u954?\u959?\u955?\u959?\u973?\u952?\u951?\u963?\u951?\u962? 2015_x000b_"/>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el-G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el-GR" w:eastAsia="el-GR"/>
    </w:rPr>
  </w:style>
  <w:style w:type="character" w:customStyle="1" w:styleId="Heading3Char">
    <w:name w:val="Heading 3 Char"/>
    <w:basedOn w:val="DefaultParagraphFont"/>
    <w:link w:val="Heading3"/>
    <w:rPr>
      <w:rFonts w:ascii="Times New Roman" w:eastAsia="Times New Roman" w:hAnsi="Times New Roman" w:cs="Times New Roman"/>
      <w:i/>
      <w:szCs w:val="24"/>
      <w:lang w:val="el-GR" w:eastAsia="el-GR"/>
    </w:rPr>
  </w:style>
  <w:style w:type="character" w:customStyle="1" w:styleId="Heading4Char">
    <w:name w:val="Heading 4 Char"/>
    <w:basedOn w:val="DefaultParagraphFont"/>
    <w:link w:val="Heading4"/>
    <w:rPr>
      <w:rFonts w:ascii="Times New Roman" w:eastAsia="Times New Roman" w:hAnsi="Times New Roman" w:cs="Times New Roman"/>
      <w:szCs w:val="24"/>
      <w:lang w:val="el-GR" w:eastAsia="el-G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l-GR"/>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l-GR" w:eastAsia="el-G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el-GR" w:eastAsia="el-G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l-GR"/>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l-G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l-GR"/>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el-GR" w:eastAsia="el-G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el-G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el-GR" w:eastAsia="el-GR"/>
    </w:rPr>
  </w:style>
  <w:style w:type="character" w:customStyle="1" w:styleId="Heading3Char">
    <w:name w:val="Heading 3 Char"/>
    <w:basedOn w:val="DefaultParagraphFont"/>
    <w:link w:val="Heading3"/>
    <w:rPr>
      <w:rFonts w:ascii="Times New Roman" w:eastAsia="Times New Roman" w:hAnsi="Times New Roman" w:cs="Times New Roman"/>
      <w:i/>
      <w:szCs w:val="24"/>
      <w:lang w:val="el-GR" w:eastAsia="el-GR"/>
    </w:rPr>
  </w:style>
  <w:style w:type="character" w:customStyle="1" w:styleId="Heading4Char">
    <w:name w:val="Heading 4 Char"/>
    <w:basedOn w:val="DefaultParagraphFont"/>
    <w:link w:val="Heading4"/>
    <w:rPr>
      <w:rFonts w:ascii="Times New Roman" w:eastAsia="Times New Roman" w:hAnsi="Times New Roman" w:cs="Times New Roman"/>
      <w:szCs w:val="24"/>
      <w:lang w:val="el-GR" w:eastAsia="el-G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l-GR"/>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l-GR" w:eastAsia="el-G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el-GR" w:eastAsia="el-G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l-GR"/>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l-G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l-GR"/>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el-GR" w:eastAsia="el-G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652">
      <w:bodyDiv w:val="1"/>
      <w:marLeft w:val="0"/>
      <w:marRight w:val="0"/>
      <w:marTop w:val="0"/>
      <w:marBottom w:val="0"/>
      <w:divBdr>
        <w:top w:val="none" w:sz="0" w:space="0" w:color="auto"/>
        <w:left w:val="none" w:sz="0" w:space="0" w:color="auto"/>
        <w:bottom w:val="none" w:sz="0" w:space="0" w:color="auto"/>
        <w:right w:val="none" w:sz="0" w:space="0" w:color="auto"/>
      </w:divBdr>
    </w:div>
    <w:div w:id="91321430">
      <w:bodyDiv w:val="1"/>
      <w:marLeft w:val="0"/>
      <w:marRight w:val="0"/>
      <w:marTop w:val="0"/>
      <w:marBottom w:val="0"/>
      <w:divBdr>
        <w:top w:val="none" w:sz="0" w:space="0" w:color="auto"/>
        <w:left w:val="none" w:sz="0" w:space="0" w:color="auto"/>
        <w:bottom w:val="none" w:sz="0" w:space="0" w:color="auto"/>
        <w:right w:val="none" w:sz="0" w:space="0" w:color="auto"/>
      </w:divBdr>
      <w:divsChild>
        <w:div w:id="53895772">
          <w:marLeft w:val="0"/>
          <w:marRight w:val="0"/>
          <w:marTop w:val="0"/>
          <w:marBottom w:val="0"/>
          <w:divBdr>
            <w:top w:val="none" w:sz="0" w:space="0" w:color="auto"/>
            <w:left w:val="none" w:sz="0" w:space="0" w:color="auto"/>
            <w:bottom w:val="none" w:sz="0" w:space="0" w:color="auto"/>
            <w:right w:val="none" w:sz="0" w:space="0" w:color="auto"/>
          </w:divBdr>
          <w:divsChild>
            <w:div w:id="1086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3189">
      <w:bodyDiv w:val="1"/>
      <w:marLeft w:val="0"/>
      <w:marRight w:val="0"/>
      <w:marTop w:val="0"/>
      <w:marBottom w:val="0"/>
      <w:divBdr>
        <w:top w:val="none" w:sz="0" w:space="0" w:color="auto"/>
        <w:left w:val="none" w:sz="0" w:space="0" w:color="auto"/>
        <w:bottom w:val="none" w:sz="0" w:space="0" w:color="auto"/>
        <w:right w:val="none" w:sz="0" w:space="0" w:color="auto"/>
      </w:divBdr>
    </w:div>
    <w:div w:id="115490936">
      <w:bodyDiv w:val="1"/>
      <w:marLeft w:val="0"/>
      <w:marRight w:val="0"/>
      <w:marTop w:val="0"/>
      <w:marBottom w:val="0"/>
      <w:divBdr>
        <w:top w:val="none" w:sz="0" w:space="0" w:color="auto"/>
        <w:left w:val="none" w:sz="0" w:space="0" w:color="auto"/>
        <w:bottom w:val="none" w:sz="0" w:space="0" w:color="auto"/>
        <w:right w:val="none" w:sz="0" w:space="0" w:color="auto"/>
      </w:divBdr>
    </w:div>
    <w:div w:id="208609829">
      <w:bodyDiv w:val="1"/>
      <w:marLeft w:val="0"/>
      <w:marRight w:val="0"/>
      <w:marTop w:val="0"/>
      <w:marBottom w:val="0"/>
      <w:divBdr>
        <w:top w:val="none" w:sz="0" w:space="0" w:color="auto"/>
        <w:left w:val="none" w:sz="0" w:space="0" w:color="auto"/>
        <w:bottom w:val="none" w:sz="0" w:space="0" w:color="auto"/>
        <w:right w:val="none" w:sz="0" w:space="0" w:color="auto"/>
      </w:divBdr>
      <w:divsChild>
        <w:div w:id="1262303183">
          <w:marLeft w:val="0"/>
          <w:marRight w:val="0"/>
          <w:marTop w:val="0"/>
          <w:marBottom w:val="0"/>
          <w:divBdr>
            <w:top w:val="none" w:sz="0" w:space="0" w:color="auto"/>
            <w:left w:val="none" w:sz="0" w:space="0" w:color="auto"/>
            <w:bottom w:val="none" w:sz="0" w:space="0" w:color="auto"/>
            <w:right w:val="none" w:sz="0" w:space="0" w:color="auto"/>
          </w:divBdr>
          <w:divsChild>
            <w:div w:id="105975747">
              <w:marLeft w:val="0"/>
              <w:marRight w:val="0"/>
              <w:marTop w:val="0"/>
              <w:marBottom w:val="0"/>
              <w:divBdr>
                <w:top w:val="none" w:sz="0" w:space="0" w:color="auto"/>
                <w:left w:val="none" w:sz="0" w:space="0" w:color="auto"/>
                <w:bottom w:val="none" w:sz="0" w:space="0" w:color="auto"/>
                <w:right w:val="none" w:sz="0" w:space="0" w:color="auto"/>
              </w:divBdr>
              <w:divsChild>
                <w:div w:id="1289164945">
                  <w:marLeft w:val="0"/>
                  <w:marRight w:val="0"/>
                  <w:marTop w:val="0"/>
                  <w:marBottom w:val="300"/>
                  <w:divBdr>
                    <w:top w:val="none" w:sz="0" w:space="0" w:color="auto"/>
                    <w:left w:val="none" w:sz="0" w:space="0" w:color="auto"/>
                    <w:bottom w:val="none" w:sz="0" w:space="0" w:color="auto"/>
                    <w:right w:val="none" w:sz="0" w:space="0" w:color="auto"/>
                  </w:divBdr>
                  <w:divsChild>
                    <w:div w:id="1934586083">
                      <w:marLeft w:val="0"/>
                      <w:marRight w:val="0"/>
                      <w:marTop w:val="0"/>
                      <w:marBottom w:val="0"/>
                      <w:divBdr>
                        <w:top w:val="none" w:sz="0" w:space="0" w:color="auto"/>
                        <w:left w:val="none" w:sz="0" w:space="0" w:color="auto"/>
                        <w:bottom w:val="none" w:sz="0" w:space="0" w:color="auto"/>
                        <w:right w:val="none" w:sz="0" w:space="0" w:color="auto"/>
                      </w:divBdr>
                      <w:divsChild>
                        <w:div w:id="2091998331">
                          <w:marLeft w:val="0"/>
                          <w:marRight w:val="0"/>
                          <w:marTop w:val="0"/>
                          <w:marBottom w:val="0"/>
                          <w:divBdr>
                            <w:top w:val="none" w:sz="0" w:space="0" w:color="auto"/>
                            <w:left w:val="none" w:sz="0" w:space="0" w:color="auto"/>
                            <w:bottom w:val="none" w:sz="0" w:space="0" w:color="auto"/>
                            <w:right w:val="none" w:sz="0" w:space="0" w:color="auto"/>
                          </w:divBdr>
                          <w:divsChild>
                            <w:div w:id="2094861880">
                              <w:marLeft w:val="0"/>
                              <w:marRight w:val="0"/>
                              <w:marTop w:val="0"/>
                              <w:marBottom w:val="0"/>
                              <w:divBdr>
                                <w:top w:val="none" w:sz="0" w:space="0" w:color="auto"/>
                                <w:left w:val="none" w:sz="0" w:space="0" w:color="auto"/>
                                <w:bottom w:val="none" w:sz="0" w:space="0" w:color="auto"/>
                                <w:right w:val="none" w:sz="0" w:space="0" w:color="auto"/>
                              </w:divBdr>
                              <w:divsChild>
                                <w:div w:id="1796217988">
                                  <w:marLeft w:val="0"/>
                                  <w:marRight w:val="0"/>
                                  <w:marTop w:val="0"/>
                                  <w:marBottom w:val="0"/>
                                  <w:divBdr>
                                    <w:top w:val="none" w:sz="0" w:space="0" w:color="auto"/>
                                    <w:left w:val="none" w:sz="0" w:space="0" w:color="auto"/>
                                    <w:bottom w:val="none" w:sz="0" w:space="0" w:color="auto"/>
                                    <w:right w:val="none" w:sz="0" w:space="0" w:color="auto"/>
                                  </w:divBdr>
                                  <w:divsChild>
                                    <w:div w:id="88543796">
                                      <w:marLeft w:val="0"/>
                                      <w:marRight w:val="0"/>
                                      <w:marTop w:val="0"/>
                                      <w:marBottom w:val="0"/>
                                      <w:divBdr>
                                        <w:top w:val="none" w:sz="0" w:space="0" w:color="auto"/>
                                        <w:left w:val="none" w:sz="0" w:space="0" w:color="auto"/>
                                        <w:bottom w:val="none" w:sz="0" w:space="0" w:color="auto"/>
                                        <w:right w:val="none" w:sz="0" w:space="0" w:color="auto"/>
                                      </w:divBdr>
                                      <w:divsChild>
                                        <w:div w:id="2013757182">
                                          <w:marLeft w:val="0"/>
                                          <w:marRight w:val="0"/>
                                          <w:marTop w:val="0"/>
                                          <w:marBottom w:val="0"/>
                                          <w:divBdr>
                                            <w:top w:val="none" w:sz="0" w:space="0" w:color="auto"/>
                                            <w:left w:val="none" w:sz="0" w:space="0" w:color="auto"/>
                                            <w:bottom w:val="none" w:sz="0" w:space="0" w:color="auto"/>
                                            <w:right w:val="none" w:sz="0" w:space="0" w:color="auto"/>
                                          </w:divBdr>
                                          <w:divsChild>
                                            <w:div w:id="1640459244">
                                              <w:marLeft w:val="0"/>
                                              <w:marRight w:val="0"/>
                                              <w:marTop w:val="0"/>
                                              <w:marBottom w:val="0"/>
                                              <w:divBdr>
                                                <w:top w:val="none" w:sz="0" w:space="0" w:color="auto"/>
                                                <w:left w:val="none" w:sz="0" w:space="0" w:color="auto"/>
                                                <w:bottom w:val="none" w:sz="0" w:space="0" w:color="auto"/>
                                                <w:right w:val="none" w:sz="0" w:space="0" w:color="auto"/>
                                              </w:divBdr>
                                              <w:divsChild>
                                                <w:div w:id="461576927">
                                                  <w:marLeft w:val="0"/>
                                                  <w:marRight w:val="0"/>
                                                  <w:marTop w:val="0"/>
                                                  <w:marBottom w:val="0"/>
                                                  <w:divBdr>
                                                    <w:top w:val="none" w:sz="0" w:space="0" w:color="auto"/>
                                                    <w:left w:val="none" w:sz="0" w:space="0" w:color="auto"/>
                                                    <w:bottom w:val="none" w:sz="0" w:space="0" w:color="auto"/>
                                                    <w:right w:val="none" w:sz="0" w:space="0" w:color="auto"/>
                                                  </w:divBdr>
                                                  <w:divsChild>
                                                    <w:div w:id="305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758968">
      <w:bodyDiv w:val="1"/>
      <w:marLeft w:val="0"/>
      <w:marRight w:val="0"/>
      <w:marTop w:val="0"/>
      <w:marBottom w:val="0"/>
      <w:divBdr>
        <w:top w:val="none" w:sz="0" w:space="0" w:color="auto"/>
        <w:left w:val="none" w:sz="0" w:space="0" w:color="auto"/>
        <w:bottom w:val="none" w:sz="0" w:space="0" w:color="auto"/>
        <w:right w:val="none" w:sz="0" w:space="0" w:color="auto"/>
      </w:divBdr>
    </w:div>
    <w:div w:id="297496769">
      <w:bodyDiv w:val="1"/>
      <w:marLeft w:val="0"/>
      <w:marRight w:val="0"/>
      <w:marTop w:val="0"/>
      <w:marBottom w:val="0"/>
      <w:divBdr>
        <w:top w:val="none" w:sz="0" w:space="0" w:color="auto"/>
        <w:left w:val="none" w:sz="0" w:space="0" w:color="auto"/>
        <w:bottom w:val="none" w:sz="0" w:space="0" w:color="auto"/>
        <w:right w:val="none" w:sz="0" w:space="0" w:color="auto"/>
      </w:divBdr>
    </w:div>
    <w:div w:id="340352646">
      <w:bodyDiv w:val="1"/>
      <w:marLeft w:val="0"/>
      <w:marRight w:val="0"/>
      <w:marTop w:val="0"/>
      <w:marBottom w:val="0"/>
      <w:divBdr>
        <w:top w:val="none" w:sz="0" w:space="0" w:color="auto"/>
        <w:left w:val="none" w:sz="0" w:space="0" w:color="auto"/>
        <w:bottom w:val="none" w:sz="0" w:space="0" w:color="auto"/>
        <w:right w:val="none" w:sz="0" w:space="0" w:color="auto"/>
      </w:divBdr>
    </w:div>
    <w:div w:id="344670106">
      <w:bodyDiv w:val="1"/>
      <w:marLeft w:val="0"/>
      <w:marRight w:val="0"/>
      <w:marTop w:val="0"/>
      <w:marBottom w:val="0"/>
      <w:divBdr>
        <w:top w:val="none" w:sz="0" w:space="0" w:color="auto"/>
        <w:left w:val="none" w:sz="0" w:space="0" w:color="auto"/>
        <w:bottom w:val="none" w:sz="0" w:space="0" w:color="auto"/>
        <w:right w:val="none" w:sz="0" w:space="0" w:color="auto"/>
      </w:divBdr>
    </w:div>
    <w:div w:id="370812675">
      <w:bodyDiv w:val="1"/>
      <w:marLeft w:val="0"/>
      <w:marRight w:val="0"/>
      <w:marTop w:val="0"/>
      <w:marBottom w:val="0"/>
      <w:divBdr>
        <w:top w:val="none" w:sz="0" w:space="0" w:color="auto"/>
        <w:left w:val="none" w:sz="0" w:space="0" w:color="auto"/>
        <w:bottom w:val="none" w:sz="0" w:space="0" w:color="auto"/>
        <w:right w:val="none" w:sz="0" w:space="0" w:color="auto"/>
      </w:divBdr>
    </w:div>
    <w:div w:id="388891333">
      <w:bodyDiv w:val="1"/>
      <w:marLeft w:val="0"/>
      <w:marRight w:val="0"/>
      <w:marTop w:val="0"/>
      <w:marBottom w:val="0"/>
      <w:divBdr>
        <w:top w:val="none" w:sz="0" w:space="0" w:color="auto"/>
        <w:left w:val="none" w:sz="0" w:space="0" w:color="auto"/>
        <w:bottom w:val="none" w:sz="0" w:space="0" w:color="auto"/>
        <w:right w:val="none" w:sz="0" w:space="0" w:color="auto"/>
      </w:divBdr>
    </w:div>
    <w:div w:id="505368729">
      <w:bodyDiv w:val="1"/>
      <w:marLeft w:val="0"/>
      <w:marRight w:val="0"/>
      <w:marTop w:val="0"/>
      <w:marBottom w:val="0"/>
      <w:divBdr>
        <w:top w:val="none" w:sz="0" w:space="0" w:color="auto"/>
        <w:left w:val="none" w:sz="0" w:space="0" w:color="auto"/>
        <w:bottom w:val="none" w:sz="0" w:space="0" w:color="auto"/>
        <w:right w:val="none" w:sz="0" w:space="0" w:color="auto"/>
      </w:divBdr>
    </w:div>
    <w:div w:id="529683735">
      <w:bodyDiv w:val="1"/>
      <w:marLeft w:val="0"/>
      <w:marRight w:val="0"/>
      <w:marTop w:val="0"/>
      <w:marBottom w:val="0"/>
      <w:divBdr>
        <w:top w:val="none" w:sz="0" w:space="0" w:color="auto"/>
        <w:left w:val="none" w:sz="0" w:space="0" w:color="auto"/>
        <w:bottom w:val="none" w:sz="0" w:space="0" w:color="auto"/>
        <w:right w:val="none" w:sz="0" w:space="0" w:color="auto"/>
      </w:divBdr>
    </w:div>
    <w:div w:id="609513412">
      <w:bodyDiv w:val="1"/>
      <w:marLeft w:val="0"/>
      <w:marRight w:val="0"/>
      <w:marTop w:val="0"/>
      <w:marBottom w:val="0"/>
      <w:divBdr>
        <w:top w:val="none" w:sz="0" w:space="0" w:color="auto"/>
        <w:left w:val="none" w:sz="0" w:space="0" w:color="auto"/>
        <w:bottom w:val="none" w:sz="0" w:space="0" w:color="auto"/>
        <w:right w:val="none" w:sz="0" w:space="0" w:color="auto"/>
      </w:divBdr>
    </w:div>
    <w:div w:id="615988118">
      <w:bodyDiv w:val="1"/>
      <w:marLeft w:val="0"/>
      <w:marRight w:val="0"/>
      <w:marTop w:val="0"/>
      <w:marBottom w:val="0"/>
      <w:divBdr>
        <w:top w:val="none" w:sz="0" w:space="0" w:color="auto"/>
        <w:left w:val="none" w:sz="0" w:space="0" w:color="auto"/>
        <w:bottom w:val="none" w:sz="0" w:space="0" w:color="auto"/>
        <w:right w:val="none" w:sz="0" w:space="0" w:color="auto"/>
      </w:divBdr>
    </w:div>
    <w:div w:id="664557591">
      <w:bodyDiv w:val="1"/>
      <w:marLeft w:val="0"/>
      <w:marRight w:val="0"/>
      <w:marTop w:val="0"/>
      <w:marBottom w:val="0"/>
      <w:divBdr>
        <w:top w:val="none" w:sz="0" w:space="0" w:color="auto"/>
        <w:left w:val="none" w:sz="0" w:space="0" w:color="auto"/>
        <w:bottom w:val="none" w:sz="0" w:space="0" w:color="auto"/>
        <w:right w:val="none" w:sz="0" w:space="0" w:color="auto"/>
      </w:divBdr>
    </w:div>
    <w:div w:id="679357267">
      <w:bodyDiv w:val="1"/>
      <w:marLeft w:val="0"/>
      <w:marRight w:val="0"/>
      <w:marTop w:val="0"/>
      <w:marBottom w:val="0"/>
      <w:divBdr>
        <w:top w:val="none" w:sz="0" w:space="0" w:color="auto"/>
        <w:left w:val="none" w:sz="0" w:space="0" w:color="auto"/>
        <w:bottom w:val="none" w:sz="0" w:space="0" w:color="auto"/>
        <w:right w:val="none" w:sz="0" w:space="0" w:color="auto"/>
      </w:divBdr>
    </w:div>
    <w:div w:id="823660574">
      <w:bodyDiv w:val="1"/>
      <w:marLeft w:val="0"/>
      <w:marRight w:val="0"/>
      <w:marTop w:val="0"/>
      <w:marBottom w:val="0"/>
      <w:divBdr>
        <w:top w:val="none" w:sz="0" w:space="0" w:color="auto"/>
        <w:left w:val="none" w:sz="0" w:space="0" w:color="auto"/>
        <w:bottom w:val="none" w:sz="0" w:space="0" w:color="auto"/>
        <w:right w:val="none" w:sz="0" w:space="0" w:color="auto"/>
      </w:divBdr>
      <w:divsChild>
        <w:div w:id="54470256">
          <w:marLeft w:val="0"/>
          <w:marRight w:val="0"/>
          <w:marTop w:val="0"/>
          <w:marBottom w:val="0"/>
          <w:divBdr>
            <w:top w:val="none" w:sz="0" w:space="0" w:color="auto"/>
            <w:left w:val="none" w:sz="0" w:space="0" w:color="auto"/>
            <w:bottom w:val="none" w:sz="0" w:space="0" w:color="auto"/>
            <w:right w:val="none" w:sz="0" w:space="0" w:color="auto"/>
          </w:divBdr>
          <w:divsChild>
            <w:div w:id="1864200757">
              <w:marLeft w:val="3030"/>
              <w:marRight w:val="225"/>
              <w:marTop w:val="0"/>
              <w:marBottom w:val="300"/>
              <w:divBdr>
                <w:top w:val="none" w:sz="0" w:space="0" w:color="auto"/>
                <w:left w:val="none" w:sz="0" w:space="0" w:color="auto"/>
                <w:bottom w:val="none" w:sz="0" w:space="0" w:color="auto"/>
                <w:right w:val="none" w:sz="0" w:space="0" w:color="auto"/>
              </w:divBdr>
              <w:divsChild>
                <w:div w:id="1355182781">
                  <w:marLeft w:val="0"/>
                  <w:marRight w:val="0"/>
                  <w:marTop w:val="0"/>
                  <w:marBottom w:val="0"/>
                  <w:divBdr>
                    <w:top w:val="none" w:sz="0" w:space="0" w:color="auto"/>
                    <w:left w:val="single" w:sz="6" w:space="0" w:color="000000"/>
                    <w:bottom w:val="single" w:sz="6" w:space="0" w:color="000000"/>
                    <w:right w:val="single" w:sz="6" w:space="0" w:color="000000"/>
                  </w:divBdr>
                  <w:divsChild>
                    <w:div w:id="397245210">
                      <w:marLeft w:val="0"/>
                      <w:marRight w:val="0"/>
                      <w:marTop w:val="0"/>
                      <w:marBottom w:val="300"/>
                      <w:divBdr>
                        <w:top w:val="none" w:sz="0" w:space="0" w:color="auto"/>
                        <w:left w:val="none" w:sz="0" w:space="0" w:color="auto"/>
                        <w:bottom w:val="none" w:sz="0" w:space="0" w:color="auto"/>
                        <w:right w:val="none" w:sz="0" w:space="0" w:color="auto"/>
                      </w:divBdr>
                      <w:divsChild>
                        <w:div w:id="1348292204">
                          <w:marLeft w:val="0"/>
                          <w:marRight w:val="0"/>
                          <w:marTop w:val="0"/>
                          <w:marBottom w:val="0"/>
                          <w:divBdr>
                            <w:top w:val="none" w:sz="0" w:space="0" w:color="auto"/>
                            <w:left w:val="none" w:sz="0" w:space="0" w:color="auto"/>
                            <w:bottom w:val="none" w:sz="0" w:space="0" w:color="auto"/>
                            <w:right w:val="none" w:sz="0" w:space="0" w:color="auto"/>
                          </w:divBdr>
                          <w:divsChild>
                            <w:div w:id="1529483497">
                              <w:marLeft w:val="0"/>
                              <w:marRight w:val="0"/>
                              <w:marTop w:val="0"/>
                              <w:marBottom w:val="0"/>
                              <w:divBdr>
                                <w:top w:val="none" w:sz="0" w:space="0" w:color="auto"/>
                                <w:left w:val="none" w:sz="0" w:space="0" w:color="auto"/>
                                <w:bottom w:val="none" w:sz="0" w:space="0" w:color="auto"/>
                                <w:right w:val="none" w:sz="0" w:space="0" w:color="auto"/>
                              </w:divBdr>
                              <w:divsChild>
                                <w:div w:id="615212468">
                                  <w:marLeft w:val="0"/>
                                  <w:marRight w:val="0"/>
                                  <w:marTop w:val="0"/>
                                  <w:marBottom w:val="0"/>
                                  <w:divBdr>
                                    <w:top w:val="none" w:sz="0" w:space="0" w:color="auto"/>
                                    <w:left w:val="none" w:sz="0" w:space="0" w:color="auto"/>
                                    <w:bottom w:val="none" w:sz="0" w:space="0" w:color="auto"/>
                                    <w:right w:val="none" w:sz="0" w:space="0" w:color="auto"/>
                                  </w:divBdr>
                                  <w:divsChild>
                                    <w:div w:id="722555824">
                                      <w:marLeft w:val="0"/>
                                      <w:marRight w:val="0"/>
                                      <w:marTop w:val="150"/>
                                      <w:marBottom w:val="150"/>
                                      <w:divBdr>
                                        <w:top w:val="none" w:sz="0" w:space="0" w:color="auto"/>
                                        <w:left w:val="none" w:sz="0" w:space="0" w:color="auto"/>
                                        <w:bottom w:val="none" w:sz="0" w:space="0" w:color="auto"/>
                                        <w:right w:val="none" w:sz="0" w:space="0" w:color="auto"/>
                                      </w:divBdr>
                                      <w:divsChild>
                                        <w:div w:id="1269582007">
                                          <w:marLeft w:val="300"/>
                                          <w:marRight w:val="0"/>
                                          <w:marTop w:val="75"/>
                                          <w:marBottom w:val="0"/>
                                          <w:divBdr>
                                            <w:top w:val="none" w:sz="0" w:space="0" w:color="auto"/>
                                            <w:left w:val="none" w:sz="0" w:space="0" w:color="auto"/>
                                            <w:bottom w:val="none" w:sz="0" w:space="0" w:color="auto"/>
                                            <w:right w:val="none" w:sz="0" w:space="0" w:color="auto"/>
                                          </w:divBdr>
                                          <w:divsChild>
                                            <w:div w:id="21348606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20986">
      <w:bodyDiv w:val="1"/>
      <w:marLeft w:val="0"/>
      <w:marRight w:val="0"/>
      <w:marTop w:val="0"/>
      <w:marBottom w:val="0"/>
      <w:divBdr>
        <w:top w:val="none" w:sz="0" w:space="0" w:color="auto"/>
        <w:left w:val="none" w:sz="0" w:space="0" w:color="auto"/>
        <w:bottom w:val="none" w:sz="0" w:space="0" w:color="auto"/>
        <w:right w:val="none" w:sz="0" w:space="0" w:color="auto"/>
      </w:divBdr>
    </w:div>
    <w:div w:id="969744970">
      <w:bodyDiv w:val="1"/>
      <w:marLeft w:val="0"/>
      <w:marRight w:val="0"/>
      <w:marTop w:val="0"/>
      <w:marBottom w:val="0"/>
      <w:divBdr>
        <w:top w:val="none" w:sz="0" w:space="0" w:color="auto"/>
        <w:left w:val="none" w:sz="0" w:space="0" w:color="auto"/>
        <w:bottom w:val="none" w:sz="0" w:space="0" w:color="auto"/>
        <w:right w:val="none" w:sz="0" w:space="0" w:color="auto"/>
      </w:divBdr>
    </w:div>
    <w:div w:id="1011496481">
      <w:bodyDiv w:val="1"/>
      <w:marLeft w:val="0"/>
      <w:marRight w:val="0"/>
      <w:marTop w:val="0"/>
      <w:marBottom w:val="0"/>
      <w:divBdr>
        <w:top w:val="none" w:sz="0" w:space="0" w:color="auto"/>
        <w:left w:val="none" w:sz="0" w:space="0" w:color="auto"/>
        <w:bottom w:val="none" w:sz="0" w:space="0" w:color="auto"/>
        <w:right w:val="none" w:sz="0" w:space="0" w:color="auto"/>
      </w:divBdr>
    </w:div>
    <w:div w:id="1021204695">
      <w:bodyDiv w:val="1"/>
      <w:marLeft w:val="0"/>
      <w:marRight w:val="0"/>
      <w:marTop w:val="0"/>
      <w:marBottom w:val="0"/>
      <w:divBdr>
        <w:top w:val="none" w:sz="0" w:space="0" w:color="auto"/>
        <w:left w:val="none" w:sz="0" w:space="0" w:color="auto"/>
        <w:bottom w:val="none" w:sz="0" w:space="0" w:color="auto"/>
        <w:right w:val="none" w:sz="0" w:space="0" w:color="auto"/>
      </w:divBdr>
    </w:div>
    <w:div w:id="1064718881">
      <w:bodyDiv w:val="1"/>
      <w:marLeft w:val="0"/>
      <w:marRight w:val="0"/>
      <w:marTop w:val="0"/>
      <w:marBottom w:val="0"/>
      <w:divBdr>
        <w:top w:val="none" w:sz="0" w:space="0" w:color="auto"/>
        <w:left w:val="none" w:sz="0" w:space="0" w:color="auto"/>
        <w:bottom w:val="none" w:sz="0" w:space="0" w:color="auto"/>
        <w:right w:val="none" w:sz="0" w:space="0" w:color="auto"/>
      </w:divBdr>
    </w:div>
    <w:div w:id="1144546695">
      <w:bodyDiv w:val="1"/>
      <w:marLeft w:val="0"/>
      <w:marRight w:val="0"/>
      <w:marTop w:val="0"/>
      <w:marBottom w:val="0"/>
      <w:divBdr>
        <w:top w:val="none" w:sz="0" w:space="0" w:color="auto"/>
        <w:left w:val="none" w:sz="0" w:space="0" w:color="auto"/>
        <w:bottom w:val="none" w:sz="0" w:space="0" w:color="auto"/>
        <w:right w:val="none" w:sz="0" w:space="0" w:color="auto"/>
      </w:divBdr>
    </w:div>
    <w:div w:id="1147435300">
      <w:bodyDiv w:val="1"/>
      <w:marLeft w:val="0"/>
      <w:marRight w:val="0"/>
      <w:marTop w:val="0"/>
      <w:marBottom w:val="0"/>
      <w:divBdr>
        <w:top w:val="none" w:sz="0" w:space="0" w:color="auto"/>
        <w:left w:val="none" w:sz="0" w:space="0" w:color="auto"/>
        <w:bottom w:val="none" w:sz="0" w:space="0" w:color="auto"/>
        <w:right w:val="none" w:sz="0" w:space="0" w:color="auto"/>
      </w:divBdr>
    </w:div>
    <w:div w:id="1256864373">
      <w:bodyDiv w:val="1"/>
      <w:marLeft w:val="0"/>
      <w:marRight w:val="0"/>
      <w:marTop w:val="0"/>
      <w:marBottom w:val="0"/>
      <w:divBdr>
        <w:top w:val="none" w:sz="0" w:space="0" w:color="auto"/>
        <w:left w:val="none" w:sz="0" w:space="0" w:color="auto"/>
        <w:bottom w:val="none" w:sz="0" w:space="0" w:color="auto"/>
        <w:right w:val="none" w:sz="0" w:space="0" w:color="auto"/>
      </w:divBdr>
    </w:div>
    <w:div w:id="1257902462">
      <w:bodyDiv w:val="1"/>
      <w:marLeft w:val="0"/>
      <w:marRight w:val="0"/>
      <w:marTop w:val="0"/>
      <w:marBottom w:val="0"/>
      <w:divBdr>
        <w:top w:val="none" w:sz="0" w:space="0" w:color="auto"/>
        <w:left w:val="none" w:sz="0" w:space="0" w:color="auto"/>
        <w:bottom w:val="none" w:sz="0" w:space="0" w:color="auto"/>
        <w:right w:val="none" w:sz="0" w:space="0" w:color="auto"/>
      </w:divBdr>
    </w:div>
    <w:div w:id="1267034186">
      <w:bodyDiv w:val="1"/>
      <w:marLeft w:val="0"/>
      <w:marRight w:val="0"/>
      <w:marTop w:val="0"/>
      <w:marBottom w:val="0"/>
      <w:divBdr>
        <w:top w:val="none" w:sz="0" w:space="0" w:color="auto"/>
        <w:left w:val="none" w:sz="0" w:space="0" w:color="auto"/>
        <w:bottom w:val="none" w:sz="0" w:space="0" w:color="auto"/>
        <w:right w:val="none" w:sz="0" w:space="0" w:color="auto"/>
      </w:divBdr>
    </w:div>
    <w:div w:id="1278832797">
      <w:bodyDiv w:val="1"/>
      <w:marLeft w:val="0"/>
      <w:marRight w:val="0"/>
      <w:marTop w:val="0"/>
      <w:marBottom w:val="0"/>
      <w:divBdr>
        <w:top w:val="none" w:sz="0" w:space="0" w:color="auto"/>
        <w:left w:val="none" w:sz="0" w:space="0" w:color="auto"/>
        <w:bottom w:val="none" w:sz="0" w:space="0" w:color="auto"/>
        <w:right w:val="none" w:sz="0" w:space="0" w:color="auto"/>
      </w:divBdr>
    </w:div>
    <w:div w:id="1368677128">
      <w:bodyDiv w:val="1"/>
      <w:marLeft w:val="0"/>
      <w:marRight w:val="0"/>
      <w:marTop w:val="0"/>
      <w:marBottom w:val="0"/>
      <w:divBdr>
        <w:top w:val="none" w:sz="0" w:space="0" w:color="auto"/>
        <w:left w:val="none" w:sz="0" w:space="0" w:color="auto"/>
        <w:bottom w:val="none" w:sz="0" w:space="0" w:color="auto"/>
        <w:right w:val="none" w:sz="0" w:space="0" w:color="auto"/>
      </w:divBdr>
    </w:div>
    <w:div w:id="1454665702">
      <w:bodyDiv w:val="1"/>
      <w:marLeft w:val="0"/>
      <w:marRight w:val="0"/>
      <w:marTop w:val="0"/>
      <w:marBottom w:val="0"/>
      <w:divBdr>
        <w:top w:val="none" w:sz="0" w:space="0" w:color="auto"/>
        <w:left w:val="none" w:sz="0" w:space="0" w:color="auto"/>
        <w:bottom w:val="none" w:sz="0" w:space="0" w:color="auto"/>
        <w:right w:val="none" w:sz="0" w:space="0" w:color="auto"/>
      </w:divBdr>
    </w:div>
    <w:div w:id="1498616399">
      <w:bodyDiv w:val="1"/>
      <w:marLeft w:val="0"/>
      <w:marRight w:val="0"/>
      <w:marTop w:val="0"/>
      <w:marBottom w:val="0"/>
      <w:divBdr>
        <w:top w:val="none" w:sz="0" w:space="0" w:color="auto"/>
        <w:left w:val="none" w:sz="0" w:space="0" w:color="auto"/>
        <w:bottom w:val="none" w:sz="0" w:space="0" w:color="auto"/>
        <w:right w:val="none" w:sz="0" w:space="0" w:color="auto"/>
      </w:divBdr>
    </w:div>
    <w:div w:id="1563519815">
      <w:bodyDiv w:val="1"/>
      <w:marLeft w:val="0"/>
      <w:marRight w:val="0"/>
      <w:marTop w:val="0"/>
      <w:marBottom w:val="0"/>
      <w:divBdr>
        <w:top w:val="none" w:sz="0" w:space="0" w:color="auto"/>
        <w:left w:val="none" w:sz="0" w:space="0" w:color="auto"/>
        <w:bottom w:val="none" w:sz="0" w:space="0" w:color="auto"/>
        <w:right w:val="none" w:sz="0" w:space="0" w:color="auto"/>
      </w:divBdr>
    </w:div>
    <w:div w:id="1580599372">
      <w:bodyDiv w:val="1"/>
      <w:marLeft w:val="0"/>
      <w:marRight w:val="0"/>
      <w:marTop w:val="0"/>
      <w:marBottom w:val="0"/>
      <w:divBdr>
        <w:top w:val="none" w:sz="0" w:space="0" w:color="auto"/>
        <w:left w:val="none" w:sz="0" w:space="0" w:color="auto"/>
        <w:bottom w:val="none" w:sz="0" w:space="0" w:color="auto"/>
        <w:right w:val="none" w:sz="0" w:space="0" w:color="auto"/>
      </w:divBdr>
    </w:div>
    <w:div w:id="1601793640">
      <w:bodyDiv w:val="1"/>
      <w:marLeft w:val="0"/>
      <w:marRight w:val="0"/>
      <w:marTop w:val="0"/>
      <w:marBottom w:val="0"/>
      <w:divBdr>
        <w:top w:val="none" w:sz="0" w:space="0" w:color="auto"/>
        <w:left w:val="none" w:sz="0" w:space="0" w:color="auto"/>
        <w:bottom w:val="none" w:sz="0" w:space="0" w:color="auto"/>
        <w:right w:val="none" w:sz="0" w:space="0" w:color="auto"/>
      </w:divBdr>
    </w:div>
    <w:div w:id="1709866209">
      <w:bodyDiv w:val="1"/>
      <w:marLeft w:val="0"/>
      <w:marRight w:val="0"/>
      <w:marTop w:val="0"/>
      <w:marBottom w:val="0"/>
      <w:divBdr>
        <w:top w:val="none" w:sz="0" w:space="0" w:color="auto"/>
        <w:left w:val="none" w:sz="0" w:space="0" w:color="auto"/>
        <w:bottom w:val="none" w:sz="0" w:space="0" w:color="auto"/>
        <w:right w:val="none" w:sz="0" w:space="0" w:color="auto"/>
      </w:divBdr>
    </w:div>
    <w:div w:id="1897737356">
      <w:bodyDiv w:val="1"/>
      <w:marLeft w:val="0"/>
      <w:marRight w:val="0"/>
      <w:marTop w:val="0"/>
      <w:marBottom w:val="0"/>
      <w:divBdr>
        <w:top w:val="none" w:sz="0" w:space="0" w:color="auto"/>
        <w:left w:val="none" w:sz="0" w:space="0" w:color="auto"/>
        <w:bottom w:val="none" w:sz="0" w:space="0" w:color="auto"/>
        <w:right w:val="none" w:sz="0" w:space="0" w:color="auto"/>
      </w:divBdr>
    </w:div>
    <w:div w:id="1912160481">
      <w:bodyDiv w:val="1"/>
      <w:marLeft w:val="0"/>
      <w:marRight w:val="0"/>
      <w:marTop w:val="0"/>
      <w:marBottom w:val="0"/>
      <w:divBdr>
        <w:top w:val="none" w:sz="0" w:space="0" w:color="auto"/>
        <w:left w:val="none" w:sz="0" w:space="0" w:color="auto"/>
        <w:bottom w:val="none" w:sz="0" w:space="0" w:color="auto"/>
        <w:right w:val="none" w:sz="0" w:space="0" w:color="auto"/>
      </w:divBdr>
    </w:div>
    <w:div w:id="1934629940">
      <w:bodyDiv w:val="1"/>
      <w:marLeft w:val="0"/>
      <w:marRight w:val="0"/>
      <w:marTop w:val="0"/>
      <w:marBottom w:val="0"/>
      <w:divBdr>
        <w:top w:val="none" w:sz="0" w:space="0" w:color="auto"/>
        <w:left w:val="none" w:sz="0" w:space="0" w:color="auto"/>
        <w:bottom w:val="none" w:sz="0" w:space="0" w:color="auto"/>
        <w:right w:val="none" w:sz="0" w:space="0" w:color="auto"/>
      </w:divBdr>
    </w:div>
    <w:div w:id="2040541028">
      <w:bodyDiv w:val="1"/>
      <w:marLeft w:val="0"/>
      <w:marRight w:val="0"/>
      <w:marTop w:val="0"/>
      <w:marBottom w:val="0"/>
      <w:divBdr>
        <w:top w:val="none" w:sz="0" w:space="0" w:color="auto"/>
        <w:left w:val="none" w:sz="0" w:space="0" w:color="auto"/>
        <w:bottom w:val="none" w:sz="0" w:space="0" w:color="auto"/>
        <w:right w:val="none" w:sz="0" w:space="0" w:color="auto"/>
      </w:divBdr>
    </w:div>
    <w:div w:id="2074961865">
      <w:bodyDiv w:val="1"/>
      <w:marLeft w:val="0"/>
      <w:marRight w:val="0"/>
      <w:marTop w:val="0"/>
      <w:marBottom w:val="0"/>
      <w:divBdr>
        <w:top w:val="none" w:sz="0" w:space="0" w:color="auto"/>
        <w:left w:val="none" w:sz="0" w:space="0" w:color="auto"/>
        <w:bottom w:val="none" w:sz="0" w:space="0" w:color="auto"/>
        <w:right w:val="none" w:sz="0" w:space="0" w:color="auto"/>
      </w:divBdr>
    </w:div>
    <w:div w:id="2108764395">
      <w:bodyDiv w:val="1"/>
      <w:marLeft w:val="0"/>
      <w:marRight w:val="0"/>
      <w:marTop w:val="0"/>
      <w:marBottom w:val="0"/>
      <w:divBdr>
        <w:top w:val="none" w:sz="0" w:space="0" w:color="auto"/>
        <w:left w:val="none" w:sz="0" w:space="0" w:color="auto"/>
        <w:bottom w:val="none" w:sz="0" w:space="0" w:color="auto"/>
        <w:right w:val="none" w:sz="0" w:space="0" w:color="auto"/>
      </w:divBdr>
    </w:div>
    <w:div w:id="21099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en.ec.europa.eu/"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safe" TargetMode="External"/><Relationship Id="rId2" Type="http://schemas.openxmlformats.org/officeDocument/2006/relationships/hyperlink" Target="http://eur-lex.europa.eu/legal-content/en/TXT/?uri=CELEX:52016SC0335" TargetMode="External"/><Relationship Id="rId1" Type="http://schemas.openxmlformats.org/officeDocument/2006/relationships/hyperlink" Target="http://eur-lex.europa.eu/legal-content/EL/TXT/?uri=CELEX:52016DC0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6494-2DF1-47CF-80CB-6ADBF3DE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4426</Words>
  <Characters>26738</Characters>
  <Application>Microsoft Office Word</Application>
  <DocSecurity>0</DocSecurity>
  <Lines>621</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2018-02-01T10:27:00Z</cp:lastPrinted>
  <dcterms:created xsi:type="dcterms:W3CDTF">2018-01-25T16:01:00Z</dcterms:created>
  <dcterms:modified xsi:type="dcterms:W3CDTF">2018-05-24T10:56:00Z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