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A8" w:rsidRPr="001205DB" w:rsidRDefault="008249D4" w:rsidP="00FE5A09">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51BBA93-2376-46CA-8091-60B5B7366B42" style="width:450.25pt;height:409.45pt">
            <v:imagedata r:id="rId12" o:title=""/>
          </v:shape>
        </w:pict>
      </w:r>
    </w:p>
    <w:p w:rsidR="00ED7943" w:rsidRPr="001205DB" w:rsidRDefault="00ED7943" w:rsidP="00ED7943">
      <w:pPr>
        <w:pStyle w:val="Pagedecouverture"/>
        <w:rPr>
          <w:szCs w:val="24"/>
        </w:rPr>
        <w:sectPr w:rsidR="00ED7943" w:rsidRPr="001205DB" w:rsidSect="00FE5A09">
          <w:footerReference w:type="default" r:id="rId13"/>
          <w:pgSz w:w="11907" w:h="16839"/>
          <w:pgMar w:top="1134" w:right="1417" w:bottom="1134" w:left="1417" w:header="709" w:footer="709" w:gutter="0"/>
          <w:pgNumType w:start="0"/>
          <w:cols w:space="720"/>
          <w:docGrid w:linePitch="360"/>
        </w:sectPr>
      </w:pPr>
    </w:p>
    <w:p w:rsidR="009D1F98" w:rsidRPr="001205DB" w:rsidRDefault="009D1F98" w:rsidP="00C52C3F">
      <w:pPr>
        <w:pStyle w:val="Exposdesmotifstitre"/>
        <w:rPr>
          <w:szCs w:val="24"/>
        </w:rPr>
      </w:pPr>
      <w:r w:rsidRPr="001205DB">
        <w:lastRenderedPageBreak/>
        <w:t>PASKAIDROJUMA RAKSTS</w:t>
      </w:r>
    </w:p>
    <w:p w:rsidR="009D1F98" w:rsidRPr="001205DB" w:rsidRDefault="009D1F98" w:rsidP="009F2194">
      <w:pPr>
        <w:pStyle w:val="Heading1"/>
        <w:numPr>
          <w:ilvl w:val="0"/>
          <w:numId w:val="37"/>
        </w:numPr>
        <w:rPr>
          <w:szCs w:val="24"/>
        </w:rPr>
      </w:pPr>
      <w:r w:rsidRPr="001205DB">
        <w:t>PRIEKŠLIKUMA KONTEKSTS</w:t>
      </w:r>
    </w:p>
    <w:p w:rsidR="00C1588D" w:rsidRPr="001205DB" w:rsidRDefault="00C1588D" w:rsidP="00C1588D">
      <w:pPr>
        <w:rPr>
          <w:u w:color="000000"/>
          <w:bdr w:val="nil"/>
        </w:rPr>
      </w:pPr>
      <w:r w:rsidRPr="001205DB">
        <w:t xml:space="preserve">Šajā priekšlikumā ir paredzēts, ka tas būs piemērojams no 2021. gada 1. janvāra, un tas tiek iesniegts 27 dalībvalstu Savienībai atbilstoši Eiropadomes 2017. gada 29. martā saņemtajam Apvienotās Karalistes paziņojumam par nodomu izstāties no Eiropas Savienības un </w:t>
      </w:r>
      <w:proofErr w:type="spellStart"/>
      <w:r w:rsidRPr="001205DB">
        <w:rPr>
          <w:i/>
        </w:rPr>
        <w:t>Euratom</w:t>
      </w:r>
      <w:proofErr w:type="spellEnd"/>
      <w:r w:rsidRPr="001205DB">
        <w:t>, pamatojoties uz Līguma par Eiropas Savienību 50. pantu.</w:t>
      </w:r>
    </w:p>
    <w:p w:rsidR="009D1F98" w:rsidRPr="001205DB" w:rsidRDefault="009D1F98" w:rsidP="009D1F98">
      <w:pPr>
        <w:pStyle w:val="ManualHeading2"/>
        <w:rPr>
          <w:rFonts w:eastAsia="Arial Unicode MS"/>
          <w:szCs w:val="24"/>
        </w:rPr>
      </w:pPr>
      <w:r w:rsidRPr="001205DB">
        <w:rPr>
          <w:color w:val="000000"/>
          <w:u w:color="000000"/>
          <w:bdr w:val="nil"/>
        </w:rPr>
        <w:t>•</w:t>
      </w:r>
      <w:r w:rsidRPr="001205DB">
        <w:tab/>
        <w:t xml:space="preserve">Pamatojums un mērķi </w:t>
      </w:r>
    </w:p>
    <w:p w:rsidR="009D1F98" w:rsidRPr="001205DB" w:rsidRDefault="009D1F98" w:rsidP="00FA7442">
      <w:pPr>
        <w:rPr>
          <w:szCs w:val="24"/>
        </w:rPr>
      </w:pPr>
      <w:r w:rsidRPr="001205DB">
        <w:t xml:space="preserve">Vides un klimata problēmas ietekmē ES iedzīvotāju veselību un dzīves kvalitāti un dabas resursu pieejamību un stāvokli, tātad tām ir sociāla un ekonomiska cena. Pāreja uz </w:t>
      </w:r>
      <w:proofErr w:type="spellStart"/>
      <w:r w:rsidRPr="001205DB">
        <w:t>mazoglekļa</w:t>
      </w:r>
      <w:proofErr w:type="spellEnd"/>
      <w:r w:rsidRPr="001205DB">
        <w:t xml:space="preserve"> aprites ekonomiku ir Eiropas ekonomiskās modernizācijas projekts un </w:t>
      </w:r>
      <w:proofErr w:type="spellStart"/>
      <w:r w:rsidRPr="001205DB">
        <w:t>Junkera</w:t>
      </w:r>
      <w:proofErr w:type="spellEnd"/>
      <w:r w:rsidRPr="001205DB">
        <w:t xml:space="preserve"> Komisijas prioritāte. Lai pārietu uz mūsdienīgu, tīru un pilnīgāku aprites ekonomiku, ir ievērojami jāpārvirza investīcijas uz jaunām infrastruktūrām, jaunām tehnoloģijām, jauniem </w:t>
      </w:r>
      <w:proofErr w:type="spellStart"/>
      <w:r w:rsidRPr="001205DB">
        <w:t>darījumdarbības</w:t>
      </w:r>
      <w:proofErr w:type="spellEnd"/>
      <w:r w:rsidRPr="001205DB">
        <w:t xml:space="preserve"> modeļiem un jauniem visu veidu preču un pakalpojumu, arī pārtikas un dabas resursu, ražošanas un patēriņa veidiem.  ES ir pasaules mēroga līdere vides aizsardzības un klimata pasākumu jomā. Pēdējo 40 gadu laikā tā ir ieviesusi plaša spektra vides </w:t>
      </w:r>
      <w:proofErr w:type="spellStart"/>
      <w:r w:rsidRPr="001205DB">
        <w:t>rīcībpolitikas</w:t>
      </w:r>
      <w:proofErr w:type="spellEnd"/>
      <w:r w:rsidRPr="001205DB">
        <w:t xml:space="preserve">, fondus un instrumentus, kas kopā veido mūsdienīgākos standartus visā pasaulē. ES vēlas šo savu lomu saglabāt un vēl nostiprināt. </w:t>
      </w:r>
    </w:p>
    <w:p w:rsidR="0099754F" w:rsidRPr="001205DB" w:rsidRDefault="0099754F" w:rsidP="00420329">
      <w:pPr>
        <w:spacing w:after="240"/>
      </w:pPr>
      <w:proofErr w:type="spellStart"/>
      <w:r w:rsidRPr="001205DB">
        <w:t>Labklājīga</w:t>
      </w:r>
      <w:proofErr w:type="spellEnd"/>
      <w:r w:rsidRPr="001205DB">
        <w:t xml:space="preserve"> dzīve ar pieejamajiem planētas resursiem ir gan nepieciešamība, gan prioritāte. </w:t>
      </w:r>
      <w:r w:rsidRPr="001205DB">
        <w:rPr>
          <w:i/>
        </w:rPr>
        <w:t>LIFE</w:t>
      </w:r>
      <w:r w:rsidRPr="001205DB">
        <w:t xml:space="preserve"> ir katalītiska loma Savienības pārtapšanā par tīru, </w:t>
      </w:r>
      <w:proofErr w:type="spellStart"/>
      <w:r w:rsidRPr="001205DB">
        <w:t>energoefektīvu</w:t>
      </w:r>
      <w:proofErr w:type="spellEnd"/>
      <w:r w:rsidRPr="001205DB">
        <w:t xml:space="preserve"> un </w:t>
      </w:r>
      <w:proofErr w:type="spellStart"/>
      <w:r w:rsidRPr="001205DB">
        <w:t>klimatnoturīgu</w:t>
      </w:r>
      <w:proofErr w:type="spellEnd"/>
      <w:r w:rsidRPr="001205DB">
        <w:t xml:space="preserve"> </w:t>
      </w:r>
      <w:proofErr w:type="spellStart"/>
      <w:r w:rsidRPr="001205DB">
        <w:t>mazoglekļa</w:t>
      </w:r>
      <w:proofErr w:type="spellEnd"/>
      <w:r w:rsidRPr="001205DB">
        <w:t xml:space="preserve"> aprites sabiedrību. Ar mērķtiecīgu atbalstu </w:t>
      </w:r>
      <w:proofErr w:type="spellStart"/>
      <w:r w:rsidRPr="001205DB">
        <w:t>rīcībpolitikai</w:t>
      </w:r>
      <w:proofErr w:type="spellEnd"/>
      <w:r w:rsidRPr="001205DB">
        <w:t xml:space="preserve"> un darbībām, kas veicina ieviešanos tirgū, programma </w:t>
      </w:r>
      <w:r w:rsidRPr="001205DB">
        <w:rPr>
          <w:i/>
        </w:rPr>
        <w:t>LIFE</w:t>
      </w:r>
      <w:r w:rsidRPr="001205DB">
        <w:t xml:space="preserve"> saglabā, aizsargā un uzlabo vides kvalitāti, aizsargā cilvēka veselību un atbalsta dabas resursu izmantošanu apdomīgā un racionālā veidā. </w:t>
      </w:r>
    </w:p>
    <w:p w:rsidR="0099754F" w:rsidRPr="001205DB" w:rsidRDefault="0099754F" w:rsidP="00E113B0">
      <w:r w:rsidRPr="001205DB">
        <w:t xml:space="preserve">Turklāt </w:t>
      </w:r>
      <w:r w:rsidRPr="001205DB">
        <w:rPr>
          <w:i/>
        </w:rPr>
        <w:t>LIFE</w:t>
      </w:r>
      <w:r w:rsidRPr="001205DB">
        <w:t xml:space="preserve"> arī palīdz izpildīt saistības, ko ES uzņēmusies saskaņā ar Parīzes klimata nolīgumu, enerģētikas savienību un klimata un enerģētikas politikas satvaru 2030. gadam, un sasniegt ilgtermiņa dekarbonizācijas mērķus. Tā arī atbilst ES apņēmībai kļūt par pasaules mēroga līderi atjaunojamo energoresursu jomā. </w:t>
      </w:r>
    </w:p>
    <w:p w:rsidR="009D1F98" w:rsidRPr="001205DB" w:rsidRDefault="009D1F98" w:rsidP="00E113B0">
      <w:pPr>
        <w:rPr>
          <w:szCs w:val="24"/>
        </w:rPr>
      </w:pPr>
      <w:r w:rsidRPr="001205DB">
        <w:t xml:space="preserve">Kā norādīts paziņojumā “Turpmākie pasākumi ilgtspējīgai Eiropas nākotnei”, Apvienoto Nāciju Organizācijas Ilgtspējīgas attīstības programma 2030. gadam un 17 ilgtspējīgas attīstības mērķi ir svarīgs vadošs satvars visām ES </w:t>
      </w:r>
      <w:proofErr w:type="spellStart"/>
      <w:r w:rsidRPr="001205DB">
        <w:t>rīcībpolitikām</w:t>
      </w:r>
      <w:proofErr w:type="spellEnd"/>
      <w:r w:rsidRPr="001205DB">
        <w:t xml:space="preserve"> un līdz ar to tiks integrēti visā nākamajā daudzgadu finanšu shēmā.</w:t>
      </w:r>
    </w:p>
    <w:p w:rsidR="00DE23F9" w:rsidRPr="001205DB" w:rsidRDefault="00DE23F9" w:rsidP="00DE23F9">
      <w:pPr>
        <w:rPr>
          <w:szCs w:val="24"/>
        </w:rPr>
      </w:pPr>
      <w:r w:rsidRPr="001205DB">
        <w:t xml:space="preserve">Lai gan dažas problēmas ar 2014.–2020. gada </w:t>
      </w:r>
      <w:r w:rsidRPr="001205DB">
        <w:rPr>
          <w:i/>
        </w:rPr>
        <w:t>LIFE</w:t>
      </w:r>
      <w:r w:rsidRPr="001205DB">
        <w:t xml:space="preserve"> programmas</w:t>
      </w:r>
      <w:r w:rsidRPr="001205DB">
        <w:rPr>
          <w:rStyle w:val="FootnoteReference"/>
        </w:rPr>
        <w:footnoteReference w:id="2"/>
      </w:r>
      <w:r w:rsidRPr="001205DB">
        <w:t xml:space="preserve"> darbībām tiek risinātas tieši, programmas galvenā ietekme ir netieša un saistāma ar tās katalītisko lomu: tā atbalsta maza mēroga darbības, kuru mērķis ir aizsākt, paplašināt vai paātrināt ilgtspējīgas ražošanas, izplatīšanas un patēriņa prakses un aizsargāt dabas kapitālu ar šādiem paņēmieniem:</w:t>
      </w:r>
    </w:p>
    <w:p w:rsidR="009D1F98" w:rsidRPr="001205DB" w:rsidRDefault="009E29AC" w:rsidP="00602029">
      <w:pPr>
        <w:pStyle w:val="Tiret0"/>
        <w:numPr>
          <w:ilvl w:val="0"/>
          <w:numId w:val="40"/>
        </w:numPr>
      </w:pPr>
      <w:r w:rsidRPr="001205DB">
        <w:t xml:space="preserve">veicināt </w:t>
      </w:r>
      <w:proofErr w:type="spellStart"/>
      <w:r w:rsidRPr="001205DB">
        <w:t>paraugprakšu</w:t>
      </w:r>
      <w:proofErr w:type="spellEnd"/>
      <w:r w:rsidRPr="001205DB">
        <w:t xml:space="preserve"> un zināšanu veidošanu un apmaiņu ar tām; </w:t>
      </w:r>
    </w:p>
    <w:p w:rsidR="009D1F98" w:rsidRPr="001205DB" w:rsidRDefault="009D1F98" w:rsidP="0099754F">
      <w:pPr>
        <w:pStyle w:val="Tiret0"/>
      </w:pPr>
      <w:r w:rsidRPr="001205DB">
        <w:t>attīstīt spējas īstenot vides un klimata tiesību aktus un paātrināt to īstenošanu, kā arī atvieglot pāreju uz tīru enerģiju;</w:t>
      </w:r>
    </w:p>
    <w:p w:rsidR="009D1F98" w:rsidRPr="001205DB" w:rsidRDefault="009D1F98" w:rsidP="009E29AC">
      <w:pPr>
        <w:pStyle w:val="Tiret0"/>
      </w:pPr>
      <w:r w:rsidRPr="001205DB">
        <w:t xml:space="preserve">palīdzēt ieinteresētajām personām testēt </w:t>
      </w:r>
      <w:proofErr w:type="spellStart"/>
      <w:r w:rsidRPr="001205DB">
        <w:t>mazmēroga</w:t>
      </w:r>
      <w:proofErr w:type="spellEnd"/>
      <w:r w:rsidRPr="001205DB">
        <w:t xml:space="preserve"> tehnoloģijas un risinājumus un</w:t>
      </w:r>
    </w:p>
    <w:p w:rsidR="009D1F98" w:rsidRPr="001205DB" w:rsidRDefault="009D1F98" w:rsidP="009E29AC">
      <w:pPr>
        <w:pStyle w:val="Tiret0"/>
      </w:pPr>
      <w:r w:rsidRPr="001205DB">
        <w:t>mobilizēt finansējumu no citiem avotiem.</w:t>
      </w:r>
    </w:p>
    <w:p w:rsidR="00EC4E8E" w:rsidRPr="001205DB" w:rsidRDefault="00EC4E8E" w:rsidP="00DE23F9">
      <w:pPr>
        <w:spacing w:after="240"/>
        <w:rPr>
          <w:szCs w:val="24"/>
        </w:rPr>
      </w:pPr>
      <w:r w:rsidRPr="001205DB">
        <w:lastRenderedPageBreak/>
        <w:t>Šī pieeja būtu jāturpina daudzgadu finanšu shēmā 2021.–2027. gadam.</w:t>
      </w:r>
    </w:p>
    <w:p w:rsidR="00BD1AEC" w:rsidRPr="001205DB" w:rsidRDefault="00BD1AEC" w:rsidP="00BD1AEC">
      <w:pPr>
        <w:spacing w:after="240"/>
        <w:rPr>
          <w:szCs w:val="24"/>
        </w:rPr>
      </w:pPr>
      <w:r w:rsidRPr="001205DB">
        <w:t xml:space="preserve">Klimata politikas integrēšana visos nākamās daudzgadu finanšu shēmas instrumentos palielinās finansējumu, kas būs pieejams vajadzīgajai inovācijai, sociālās pielāgošanās vajadzībām, kā arī uzņēmumu, darba ņēmēju un iedzīvotāju iespēcināšanai attīstīt spējas un prasmes, kas palīdzēs cīnīties ar klimata pārmaiņām. Programma </w:t>
      </w:r>
      <w:r w:rsidRPr="001205DB">
        <w:rPr>
          <w:i/>
        </w:rPr>
        <w:t>LIFE</w:t>
      </w:r>
      <w:r w:rsidRPr="001205DB">
        <w:t xml:space="preserve"> dos ieguldījumu maza mēroga inovācijā, kas palīdzēs iedzīvotājiem rīkoties klimata un savu kopienu labā.</w:t>
      </w:r>
    </w:p>
    <w:p w:rsidR="009D1F98" w:rsidRPr="001205DB" w:rsidRDefault="009D1F98" w:rsidP="009D1F98">
      <w:pPr>
        <w:pStyle w:val="ManualHeading2"/>
        <w:rPr>
          <w:rFonts w:eastAsia="Arial Unicode MS"/>
          <w:szCs w:val="24"/>
        </w:rPr>
      </w:pPr>
      <w:r w:rsidRPr="001205DB">
        <w:rPr>
          <w:color w:val="000000"/>
          <w:u w:color="000000"/>
          <w:bdr w:val="nil"/>
        </w:rPr>
        <w:t>•</w:t>
      </w:r>
      <w:r w:rsidRPr="001205DB">
        <w:tab/>
        <w:t xml:space="preserve">Saskanība ar citām Savienības </w:t>
      </w:r>
      <w:proofErr w:type="spellStart"/>
      <w:r w:rsidRPr="001205DB">
        <w:t>rīcībpolitikām</w:t>
      </w:r>
      <w:proofErr w:type="spellEnd"/>
    </w:p>
    <w:p w:rsidR="00FA7442" w:rsidRPr="001205DB" w:rsidRDefault="00FA7442" w:rsidP="00FA7442">
      <w:pPr>
        <w:rPr>
          <w:szCs w:val="24"/>
        </w:rPr>
      </w:pPr>
      <w:r w:rsidRPr="001205DB">
        <w:t xml:space="preserve">Programma </w:t>
      </w:r>
      <w:r w:rsidRPr="001205DB">
        <w:rPr>
          <w:i/>
        </w:rPr>
        <w:t>LIFE</w:t>
      </w:r>
      <w:r w:rsidRPr="001205DB">
        <w:t xml:space="preserve"> ir vienīgais ES fonds, kas veltīts tikai </w:t>
      </w:r>
      <w:proofErr w:type="spellStart"/>
      <w:r w:rsidRPr="001205DB">
        <w:t>vidiskiem</w:t>
      </w:r>
      <w:proofErr w:type="spellEnd"/>
      <w:r w:rsidRPr="001205DB">
        <w:t xml:space="preserve"> un klimatiskiem mērķiem. Šī programma ar salīdzinoši pieticīgo budžetu aizpilda trūkstošo posmu starp ES programmām, kas atbalsta pētniecību un inovāciju, no vienas puses, un ES programmām, no kā tiek finansēta izvēršana lielā mērogā, no otras puses. Tādējādi programma ir tilts starp jaunu zināšanu radīšanu un to izmantošanu.</w:t>
      </w:r>
    </w:p>
    <w:p w:rsidR="00FA7442" w:rsidRPr="001205DB" w:rsidRDefault="00FA7442" w:rsidP="0099754F">
      <w:pPr>
        <w:pBdr>
          <w:top w:val="nil"/>
          <w:left w:val="nil"/>
          <w:bottom w:val="nil"/>
          <w:right w:val="nil"/>
          <w:between w:val="nil"/>
          <w:bar w:val="nil"/>
        </w:pBdr>
        <w:spacing w:before="0" w:after="240"/>
        <w:rPr>
          <w:color w:val="000000"/>
          <w:u w:color="000000"/>
        </w:rPr>
      </w:pPr>
      <w:r w:rsidRPr="001205DB">
        <w:t xml:space="preserve">ES līmenī lielas investīcijas vides un klimata pasākumos tiek galvenokārt finansētas no lielām finansēšanas programmām, kuru mērķos tiek integrēti </w:t>
      </w:r>
      <w:proofErr w:type="spellStart"/>
      <w:r w:rsidRPr="001205DB">
        <w:t>vidiski</w:t>
      </w:r>
      <w:proofErr w:type="spellEnd"/>
      <w:r w:rsidRPr="001205DB">
        <w:t xml:space="preserve"> un klimatiski mērķi, tostarp reģionālās attīstības fondiem, lauksaimniecības un lauku attīstības fondiem, jūrlietu un zivsaimniecības fondiem, pētniecības un inovācijas programmas “Apvārsnis Eiropa”, Eiropas infrastruktūras savienošanas instrumenta, kā arī ārējās politikas instrumentiem un Savienības finanšu instrumentiem, savukārt </w:t>
      </w:r>
      <w:r w:rsidRPr="001205DB">
        <w:rPr>
          <w:i/>
        </w:rPr>
        <w:t>LIFE</w:t>
      </w:r>
      <w:r w:rsidRPr="001205DB">
        <w:t xml:space="preserve"> galvenā ietekme ir netieša: tā katalītiski atbalsta maza mēroga darbības, kuru mērķis ir aizsākt, paplašināt vai paātrināt tīras un ilgtspējīgas ražošanas, izplatīšanas un patēriņa prakses, uzlabo vides kvalitāti un dod ieguldījumu Savienības klimatisko mērķu sasniegšanā.</w:t>
      </w:r>
    </w:p>
    <w:p w:rsidR="00B52119" w:rsidRPr="001205DB" w:rsidRDefault="00B52119" w:rsidP="0099754F">
      <w:pPr>
        <w:pBdr>
          <w:top w:val="nil"/>
          <w:left w:val="nil"/>
          <w:bottom w:val="nil"/>
          <w:right w:val="nil"/>
          <w:between w:val="nil"/>
          <w:bar w:val="nil"/>
        </w:pBdr>
        <w:spacing w:before="0" w:after="240"/>
        <w:rPr>
          <w:rFonts w:eastAsia="Arial Unicode MS"/>
        </w:rPr>
      </w:pPr>
      <w:r w:rsidRPr="001205DB">
        <w:t xml:space="preserve">Ir jārod sinerģijas starp </w:t>
      </w:r>
      <w:r w:rsidRPr="001205DB">
        <w:rPr>
          <w:i/>
        </w:rPr>
        <w:t>LIFE</w:t>
      </w:r>
      <w:r w:rsidRPr="001205DB">
        <w:t xml:space="preserve"> un citu ES programmu dotācijām (</w:t>
      </w:r>
      <w:proofErr w:type="spellStart"/>
      <w:r w:rsidRPr="001205DB">
        <w:t>piem</w:t>
      </w:r>
      <w:proofErr w:type="spellEnd"/>
      <w:r w:rsidRPr="001205DB">
        <w:t xml:space="preserve">., “Apvārsnis Eiropa” demonstrējumu projektiem), jo programmu darbības ir savstarpēji saistītas, lai gan tām ir atšķirīgi mērķi un atšķirīgs mērogs un veids. “Apvārsnis Eiropa” palīdzēs stāties pretī </w:t>
      </w:r>
      <w:proofErr w:type="spellStart"/>
      <w:r w:rsidRPr="001205DB">
        <w:t>vidiskajiem</w:t>
      </w:r>
      <w:proofErr w:type="spellEnd"/>
      <w:r w:rsidRPr="001205DB">
        <w:t xml:space="preserve"> izaicinājumiem un īstenot ES prioritātes ar pētniecības un inovācijas darbībām, kam tiks izmantota stratēģiskās plānošanas procesā gūtā informācija un kas sakopotas īpašās kopās. Principā “Apvārsnis Eiropa” aptvers darbības, kas atbalsta tādu inovatīvu risinājumu izstrādi, demonstrēšanu un ieviešanu tirgū, kuriem ir transnacionāla dimensija, kuri ES ir nebijuši un kurus varētu pārņemt arī citur Savienībā. Tradicionālie </w:t>
      </w:r>
      <w:r w:rsidRPr="001205DB">
        <w:rPr>
          <w:i/>
        </w:rPr>
        <w:t>LIFE</w:t>
      </w:r>
      <w:r w:rsidRPr="001205DB">
        <w:t xml:space="preserve"> projekti darbosies kā katalizators, proti, tiks izstrādātas, testētas vai demonstrētas piemērotas tehnoloģijas vai metodes, kā konkrētos kontekstos reāli īstenot ES vides un klimata </w:t>
      </w:r>
      <w:proofErr w:type="spellStart"/>
      <w:r w:rsidRPr="001205DB">
        <w:t>rīcībpolitiku</w:t>
      </w:r>
      <w:proofErr w:type="spellEnd"/>
      <w:r w:rsidRPr="001205DB">
        <w:t xml:space="preserve">, un vēlāk tās ar finansējumu no citiem avotiem varēs izvērst lielā mērogā. Stratēģisko dabas un integrēto projektu finansēšanai un Programmas risinājumu ieviešanai varētu izmantot </w:t>
      </w:r>
      <w:proofErr w:type="spellStart"/>
      <w:r w:rsidRPr="001205DB">
        <w:rPr>
          <w:i/>
        </w:rPr>
        <w:t>InvestEU</w:t>
      </w:r>
      <w:proofErr w:type="spellEnd"/>
      <w:r w:rsidRPr="001205DB">
        <w:t xml:space="preserve"> potenciālu.</w:t>
      </w:r>
    </w:p>
    <w:p w:rsidR="009D1F98" w:rsidRPr="001205DB" w:rsidRDefault="00EE5131" w:rsidP="0099754F">
      <w:pPr>
        <w:pBdr>
          <w:top w:val="nil"/>
          <w:left w:val="nil"/>
          <w:bottom w:val="nil"/>
          <w:right w:val="nil"/>
          <w:between w:val="nil"/>
          <w:bar w:val="nil"/>
        </w:pBdr>
        <w:spacing w:before="0" w:after="240"/>
        <w:rPr>
          <w:rFonts w:eastAsia="Arial Unicode MS"/>
        </w:rPr>
      </w:pPr>
      <w:r w:rsidRPr="001205DB">
        <w:t xml:space="preserve">Dažās jomās (t. i., dabas un </w:t>
      </w:r>
      <w:proofErr w:type="spellStart"/>
      <w:r w:rsidRPr="001205DB">
        <w:t>biodaudzveidības</w:t>
      </w:r>
      <w:proofErr w:type="spellEnd"/>
      <w:r w:rsidRPr="001205DB">
        <w:t xml:space="preserve"> jomā, arī jūras ekosistēmu jomā) programmai </w:t>
      </w:r>
      <w:r w:rsidRPr="001205DB">
        <w:rPr>
          <w:i/>
        </w:rPr>
        <w:t>LIFE</w:t>
      </w:r>
      <w:r w:rsidRPr="001205DB">
        <w:t xml:space="preserve"> ir unikāla un svarīga loma. Sevišķa sinerģija un </w:t>
      </w:r>
      <w:proofErr w:type="spellStart"/>
      <w:r w:rsidRPr="001205DB">
        <w:t>komplementaritāte</w:t>
      </w:r>
      <w:proofErr w:type="spellEnd"/>
      <w:r w:rsidRPr="001205DB">
        <w:t xml:space="preserve"> ir novērota ar lauku attīstības programmām, bet arī, </w:t>
      </w:r>
      <w:proofErr w:type="spellStart"/>
      <w:r w:rsidRPr="001205DB">
        <w:t>piem</w:t>
      </w:r>
      <w:proofErr w:type="spellEnd"/>
      <w:r w:rsidRPr="001205DB">
        <w:t xml:space="preserve">., starp </w:t>
      </w:r>
      <w:proofErr w:type="spellStart"/>
      <w:r w:rsidRPr="001205DB">
        <w:t>klimatadaptācijas</w:t>
      </w:r>
      <w:proofErr w:type="spellEnd"/>
      <w:r w:rsidRPr="001205DB">
        <w:t xml:space="preserve"> projektiem un katastrofu riska pārvaldību. Nākamajā programmas </w:t>
      </w:r>
      <w:r w:rsidRPr="001205DB">
        <w:rPr>
          <w:i/>
        </w:rPr>
        <w:t>LIFE</w:t>
      </w:r>
      <w:r w:rsidRPr="001205DB">
        <w:t xml:space="preserve"> periodā (2021–2027) šī sinerģija un </w:t>
      </w:r>
      <w:proofErr w:type="spellStart"/>
      <w:r w:rsidRPr="001205DB">
        <w:t>komplementaritāte</w:t>
      </w:r>
      <w:proofErr w:type="spellEnd"/>
      <w:r w:rsidRPr="001205DB">
        <w:t xml:space="preserve"> būtu jāstiprina, tostarp pielāgojot pētniecības programmas tvērumu attiecībā uz konkrētām darbībām, kas atbalsta pāreju uz tīru enerģiju, tādējādi palīdzot mazināt klimata pārmaiņas.</w:t>
      </w:r>
    </w:p>
    <w:p w:rsidR="000806AF" w:rsidRPr="001205DB" w:rsidRDefault="000806AF" w:rsidP="0099754F">
      <w:pPr>
        <w:pBdr>
          <w:top w:val="nil"/>
          <w:left w:val="nil"/>
          <w:bottom w:val="nil"/>
          <w:right w:val="nil"/>
          <w:between w:val="nil"/>
          <w:bar w:val="nil"/>
        </w:pBdr>
        <w:spacing w:before="0" w:after="240"/>
        <w:rPr>
          <w:rFonts w:eastAsia="Arial Unicode MS"/>
        </w:rPr>
      </w:pPr>
      <w:r w:rsidRPr="001205DB">
        <w:t xml:space="preserve">Apakšprogrammas “Pāreja uz tīru enerģiju” integrēšana programmā </w:t>
      </w:r>
      <w:r w:rsidRPr="001205DB">
        <w:rPr>
          <w:i/>
        </w:rPr>
        <w:t>LIFE</w:t>
      </w:r>
      <w:r w:rsidRPr="001205DB">
        <w:t xml:space="preserve"> palielina ES finansējuma vispārējo saskaņotību, vienlaikus sagatavojot auglīgu augsni sinerģijai ar vides un klimata darbībām.</w:t>
      </w:r>
    </w:p>
    <w:p w:rsidR="000806AF" w:rsidRPr="001205DB" w:rsidRDefault="000806AF" w:rsidP="0099754F">
      <w:pPr>
        <w:pBdr>
          <w:top w:val="nil"/>
          <w:left w:val="nil"/>
          <w:bottom w:val="nil"/>
          <w:right w:val="nil"/>
          <w:between w:val="nil"/>
          <w:bar w:val="nil"/>
        </w:pBdr>
        <w:spacing w:before="0" w:after="240"/>
        <w:rPr>
          <w:rFonts w:eastAsia="Arial Unicode MS"/>
        </w:rPr>
      </w:pPr>
      <w:r w:rsidRPr="001205DB">
        <w:lastRenderedPageBreak/>
        <w:t xml:space="preserve">Te redzama skaidra </w:t>
      </w:r>
      <w:proofErr w:type="spellStart"/>
      <w:r w:rsidRPr="001205DB">
        <w:t>komplementaritāte</w:t>
      </w:r>
      <w:proofErr w:type="spellEnd"/>
      <w:r w:rsidRPr="001205DB">
        <w:t xml:space="preserve"> ar tīrās enerģijas pētniecības un inovācijas finansēšanu programmā “Apvārsnis Eiropa”. Pētniecības un inovācijas risinājumi, kas izstrādāti programmā “Apvārsnis Eiropa”, atbalstot veiksmīgākos, dos nākamo tehnoloģiju un </w:t>
      </w:r>
      <w:proofErr w:type="spellStart"/>
      <w:r w:rsidRPr="001205DB">
        <w:t>paraugprakšu</w:t>
      </w:r>
      <w:proofErr w:type="spellEnd"/>
      <w:r w:rsidRPr="001205DB">
        <w:t xml:space="preserve"> paaudzi, ko vēlāk varēs pārņemt, izmantojot apakšprogrammas “Pāreja uz tīru enerģiju” atbalstu spēju veidošanai.</w:t>
      </w:r>
    </w:p>
    <w:p w:rsidR="000806AF" w:rsidRPr="001205DB" w:rsidRDefault="0099754F" w:rsidP="0099754F">
      <w:pPr>
        <w:pBdr>
          <w:top w:val="nil"/>
          <w:left w:val="nil"/>
          <w:bottom w:val="nil"/>
          <w:right w:val="nil"/>
          <w:between w:val="nil"/>
          <w:bar w:val="nil"/>
        </w:pBdr>
        <w:spacing w:before="0" w:after="240"/>
        <w:rPr>
          <w:rFonts w:eastAsia="Arial Unicode MS"/>
        </w:rPr>
      </w:pPr>
      <w:r w:rsidRPr="001205DB">
        <w:t>Apakšprogramma “Pāreja uz tīru enerģiju” un Eiropas infrastruktūras savienošanas instruments (EISI) ir savstarpēji komplementāri pēc veida un pamatā esošās intervences loģikas. Konkrētāk, EISI intervences loģikas kodols ir tā pārrobežu dimensija.</w:t>
      </w:r>
    </w:p>
    <w:p w:rsidR="009D1F98" w:rsidRPr="001205DB" w:rsidRDefault="009D1F98" w:rsidP="009D1F98">
      <w:pPr>
        <w:pStyle w:val="ManualHeading1"/>
      </w:pPr>
      <w:r w:rsidRPr="001205DB">
        <w:t>2.</w:t>
      </w:r>
      <w:r w:rsidRPr="001205DB">
        <w:tab/>
        <w:t>JURIDISKAIS PAMATS, SUBSIDIARITĀTE UN PROPORCIONALITĀTE</w:t>
      </w:r>
    </w:p>
    <w:p w:rsidR="009D1F98" w:rsidRPr="001205DB" w:rsidRDefault="009D1F98" w:rsidP="009D1F98">
      <w:pPr>
        <w:pStyle w:val="ManualHeading2"/>
        <w:rPr>
          <w:rFonts w:eastAsia="Arial Unicode MS"/>
          <w:u w:color="000000"/>
          <w:bdr w:val="nil"/>
        </w:rPr>
      </w:pPr>
      <w:r w:rsidRPr="001205DB">
        <w:t>•</w:t>
      </w:r>
      <w:r w:rsidRPr="001205DB">
        <w:tab/>
        <w:t>Juridiskais pamats un subsidiaritāte</w:t>
      </w:r>
    </w:p>
    <w:p w:rsidR="004979E3" w:rsidRPr="001205DB" w:rsidRDefault="00D06047" w:rsidP="00D06047">
      <w:pPr>
        <w:pBdr>
          <w:top w:val="nil"/>
          <w:left w:val="nil"/>
          <w:bottom w:val="nil"/>
          <w:right w:val="nil"/>
          <w:between w:val="nil"/>
          <w:bar w:val="nil"/>
        </w:pBdr>
        <w:spacing w:before="0" w:after="240"/>
      </w:pPr>
      <w:r w:rsidRPr="001205DB">
        <w:t xml:space="preserve">ES rīcībai vides un klimata pārmaiņu jomā pamatā ir Līguma par Eiropas Savienības darbību (LESD) 192. pants. Šis juridiskais pamats aptver arī darbības, kas atbalsta pāreju uz tīru enerģiju, jo tās dod tiešu ieguldījumu klimata pārmaiņu mazināšanā. Jau pašreizējā programmā </w:t>
      </w:r>
      <w:r w:rsidRPr="001205DB">
        <w:rPr>
          <w:i/>
        </w:rPr>
        <w:t>LIFE</w:t>
      </w:r>
      <w:r w:rsidRPr="001205DB">
        <w:t xml:space="preserve"> dažas darbības, kas uzlabo energoefektivitāti un atjaunojamo energoresursu enerģijas izmantošanu, tiek finansētas kā ievērojams ieguldījums klimata pārmaiņu mazināšanā, un tām nereti ir arī </w:t>
      </w:r>
      <w:proofErr w:type="spellStart"/>
      <w:r w:rsidRPr="001205DB">
        <w:t>vidiski</w:t>
      </w:r>
      <w:proofErr w:type="spellEnd"/>
      <w:r w:rsidRPr="001205DB">
        <w:t xml:space="preserve"> </w:t>
      </w:r>
      <w:proofErr w:type="spellStart"/>
      <w:r w:rsidRPr="001205DB">
        <w:t>blakusieguvumi</w:t>
      </w:r>
      <w:proofErr w:type="spellEnd"/>
      <w:r w:rsidRPr="001205DB">
        <w:t xml:space="preserve"> (</w:t>
      </w:r>
      <w:proofErr w:type="spellStart"/>
      <w:r w:rsidRPr="001205DB">
        <w:t>piem</w:t>
      </w:r>
      <w:proofErr w:type="spellEnd"/>
      <w:r w:rsidRPr="001205DB">
        <w:t xml:space="preserve">., gaisa kvalitātes uzlabošana). </w:t>
      </w:r>
    </w:p>
    <w:p w:rsidR="00D06047" w:rsidRPr="001205DB" w:rsidRDefault="00D06047" w:rsidP="00D06047">
      <w:pPr>
        <w:pBdr>
          <w:top w:val="nil"/>
          <w:left w:val="nil"/>
          <w:bottom w:val="nil"/>
          <w:right w:val="nil"/>
          <w:between w:val="nil"/>
          <w:bar w:val="nil"/>
        </w:pBdr>
        <w:spacing w:before="0" w:after="240"/>
      </w:pPr>
      <w:r w:rsidRPr="001205DB">
        <w:t xml:space="preserve">Lielākā daļa </w:t>
      </w:r>
      <w:proofErr w:type="spellStart"/>
      <w:r w:rsidRPr="001205DB">
        <w:t>vidisko</w:t>
      </w:r>
      <w:proofErr w:type="spellEnd"/>
      <w:r w:rsidRPr="001205DB">
        <w:t xml:space="preserve"> problēmu ir pārrobežu vai transnacionāla rakstura, un dalībvalstis tās nevar pienācīgi atrisināt vienas pašas. Lai izveidotu pienācīgus mehānismus šo problēmu risināšanai un izvairītos no nepietiekamas </w:t>
      </w:r>
      <w:proofErr w:type="spellStart"/>
      <w:r w:rsidRPr="001205DB">
        <w:t>koordinētības</w:t>
      </w:r>
      <w:proofErr w:type="spellEnd"/>
      <w:r w:rsidRPr="001205DB">
        <w:t xml:space="preserve"> radītām grūtībām, ir vajadzīga ES iesaiste.</w:t>
      </w:r>
    </w:p>
    <w:p w:rsidR="009D1F98" w:rsidRPr="001205DB" w:rsidRDefault="00D06047" w:rsidP="009D1F98">
      <w:pPr>
        <w:pBdr>
          <w:top w:val="nil"/>
          <w:left w:val="nil"/>
          <w:bottom w:val="nil"/>
          <w:right w:val="nil"/>
          <w:between w:val="nil"/>
          <w:bar w:val="nil"/>
        </w:pBdr>
        <w:spacing w:before="0" w:after="240"/>
        <w:rPr>
          <w:rFonts w:eastAsia="Arial Unicode MS"/>
          <w:i/>
        </w:rPr>
      </w:pPr>
      <w:r w:rsidRPr="001205DB">
        <w:t>Turklāt vides resursi ir Eiropas sabiedriskie labumi, kuru laba pārvaldība ir pienācīgas vienotā tirgus darbības priekšnoteikums.</w:t>
      </w:r>
    </w:p>
    <w:p w:rsidR="009D1F98" w:rsidRPr="001205DB" w:rsidRDefault="009D1F98" w:rsidP="009D1F98">
      <w:pPr>
        <w:pStyle w:val="ManualHeading1"/>
      </w:pPr>
      <w:r w:rsidRPr="001205DB">
        <w:t>3.</w:t>
      </w:r>
      <w:r w:rsidRPr="001205DB">
        <w:tab/>
        <w:t>RETROSPEKTĪVO IZVĒRTĒJUMU, APSPRIEŠANĀS AR IEINTERESĒTAJĀM PERSONĀM UN IETEKMES NOVĒRTĒJUMU REZULTĀTI</w:t>
      </w:r>
    </w:p>
    <w:p w:rsidR="009D1F98" w:rsidRPr="001205DB" w:rsidRDefault="009D1F98" w:rsidP="009D1F98">
      <w:pPr>
        <w:pStyle w:val="ManualHeading2"/>
        <w:rPr>
          <w:rFonts w:eastAsia="Arial Unicode MS"/>
          <w:u w:color="000000"/>
          <w:bdr w:val="nil"/>
        </w:rPr>
      </w:pPr>
      <w:r w:rsidRPr="001205DB">
        <w:t>•</w:t>
      </w:r>
      <w:r w:rsidRPr="001205DB">
        <w:tab/>
        <w:t>Retrospektīvie izvērtējumi</w:t>
      </w:r>
    </w:p>
    <w:p w:rsidR="00D06047" w:rsidRPr="001205DB" w:rsidRDefault="00D06047" w:rsidP="00D06047">
      <w:pPr>
        <w:spacing w:before="60" w:after="60"/>
        <w:rPr>
          <w:rFonts w:eastAsia="Calibri"/>
          <w:color w:val="000000"/>
          <w:szCs w:val="24"/>
          <w:u w:color="000000"/>
        </w:rPr>
      </w:pPr>
      <w:r w:rsidRPr="001205DB">
        <w:rPr>
          <w:color w:val="000000"/>
          <w:u w:color="000000"/>
        </w:rPr>
        <w:t xml:space="preserve">Lai gan nesenais 2014.–2020. gada </w:t>
      </w:r>
      <w:r w:rsidRPr="001205DB">
        <w:rPr>
          <w:i/>
          <w:color w:val="000000"/>
          <w:u w:color="000000"/>
        </w:rPr>
        <w:t>LIFE</w:t>
      </w:r>
      <w:r w:rsidRPr="001205DB">
        <w:rPr>
          <w:color w:val="000000"/>
          <w:u w:color="000000"/>
        </w:rPr>
        <w:t xml:space="preserve"> </w:t>
      </w:r>
      <w:proofErr w:type="spellStart"/>
      <w:r w:rsidRPr="001205DB">
        <w:rPr>
          <w:color w:val="000000"/>
          <w:u w:color="000000"/>
        </w:rPr>
        <w:t>vidusposma</w:t>
      </w:r>
      <w:proofErr w:type="spellEnd"/>
      <w:r w:rsidRPr="001205DB">
        <w:rPr>
          <w:color w:val="000000"/>
          <w:u w:color="000000"/>
        </w:rPr>
        <w:t xml:space="preserve"> novērtējums</w:t>
      </w:r>
      <w:r w:rsidRPr="001205DB">
        <w:rPr>
          <w:rStyle w:val="FootnoteReference"/>
        </w:rPr>
        <w:footnoteReference w:id="3"/>
      </w:r>
      <w:r w:rsidRPr="001205DB">
        <w:rPr>
          <w:color w:val="000000"/>
          <w:u w:color="000000"/>
        </w:rPr>
        <w:t xml:space="preserve"> tika veikts ļoti agrīnā programmas īstenošanas posmā, kad bija sākti tikai 2014. un 2015. gada projekti, tas apstiprināja, ka līdz šim panāktais dod pamatu to vērtēt kā lietderīgu, efektīvu un relevantu un ka tā dod ieguldījumu stratēģijas “Eiropa 2020” īstenošanā. </w:t>
      </w:r>
      <w:r w:rsidRPr="001205DB">
        <w:t xml:space="preserve">Turklāt lielākā daļa ieinteresēto personu </w:t>
      </w:r>
      <w:r w:rsidRPr="001205DB">
        <w:rPr>
          <w:i/>
        </w:rPr>
        <w:t>LIFE</w:t>
      </w:r>
      <w:r w:rsidRPr="001205DB">
        <w:t xml:space="preserve"> uzskata par ļoti svarīgu instrumentu vides un klimata prioritāšu īstenošanā. </w:t>
      </w:r>
    </w:p>
    <w:p w:rsidR="009D1F98" w:rsidRPr="001205DB" w:rsidRDefault="009D1F98" w:rsidP="009D1F98">
      <w:pPr>
        <w:pStyle w:val="ManualHeading2"/>
        <w:rPr>
          <w:rFonts w:eastAsia="Arial Unicode MS"/>
          <w:u w:color="000000"/>
          <w:bdr w:val="nil"/>
        </w:rPr>
      </w:pPr>
      <w:r w:rsidRPr="001205DB">
        <w:t>•</w:t>
      </w:r>
      <w:r w:rsidRPr="001205DB">
        <w:tab/>
        <w:t>Apspriešanās ar ieinteresētajām personām</w:t>
      </w:r>
    </w:p>
    <w:p w:rsidR="009D1F98" w:rsidRPr="001205DB" w:rsidRDefault="009D1F98" w:rsidP="00DE23F9">
      <w:r w:rsidRPr="001205DB">
        <w:rPr>
          <w:i/>
        </w:rPr>
        <w:t>LIFE</w:t>
      </w:r>
      <w:r w:rsidRPr="001205DB">
        <w:t xml:space="preserve"> </w:t>
      </w:r>
      <w:proofErr w:type="spellStart"/>
      <w:r w:rsidRPr="001205DB">
        <w:t>vidusposma</w:t>
      </w:r>
      <w:proofErr w:type="spellEnd"/>
      <w:r w:rsidRPr="001205DB">
        <w:t xml:space="preserve"> novērtēšanas ietvaros tika noslēgtas dažādas apspriešanas, to vidū i) 12 nedēļas gara sabiedriskā apspriešana, kurā tika saņemtas vairāk nekā 250 atbildes, </w:t>
      </w:r>
      <w:proofErr w:type="spellStart"/>
      <w:r w:rsidRPr="001205DB">
        <w:t>ii</w:t>
      </w:r>
      <w:proofErr w:type="spellEnd"/>
      <w:r w:rsidRPr="001205DB">
        <w:t xml:space="preserve">) sešas īpašas aptaujas ar vairāk nekā 200 atbildēm un </w:t>
      </w:r>
      <w:proofErr w:type="spellStart"/>
      <w:r w:rsidRPr="001205DB">
        <w:t>iii</w:t>
      </w:r>
      <w:proofErr w:type="spellEnd"/>
      <w:r w:rsidRPr="001205DB">
        <w:t xml:space="preserve">) vairāk nekā 150 interviju ar svarīgākajām ieinteresēto personu grupām, tostarp projektu labuma guvējiem, projektu koordinatoriem, Komisijas dienestiem, </w:t>
      </w:r>
      <w:r w:rsidRPr="001205DB">
        <w:rPr>
          <w:i/>
        </w:rPr>
        <w:t>EASME</w:t>
      </w:r>
      <w:r w:rsidRPr="001205DB">
        <w:t xml:space="preserve"> amatpersonām, ārējiem uzraudzības ekspertiem un finanšu instrumentos ieinteresētajām personām (un attiecīgā gadījumā arī klātienes apmeklējumi). </w:t>
      </w:r>
    </w:p>
    <w:p w:rsidR="002A0157" w:rsidRPr="001205DB" w:rsidRDefault="002A0157" w:rsidP="00DB355E">
      <w:r w:rsidRPr="001205DB">
        <w:lastRenderedPageBreak/>
        <w:t xml:space="preserve">Ņemts vērtā arī Reģionu komitejas un Eiropas Ekonomikas un sociālo lietu komitejas atzinums par </w:t>
      </w:r>
      <w:proofErr w:type="spellStart"/>
      <w:r w:rsidRPr="001205DB">
        <w:t>vidusposma</w:t>
      </w:r>
      <w:proofErr w:type="spellEnd"/>
      <w:r w:rsidRPr="001205DB">
        <w:t xml:space="preserve"> novērtējuma rezultātiem, kurā tika izskatīti programmas </w:t>
      </w:r>
      <w:r w:rsidRPr="001205DB">
        <w:rPr>
          <w:i/>
        </w:rPr>
        <w:t>LIFE</w:t>
      </w:r>
      <w:r w:rsidRPr="001205DB">
        <w:t xml:space="preserve"> varianti laikam pēc 2020. gada</w:t>
      </w:r>
    </w:p>
    <w:p w:rsidR="009D1F98" w:rsidRPr="001205DB" w:rsidRDefault="009D1F98" w:rsidP="00DE23F9">
      <w:r w:rsidRPr="001205DB">
        <w:t xml:space="preserve">Šā priekšlikuma vajadzībām plašā apspriešanās ar ieinteresētajām personām tika papildināta ar nevalstisko organizāciju viedokļiem un papildu apspriešanām ar dalībvalstu ieinteresētajām personām. </w:t>
      </w:r>
    </w:p>
    <w:p w:rsidR="009D1F98" w:rsidRPr="001205DB" w:rsidRDefault="009D1F98" w:rsidP="00DE23F9">
      <w:r w:rsidRPr="001205DB">
        <w:t>Apspriešanas apstiprināja, cik programma ir relevanta klimata un vides vajadzību apmierināšanā un problēmu risināšanā un cik svarīgi ir to turpināt, tostarp paturēt visus galvenos pasākumu veidus. Tomēr tika uzsvērta nepieciešamība vienkāršot tās administratīvo pusi. Tika rosināts stiprināt tās katalītisko efektu un integrēto projektu potenciālu.</w:t>
      </w:r>
    </w:p>
    <w:p w:rsidR="009D1F98" w:rsidRPr="001205DB" w:rsidRDefault="009D1F98" w:rsidP="009D1F98">
      <w:pPr>
        <w:pStyle w:val="ManualHeading2"/>
        <w:rPr>
          <w:rFonts w:eastAsia="Arial Unicode MS"/>
          <w:u w:color="000000"/>
          <w:bdr w:val="nil"/>
        </w:rPr>
      </w:pPr>
      <w:r w:rsidRPr="001205DB">
        <w:t>•</w:t>
      </w:r>
      <w:r w:rsidRPr="001205DB">
        <w:tab/>
        <w:t>Ietekmes novērtējums</w:t>
      </w:r>
    </w:p>
    <w:p w:rsidR="009D1F98" w:rsidRPr="001205DB" w:rsidRDefault="002A0157" w:rsidP="00DE23F9">
      <w:r w:rsidRPr="001205DB">
        <w:t>Lai uzlabotu programmas sniegumu un katalītisko lomu, nolūkā to padarīt piekļūstamāku visu ES dalībvalstu pieteikuma iesniedzējiem tika izskatītas divas iespējas. Iespēja nodrošināt centralizētu atbalstu visam valsts kontaktpunktu tīklam, nevis izmantot nacionālos spēju veidošanas projektus (kas ir piekļūstami tikai dažām dalībvalstīm), kā ir pašlaik, tika novērtēta pozitīvi un būtu jāievieš. Vēlāk varētu apsvērt iespēju palielināt līdzfinansējuma līmeni, ko, iespējams, varētu pielāgot programmas īstenošanas laikā.</w:t>
      </w:r>
    </w:p>
    <w:p w:rsidR="005C2658" w:rsidRPr="001205DB" w:rsidRDefault="001D5E74" w:rsidP="00DE23F9">
      <w:r w:rsidRPr="001205DB">
        <w:t xml:space="preserve">Tika apsvērtas vairākas komplementāras iespējas, kā uzlabot Programmas sniegumu un katalītisko lomu. Tās tika novērtētas pozitīvi. Balstoties uz pašreizējās programmas </w:t>
      </w:r>
      <w:r w:rsidRPr="001205DB">
        <w:rPr>
          <w:i/>
        </w:rPr>
        <w:t>LIFE</w:t>
      </w:r>
      <w:r w:rsidRPr="001205DB">
        <w:t xml:space="preserve"> </w:t>
      </w:r>
      <w:proofErr w:type="spellStart"/>
      <w:r w:rsidRPr="001205DB">
        <w:t>pilotpieredzi</w:t>
      </w:r>
      <w:proofErr w:type="spellEnd"/>
      <w:r w:rsidRPr="001205DB">
        <w:t xml:space="preserve"> ar integrētajiem projektiem, uzskata, ka mehānisms, kam ir vislielākā ietekme, ir integrēto projektu — kas nākotnē būs stratēģiskie integrētie projekti (SIP) — paplašināta izmantošana. Uzskata, ka stratēģisko integrēto projektu tvēruma un apmēra palielināšana ir absolūta prioritāte. Tas nozīmētu, ka budžets salīdzinājumā ar pašreizējo </w:t>
      </w:r>
      <w:r w:rsidRPr="001205DB">
        <w:rPr>
          <w:i/>
        </w:rPr>
        <w:t>LIFE</w:t>
      </w:r>
      <w:r w:rsidRPr="001205DB">
        <w:t xml:space="preserve"> budžetu būtu jāpalielina. </w:t>
      </w:r>
    </w:p>
    <w:p w:rsidR="00A25A28" w:rsidRPr="001205DB" w:rsidRDefault="0099754F" w:rsidP="00DE23F9">
      <w:r w:rsidRPr="001205DB">
        <w:t xml:space="preserve">Ietekmes novērtējums liecina, ka atbalsts spēju veidošanai attiecībā uz pāreju uz tīru enerģiju, kas palīdz mazināt klimata pārmaiņas, pašlaik finansēts 2014.–2020. gada programmā “Apvārsnis 2020”, nākamajā daudzgadu finanšu shēmā (DFS) būtu jāpārvieto uz programmu </w:t>
      </w:r>
      <w:r w:rsidRPr="001205DB">
        <w:rPr>
          <w:i/>
        </w:rPr>
        <w:t>LIFE</w:t>
      </w:r>
      <w:r w:rsidRPr="001205DB">
        <w:t xml:space="preserve">. Tam ir šāds iemesls: programma </w:t>
      </w:r>
      <w:r w:rsidRPr="001205DB">
        <w:rPr>
          <w:i/>
        </w:rPr>
        <w:t>LIFE</w:t>
      </w:r>
      <w:r w:rsidRPr="001205DB">
        <w:t xml:space="preserve"> ir šai vajadzībai piemērotāka intervences loģikas, mērķu un izpildes mehānismu ziņā, turklāt tai ir konkrēta labuma guvēju grupa salīdzinājumā ar pētniecības un inovācijas pamatprogrammu, kas ir piemērotāka </w:t>
      </w:r>
      <w:proofErr w:type="spellStart"/>
      <w:r w:rsidRPr="001205DB">
        <w:t>pirmreizīgu</w:t>
      </w:r>
      <w:proofErr w:type="spellEnd"/>
      <w:r w:rsidRPr="001205DB">
        <w:t xml:space="preserve"> tehnoloģiju izstrādei, nevis to pārņemšanas un plašākas izvēršanas atbalstam. Šos trūkumus var novērst, </w:t>
      </w:r>
      <w:r w:rsidRPr="001205DB">
        <w:rPr>
          <w:i/>
        </w:rPr>
        <w:t>LIFE</w:t>
      </w:r>
      <w:r w:rsidRPr="001205DB">
        <w:t xml:space="preserve"> integrējot apakšprogrammu “Pāreja uz tīru enerģiju”, turklāt šāda integrācija palielina Savienības finansējuma vispārējo saskaņotību, vienlaikus sagatavojot augsni sinerģijai ar citām vides un klimata darbībām. Programmas </w:t>
      </w:r>
      <w:r w:rsidRPr="001205DB">
        <w:rPr>
          <w:i/>
        </w:rPr>
        <w:t>LIFE</w:t>
      </w:r>
      <w:r w:rsidRPr="001205DB">
        <w:t xml:space="preserve"> jomā “Klimata pasākumi”, turpinot 2014.–2020. gada programmu </w:t>
      </w:r>
      <w:r w:rsidRPr="001205DB">
        <w:rPr>
          <w:i/>
        </w:rPr>
        <w:t>LIFE</w:t>
      </w:r>
      <w:r w:rsidRPr="001205DB">
        <w:t>, tiks iekļauta arī apakšprogramma “Klimata pārmaiņu mazināšana un pielāgošanās tām”.</w:t>
      </w:r>
    </w:p>
    <w:p w:rsidR="005C2658" w:rsidRPr="001205DB" w:rsidRDefault="005C2658" w:rsidP="00DE23F9">
      <w:r w:rsidRPr="001205DB">
        <w:t xml:space="preserve">Ietekmes novērtējumā tika izskatīts arī tas, kā Programmai dot būtiskāku lomu Savienības dabas un </w:t>
      </w:r>
      <w:proofErr w:type="spellStart"/>
      <w:r w:rsidRPr="001205DB">
        <w:t>biodaudzveidības</w:t>
      </w:r>
      <w:proofErr w:type="spellEnd"/>
      <w:r w:rsidRPr="001205DB">
        <w:t xml:space="preserve"> </w:t>
      </w:r>
      <w:proofErr w:type="spellStart"/>
      <w:r w:rsidRPr="001205DB">
        <w:t>rīcībpolitiku</w:t>
      </w:r>
      <w:proofErr w:type="spellEnd"/>
      <w:r w:rsidRPr="001205DB">
        <w:t xml:space="preserve"> īstenošanā. Lai gan variants </w:t>
      </w:r>
      <w:r w:rsidRPr="001205DB">
        <w:rPr>
          <w:i/>
        </w:rPr>
        <w:t>LIFE</w:t>
      </w:r>
      <w:r w:rsidRPr="001205DB">
        <w:t xml:space="preserve"> paspārnē izveidot lielu dalītās pārvaldības fondu tika atzīts par neefektīvu, </w:t>
      </w:r>
      <w:r w:rsidRPr="001205DB">
        <w:rPr>
          <w:i/>
        </w:rPr>
        <w:t>LIFE</w:t>
      </w:r>
      <w:r w:rsidRPr="001205DB">
        <w:t xml:space="preserve"> loma dabas un </w:t>
      </w:r>
      <w:proofErr w:type="spellStart"/>
      <w:r w:rsidRPr="001205DB">
        <w:t>biodaudzveidības</w:t>
      </w:r>
      <w:proofErr w:type="spellEnd"/>
      <w:r w:rsidRPr="001205DB">
        <w:t xml:space="preserve"> </w:t>
      </w:r>
      <w:proofErr w:type="spellStart"/>
      <w:r w:rsidRPr="001205DB">
        <w:t>rīcībpolitiku</w:t>
      </w:r>
      <w:proofErr w:type="spellEnd"/>
      <w:r w:rsidRPr="001205DB">
        <w:t xml:space="preserve"> integrēšanā citās ES </w:t>
      </w:r>
      <w:proofErr w:type="spellStart"/>
      <w:r w:rsidRPr="001205DB">
        <w:t>rīcībpolitikās</w:t>
      </w:r>
      <w:proofErr w:type="spellEnd"/>
      <w:r w:rsidRPr="001205DB">
        <w:t xml:space="preserve"> un finansēšanas programmās varētu būt lielāka, ja tai būtu līdzsvarotāks budžeta papildinājums, kas piesaistītu līdzekļus no šīm citām finansēšanas programmām.</w:t>
      </w:r>
    </w:p>
    <w:p w:rsidR="00C1588D" w:rsidRPr="001205DB" w:rsidRDefault="00C1588D" w:rsidP="00DE23F9">
      <w:r w:rsidRPr="001205DB">
        <w:t xml:space="preserve">Tika arī secināts, ka Programmai arī turpmāk vajadzētu finansēt mazas </w:t>
      </w:r>
      <w:proofErr w:type="spellStart"/>
      <w:r w:rsidRPr="001205DB">
        <w:t>biodaudzveidības</w:t>
      </w:r>
      <w:proofErr w:type="spellEnd"/>
      <w:r w:rsidRPr="001205DB">
        <w:t xml:space="preserve"> subsīdijas brīvprātīgajā shēmā “Bioloģiskā daudzveidība un ekosistēmu pakalpojumi Eiropas aizjūras teritorijās” (</w:t>
      </w:r>
      <w:r w:rsidRPr="001205DB">
        <w:rPr>
          <w:i/>
        </w:rPr>
        <w:t>BEST</w:t>
      </w:r>
      <w:r w:rsidRPr="001205DB">
        <w:t>).</w:t>
      </w:r>
    </w:p>
    <w:p w:rsidR="00583CE4" w:rsidRPr="001205DB" w:rsidRDefault="0099754F" w:rsidP="00DE23F9">
      <w:r w:rsidRPr="001205DB">
        <w:t xml:space="preserve">Lai konsolidētu Programmas dabas un </w:t>
      </w:r>
      <w:proofErr w:type="spellStart"/>
      <w:r w:rsidRPr="001205DB">
        <w:t>biodaudzveidības</w:t>
      </w:r>
      <w:proofErr w:type="spellEnd"/>
      <w:r w:rsidRPr="001205DB">
        <w:t xml:space="preserve"> elementus, jomā “Vide” ir izveidota īpaša apakšprogramma “Daba un </w:t>
      </w:r>
      <w:proofErr w:type="spellStart"/>
      <w:r w:rsidRPr="001205DB">
        <w:t>biodaudzveidība</w:t>
      </w:r>
      <w:proofErr w:type="spellEnd"/>
      <w:r w:rsidRPr="001205DB">
        <w:t xml:space="preserve">”. Jomā “Vide” ietilpst arī apakšprogramma </w:t>
      </w:r>
      <w:r w:rsidRPr="001205DB">
        <w:lastRenderedPageBreak/>
        <w:t xml:space="preserve">“Aprites ekonomika un dzīves kvalitāte”, kuras mērķis ir atbalstīt pārējos Savienības vides </w:t>
      </w:r>
      <w:proofErr w:type="spellStart"/>
      <w:r w:rsidRPr="001205DB">
        <w:t>rīcībpolitikas</w:t>
      </w:r>
      <w:proofErr w:type="spellEnd"/>
      <w:r w:rsidRPr="001205DB">
        <w:t xml:space="preserve"> aspektus, it sevišķi pāreju uz aprites ekonomiku, tādu vides resursu kā gaiss, ūdens un zeme pareizu un efektīvu pārvaldību un labas </w:t>
      </w:r>
      <w:proofErr w:type="spellStart"/>
      <w:r w:rsidRPr="001205DB">
        <w:t>vidiskās</w:t>
      </w:r>
      <w:proofErr w:type="spellEnd"/>
      <w:r w:rsidRPr="001205DB">
        <w:t xml:space="preserve"> vadības veicināšanu.</w:t>
      </w:r>
    </w:p>
    <w:p w:rsidR="009D1F98" w:rsidRPr="001205DB" w:rsidRDefault="009D1F98" w:rsidP="00DE23F9">
      <w:r w:rsidRPr="001205DB">
        <w:t>Variantiem stiprināt atkārtošanu un palielināt gan programmas elastīgumu, gan iespēju selektīvi pievērsties izšķirīgiem un jauniem jautājumiem, vienkāršojot regulu un daudzgadu darba programmu, nav nekādu nopietnu negatīvu seku; tie abi būtu jāievieš.</w:t>
      </w:r>
    </w:p>
    <w:p w:rsidR="007376A1" w:rsidRPr="001205DB" w:rsidRDefault="007376A1" w:rsidP="007376A1">
      <w:r w:rsidRPr="001205DB">
        <w:t>2018. gada 13. aprīlī ietekmes novērtējums no Regulējuma kontroles padomes saņēma pozitīvu atzinumu ar atrunām.</w:t>
      </w:r>
    </w:p>
    <w:p w:rsidR="007376A1" w:rsidRPr="001205DB" w:rsidRDefault="007376A1" w:rsidP="007376A1">
      <w:r w:rsidRPr="001205DB">
        <w:t xml:space="preserve">Atzinumā par ietekmes novērtējuma projektu Regulējuma kontroles padome lūdza papildu skaidrojumus par uzraudzības kārtību un ierosinātajiem iniciatīvas rādītājiem. Padome arī lūdza norādīt, kā ierosinātā </w:t>
      </w:r>
      <w:r w:rsidRPr="001205DB">
        <w:rPr>
          <w:i/>
        </w:rPr>
        <w:t>LIFE</w:t>
      </w:r>
      <w:r w:rsidRPr="001205DB">
        <w:t xml:space="preserve"> tvēruma paplašināšana, tajā ietverot arī dabu, ietekmētu </w:t>
      </w:r>
      <w:r w:rsidRPr="001205DB">
        <w:rPr>
          <w:i/>
        </w:rPr>
        <w:t>LIFE</w:t>
      </w:r>
      <w:r w:rsidRPr="001205DB">
        <w:t xml:space="preserve"> pamatprincipus, struktūru un izpildes mehānismu. Atzinumā ietvertie ieteikumi ir iekļauti ziņojumā. Konkrētāk, ietekmes novērtējums tika izvērsts, lai atspoguļotu, kā tiks novērsti konstatētie ar pašreizējā plānošanas perioda uzraudzības režīmu saistītie trūkumi. Turklāt tika pārskatīts Programmas novērtēšanas rādītāju saraksts, lai tas labāk atbilstu Programmas mērķiem. 8. pielikumā ir iekļauta padziļināta analīze, kurā izskatītas iespējas </w:t>
      </w:r>
      <w:r w:rsidRPr="001205DB">
        <w:rPr>
          <w:i/>
        </w:rPr>
        <w:t>LIFE</w:t>
      </w:r>
      <w:r w:rsidRPr="001205DB">
        <w:t xml:space="preserve"> tvērumu paplašināt tā, lai tā aptvertu arī dabu un </w:t>
      </w:r>
      <w:proofErr w:type="spellStart"/>
      <w:r w:rsidRPr="001205DB">
        <w:t>biodaudzveidību</w:t>
      </w:r>
      <w:proofErr w:type="spellEnd"/>
      <w:r w:rsidRPr="001205DB">
        <w:t>, un šā variants apraksts ietekmes novērtējumā ir pārstrādāts.</w:t>
      </w:r>
    </w:p>
    <w:p w:rsidR="0033782D" w:rsidRPr="001205DB" w:rsidRDefault="007376A1" w:rsidP="007376A1">
      <w:r w:rsidRPr="001205DB">
        <w:t>Kopsavilkuma lapa un Regulējuma kontroles padomes pozitīvais atzinums pieejami http://ec.europa.eu/transparency/regdoc/?fuseaction=ia&amp;year=2018&amp;serviceId=11&amp;s=Search.</w:t>
      </w:r>
    </w:p>
    <w:p w:rsidR="009D1F98" w:rsidRPr="001205DB" w:rsidRDefault="009D1F98" w:rsidP="009D1F98">
      <w:pPr>
        <w:pStyle w:val="ManualHeading2"/>
        <w:rPr>
          <w:rFonts w:eastAsia="Arial Unicode MS"/>
          <w:u w:color="000000"/>
          <w:bdr w:val="nil"/>
        </w:rPr>
      </w:pPr>
      <w:r w:rsidRPr="001205DB">
        <w:t>•</w:t>
      </w:r>
      <w:r w:rsidRPr="001205DB">
        <w:tab/>
        <w:t>Vienkāršošana</w:t>
      </w:r>
    </w:p>
    <w:p w:rsidR="009D1F98" w:rsidRPr="001205DB" w:rsidRDefault="00456AC0" w:rsidP="00AF0FEC">
      <w:pPr>
        <w:rPr>
          <w:sz w:val="22"/>
        </w:rPr>
      </w:pPr>
      <w:r w:rsidRPr="001205DB">
        <w:t xml:space="preserve">Atbilstoši jaunajai Finanšu regulai plānošana un detalizēti lēmumi par Programmas pārvaldību ir pārvirzīti uz daudzgadu darba programmām. Šajā posmā veicami ietekmes novērtējumā apzinātie piemērotie pasākumi vadības procedūru vienkāršošanai. </w:t>
      </w:r>
    </w:p>
    <w:p w:rsidR="009D1F98" w:rsidRPr="001205DB" w:rsidRDefault="009D1F98" w:rsidP="009D1F98">
      <w:pPr>
        <w:pStyle w:val="ManualHeading1"/>
      </w:pPr>
      <w:r w:rsidRPr="001205DB">
        <w:t>4.</w:t>
      </w:r>
      <w:r w:rsidRPr="001205DB">
        <w:tab/>
        <w:t>IETEKME UZ BUDŽETU</w:t>
      </w:r>
    </w:p>
    <w:p w:rsidR="009D1F98" w:rsidRPr="001205DB" w:rsidRDefault="0000149D" w:rsidP="009D1F98">
      <w:pPr>
        <w:pBdr>
          <w:top w:val="nil"/>
          <w:left w:val="nil"/>
          <w:bottom w:val="nil"/>
          <w:right w:val="nil"/>
          <w:between w:val="nil"/>
          <w:bar w:val="nil"/>
        </w:pBdr>
        <w:spacing w:before="0" w:after="240"/>
        <w:rPr>
          <w:rFonts w:eastAsia="Arial Unicode MS"/>
        </w:rPr>
      </w:pPr>
      <w:r w:rsidRPr="001205DB">
        <w:t>Ietekme uz budžetu un tas, kādi cilvēkresursi un administratīvie resursi vajadzīgi Programmas īstenošanai, izklāstīts šim priekšlikumam pievienotajā finanšu pārskatā.</w:t>
      </w:r>
    </w:p>
    <w:p w:rsidR="009D1F98" w:rsidRPr="001205DB" w:rsidRDefault="009D1F98" w:rsidP="009D1F98">
      <w:pPr>
        <w:pStyle w:val="ManualHeading1"/>
      </w:pPr>
      <w:r w:rsidRPr="001205DB">
        <w:t>5.</w:t>
      </w:r>
      <w:r w:rsidRPr="001205DB">
        <w:tab/>
        <w:t>CITI ELEMENTI</w:t>
      </w:r>
    </w:p>
    <w:p w:rsidR="009D1F98" w:rsidRPr="001205DB" w:rsidRDefault="009D1F98" w:rsidP="009D1F98">
      <w:pPr>
        <w:pStyle w:val="ManualHeading2"/>
        <w:rPr>
          <w:rFonts w:eastAsia="Arial Unicode MS"/>
          <w:u w:color="000000"/>
          <w:bdr w:val="nil"/>
        </w:rPr>
      </w:pPr>
      <w:r w:rsidRPr="001205DB">
        <w:t>•</w:t>
      </w:r>
      <w:r w:rsidRPr="001205DB">
        <w:tab/>
        <w:t>Īstenošanas plāni un uzraudzīšanas, izvērtēšanas un ziņošanas kārtība</w:t>
      </w:r>
    </w:p>
    <w:p w:rsidR="009D1F98" w:rsidRPr="001205DB" w:rsidRDefault="0000149D" w:rsidP="009D1F98">
      <w:pPr>
        <w:pBdr>
          <w:top w:val="nil"/>
          <w:left w:val="nil"/>
          <w:bottom w:val="nil"/>
          <w:right w:val="nil"/>
          <w:between w:val="nil"/>
          <w:bar w:val="nil"/>
        </w:pBdr>
        <w:spacing w:before="0" w:after="240"/>
      </w:pPr>
      <w:r w:rsidRPr="001205DB">
        <w:t xml:space="preserve">Programmu </w:t>
      </w:r>
      <w:r w:rsidRPr="001205DB">
        <w:rPr>
          <w:i/>
        </w:rPr>
        <w:t>LIFE</w:t>
      </w:r>
      <w:r w:rsidRPr="001205DB">
        <w:t xml:space="preserve"> tieši pārvalda Eiropas Komisija. Dažu komponentu īstenošana ir deleģēta </w:t>
      </w:r>
      <w:proofErr w:type="spellStart"/>
      <w:r w:rsidRPr="001205DB">
        <w:t>izpildaģentūrai</w:t>
      </w:r>
      <w:proofErr w:type="spellEnd"/>
      <w:r w:rsidRPr="001205DB">
        <w:t xml:space="preserve"> </w:t>
      </w:r>
      <w:r w:rsidRPr="001205DB">
        <w:rPr>
          <w:i/>
        </w:rPr>
        <w:t>EASME</w:t>
      </w:r>
      <w:r w:rsidRPr="001205DB">
        <w:t xml:space="preserve">, kas izveidota 2014.–2020. gada programmas </w:t>
      </w:r>
      <w:r w:rsidRPr="001205DB">
        <w:rPr>
          <w:i/>
        </w:rPr>
        <w:t>LIFE</w:t>
      </w:r>
      <w:r w:rsidRPr="001205DB">
        <w:t xml:space="preserve"> īstenošanai. Ņemot vērā pašreizējās programmas īstenošanas visumā pozitīvo novērtējumu, arī 2021.–2027. gada programmas </w:t>
      </w:r>
      <w:r w:rsidRPr="001205DB">
        <w:rPr>
          <w:i/>
        </w:rPr>
        <w:t>LIFE</w:t>
      </w:r>
      <w:r w:rsidRPr="001205DB">
        <w:t xml:space="preserve"> īstenošanu varētu deleģēt </w:t>
      </w:r>
      <w:proofErr w:type="spellStart"/>
      <w:r w:rsidRPr="001205DB">
        <w:t>izpildaģentūrai</w:t>
      </w:r>
      <w:proofErr w:type="spellEnd"/>
      <w:r w:rsidRPr="001205DB">
        <w:t>, ja izmaksu un ieguvumu analīze un saistītie vēl pieņemamie lēmumi nedod pamatu rīkoties citādi.</w:t>
      </w:r>
    </w:p>
    <w:p w:rsidR="009E29AC" w:rsidRPr="001205DB" w:rsidRDefault="009E29AC" w:rsidP="009E29AC">
      <w:pPr>
        <w:pBdr>
          <w:top w:val="nil"/>
          <w:left w:val="nil"/>
          <w:bottom w:val="nil"/>
          <w:right w:val="nil"/>
          <w:between w:val="nil"/>
          <w:bar w:val="nil"/>
        </w:pBdr>
        <w:spacing w:before="0" w:after="240"/>
      </w:pPr>
      <w:r w:rsidRPr="001205DB">
        <w:t>Izvērtēšanas tiks veiktas saskaņā ar 22. un 23. punktu 2016. gada 13. aprīļa Iestāžu nolīgumā</w:t>
      </w:r>
      <w:r w:rsidRPr="001205DB">
        <w:rPr>
          <w:rStyle w:val="FootnoteReference"/>
        </w:rPr>
        <w:footnoteReference w:id="4"/>
      </w:r>
      <w:r w:rsidRPr="001205DB">
        <w:t xml:space="preserve">, kurā visas trīs iestādes apstiprināja, ka turpmākas rīcības variantu ietekmes novērtējumu pamatā vajadzētu būt esošo tiesību aktu un </w:t>
      </w:r>
      <w:proofErr w:type="spellStart"/>
      <w:r w:rsidRPr="001205DB">
        <w:t>rīcībpolitiku</w:t>
      </w:r>
      <w:proofErr w:type="spellEnd"/>
      <w:r w:rsidRPr="001205DB">
        <w:t xml:space="preserve"> izvērtējumiem. Izvērtējumos tiks novērtēta Programmas reālā ietekme, balstoties uz Programmas rādītājiem/</w:t>
      </w:r>
      <w:proofErr w:type="spellStart"/>
      <w:r w:rsidRPr="001205DB">
        <w:t>mērķrādītājiem</w:t>
      </w:r>
      <w:proofErr w:type="spellEnd"/>
      <w:r w:rsidRPr="001205DB">
        <w:t xml:space="preserve">, būs detalizēta analīze, kādā mērā Programma ir uzskatāma par relevantu, lietderīgu, efektīvu </w:t>
      </w:r>
      <w:r w:rsidRPr="001205DB">
        <w:lastRenderedPageBreak/>
        <w:t xml:space="preserve">un tādu, kas dod pietiekamu ES pievienoto vērtību un ir saskanīga ar citām ES </w:t>
      </w:r>
      <w:proofErr w:type="spellStart"/>
      <w:r w:rsidRPr="001205DB">
        <w:t>rīcībpolitikām</w:t>
      </w:r>
      <w:proofErr w:type="spellEnd"/>
      <w:r w:rsidRPr="001205DB">
        <w:t xml:space="preserve">. Tajos būs iekļautas gūtās atziņas, proti, apzināti trūkumi/problēmas vai iespējas vēl uzlabot darbības vai to rezultātus un palīdzēt </w:t>
      </w:r>
      <w:proofErr w:type="spellStart"/>
      <w:r w:rsidRPr="001205DB">
        <w:t>maksimalizēt</w:t>
      </w:r>
      <w:proofErr w:type="spellEnd"/>
      <w:r w:rsidRPr="001205DB">
        <w:t xml:space="preserve"> to izmantošanu/ietekmi.</w:t>
      </w:r>
    </w:p>
    <w:p w:rsidR="007376A1" w:rsidRPr="001205DB" w:rsidRDefault="007376A1" w:rsidP="007376A1">
      <w:pPr>
        <w:pBdr>
          <w:top w:val="nil"/>
          <w:left w:val="nil"/>
          <w:bottom w:val="nil"/>
          <w:right w:val="nil"/>
          <w:between w:val="nil"/>
          <w:bar w:val="nil"/>
        </w:pBdr>
        <w:spacing w:before="0" w:after="240"/>
      </w:pPr>
      <w:r w:rsidRPr="001205DB">
        <w:t xml:space="preserve">Komisijas 2021.–2027. gada daudzgadu finanšu shēmas priekšlikums izvirza vērienīgāku mērķi klimata integrēšanai visās ES programmās, tiecoties uz vispārējo </w:t>
      </w:r>
      <w:proofErr w:type="spellStart"/>
      <w:r w:rsidRPr="001205DB">
        <w:t>mērķrādītāju</w:t>
      </w:r>
      <w:proofErr w:type="spellEnd"/>
      <w:r w:rsidRPr="001205DB">
        <w:t xml:space="preserve">, ka 25 % izdevumu dotu ieguldījumu klimatisko mērķu sasniegšanā. Šīs programmas ieguldījumam šā vispārējā </w:t>
      </w:r>
      <w:proofErr w:type="spellStart"/>
      <w:r w:rsidRPr="001205DB">
        <w:t>mērķrādītāja</w:t>
      </w:r>
      <w:proofErr w:type="spellEnd"/>
      <w:r w:rsidRPr="001205DB">
        <w:t xml:space="preserve"> sasniegšanā tiks izsekots, izmantojot ES klimatisko marķieru sistēmu piemērotā </w:t>
      </w:r>
      <w:proofErr w:type="spellStart"/>
      <w:r w:rsidRPr="001205DB">
        <w:t>dezagregācijas</w:t>
      </w:r>
      <w:proofErr w:type="spellEnd"/>
      <w:r w:rsidRPr="001205DB">
        <w:t xml:space="preserve"> līmenī, cita starpā izmantojot precīzākas metodes, ja tādas ir pieejamas. Komisija arī turpmāk gada budžeta projekta kontekstā ik gadu sniegs informāciju saistību apropriāciju formā. </w:t>
      </w:r>
    </w:p>
    <w:p w:rsidR="00AB71E6" w:rsidRPr="001205DB" w:rsidRDefault="00AB71E6" w:rsidP="007376A1">
      <w:pPr>
        <w:pBdr>
          <w:top w:val="nil"/>
          <w:left w:val="nil"/>
          <w:bottom w:val="nil"/>
          <w:right w:val="nil"/>
          <w:between w:val="nil"/>
          <w:bar w:val="nil"/>
        </w:pBdr>
        <w:spacing w:before="0" w:after="240"/>
      </w:pPr>
      <w:r w:rsidRPr="001205DB">
        <w:t xml:space="preserve">Eiropas Savienībai turklāt būtu jāseko saviem ar </w:t>
      </w:r>
      <w:proofErr w:type="spellStart"/>
      <w:r w:rsidRPr="001205DB">
        <w:t>biodaudzveidību</w:t>
      </w:r>
      <w:proofErr w:type="spellEnd"/>
      <w:r w:rsidRPr="001205DB">
        <w:t xml:space="preserve"> saistītajiem izdevumiem, lai tā varētu izpildīt Konvencijā par bioloģisko daudzveidību paredzētos ziņošanas pienākumus. Būtu jāizpilda arī citos relevantajos Savienības tiesību aktos noteiktās izsekošanas prasības.</w:t>
      </w:r>
    </w:p>
    <w:p w:rsidR="00F25BF1" w:rsidRPr="001205DB" w:rsidRDefault="007376A1" w:rsidP="00415D82">
      <w:pPr>
        <w:pBdr>
          <w:top w:val="nil"/>
          <w:left w:val="nil"/>
          <w:bottom w:val="nil"/>
          <w:right w:val="nil"/>
          <w:between w:val="nil"/>
          <w:bar w:val="nil"/>
        </w:pBdr>
        <w:spacing w:before="0" w:after="240"/>
        <w:sectPr w:rsidR="00F25BF1" w:rsidRPr="001205DB" w:rsidSect="00FE5A09">
          <w:footerReference w:type="default" r:id="rId14"/>
          <w:footerReference w:type="first" r:id="rId15"/>
          <w:pgSz w:w="11907" w:h="16839"/>
          <w:pgMar w:top="1134" w:right="1417" w:bottom="1134" w:left="1417" w:header="709" w:footer="709" w:gutter="0"/>
          <w:cols w:space="720"/>
          <w:docGrid w:linePitch="360"/>
        </w:sectPr>
      </w:pPr>
      <w:r w:rsidRPr="001205DB">
        <w:t>Lai tiektos pilnvērtīgi izmantot Programmas potenciālu dot ieguldījumu klimatisko mērķu sasniegšanā, Komisija centīsies apzināt relevantas darbības visā Programmas sagatavošanas, īstenošanas, caurskatīšanas un izvērtēšanas gaitā.</w:t>
      </w:r>
    </w:p>
    <w:p w:rsidR="004847F5" w:rsidRDefault="00FE5A09" w:rsidP="00FE5A09">
      <w:pPr>
        <w:pStyle w:val="Rfrenceinterinstitutionnelle"/>
      </w:pPr>
      <w:r w:rsidRPr="00FE5A09">
        <w:lastRenderedPageBreak/>
        <w:t>2018/0209 (COD)</w:t>
      </w:r>
    </w:p>
    <w:p w:rsidR="00C5603D" w:rsidRPr="001205DB" w:rsidRDefault="001205DB" w:rsidP="001205DB">
      <w:pPr>
        <w:pStyle w:val="Statut"/>
      </w:pPr>
      <w:r w:rsidRPr="001205DB">
        <w:t>Priekšlikums</w:t>
      </w:r>
    </w:p>
    <w:p w:rsidR="003F2AE4" w:rsidRPr="001205DB" w:rsidRDefault="001205DB" w:rsidP="001205DB">
      <w:pPr>
        <w:pStyle w:val="Typedudocument"/>
      </w:pPr>
      <w:r w:rsidRPr="001205DB">
        <w:t>EIROPAS PARLAMENTA UN PADOMES REGULA,</w:t>
      </w:r>
    </w:p>
    <w:p w:rsidR="00C5603D" w:rsidRPr="001205DB" w:rsidRDefault="001205DB" w:rsidP="001205DB">
      <w:pPr>
        <w:pStyle w:val="Titreobjet"/>
      </w:pPr>
      <w:r w:rsidRPr="001205DB">
        <w:t>ar ko izveido vides un klimata pasākumu programmu (</w:t>
      </w:r>
      <w:r w:rsidRPr="001205DB">
        <w:rPr>
          <w:i/>
        </w:rPr>
        <w:t>LIFE</w:t>
      </w:r>
      <w:r w:rsidRPr="001205DB">
        <w:t xml:space="preserve">) un atceļ Regulu (ES) </w:t>
      </w:r>
      <w:proofErr w:type="spellStart"/>
      <w:r w:rsidRPr="001205DB">
        <w:t>Nr</w:t>
      </w:r>
      <w:proofErr w:type="spellEnd"/>
      <w:r w:rsidRPr="001205DB">
        <w:t>. 1293/2013</w:t>
      </w:r>
    </w:p>
    <w:p w:rsidR="00C52C3F" w:rsidRPr="001205DB" w:rsidRDefault="001205DB" w:rsidP="001205DB">
      <w:pPr>
        <w:pStyle w:val="IntrtEEE"/>
      </w:pPr>
      <w:r w:rsidRPr="001205DB">
        <w:t>(Dokuments attiecas uz EEZ)</w:t>
      </w:r>
    </w:p>
    <w:p w:rsidR="00C5603D" w:rsidRPr="001205DB" w:rsidRDefault="00C5603D" w:rsidP="008F26E4">
      <w:pPr>
        <w:pStyle w:val="Institutionquiagit"/>
      </w:pPr>
      <w:r w:rsidRPr="001205DB">
        <w:t>EIROPAS PARLAMENTS UN EIROPAS SAVIENĪBAS PADOME,</w:t>
      </w:r>
    </w:p>
    <w:p w:rsidR="00C5603D" w:rsidRPr="001205DB" w:rsidRDefault="00C5603D" w:rsidP="008F26E4">
      <w:r w:rsidRPr="001205DB">
        <w:t>ņemot vērā Līgumu par Eiropas Savienības darbību un jo īpaši tā 192. pantu,</w:t>
      </w:r>
    </w:p>
    <w:p w:rsidR="00C5603D" w:rsidRPr="001205DB" w:rsidRDefault="00C5603D" w:rsidP="008F26E4">
      <w:r w:rsidRPr="001205DB">
        <w:t>ņemot vērā Eiropas Komisijas priekšlikumu,</w:t>
      </w:r>
    </w:p>
    <w:p w:rsidR="00C5603D" w:rsidRPr="001205DB" w:rsidRDefault="00C5603D" w:rsidP="008F26E4">
      <w:r w:rsidRPr="001205DB">
        <w:t>pēc leģislatīvā akta projekta nosūtīšanas valstu parlamentiem,</w:t>
      </w:r>
    </w:p>
    <w:p w:rsidR="00C5603D" w:rsidRPr="001205DB" w:rsidRDefault="00C5603D" w:rsidP="008F26E4">
      <w:pPr>
        <w:rPr>
          <w:i/>
        </w:rPr>
      </w:pPr>
      <w:r w:rsidRPr="001205DB">
        <w:t>ņemot vērā Eiropas Ekonomikas un sociālo lietu komitejas atzinumu</w:t>
      </w:r>
      <w:r w:rsidRPr="001205DB">
        <w:rPr>
          <w:rStyle w:val="FootnoteReference"/>
        </w:rPr>
        <w:footnoteReference w:id="5"/>
      </w:r>
      <w:r w:rsidRPr="001205DB">
        <w:t xml:space="preserve">, </w:t>
      </w:r>
    </w:p>
    <w:p w:rsidR="00C5603D" w:rsidRPr="001205DB" w:rsidRDefault="00C5603D" w:rsidP="008F26E4">
      <w:r w:rsidRPr="001205DB">
        <w:t>ņemot vērā Reģionu komitejas atzinumu</w:t>
      </w:r>
      <w:r w:rsidRPr="001205DB">
        <w:rPr>
          <w:rStyle w:val="FootnoteReference"/>
        </w:rPr>
        <w:footnoteReference w:id="6"/>
      </w:r>
      <w:r w:rsidRPr="001205DB">
        <w:t xml:space="preserve">, </w:t>
      </w:r>
    </w:p>
    <w:p w:rsidR="00C5603D" w:rsidRPr="001205DB" w:rsidRDefault="00C5603D" w:rsidP="008F26E4">
      <w:r w:rsidRPr="001205DB">
        <w:t>saskaņā ar parasto likumdošanas procedūru,</w:t>
      </w:r>
    </w:p>
    <w:p w:rsidR="00C5603D" w:rsidRPr="001205DB" w:rsidRDefault="00C5603D" w:rsidP="008F26E4">
      <w:r w:rsidRPr="001205DB">
        <w:t>tā kā:</w:t>
      </w:r>
    </w:p>
    <w:p w:rsidR="00287A58" w:rsidRPr="001205DB" w:rsidRDefault="00287A58" w:rsidP="00A8330F">
      <w:pPr>
        <w:pStyle w:val="Considrant"/>
        <w:numPr>
          <w:ilvl w:val="0"/>
          <w:numId w:val="20"/>
        </w:numPr>
      </w:pPr>
      <w:r w:rsidRPr="001205DB">
        <w:t xml:space="preserve">Savienības vides, klimata un relevantā tīras enerģijas </w:t>
      </w:r>
      <w:proofErr w:type="spellStart"/>
      <w:r w:rsidRPr="001205DB">
        <w:t>rīcībpolitika</w:t>
      </w:r>
      <w:proofErr w:type="spellEnd"/>
      <w:r w:rsidRPr="001205DB">
        <w:t xml:space="preserve"> un tiesību akti ir ievērojami uzlabojuši vides stāvokli. Tomēr joprojām pastāv nozīmīgas </w:t>
      </w:r>
      <w:proofErr w:type="spellStart"/>
      <w:r w:rsidRPr="001205DB">
        <w:t>vidiskas</w:t>
      </w:r>
      <w:proofErr w:type="spellEnd"/>
      <w:r w:rsidRPr="001205DB">
        <w:t xml:space="preserve"> un klimatiskas problēmas, kas, ja tās netiks atrisinātas, radīs būtiskas negatīvas sekas Savienībai un tās iedzīvotāju labklājībai. </w:t>
      </w:r>
    </w:p>
    <w:p w:rsidR="0067576C" w:rsidRPr="001205DB" w:rsidRDefault="007F7A80" w:rsidP="00BF7927">
      <w:pPr>
        <w:pStyle w:val="Considrant"/>
      </w:pPr>
      <w:r w:rsidRPr="001205DB">
        <w:t>Vides un klimata pasākumu programma (</w:t>
      </w:r>
      <w:r w:rsidRPr="001205DB">
        <w:rPr>
          <w:i/>
        </w:rPr>
        <w:t>LIFE</w:t>
      </w:r>
      <w:r w:rsidRPr="001205DB">
        <w:t xml:space="preserve">), kas 2014.–2020. gadam izveidota ar Eiropas Parlamenta un Padomes Regulu (ES) </w:t>
      </w:r>
      <w:proofErr w:type="spellStart"/>
      <w:r w:rsidRPr="001205DB">
        <w:t>Nr</w:t>
      </w:r>
      <w:proofErr w:type="spellEnd"/>
      <w:r w:rsidRPr="001205DB">
        <w:t>. 1293/2013</w:t>
      </w:r>
      <w:r w:rsidRPr="001205DB">
        <w:rPr>
          <w:rStyle w:val="FootnoteReference"/>
        </w:rPr>
        <w:footnoteReference w:id="7"/>
      </w:r>
      <w:r w:rsidRPr="001205DB">
        <w:t xml:space="preserve">, ir jaunākā no vairākām pēdējo 25 gadu Savienības programmām, kas atbalsta vides un klimata tiesību aktu un </w:t>
      </w:r>
      <w:proofErr w:type="spellStart"/>
      <w:r w:rsidRPr="001205DB">
        <w:t>rīcībpolitisko</w:t>
      </w:r>
      <w:proofErr w:type="spellEnd"/>
      <w:r w:rsidRPr="001205DB">
        <w:t xml:space="preserve"> prioritāšu īstenošanu. Nesenajā </w:t>
      </w:r>
      <w:proofErr w:type="spellStart"/>
      <w:r w:rsidRPr="001205DB">
        <w:t>vidusposma</w:t>
      </w:r>
      <w:proofErr w:type="spellEnd"/>
      <w:r w:rsidRPr="001205DB">
        <w:t xml:space="preserve"> novērtējumā</w:t>
      </w:r>
      <w:r w:rsidRPr="001205DB">
        <w:rPr>
          <w:rStyle w:val="FootnoteReference"/>
        </w:rPr>
        <w:footnoteReference w:id="8"/>
      </w:r>
      <w:r w:rsidRPr="001205DB">
        <w:t xml:space="preserve"> tā izpelnījās pozitīvu vērtējumu, proti, līdz šim panāktais dod pamatu to vērtēt kā lietderīgu, efektīvu un relevantu. Tāpēc 2014.–2020. gada programma </w:t>
      </w:r>
      <w:r w:rsidRPr="001205DB">
        <w:rPr>
          <w:i/>
        </w:rPr>
        <w:t>LIFE</w:t>
      </w:r>
      <w:r w:rsidRPr="001205DB">
        <w:t xml:space="preserve"> būtu jāturpina, tajā gan ieviešot zināmas izmaiņas, kas ierosinātas </w:t>
      </w:r>
      <w:proofErr w:type="spellStart"/>
      <w:r w:rsidRPr="001205DB">
        <w:t>vidusposma</w:t>
      </w:r>
      <w:proofErr w:type="spellEnd"/>
      <w:r w:rsidRPr="001205DB">
        <w:t xml:space="preserve"> novērtējumā un vēlākos novērtējumos. Tāpēc arī periodam, kas sākas 2021. gadā, vajadzētu izveidot vides un klimata pasākumu programmu (</w:t>
      </w:r>
      <w:r w:rsidRPr="001205DB">
        <w:rPr>
          <w:i/>
        </w:rPr>
        <w:t>LIFE</w:t>
      </w:r>
      <w:r w:rsidRPr="001205DB">
        <w:t>) (“Programma”).</w:t>
      </w:r>
    </w:p>
    <w:p w:rsidR="002C38D1" w:rsidRPr="001205DB" w:rsidRDefault="00B659A8" w:rsidP="00A34ADE">
      <w:pPr>
        <w:pStyle w:val="Considrant"/>
      </w:pPr>
      <w:r w:rsidRPr="001205DB">
        <w:t xml:space="preserve">Tiecoties sasniegt Savienības mērķus un </w:t>
      </w:r>
      <w:proofErr w:type="spellStart"/>
      <w:r w:rsidRPr="001205DB">
        <w:t>mērķrādītājus</w:t>
      </w:r>
      <w:proofErr w:type="spellEnd"/>
      <w:r w:rsidRPr="001205DB">
        <w:t xml:space="preserve">, kas nosprausti vides, klimata un saistītajos tīras enerģijas tiesību aktos, </w:t>
      </w:r>
      <w:proofErr w:type="spellStart"/>
      <w:r w:rsidRPr="001205DB">
        <w:t>rīcībpolitikās</w:t>
      </w:r>
      <w:proofErr w:type="spellEnd"/>
      <w:r w:rsidRPr="001205DB">
        <w:t xml:space="preserve">, plānos un starptautiskos saistību instrumentos, Programmai vajadzētu palīdzēt pāriet uz tīru, </w:t>
      </w:r>
      <w:proofErr w:type="spellStart"/>
      <w:r w:rsidRPr="001205DB">
        <w:t>energoefektīvu</w:t>
      </w:r>
      <w:proofErr w:type="spellEnd"/>
      <w:r w:rsidRPr="001205DB">
        <w:t xml:space="preserve"> un </w:t>
      </w:r>
      <w:proofErr w:type="spellStart"/>
      <w:r w:rsidRPr="001205DB">
        <w:t>klimatnoturīgu</w:t>
      </w:r>
      <w:proofErr w:type="spellEnd"/>
      <w:r w:rsidRPr="001205DB">
        <w:t xml:space="preserve"> </w:t>
      </w:r>
      <w:proofErr w:type="spellStart"/>
      <w:r w:rsidRPr="001205DB">
        <w:t>mazoglekļa</w:t>
      </w:r>
      <w:proofErr w:type="spellEnd"/>
      <w:r w:rsidRPr="001205DB">
        <w:t xml:space="preserve"> aprites ekonomiku, kas palīdzētu aizsargāt vidi un uzlabot </w:t>
      </w:r>
      <w:r w:rsidRPr="001205DB">
        <w:lastRenderedPageBreak/>
        <w:t xml:space="preserve">vides kvalitāti un apturēt </w:t>
      </w:r>
      <w:proofErr w:type="spellStart"/>
      <w:r w:rsidRPr="001205DB">
        <w:t>biodaudzveidības</w:t>
      </w:r>
      <w:proofErr w:type="spellEnd"/>
      <w:r w:rsidRPr="001205DB">
        <w:t xml:space="preserve"> zaudēšanu un </w:t>
      </w:r>
      <w:proofErr w:type="spellStart"/>
      <w:r w:rsidRPr="001205DB">
        <w:t>biodaudzveidību</w:t>
      </w:r>
      <w:proofErr w:type="spellEnd"/>
      <w:r w:rsidRPr="001205DB">
        <w:t xml:space="preserve"> atjaunot — vai nu ar tiešiem pasākumiem, vai palīdzot šos mērķus integrēt citās </w:t>
      </w:r>
      <w:proofErr w:type="spellStart"/>
      <w:r w:rsidRPr="001205DB">
        <w:t>rīcībpolitikās</w:t>
      </w:r>
      <w:proofErr w:type="spellEnd"/>
      <w:r w:rsidRPr="001205DB">
        <w:t>.</w:t>
      </w:r>
    </w:p>
    <w:p w:rsidR="00BC4458" w:rsidRPr="001205DB" w:rsidRDefault="00BC4458" w:rsidP="00BC4458">
      <w:pPr>
        <w:pStyle w:val="Considrant"/>
      </w:pPr>
      <w:r w:rsidRPr="001205DB">
        <w:t>Savienība ir apņēmusies izstrādāt visaptverošu pieeju ilgtspējīgas attīstības mērķiem, kas nosprausti Apvienoto Nāciju Organizācijas Ilgtspējīgas attīstības programmā 2030. gadam un fokusā izvirza ciešo sasaisti starp tādu dabas resursu pārvaldību, lai nodrošinātu to ilgtermiņa pieejamību, ekosistēmu pakalpojumiem, to saikni ar cilvēka veselību un ilgtspējīgu un sociāli iekļaujošu ekonomisko izaugsmi. Paturot prātā šos mērķus, Programmai vajadzētu dot būtisku ieguldījumu gan ekonomikas izaugsmē, gan sociālajā kohēzijā.</w:t>
      </w:r>
    </w:p>
    <w:p w:rsidR="00C662B4" w:rsidRPr="001205DB" w:rsidRDefault="00C662B4" w:rsidP="00C662B4">
      <w:pPr>
        <w:pStyle w:val="Considrant"/>
      </w:pPr>
      <w:r w:rsidRPr="001205DB">
        <w:t xml:space="preserve">Programmai vajadzētu dot ieguldījumu ilgtspējīgā attīstībā un palīdzēt sasniegt mērķus un </w:t>
      </w:r>
      <w:proofErr w:type="spellStart"/>
      <w:r w:rsidRPr="001205DB">
        <w:t>mērķrādītājus</w:t>
      </w:r>
      <w:proofErr w:type="spellEnd"/>
      <w:r w:rsidRPr="001205DB">
        <w:t>, kas izvirzīti Savienības vides, klimata un relevantajos tīras enerģijas tiesību aktos, stratēģijās, plānos un starptautiskajos saistību instrumentos, it īpaši ANO Ilgtspējīgas attīstības programmā 2030. gadam</w:t>
      </w:r>
      <w:r w:rsidRPr="001205DB">
        <w:rPr>
          <w:rStyle w:val="FootnoteReference"/>
        </w:rPr>
        <w:footnoteReference w:id="9"/>
      </w:r>
      <w:r w:rsidRPr="001205DB">
        <w:t>, Konvencijā par bioloģisko daudzveidību</w:t>
      </w:r>
      <w:r w:rsidRPr="001205DB">
        <w:rPr>
          <w:rStyle w:val="FootnoteReference"/>
        </w:rPr>
        <w:footnoteReference w:id="10"/>
      </w:r>
      <w:r w:rsidRPr="001205DB">
        <w:t xml:space="preserve"> un Apvienoto Nāciju Organizācijas Vispārējās konvencijas par klimata pārmaiņām ietvaros pieņemtajā Parīzes nolīgumā</w:t>
      </w:r>
      <w:r w:rsidRPr="001205DB">
        <w:rPr>
          <w:rStyle w:val="FootnoteReference"/>
        </w:rPr>
        <w:footnoteReference w:id="11"/>
      </w:r>
      <w:r w:rsidRPr="001205DB">
        <w:t xml:space="preserve"> (“Parīzes klimata nolīgums”).</w:t>
      </w:r>
    </w:p>
    <w:p w:rsidR="00420329" w:rsidRPr="001205DB" w:rsidRDefault="00420329" w:rsidP="00420329">
      <w:pPr>
        <w:pStyle w:val="Considrant"/>
      </w:pPr>
      <w:r w:rsidRPr="001205DB">
        <w:t>Lai sasniegtu visaptverošos mērķus, ir sevišķi svarīgi īstenot Aprites ekonomikas paketi</w:t>
      </w:r>
      <w:r w:rsidRPr="001205DB">
        <w:rPr>
          <w:rStyle w:val="FootnoteReference"/>
        </w:rPr>
        <w:footnoteReference w:id="12"/>
      </w:r>
      <w:r w:rsidRPr="001205DB">
        <w:t>, klimata un enerģētikas politikas satvaru 2030. gadam</w:t>
      </w:r>
      <w:r w:rsidRPr="001205DB">
        <w:rPr>
          <w:rStyle w:val="FootnoteReference"/>
        </w:rPr>
        <w:footnoteReference w:id="13"/>
      </w:r>
      <w:r w:rsidRPr="001205DB">
        <w:rPr>
          <w:vertAlign w:val="superscript"/>
        </w:rPr>
        <w:t xml:space="preserve">, </w:t>
      </w:r>
      <w:r w:rsidRPr="001205DB">
        <w:rPr>
          <w:rStyle w:val="FootnoteReference"/>
        </w:rPr>
        <w:footnoteReference w:id="14"/>
      </w:r>
      <w:r w:rsidRPr="001205DB">
        <w:rPr>
          <w:vertAlign w:val="superscript"/>
        </w:rPr>
        <w:t xml:space="preserve">, </w:t>
      </w:r>
      <w:r w:rsidRPr="001205DB">
        <w:rPr>
          <w:rStyle w:val="FootnoteReference"/>
        </w:rPr>
        <w:footnoteReference w:id="15"/>
      </w:r>
      <w:r w:rsidRPr="001205DB">
        <w:t>, Savienības dabas tiesību aktus</w:t>
      </w:r>
      <w:r w:rsidRPr="001205DB">
        <w:rPr>
          <w:rStyle w:val="FootnoteReference"/>
        </w:rPr>
        <w:footnoteReference w:id="16"/>
      </w:r>
      <w:r w:rsidRPr="001205DB">
        <w:t xml:space="preserve">, kā arī saistītās </w:t>
      </w:r>
      <w:proofErr w:type="spellStart"/>
      <w:r w:rsidRPr="001205DB">
        <w:t>rīcībpolitikas</w:t>
      </w:r>
      <w:proofErr w:type="spellEnd"/>
      <w:r w:rsidRPr="001205DB">
        <w:rPr>
          <w:rStyle w:val="FootnoteReference"/>
        </w:rPr>
        <w:footnoteReference w:id="17"/>
      </w:r>
      <w:r w:rsidRPr="001205DB">
        <w:rPr>
          <w:vertAlign w:val="superscript"/>
        </w:rPr>
        <w:t xml:space="preserve">, </w:t>
      </w:r>
      <w:r w:rsidRPr="001205DB">
        <w:rPr>
          <w:rStyle w:val="FootnoteReference"/>
        </w:rPr>
        <w:footnoteReference w:id="18"/>
      </w:r>
      <w:r w:rsidRPr="001205DB">
        <w:rPr>
          <w:vertAlign w:val="superscript"/>
        </w:rPr>
        <w:t xml:space="preserve">, </w:t>
      </w:r>
      <w:r w:rsidRPr="001205DB">
        <w:rPr>
          <w:rStyle w:val="FootnoteReference"/>
        </w:rPr>
        <w:footnoteReference w:id="19"/>
      </w:r>
      <w:r w:rsidRPr="001205DB">
        <w:rPr>
          <w:vertAlign w:val="superscript"/>
        </w:rPr>
        <w:t xml:space="preserve">, </w:t>
      </w:r>
      <w:r w:rsidRPr="001205DB">
        <w:rPr>
          <w:rStyle w:val="FootnoteReference"/>
        </w:rPr>
        <w:footnoteReference w:id="20"/>
      </w:r>
      <w:r w:rsidRPr="001205DB">
        <w:rPr>
          <w:vertAlign w:val="superscript"/>
        </w:rPr>
        <w:t xml:space="preserve">, </w:t>
      </w:r>
      <w:r w:rsidRPr="001205DB">
        <w:rPr>
          <w:rStyle w:val="FootnoteReference"/>
        </w:rPr>
        <w:footnoteReference w:id="21"/>
      </w:r>
      <w:r w:rsidRPr="001205DB">
        <w:t>.</w:t>
      </w:r>
    </w:p>
    <w:p w:rsidR="00C662B4" w:rsidRPr="001205DB" w:rsidRDefault="00C662B4" w:rsidP="00C662B4">
      <w:pPr>
        <w:pStyle w:val="Considrant"/>
      </w:pPr>
      <w:r w:rsidRPr="001205DB">
        <w:t xml:space="preserve">Lai izpildītu saistības, ko Savienība uzņēmusies saskaņā ar Parīzes klimata nolīgumu, Savienībai jākļūst par </w:t>
      </w:r>
      <w:proofErr w:type="spellStart"/>
      <w:r w:rsidRPr="001205DB">
        <w:t>energoefektīvu</w:t>
      </w:r>
      <w:proofErr w:type="spellEnd"/>
      <w:r w:rsidRPr="001205DB">
        <w:t xml:space="preserve"> un </w:t>
      </w:r>
      <w:proofErr w:type="spellStart"/>
      <w:r w:rsidRPr="001205DB">
        <w:t>klimatnoturīgu</w:t>
      </w:r>
      <w:proofErr w:type="spellEnd"/>
      <w:r w:rsidRPr="001205DB">
        <w:t xml:space="preserve"> </w:t>
      </w:r>
      <w:proofErr w:type="spellStart"/>
      <w:r w:rsidRPr="001205DB">
        <w:t>mazoglekļa</w:t>
      </w:r>
      <w:proofErr w:type="spellEnd"/>
      <w:r w:rsidRPr="001205DB">
        <w:t xml:space="preserve"> sabiedrību. Lai to panāktu, ir jāveic darbības, kas palīdzēs īstenot klimata un enerģētikas politikas satvaru 2030. gadam, dalībvalstu integrētos nacionālos enerģētikas un klimata plānus, kā arī sagatavoties Savienības gadsimta vidus un ilgtermiņa klimata un enerģētikas stratēģijai, īpaši pievēršoties nozarēm, kas pašlaik rada vislielākās CO</w:t>
      </w:r>
      <w:r w:rsidRPr="001205DB">
        <w:rPr>
          <w:vertAlign w:val="subscript"/>
        </w:rPr>
        <w:t>2</w:t>
      </w:r>
      <w:r w:rsidRPr="001205DB">
        <w:t xml:space="preserve"> emisijas un piesārņojumu. Programmā būtu jāietver arī pasākumi, kas palīdzēs īstenot Savienības </w:t>
      </w:r>
      <w:proofErr w:type="spellStart"/>
      <w:r w:rsidRPr="001205DB">
        <w:t>klimatadaptācijas</w:t>
      </w:r>
      <w:proofErr w:type="spellEnd"/>
      <w:r w:rsidRPr="001205DB">
        <w:t xml:space="preserve"> </w:t>
      </w:r>
      <w:proofErr w:type="spellStart"/>
      <w:r w:rsidRPr="001205DB">
        <w:t>rīcībpolitiku</w:t>
      </w:r>
      <w:proofErr w:type="spellEnd"/>
      <w:r w:rsidRPr="001205DB">
        <w:t>, lai mazinātu neaizsargātību pret negatīvajām klimata pārmaiņu sekām.</w:t>
      </w:r>
    </w:p>
    <w:p w:rsidR="008C5E3C" w:rsidRPr="001205DB" w:rsidRDefault="00F60BE3" w:rsidP="00DE64E6">
      <w:pPr>
        <w:pStyle w:val="Considrant"/>
      </w:pPr>
      <w:r w:rsidRPr="001205DB">
        <w:t xml:space="preserve">Pāreja uz tīru enerģiju dod būtisku ieguldījumu klimata pārmaiņu mazināšanā un līdztekus dod arī </w:t>
      </w:r>
      <w:proofErr w:type="spellStart"/>
      <w:r w:rsidRPr="001205DB">
        <w:t>vidiskus</w:t>
      </w:r>
      <w:proofErr w:type="spellEnd"/>
      <w:r w:rsidRPr="001205DB">
        <w:t xml:space="preserve"> </w:t>
      </w:r>
      <w:proofErr w:type="spellStart"/>
      <w:r w:rsidRPr="001205DB">
        <w:t>blakusieguvumus</w:t>
      </w:r>
      <w:proofErr w:type="spellEnd"/>
      <w:r w:rsidRPr="001205DB">
        <w:t xml:space="preserve">. Programmas “Apvārsnis 2020” satvarā līdz 2020. gadam finansētās spēju veidošanas darbības, kas atbalsta pāreju uz tīru enerģiju, būtu jāintegrē Programmā, jo to mērķis ir nevis finansēt izcilību un sekmēt inovāciju, bet gan palīdzēt ieviesties jau pieejamām tehnoloģijām, kas palīdzēs mazināt klimata pārmaiņas. Šo spēju veidošanas darbību iekļaušana Programmā </w:t>
      </w:r>
      <w:r w:rsidRPr="001205DB">
        <w:lastRenderedPageBreak/>
        <w:t xml:space="preserve">sagatavo augsni sinerģijai starp apakšprogrammām un vairo Savienības finansējuma vispārējo saskaņotību. Tāpēc būtu jāvāc un jāizplata dati par jau pieejamo pētniecības un inovācijas risinājumu izmantošanu </w:t>
      </w:r>
      <w:r w:rsidRPr="001205DB">
        <w:rPr>
          <w:i/>
        </w:rPr>
        <w:t>LIFE</w:t>
      </w:r>
      <w:r w:rsidRPr="001205DB">
        <w:t xml:space="preserve"> projektos, arī no programmas “Apvārsnis Eiropa” un tās priekštecēm.</w:t>
      </w:r>
    </w:p>
    <w:p w:rsidR="00A37B83" w:rsidRPr="001205DB" w:rsidRDefault="00A37B83" w:rsidP="00FB543B">
      <w:pPr>
        <w:pStyle w:val="Considrant"/>
      </w:pPr>
      <w:r w:rsidRPr="001205DB">
        <w:t xml:space="preserve">Tīrās enerģijas tiesību aktu ietekmes novērtējumos lēsts, ka, lai sasniegtu Savienības 2030. gada enerģētikas </w:t>
      </w:r>
      <w:proofErr w:type="spellStart"/>
      <w:r w:rsidRPr="001205DB">
        <w:t>mērķrādītājus</w:t>
      </w:r>
      <w:proofErr w:type="spellEnd"/>
      <w:r w:rsidRPr="001205DB">
        <w:t xml:space="preserve">, 2021.–2030. gadā ik gadu būs vajadzīgas papildu investīcijas 177 miljardu </w:t>
      </w:r>
      <w:proofErr w:type="spellStart"/>
      <w:r w:rsidRPr="001205DB">
        <w:t>euro</w:t>
      </w:r>
      <w:proofErr w:type="spellEnd"/>
      <w:r w:rsidRPr="001205DB">
        <w:t xml:space="preserve"> apmērā. Lielākā investīciju nepietiekamība konstatēta ēku dekarbonizācijas jomā (investīcijās energoefektivitātē un maza mēroga atjaunojamo energoresursu risinājumos), kur kapitāls jānovirza ļoti izkliedētiem projektiem. Viens no apakšprogrammas “Pāreja uz tīru enerģiju” mērķiem ir veidot projektu izstrādes un sakopošanas spēju, tā palīdzot arī apgūt Eiropas strukturālo un investīciju fondu līdzekļus un veicināt investīcijas tīrā enerģijā arī ar </w:t>
      </w:r>
      <w:proofErr w:type="spellStart"/>
      <w:r w:rsidRPr="001205DB">
        <w:rPr>
          <w:i/>
        </w:rPr>
        <w:t>InvestEU</w:t>
      </w:r>
      <w:proofErr w:type="spellEnd"/>
      <w:r w:rsidRPr="001205DB">
        <w:t xml:space="preserve"> finanšu instrumentiem.</w:t>
      </w:r>
    </w:p>
    <w:p w:rsidR="00420329" w:rsidRPr="001205DB" w:rsidRDefault="00420329" w:rsidP="00420329">
      <w:pPr>
        <w:pStyle w:val="Considrant"/>
      </w:pPr>
      <w:r w:rsidRPr="001205DB">
        <w:t xml:space="preserve">Sinerģijai ar “Apvārsnis Eiropa” būtu jānodrošina, ka “Apvārsnis Eiropa” stratēģiskās pētniecības un inovācijas plānošanas procesā tiek apzināts un noteikts, kāda pētniecība un inovācija ir vajadzīga ES vides, klimata un enerģētikas problēmu risināšanai. </w:t>
      </w:r>
      <w:r w:rsidRPr="001205DB">
        <w:rPr>
          <w:i/>
        </w:rPr>
        <w:t>LIFE</w:t>
      </w:r>
      <w:r w:rsidRPr="001205DB">
        <w:t xml:space="preserve"> arī turpmāk vajadzētu būt ES vides, klimata un tīras enerģijas </w:t>
      </w:r>
      <w:proofErr w:type="spellStart"/>
      <w:r w:rsidRPr="001205DB">
        <w:t>rīcībpolitiku</w:t>
      </w:r>
      <w:proofErr w:type="spellEnd"/>
      <w:r w:rsidRPr="001205DB">
        <w:t xml:space="preserve"> un tiesību aktu īstenošanas katalizatoram, cita starpā pārņemot un izmantojot “Apvārsnis Eiropa” pētniecības un inovācijas rezultātus, un tai vajadzētu palīdzēt tos izvērst lielākā mērogā tad, kad tas var palīdzēt risināt problēmas, kas saistītas ar vidi, klimatu vai pāreju uz tīru enerģiju. “Apvārsnis Eiropa” Eiropas Inovācijas padome var palīdzēt lielākā mērogā izvērst un komercializēt jaunas, revolucionāras idejas, kas var nākt gaismā, īstenojot </w:t>
      </w:r>
      <w:r w:rsidRPr="001205DB">
        <w:rPr>
          <w:i/>
        </w:rPr>
        <w:t>LIFE</w:t>
      </w:r>
      <w:r w:rsidRPr="001205DB">
        <w:t xml:space="preserve"> projektus.</w:t>
      </w:r>
    </w:p>
    <w:p w:rsidR="00FE5E44" w:rsidRPr="001205DB" w:rsidRDefault="00FE5E44" w:rsidP="00FE5E44">
      <w:pPr>
        <w:pStyle w:val="Considrant"/>
      </w:pPr>
      <w:r w:rsidRPr="001205DB">
        <w:t xml:space="preserve">Darbība, kurai Programmā piešķirts finansējums, var saņemt finansējumu arī no jebkuras citas Savienības programmas ar noteikumu, ka finansējums neattiecas uz tām pašām izmaksām. Darbības, kas saņem kumulatīvo finansējumu no dažādām Savienības programmām, revidē tikai vienreiz, šajā revīzijā aptverot visas attiecīgās programmas un attiecīgos piemērojamos noteikumus. </w:t>
      </w:r>
    </w:p>
    <w:p w:rsidR="00BC4458" w:rsidRPr="001205DB" w:rsidRDefault="00B102C3" w:rsidP="00D63772">
      <w:pPr>
        <w:pStyle w:val="Considrant"/>
      </w:pPr>
      <w:r w:rsidRPr="001205DB">
        <w:t>Savienības jaunākā vides politikas īstenošanas pārskata pakete</w:t>
      </w:r>
      <w:r w:rsidRPr="001205DB">
        <w:rPr>
          <w:rStyle w:val="FootnoteReference"/>
        </w:rPr>
        <w:footnoteReference w:id="22"/>
      </w:r>
      <w:r w:rsidRPr="001205DB">
        <w:t xml:space="preserve"> liecina, ka ir vēl daudz jāizdara, lai paātrinātu Savienības vides </w:t>
      </w:r>
      <w:proofErr w:type="spellStart"/>
      <w:r w:rsidRPr="001205DB">
        <w:rPr>
          <w:i/>
        </w:rPr>
        <w:t>acquis</w:t>
      </w:r>
      <w:proofErr w:type="spellEnd"/>
      <w:r w:rsidRPr="001205DB">
        <w:t xml:space="preserve"> īstenošanu un pastiprinātu </w:t>
      </w:r>
      <w:proofErr w:type="spellStart"/>
      <w:r w:rsidRPr="001205DB">
        <w:t>vidisko</w:t>
      </w:r>
      <w:proofErr w:type="spellEnd"/>
      <w:r w:rsidRPr="001205DB">
        <w:t xml:space="preserve"> un klimatisko mērķu integrāciju citās </w:t>
      </w:r>
      <w:proofErr w:type="spellStart"/>
      <w:r w:rsidRPr="001205DB">
        <w:t>rīcībpolitikās</w:t>
      </w:r>
      <w:proofErr w:type="spellEnd"/>
      <w:r w:rsidRPr="001205DB">
        <w:t xml:space="preserve">. Tāpēc Programmai vajadzētu būt katalizatoram, kas ļauj panākt vajadzīgo progresu, izstrādājot, testējot un atkārtojot jaunas pieejas, atbalstot </w:t>
      </w:r>
      <w:proofErr w:type="spellStart"/>
      <w:r w:rsidRPr="001205DB">
        <w:t>rīcībpolitiku</w:t>
      </w:r>
      <w:proofErr w:type="spellEnd"/>
      <w:r w:rsidRPr="001205DB">
        <w:t xml:space="preserve"> izstrādi, uzraudzību un caurskatīšanu, veicinot ieinteresēto personu iesaisti, mobilizējot investīcijas no dažādām Savienības investīciju programmām vai citiem finansējuma avotiem un atbalstot pasākumus, kas ļaus pārvarēt dažādos šķēršļus, kas liedz rezultatīvi īstenot svarīgus vides tiesību aktos noteiktus plānus. </w:t>
      </w:r>
    </w:p>
    <w:p w:rsidR="00BC4458" w:rsidRPr="001205DB" w:rsidRDefault="00BC4458" w:rsidP="00E25E61">
      <w:pPr>
        <w:pStyle w:val="Considrant"/>
      </w:pPr>
      <w:r w:rsidRPr="001205DB">
        <w:t xml:space="preserve">Lai apturētu </w:t>
      </w:r>
      <w:proofErr w:type="spellStart"/>
      <w:r w:rsidRPr="001205DB">
        <w:t>biodaudzveidības</w:t>
      </w:r>
      <w:proofErr w:type="spellEnd"/>
      <w:r w:rsidRPr="001205DB">
        <w:t xml:space="preserve"> zudumu un </w:t>
      </w:r>
      <w:proofErr w:type="spellStart"/>
      <w:r w:rsidRPr="001205DB">
        <w:t>biodaudzveidību</w:t>
      </w:r>
      <w:proofErr w:type="spellEnd"/>
      <w:r w:rsidRPr="001205DB">
        <w:t xml:space="preserve"> atjaunotu, arī jūras ekosistēmās, ir vajadzīgs atbalsts relevantu Savienības tiesību aktu un </w:t>
      </w:r>
      <w:proofErr w:type="spellStart"/>
      <w:r w:rsidRPr="001205DB">
        <w:t>rīcībpolitiku</w:t>
      </w:r>
      <w:proofErr w:type="spellEnd"/>
      <w:r w:rsidRPr="001205DB">
        <w:t xml:space="preserve"> izstrādei, īstenošanai, izpildes panākšanai un novērtēšanai; jāatbalsta tādas </w:t>
      </w:r>
      <w:proofErr w:type="spellStart"/>
      <w:r w:rsidRPr="001205DB">
        <w:t>rīcībpolitikas</w:t>
      </w:r>
      <w:proofErr w:type="spellEnd"/>
      <w:r w:rsidRPr="001205DB">
        <w:t xml:space="preserve"> un tiesību akti kā ES bioloģiskās daudzveidības stratēģija līdz 2020. gadam</w:t>
      </w:r>
      <w:r w:rsidRPr="001205DB">
        <w:rPr>
          <w:rStyle w:val="FootnoteReference"/>
        </w:rPr>
        <w:footnoteReference w:id="23"/>
      </w:r>
      <w:r w:rsidRPr="001205DB">
        <w:t>, Padomes Direktīva 92/43/EEK</w:t>
      </w:r>
      <w:r w:rsidRPr="001205DB">
        <w:rPr>
          <w:rStyle w:val="FootnoteReference"/>
        </w:rPr>
        <w:footnoteReference w:id="24"/>
      </w:r>
      <w:r w:rsidRPr="001205DB">
        <w:t xml:space="preserve"> un Eiropas Parlamenta un Padomes </w:t>
      </w:r>
      <w:r w:rsidRPr="001205DB">
        <w:lastRenderedPageBreak/>
        <w:t>Direktīva 2009/147/EK</w:t>
      </w:r>
      <w:r w:rsidRPr="001205DB">
        <w:rPr>
          <w:rStyle w:val="FootnoteReference"/>
        </w:rPr>
        <w:footnoteReference w:id="25"/>
      </w:r>
      <w:r w:rsidRPr="001205DB">
        <w:t xml:space="preserve"> un Eiropas Parlamenta un Padomes Regula (ES) 1143/2014</w:t>
      </w:r>
      <w:r w:rsidRPr="001205DB">
        <w:rPr>
          <w:rStyle w:val="FootnoteReference"/>
        </w:rPr>
        <w:footnoteReference w:id="26"/>
      </w:r>
      <w:r w:rsidRPr="001205DB">
        <w:t xml:space="preserve">, it īpaši veidojot zināšanu bāzi </w:t>
      </w:r>
      <w:proofErr w:type="spellStart"/>
      <w:r w:rsidRPr="001205DB">
        <w:t>rīcībpolitiku</w:t>
      </w:r>
      <w:proofErr w:type="spellEnd"/>
      <w:r w:rsidRPr="001205DB">
        <w:t xml:space="preserve"> izstrādei un īstenošanai un mazā mērogā vai pielāgoti konkrētai vietējai, reģionālai vai nacionālai situācijai izstrādājot, testējot, demonstrējot un izmantojot </w:t>
      </w:r>
      <w:proofErr w:type="spellStart"/>
      <w:r w:rsidRPr="001205DB">
        <w:t>paraugprakses</w:t>
      </w:r>
      <w:proofErr w:type="spellEnd"/>
      <w:r w:rsidRPr="001205DB">
        <w:t xml:space="preserve"> un </w:t>
      </w:r>
      <w:proofErr w:type="spellStart"/>
      <w:r w:rsidRPr="001205DB">
        <w:t>paraugrisinājumus</w:t>
      </w:r>
      <w:proofErr w:type="spellEnd"/>
      <w:r w:rsidRPr="001205DB">
        <w:t xml:space="preserve">, arī integrētas pieejas to prioritārās rīcības satvaru īstenošanai, kas sagatavoti uz Direktīvas 92/43/EEK pamata. Savienībai būtu jāseko saviem ar </w:t>
      </w:r>
      <w:proofErr w:type="spellStart"/>
      <w:r w:rsidRPr="001205DB">
        <w:t>biodaudzveidību</w:t>
      </w:r>
      <w:proofErr w:type="spellEnd"/>
      <w:r w:rsidRPr="001205DB">
        <w:t xml:space="preserve"> saistītajiem izdevumiem, lai tā varētu izpildīt Konvencijā par bioloģisko daudzveidību paredzētos ziņošanas pienākumus. Būtu jāizpilda arī citos relevantajos Savienības tiesību aktos noteiktās izsekošanas prasības. </w:t>
      </w:r>
    </w:p>
    <w:p w:rsidR="00320C11" w:rsidRPr="001205DB" w:rsidRDefault="00857144" w:rsidP="00210E5F">
      <w:pPr>
        <w:pStyle w:val="Considrant"/>
      </w:pPr>
      <w:r w:rsidRPr="001205DB">
        <w:t xml:space="preserve">Nesenie izvērtējumi un novērtējumi, arī ES bioloģiskās daudzveidības stratēģijas līdz 2020. gadam </w:t>
      </w:r>
      <w:proofErr w:type="spellStart"/>
      <w:r w:rsidRPr="001205DB">
        <w:t>vidusposma</w:t>
      </w:r>
      <w:proofErr w:type="spellEnd"/>
      <w:r w:rsidRPr="001205DB">
        <w:t xml:space="preserve"> pārskats un dabas tiesību aktu atbilstības pārbaude, liecina, ka viens no galvenajiem pamatcēloņiem, kāpēc Savienības dabas tiesību akti un </w:t>
      </w:r>
      <w:proofErr w:type="spellStart"/>
      <w:r w:rsidRPr="001205DB">
        <w:t>biodaudzveidības</w:t>
      </w:r>
      <w:proofErr w:type="spellEnd"/>
      <w:r w:rsidRPr="001205DB">
        <w:t xml:space="preserve"> stratēģija nav īstenoti pietiekamā mērā, ir pienācīga finansējuma trūkums. Ievērojamu ieguldījumu minēto vajadzību apmierināšanā var dot galvenie Savienības finansēšanas instrumenti, tostarp [Eiropas Reģionālās attīstības fonds, Kohēzijas fonds, Eiropas Lauksaimniecības fonds lauku attīstībai un Eiropas Jūrlietu un zivsaimniecības fonds]. Programma šādas integrējošas pieejas efektivitāti var vēl uzlabot ar stratēģiskiem dabas projektiem, kas veltīti Savienības dabas un </w:t>
      </w:r>
      <w:proofErr w:type="spellStart"/>
      <w:r w:rsidRPr="001205DB">
        <w:t>biodaudzveidības</w:t>
      </w:r>
      <w:proofErr w:type="spellEnd"/>
      <w:r w:rsidRPr="001205DB">
        <w:t xml:space="preserve"> tiesību aktu un </w:t>
      </w:r>
      <w:proofErr w:type="spellStart"/>
      <w:r w:rsidRPr="001205DB">
        <w:t>rīcībpolitiku</w:t>
      </w:r>
      <w:proofErr w:type="spellEnd"/>
      <w:r w:rsidRPr="001205DB">
        <w:t xml:space="preserve"> īstenošanas veicināšanai, arī darbībām, kuras paredzētas saskaņā ar Direktīvu 92/43/EEK izstrādātajos prioritārās rīcības satvaros. Stratēģiskajiem dabas projektiem būtu dalībvalstīs jāatbalsta rīcības programmas relevanto dabas un </w:t>
      </w:r>
      <w:proofErr w:type="spellStart"/>
      <w:r w:rsidRPr="001205DB">
        <w:t>biodaudzveidības</w:t>
      </w:r>
      <w:proofErr w:type="spellEnd"/>
      <w:r w:rsidRPr="001205DB">
        <w:t xml:space="preserve"> mērķu integrēšanai citās </w:t>
      </w:r>
      <w:proofErr w:type="spellStart"/>
      <w:r w:rsidRPr="001205DB">
        <w:t>rīcībpolitikās</w:t>
      </w:r>
      <w:proofErr w:type="spellEnd"/>
      <w:r w:rsidRPr="001205DB">
        <w:t xml:space="preserve"> un finansēšanas programmās, tā nodrošinot, ka šo </w:t>
      </w:r>
      <w:proofErr w:type="spellStart"/>
      <w:r w:rsidRPr="001205DB">
        <w:t>rīcībpolitiku</w:t>
      </w:r>
      <w:proofErr w:type="spellEnd"/>
      <w:r w:rsidRPr="001205DB">
        <w:t xml:space="preserve"> īstenošanai tiek mobilizēti vajadzīgie līdzekļi. Dalībvalstis savos kopējās lauksaimniecības politikas stratēģiskajos plānos var nolemt zināmu Eiropas Lauksaimniecības fonda lauku attīstībai piešķīruma daļu izmantot tam, lai piesaistītu atbalstu darbībām, kas ir komplementāras šajā regulā definētajiem stratēģiskajiem dabas projektiem.</w:t>
      </w:r>
    </w:p>
    <w:p w:rsidR="00073827" w:rsidRPr="001205DB" w:rsidRDefault="00073827" w:rsidP="001D5E74">
      <w:pPr>
        <w:pStyle w:val="Considrant"/>
      </w:pPr>
      <w:r w:rsidRPr="001205DB">
        <w:t>Brīvprātīgā shēma “Bioloģiskā daudzveidība un ekosistēmu pakalpojumi Eiropas aizjūras teritorijās” (</w:t>
      </w:r>
      <w:r w:rsidRPr="001205DB">
        <w:rPr>
          <w:i/>
        </w:rPr>
        <w:t>BEST</w:t>
      </w:r>
      <w:r w:rsidRPr="001205DB">
        <w:t xml:space="preserve">) veicina </w:t>
      </w:r>
      <w:proofErr w:type="spellStart"/>
      <w:r w:rsidRPr="001205DB">
        <w:t>biodaudzveidības</w:t>
      </w:r>
      <w:proofErr w:type="spellEnd"/>
      <w:r w:rsidRPr="001205DB">
        <w:t xml:space="preserve">, arī jūras </w:t>
      </w:r>
      <w:proofErr w:type="spellStart"/>
      <w:r w:rsidRPr="001205DB">
        <w:t>biodaudzveidības</w:t>
      </w:r>
      <w:proofErr w:type="spellEnd"/>
      <w:r w:rsidRPr="001205DB">
        <w:t xml:space="preserve">, saglabāšanu un ekosistēmu pakalpojumu ilgtspējīgu izmantošanu, arī ekosistēmās balstītas pieejas </w:t>
      </w:r>
      <w:proofErr w:type="spellStart"/>
      <w:r w:rsidRPr="001205DB">
        <w:t>klimatadaptācijai</w:t>
      </w:r>
      <w:proofErr w:type="spellEnd"/>
      <w:r w:rsidRPr="001205DB">
        <w:t xml:space="preserve"> un klimata pārmaiņu mazināšanai, Savienības tālākajos reģionos un aizjūras zemēs un teritorijās. Shēma </w:t>
      </w:r>
      <w:r w:rsidRPr="001205DB">
        <w:rPr>
          <w:i/>
        </w:rPr>
        <w:t>BEST</w:t>
      </w:r>
      <w:r w:rsidRPr="001205DB">
        <w:t xml:space="preserve"> ir palīdzējusi vairot izpratni par tālāko reģionu un aizjūras zemju un teritoriju ekoloģisko nozīmi pasaules </w:t>
      </w:r>
      <w:proofErr w:type="spellStart"/>
      <w:r w:rsidRPr="001205DB">
        <w:t>biodaudzveidības</w:t>
      </w:r>
      <w:proofErr w:type="spellEnd"/>
      <w:r w:rsidRPr="001205DB">
        <w:t xml:space="preserve"> saglabāšanā. Aizjūras zemes un teritorijas šo mazo </w:t>
      </w:r>
      <w:proofErr w:type="spellStart"/>
      <w:r w:rsidRPr="001205DB">
        <w:t>biodaudzveidības</w:t>
      </w:r>
      <w:proofErr w:type="spellEnd"/>
      <w:r w:rsidRPr="001205DB">
        <w:t xml:space="preserve"> dotāciju shēmu augstu novērtējušas savās 2017. un 2018. gada ministru deklarācijās. Ir lietderīgi arī turpmāk atļaut no Programmas finansēt mazas </w:t>
      </w:r>
      <w:proofErr w:type="spellStart"/>
      <w:r w:rsidRPr="001205DB">
        <w:t>biodaudzveidības</w:t>
      </w:r>
      <w:proofErr w:type="spellEnd"/>
      <w:r w:rsidRPr="001205DB">
        <w:t xml:space="preserve"> dotācijas gan tālākajos reģionos, gan aizjūras zemēs un teritorijās.</w:t>
      </w:r>
    </w:p>
    <w:p w:rsidR="00073827" w:rsidRPr="001205DB" w:rsidRDefault="00073827" w:rsidP="00252AF5">
      <w:pPr>
        <w:pStyle w:val="Considrant"/>
      </w:pPr>
      <w:r w:rsidRPr="001205DB">
        <w:t xml:space="preserve">Lai aizvien vairāk ieietos aprites ekonomika, par materiālu un produktu, arī plastmasas, projektēšanu, ražošanu, patēriņu un likvidēšanu ir jāsāk domāt citādi. Programmai būtu jāveicina pāreja uz aprites ekonomiku, sniedzot finansiālu atbalstu dažādiem </w:t>
      </w:r>
      <w:proofErr w:type="spellStart"/>
      <w:r w:rsidRPr="001205DB">
        <w:t>aktoriem</w:t>
      </w:r>
      <w:proofErr w:type="spellEnd"/>
      <w:r w:rsidRPr="001205DB">
        <w:t xml:space="preserve"> (uzņēmumiem, publiskajām iestādēm un patērētājiem), it sevišķi </w:t>
      </w:r>
      <w:r w:rsidRPr="001205DB">
        <w:lastRenderedPageBreak/>
        <w:t xml:space="preserve">izmantojot, izstrādājot un pārņemot konkrētām vietējām, reģionālām un nacionālām situācijām pielāgotas </w:t>
      </w:r>
      <w:proofErr w:type="spellStart"/>
      <w:r w:rsidRPr="001205DB">
        <w:t>paraugtehnoloģijas</w:t>
      </w:r>
      <w:proofErr w:type="spellEnd"/>
      <w:r w:rsidRPr="001205DB">
        <w:t xml:space="preserve">, </w:t>
      </w:r>
      <w:proofErr w:type="spellStart"/>
      <w:r w:rsidRPr="001205DB">
        <w:t>paraugprakses</w:t>
      </w:r>
      <w:proofErr w:type="spellEnd"/>
      <w:r w:rsidRPr="001205DB">
        <w:t xml:space="preserve"> un </w:t>
      </w:r>
      <w:proofErr w:type="spellStart"/>
      <w:r w:rsidRPr="001205DB">
        <w:t>paraugrisinājumus</w:t>
      </w:r>
      <w:proofErr w:type="spellEnd"/>
      <w:r w:rsidRPr="001205DB">
        <w:t xml:space="preserve">, tostarp integrētas pieejas atkritumu apsaimniekošanas un to rašanās novēršanas plānu īstenošanai. Atbalstot plastmasu stratēģijas īstenošanu, var īpaši cīnīties pret jūras </w:t>
      </w:r>
      <w:proofErr w:type="spellStart"/>
      <w:r w:rsidRPr="001205DB">
        <w:t>piedrazojuma</w:t>
      </w:r>
      <w:proofErr w:type="spellEnd"/>
      <w:r w:rsidRPr="001205DB">
        <w:t xml:space="preserve"> problēmu.</w:t>
      </w:r>
    </w:p>
    <w:p w:rsidR="00161E03" w:rsidRPr="001205DB" w:rsidRDefault="00161E03" w:rsidP="00B127E6">
      <w:pPr>
        <w:pStyle w:val="Considrant"/>
      </w:pPr>
      <w:r w:rsidRPr="001205DB">
        <w:t xml:space="preserve">Gaisa </w:t>
      </w:r>
      <w:proofErr w:type="spellStart"/>
      <w:r w:rsidRPr="001205DB">
        <w:t>rīcībpolitikas</w:t>
      </w:r>
      <w:proofErr w:type="spellEnd"/>
      <w:r w:rsidRPr="001205DB">
        <w:t xml:space="preserve"> jomā Savienības ilgtermiņa mērķis ir panākt tādu gaisa kvalitātes līmeni, kas neatstātu būtisku negatīvu ietekmi uz cilvēka veselību un to nepakļautu riskam. Sabiedrība gaisa piesārņojumu labi apzinās, un iedzīvotāji no iestādēm gaida rīcību. Eiropas Parlamenta un Padomes Direktīva (ES) 2016/2284</w:t>
      </w:r>
      <w:r w:rsidRPr="001205DB">
        <w:rPr>
          <w:rStyle w:val="FootnoteReference"/>
        </w:rPr>
        <w:footnoteReference w:id="27"/>
      </w:r>
      <w:r w:rsidRPr="001205DB">
        <w:t xml:space="preserve"> uzsver, cik liela loma tīra gaisa mērķu sasniegšanā var būt Savienības finansējumam. Tāpēc ar Programmu būtu jāatbalsta projekti, arī stratēģiski integrētie projekti, kam ir potenciāls piesaistīt publiskos un privātos līdzekļus, demonstrēt </w:t>
      </w:r>
      <w:proofErr w:type="spellStart"/>
      <w:r w:rsidRPr="001205DB">
        <w:t>paraugprakses</w:t>
      </w:r>
      <w:proofErr w:type="spellEnd"/>
      <w:r w:rsidRPr="001205DB">
        <w:t xml:space="preserve"> un veicināt gaisa kvalitātes plānu un tiesību aktu īstenošanu vietējā, reģionālā, </w:t>
      </w:r>
      <w:proofErr w:type="spellStart"/>
      <w:r w:rsidRPr="001205DB">
        <w:t>starpreģionālā</w:t>
      </w:r>
      <w:proofErr w:type="spellEnd"/>
      <w:r w:rsidRPr="001205DB">
        <w:t>, nacionālā un transnacionālā līmenī.</w:t>
      </w:r>
    </w:p>
    <w:p w:rsidR="00161E03" w:rsidRPr="001205DB" w:rsidRDefault="00161E03" w:rsidP="00161E03">
      <w:pPr>
        <w:pStyle w:val="Considrant"/>
      </w:pPr>
      <w:r w:rsidRPr="001205DB">
        <w:t>Ar Direktīvu 2000/60/EK tika izveidots Savienības virszemes ūdeņu, piekrastes ūdeņu, pārejas ūdeņu un pazemes ūdeņu aizsardzības satvars. Direktīvas mērķus atbalsta Eiropas ūdens resursu aizsardzības konceptuālais plāns</w:t>
      </w:r>
      <w:r w:rsidRPr="001205DB">
        <w:rPr>
          <w:rStyle w:val="FootnoteReference"/>
        </w:rPr>
        <w:footnoteReference w:id="28"/>
      </w:r>
      <w:r w:rsidRPr="001205DB">
        <w:t xml:space="preserve">, kas aicina ūdens resursu </w:t>
      </w:r>
      <w:proofErr w:type="spellStart"/>
      <w:r w:rsidRPr="001205DB">
        <w:t>rīcībpolitikas</w:t>
      </w:r>
      <w:proofErr w:type="spellEnd"/>
      <w:r w:rsidRPr="001205DB">
        <w:t xml:space="preserve"> mērķus īstenot pilnīgāk un tos vairāk integrēt citās politikas jomās. Tāpēc ar Programmu būtu jāatbalsta projekti, kas palīdz efektīvi īstenot Direktīvu 2000/60/EK un citus Savienības ūdens resursu jomas tiesību aktus, kas palīdz sasniegt labu stāvokli Savienības ūdensobjektos, izmantojot, izstrādājot un pārņemot </w:t>
      </w:r>
      <w:proofErr w:type="spellStart"/>
      <w:r w:rsidRPr="001205DB">
        <w:t>paraugprakses</w:t>
      </w:r>
      <w:proofErr w:type="spellEnd"/>
      <w:r w:rsidRPr="001205DB">
        <w:t>, kā arī organizējot komplementāras darbības citās ES programmās vai piesaistot citus finansējuma avotus.</w:t>
      </w:r>
    </w:p>
    <w:p w:rsidR="00997796" w:rsidRPr="001205DB" w:rsidRDefault="00BF59DF" w:rsidP="006046F9">
      <w:pPr>
        <w:pStyle w:val="Considrant"/>
      </w:pPr>
      <w:r w:rsidRPr="001205DB">
        <w:t xml:space="preserve">Viens no vispārējiem ES vides </w:t>
      </w:r>
      <w:proofErr w:type="spellStart"/>
      <w:r w:rsidRPr="001205DB">
        <w:t>rīcībpolitikas</w:t>
      </w:r>
      <w:proofErr w:type="spellEnd"/>
      <w:r w:rsidRPr="001205DB">
        <w:t xml:space="preserve"> mērķiem ir aizsargāt un atjaunot jūras vidi. Ar Programmu vajadzētu palīdzēt pārvaldīt, saglabāt, atjaunot un </w:t>
      </w:r>
      <w:proofErr w:type="spellStart"/>
      <w:r w:rsidRPr="001205DB">
        <w:t>monitorēt</w:t>
      </w:r>
      <w:proofErr w:type="spellEnd"/>
      <w:r w:rsidRPr="001205DB">
        <w:t xml:space="preserve"> </w:t>
      </w:r>
      <w:proofErr w:type="spellStart"/>
      <w:r w:rsidRPr="001205DB">
        <w:t>biodaudzveidību</w:t>
      </w:r>
      <w:proofErr w:type="spellEnd"/>
      <w:r w:rsidRPr="001205DB">
        <w:t xml:space="preserve"> un jūras ekosistēmas, it sevišķi </w:t>
      </w:r>
      <w:proofErr w:type="spellStart"/>
      <w:r w:rsidRPr="001205DB">
        <w:rPr>
          <w:i/>
        </w:rPr>
        <w:t>Natura</w:t>
      </w:r>
      <w:proofErr w:type="spellEnd"/>
      <w:r w:rsidRPr="001205DB">
        <w:rPr>
          <w:i/>
        </w:rPr>
        <w:t> 2000</w:t>
      </w:r>
      <w:r w:rsidRPr="001205DB">
        <w:t xml:space="preserve"> jūras teritorijas, un aizsargāt sugas saskaņā ar prioritārās rīcības satvariem, kas izstrādāti saskaņā ar Direktīvu 92/43/EEK, panākt labu vides stāvokli saskaņā ar Eiropas Parlamenta un Padomes Direktīvu 2008/56/EK</w:t>
      </w:r>
      <w:r w:rsidRPr="001205DB">
        <w:rPr>
          <w:rStyle w:val="FootnoteReference"/>
        </w:rPr>
        <w:footnoteReference w:id="29"/>
      </w:r>
      <w:r w:rsidRPr="001205DB">
        <w:t xml:space="preserve">, veicināt jūru tīrību un veselību, īstenot Eiropas stratēģiju attiecībā uz plastmasu aprites ekonomikā, jo īpaši nolūkā risināt pazaudētu zvejas rīku un jūras </w:t>
      </w:r>
      <w:proofErr w:type="spellStart"/>
      <w:r w:rsidRPr="001205DB">
        <w:t>piedrazojuma</w:t>
      </w:r>
      <w:proofErr w:type="spellEnd"/>
      <w:r w:rsidRPr="001205DB">
        <w:t xml:space="preserve"> problēmu, un veicināt Savienības iesaisti starptautiskajā okeānu pārvaldībā, kas ir izšķirīgi svarīgi, lai sasniegtu Apvienoto Nāciju Organizācijas Ilgtspējīgas attīstības programmā 2030. gadam izvirzītos mērķus un nākamajām paaudzēm atstātu veselīgus okeānus. Programmas stratēģiskajiem integrētajiem projektiem un stratēģiskajiem dabas projektiem vajadzētu ietvert relevantas darbības, kuru mērķis ir jūras vides aizsardzība. </w:t>
      </w:r>
    </w:p>
    <w:p w:rsidR="00161E03" w:rsidRPr="001205DB" w:rsidRDefault="00161E03" w:rsidP="00B127E6">
      <w:pPr>
        <w:pStyle w:val="Considrant"/>
      </w:pPr>
      <w:r w:rsidRPr="001205DB">
        <w:t xml:space="preserve">Lai uzlabotos pārvaldība vides un klimata pārmaiņu lietās un ar tām saistītās lietās, kas attiecas uz pāreju uz tīru enerģiju, ir jāiesaista pilsoniskā sabiedrība, veicinot sabiedrības informētību un patērētāju iesaisti, un jāpaplašina ieinteresēto personu, tostarp nevalstisko organizāciju, iesaiste konsultācijās par attiecīgajām </w:t>
      </w:r>
      <w:proofErr w:type="spellStart"/>
      <w:r w:rsidRPr="001205DB">
        <w:t>rīcībpolitikām</w:t>
      </w:r>
      <w:proofErr w:type="spellEnd"/>
      <w:r w:rsidRPr="001205DB">
        <w:t xml:space="preserve"> un to īstenošanā.</w:t>
      </w:r>
    </w:p>
    <w:p w:rsidR="00B46EDF" w:rsidRPr="001205DB" w:rsidRDefault="00B46EDF" w:rsidP="00B46EDF">
      <w:pPr>
        <w:pStyle w:val="Considrant"/>
      </w:pPr>
      <w:r w:rsidRPr="001205DB">
        <w:lastRenderedPageBreak/>
        <w:t xml:space="preserve">Pārvaldības uzlabošanai visos līmeņos vajadzētu būt visu Programmas apakšprogrammu transversālam mērķim, un Programmai vajadzētu palīdzēt izstrādāt un attīstīt horizontālo </w:t>
      </w:r>
      <w:proofErr w:type="spellStart"/>
      <w:r w:rsidRPr="001205DB">
        <w:t>vidiskās</w:t>
      </w:r>
      <w:proofErr w:type="spellEnd"/>
      <w:r w:rsidRPr="001205DB">
        <w:t xml:space="preserve"> pārvaldības regulējumu, arī tiesību aktus, ar ko tiktu īstenota Apvienoto Nāciju Organizācijas Eiropas Ekonomikas komisijas (ANO/EEK) Konvencija par pieeju informācijai, sabiedrības dalību lēmumu pieņemšanā un iespēju griezties tiesu iestādēs saistībā ar vides jautājumiem</w:t>
      </w:r>
      <w:r w:rsidRPr="001205DB">
        <w:rPr>
          <w:rStyle w:val="FootnoteReference"/>
        </w:rPr>
        <w:footnoteReference w:id="30"/>
      </w:r>
      <w:r w:rsidRPr="001205DB">
        <w:t>.</w:t>
      </w:r>
    </w:p>
    <w:p w:rsidR="00B46EDF" w:rsidRPr="001205DB" w:rsidRDefault="00B46EDF" w:rsidP="00C662B4">
      <w:pPr>
        <w:pStyle w:val="Considrant"/>
      </w:pPr>
      <w:r w:rsidRPr="001205DB">
        <w:t xml:space="preserve">Programmai tirgus dalībnieki būtu jāsagatavo pārejai uz tīru, </w:t>
      </w:r>
      <w:proofErr w:type="spellStart"/>
      <w:r w:rsidRPr="001205DB">
        <w:t>energoefektīvu</w:t>
      </w:r>
      <w:proofErr w:type="spellEnd"/>
      <w:r w:rsidRPr="001205DB">
        <w:t xml:space="preserve"> un </w:t>
      </w:r>
      <w:proofErr w:type="spellStart"/>
      <w:r w:rsidRPr="001205DB">
        <w:t>klimatnoturīgu</w:t>
      </w:r>
      <w:proofErr w:type="spellEnd"/>
      <w:r w:rsidRPr="001205DB">
        <w:t xml:space="preserve"> </w:t>
      </w:r>
      <w:proofErr w:type="spellStart"/>
      <w:r w:rsidRPr="001205DB">
        <w:t>mazoglekļa</w:t>
      </w:r>
      <w:proofErr w:type="spellEnd"/>
      <w:r w:rsidRPr="001205DB">
        <w:t xml:space="preserve"> aprites ekonomiku un tie šajā pārejā jāatbalsta, izmēģinot jaunas </w:t>
      </w:r>
      <w:proofErr w:type="spellStart"/>
      <w:r w:rsidRPr="001205DB">
        <w:t>darījumdarbības</w:t>
      </w:r>
      <w:proofErr w:type="spellEnd"/>
      <w:r w:rsidRPr="001205DB">
        <w:t xml:space="preserve"> iespējas, uzlabojot profesionālās prasmes, atvieglojot patērētāju piekļuvi ilgtspējīgiem produktiem un pakalpojumiem, iesaistot un iespēcinot sabiedriskās domas iespaidotājus un izmēģinot jaunas metodes, kā pielāgot esošos procesus un </w:t>
      </w:r>
      <w:proofErr w:type="spellStart"/>
      <w:r w:rsidRPr="001205DB">
        <w:t>darījumdarbības</w:t>
      </w:r>
      <w:proofErr w:type="spellEnd"/>
      <w:r w:rsidRPr="001205DB">
        <w:t xml:space="preserve"> vidi. Lai atbalstītu ilgtspējīgu risinājumu plašāku ieviešanos tirgū, jācenšas panākt to pieņemšana sabiedrībā un patērētāju iesaiste.</w:t>
      </w:r>
    </w:p>
    <w:p w:rsidR="00261C11" w:rsidRPr="001205DB" w:rsidRDefault="001138C5" w:rsidP="00D63772">
      <w:pPr>
        <w:pStyle w:val="Considrant"/>
      </w:pPr>
      <w:r w:rsidRPr="001205DB">
        <w:t xml:space="preserve">Savienības līmenī lielas investīcijas vides un klimata pasākumos tiek galvenokārt finansētas no lielām Savienības finansēšanas programmām (integrēšana). Programmas ietvaros izstrādātajiem stratēģiskajiem integrētajiem projektiem un stratēģiskajiem dabas projektiem, kam ir katalītiska loma, būtu jāizmanto šo finansēšanas programmu un citu finansējuma avotu, </w:t>
      </w:r>
      <w:proofErr w:type="spellStart"/>
      <w:r w:rsidRPr="001205DB">
        <w:t>piem</w:t>
      </w:r>
      <w:proofErr w:type="spellEnd"/>
      <w:r w:rsidRPr="001205DB">
        <w:t>., valsts fondu, sniegtās finansējuma saņemšanas iespējas un jāveido sinerģijas.</w:t>
      </w:r>
    </w:p>
    <w:p w:rsidR="00A35610" w:rsidRPr="001205DB" w:rsidRDefault="00A659A3" w:rsidP="005160EB">
      <w:pPr>
        <w:pStyle w:val="Considrant"/>
      </w:pPr>
      <w:r w:rsidRPr="001205DB">
        <w:t xml:space="preserve">Ņemot vērā, cik svarīgi ir cīnīties pret klimata pārmaiņām atbilstoši Savienības pienākumam īstenot Parīzes nolīgumu un sasniegt Apvienoto Nāciju Organizācijas ilgtspējīgas attīstības mērķus, Programma palīdzēs klimata pasākumus pilnīgāk integrēt citās politikas jomās un panākt vispārējo </w:t>
      </w:r>
      <w:proofErr w:type="spellStart"/>
      <w:r w:rsidRPr="001205DB">
        <w:t>mērķrādītāju</w:t>
      </w:r>
      <w:proofErr w:type="spellEnd"/>
      <w:r w:rsidRPr="001205DB">
        <w:t xml:space="preserve">, ka vismaz 25 % ES budžeta izdevumu dotu ieguldījumu klimatisko mērķu sasniegšanā. Paredzams, ka Programmas pasākumu ieguldījums klimatisko mērķu sasniegšanā būs 61 % no Programmas kopējā līdzekļu apjoma. Relevantās darbības tiks apzinātas Programmas sagatavošanā un īstenošanā un vēlreiz novērtētas relevanto izvērtēšanas un caurskatīšanas procesu kontekstā. </w:t>
      </w:r>
    </w:p>
    <w:p w:rsidR="00EA72CB" w:rsidRPr="001205DB" w:rsidRDefault="00EA72CB" w:rsidP="00B127E6">
      <w:pPr>
        <w:pStyle w:val="Considrant"/>
      </w:pPr>
      <w:r w:rsidRPr="001205DB">
        <w:t>Programmu īstenojot, pienācīga uzmanība būtu jāveltī tālāko reģionu stratēģijai</w:t>
      </w:r>
      <w:r w:rsidRPr="001205DB">
        <w:rPr>
          <w:rStyle w:val="FootnoteReference"/>
        </w:rPr>
        <w:footnoteReference w:id="31"/>
      </w:r>
      <w:r w:rsidRPr="001205DB">
        <w:t xml:space="preserve">, ņemot vērā LESD 349. pantu un šo reģionu īpašās vajadzības un neaizsargātību. Būtu jāņem vērā arī Savienības </w:t>
      </w:r>
      <w:proofErr w:type="spellStart"/>
      <w:r w:rsidRPr="001205DB">
        <w:t>rīcībpolitikas</w:t>
      </w:r>
      <w:proofErr w:type="spellEnd"/>
      <w:r w:rsidRPr="001205DB">
        <w:t xml:space="preserve">, kas nav vides, klimata un relevantās tīras enerģētikas </w:t>
      </w:r>
      <w:proofErr w:type="spellStart"/>
      <w:r w:rsidRPr="001205DB">
        <w:t>rīcībpolitikas</w:t>
      </w:r>
      <w:proofErr w:type="spellEnd"/>
      <w:r w:rsidRPr="001205DB">
        <w:t>.</w:t>
      </w:r>
    </w:p>
    <w:p w:rsidR="00D071EC" w:rsidRPr="001205DB" w:rsidRDefault="008C7521" w:rsidP="008B5FD8">
      <w:pPr>
        <w:pStyle w:val="Considrant"/>
      </w:pPr>
      <w:r w:rsidRPr="001205DB">
        <w:t xml:space="preserve">Atbalstot Programmas īstenošanu, Komisijai būtu jāsadarbojas ar Programmas valsts kontaktpunktiem, jāorganizē semināri un darbsemināri, jāpublicē saraksti ar Programmas ietvaros finansētajiem projektiem vai jāveic citas darbības, kas orientētas uz projektu rezultātu izplatīšanu, pieredzes, zināšanu un </w:t>
      </w:r>
      <w:proofErr w:type="spellStart"/>
      <w:r w:rsidRPr="001205DB">
        <w:t>paraugprakses</w:t>
      </w:r>
      <w:proofErr w:type="spellEnd"/>
      <w:r w:rsidRPr="001205DB">
        <w:t xml:space="preserve"> apmaiņas veicināšanu un projektu rezultātu atkārtošanu visā Savienībā. Šādas darbības it sevišķi jāorientē uz dalībvalstīm, kas apgūst maz līdzekļu, un jāveicina saziņa un sadarbība starp projektu labuma guvējiem, pieteikumu iesniedzējiem vai ieinteresētajām personām, kas iesaistīti pabeigtos un vēl noritošos projektos tajā pašā jomā.</w:t>
      </w:r>
    </w:p>
    <w:p w:rsidR="00023108" w:rsidRPr="001205DB" w:rsidRDefault="00C1588D" w:rsidP="00814C6B">
      <w:pPr>
        <w:pStyle w:val="Considrant"/>
      </w:pPr>
      <w:r w:rsidRPr="001205DB">
        <w:t>Lai veicinātu sadarbību starp dalībvalstīm, ir izveidots Eiropas Savienības Vides tiesību aktu īstenošanas un izpildes nodrošināšanas tīkls (</w:t>
      </w:r>
      <w:r w:rsidRPr="001205DB">
        <w:rPr>
          <w:i/>
        </w:rPr>
        <w:t>IMPEL</w:t>
      </w:r>
      <w:r w:rsidRPr="001205DB">
        <w:t>), Eiropas Prokuroru tīkls vides tiesībaizsardzībai (</w:t>
      </w:r>
      <w:r w:rsidRPr="001205DB">
        <w:rPr>
          <w:i/>
        </w:rPr>
        <w:t>ENPE</w:t>
      </w:r>
      <w:r w:rsidRPr="001205DB">
        <w:t>) un ES Tiesnešu forums vides tiesībaizsardzībai (</w:t>
      </w:r>
      <w:r w:rsidRPr="001205DB">
        <w:rPr>
          <w:i/>
        </w:rPr>
        <w:t>EUFJE</w:t>
      </w:r>
      <w:r w:rsidRPr="001205DB">
        <w:t xml:space="preserve">), un tiem ir unikāla loma Savienības vides tiesību aktu izpildes panākšanā. </w:t>
      </w:r>
      <w:r w:rsidRPr="001205DB">
        <w:lastRenderedPageBreak/>
        <w:t xml:space="preserve">Tie ievērojamā mērā palīdz panākt, ka Savienības vides tiesību akti visā Savienībā tiek īstenoti un to izpilde tiek panākta saskanīgi, izvairoties no konkurences izkropļojumiem, palīdz uzlabot </w:t>
      </w:r>
      <w:proofErr w:type="spellStart"/>
      <w:r w:rsidRPr="001205DB">
        <w:t>vidisko</w:t>
      </w:r>
      <w:proofErr w:type="spellEnd"/>
      <w:r w:rsidRPr="001205DB">
        <w:t xml:space="preserve"> inspekciju un tiesībaizsardzības mehānismu kvalitāti ar tīklu sistēmu gan Savienības, gan dalībvalstu līmenī un nodrošina apmaiņu ar informāciju un pieredzi dažādos pārvaldes līmeņos, kā arī ar mācībām un detalizētām diskusijām par vides jautājumiem un izpildes panākšanas aspektiem, tostarp uzraudzības un atļauju piešķiršanas procesiem. Ņemot vērā to ieguldījumu Programmas mērķu sasniegšanā, ir lietderīgi atļaut dotācijas </w:t>
      </w:r>
      <w:r w:rsidRPr="001205DB">
        <w:rPr>
          <w:i/>
        </w:rPr>
        <w:t>IMPEL</w:t>
      </w:r>
      <w:r w:rsidRPr="001205DB">
        <w:t xml:space="preserve">, </w:t>
      </w:r>
      <w:r w:rsidRPr="001205DB">
        <w:rPr>
          <w:i/>
        </w:rPr>
        <w:t>ENPE</w:t>
      </w:r>
      <w:r w:rsidRPr="001205DB">
        <w:t xml:space="preserve"> un </w:t>
      </w:r>
      <w:r w:rsidRPr="001205DB">
        <w:rPr>
          <w:i/>
        </w:rPr>
        <w:t>EUFJE</w:t>
      </w:r>
      <w:r w:rsidRPr="001205DB">
        <w:t xml:space="preserve"> piešķirt bez uzaicinājuma iesniegt priekšlikumus, lai arī turpmāk sniegtu atbalstu šo apvienību darbībām. Uzaicinājums var nebūt obligāts arī citos gadījumos, kas atbilst Finanšu regulas vispārīgajām prasībām, </w:t>
      </w:r>
      <w:proofErr w:type="spellStart"/>
      <w:r w:rsidRPr="001205DB">
        <w:t>piem</w:t>
      </w:r>
      <w:proofErr w:type="spellEnd"/>
      <w:r w:rsidRPr="001205DB">
        <w:t xml:space="preserve">., attiecībā uz dalībvalstu ieceltām struktūrām, par kuru darbību tās atbild, ja attiecīgās dalībvalstis ir identificētas kā dotācijas labuma guvējas ar Savienības tiesību aktu. </w:t>
      </w:r>
    </w:p>
    <w:p w:rsidR="00C5603D" w:rsidRPr="001205DB" w:rsidRDefault="00872251" w:rsidP="00C5603D">
      <w:pPr>
        <w:pStyle w:val="Considrant"/>
      </w:pPr>
      <w:r w:rsidRPr="001205DB">
        <w:t>Ir lietderīgi noteikt Programmas finansējumu, kas Eiropas Parlamentam un Padomei ikgadējās budžeta procedūras laikā ir galvenā atsauces summa atbilstīgi 17. punktam Eiropas Parlamenta, Padomes un Komisijas 2013. gada 2. decembra Iestāžu nolīgumā par budžeta disciplīnu, sadarbību budžeta jautājumos un pareizu finanšu pārvaldību</w:t>
      </w:r>
      <w:r w:rsidRPr="001205DB">
        <w:rPr>
          <w:rStyle w:val="FootnoteReference"/>
        </w:rPr>
        <w:footnoteReference w:id="32"/>
      </w:r>
      <w:r w:rsidRPr="001205DB">
        <w:t>.</w:t>
      </w:r>
    </w:p>
    <w:p w:rsidR="005160EB" w:rsidRPr="001205DB" w:rsidRDefault="005160EB" w:rsidP="005160EB">
      <w:pPr>
        <w:pStyle w:val="Considrant"/>
      </w:pPr>
      <w:r w:rsidRPr="001205DB">
        <w:t xml:space="preserve">Šai regulai ir piemērojami horizontālie finanšu noteikumi, ko Eiropas Parlaments un Padome pieņēmuši, pamatojoties uz Līguma par Eiropas Savienības darbību 322. pantu. Šie noteikumi ir izklāstīti Finanšu regulā un konkrēti nosaka, kāda ir procedūra budžeta izveidei un izpildei ar dotācijām, iepirkumiem, godalgām, netiešo izpildi, kā arī paredz finansiālo </w:t>
      </w:r>
      <w:proofErr w:type="spellStart"/>
      <w:r w:rsidRPr="001205DB">
        <w:t>aktoru</w:t>
      </w:r>
      <w:proofErr w:type="spellEnd"/>
      <w:r w:rsidRPr="001205DB">
        <w:t xml:space="preserve"> atbildības pārbaudes. Uz LESD 322. panta pamata pieņemtie noteikumi skar arī Savienības budžeta aizsardzību gadījumos, kad dalībvalstīs ir nopietni tiesiskuma trūkumi, jo tiesiskuma ievērošana ir neatņemams pareizas finanšu pārvaldības un lietderīga ES līdzekļu izmantojuma priekšnoteikums.</w:t>
      </w:r>
    </w:p>
    <w:p w:rsidR="00737D33" w:rsidRPr="001205DB" w:rsidRDefault="003F27CD" w:rsidP="000C636B">
      <w:pPr>
        <w:pStyle w:val="Considrant"/>
      </w:pPr>
      <w:r w:rsidRPr="001205DB">
        <w:t xml:space="preserve">Saskaņā ar Finanšu regulu, Eiropas Parlamenta un Padomes Regulu (ES, </w:t>
      </w:r>
      <w:proofErr w:type="spellStart"/>
      <w:r w:rsidRPr="001205DB">
        <w:rPr>
          <w:i/>
        </w:rPr>
        <w:t>Euratom</w:t>
      </w:r>
      <w:proofErr w:type="spellEnd"/>
      <w:r w:rsidRPr="001205DB">
        <w:t xml:space="preserve">) </w:t>
      </w:r>
      <w:proofErr w:type="spellStart"/>
      <w:r w:rsidRPr="001205DB">
        <w:t>Nr</w:t>
      </w:r>
      <w:proofErr w:type="spellEnd"/>
      <w:r w:rsidRPr="001205DB">
        <w:t>. 883/2013</w:t>
      </w:r>
      <w:r w:rsidRPr="001205DB">
        <w:rPr>
          <w:rStyle w:val="FootnoteReference"/>
        </w:rPr>
        <w:footnoteReference w:id="33"/>
      </w:r>
      <w:r w:rsidRPr="001205DB">
        <w:t>, Padomes Regulu (</w:t>
      </w:r>
      <w:proofErr w:type="spellStart"/>
      <w:r w:rsidRPr="001205DB">
        <w:rPr>
          <w:i/>
        </w:rPr>
        <w:t>Euratom</w:t>
      </w:r>
      <w:proofErr w:type="spellEnd"/>
      <w:r w:rsidRPr="001205DB">
        <w:t xml:space="preserve">, EK) </w:t>
      </w:r>
      <w:proofErr w:type="spellStart"/>
      <w:r w:rsidRPr="001205DB">
        <w:t>Nr</w:t>
      </w:r>
      <w:proofErr w:type="spellEnd"/>
      <w:r w:rsidRPr="001205DB">
        <w:t>. 2988/95</w:t>
      </w:r>
      <w:r w:rsidRPr="001205DB">
        <w:rPr>
          <w:rStyle w:val="FootnoteReference"/>
        </w:rPr>
        <w:footnoteReference w:id="34"/>
      </w:r>
      <w:r w:rsidRPr="001205DB">
        <w:t>, Padomes Regulu (</w:t>
      </w:r>
      <w:proofErr w:type="spellStart"/>
      <w:r w:rsidRPr="001205DB">
        <w:rPr>
          <w:i/>
        </w:rPr>
        <w:t>Euratom</w:t>
      </w:r>
      <w:proofErr w:type="spellEnd"/>
      <w:r w:rsidRPr="001205DB">
        <w:t xml:space="preserve">, EK) </w:t>
      </w:r>
      <w:proofErr w:type="spellStart"/>
      <w:r w:rsidRPr="001205DB">
        <w:t>Nr</w:t>
      </w:r>
      <w:proofErr w:type="spellEnd"/>
      <w:r w:rsidRPr="001205DB">
        <w:t>. 2185/96</w:t>
      </w:r>
      <w:r w:rsidRPr="001205DB">
        <w:rPr>
          <w:rStyle w:val="FootnoteReference"/>
        </w:rPr>
        <w:footnoteReference w:id="35"/>
      </w:r>
      <w:r w:rsidRPr="001205DB">
        <w:t xml:space="preserve"> un Padomes Regulu (ES) 2017/1939</w:t>
      </w:r>
      <w:r w:rsidRPr="001205DB">
        <w:rPr>
          <w:rStyle w:val="FootnoteReference"/>
        </w:rPr>
        <w:footnoteReference w:id="36"/>
      </w:r>
      <w:r w:rsidRPr="001205DB">
        <w:t xml:space="preserve"> Savienības finanšu intereses jāaizsargā, piemērojot samērīgus pasākumus, tostarp pārkāpumu un krāpšanas gadījumu novēršanu, konstatēšanu, labošanu un izmeklēšanu, zaudēto, kļūdaini izmaksāto vai nepareizi izmantoto līdzekļu atgūšanu un — vajadzības gadījumā — administratīvus sodus. Konkrētāk, saskaņā ar Regulu (ES, </w:t>
      </w:r>
      <w:proofErr w:type="spellStart"/>
      <w:r w:rsidRPr="001205DB">
        <w:rPr>
          <w:i/>
        </w:rPr>
        <w:t>Euratom</w:t>
      </w:r>
      <w:proofErr w:type="spellEnd"/>
      <w:r w:rsidRPr="001205DB">
        <w:t xml:space="preserve">) </w:t>
      </w:r>
      <w:proofErr w:type="spellStart"/>
      <w:r w:rsidRPr="001205DB">
        <w:t>Nr</w:t>
      </w:r>
      <w:proofErr w:type="spellEnd"/>
      <w:r w:rsidRPr="001205DB">
        <w:t>. 883/2013 un Regulu (</w:t>
      </w:r>
      <w:proofErr w:type="spellStart"/>
      <w:r w:rsidRPr="001205DB">
        <w:rPr>
          <w:i/>
        </w:rPr>
        <w:t>Euratom</w:t>
      </w:r>
      <w:proofErr w:type="spellEnd"/>
      <w:r w:rsidRPr="001205DB">
        <w:t xml:space="preserve">, EK) </w:t>
      </w:r>
      <w:proofErr w:type="spellStart"/>
      <w:r w:rsidRPr="001205DB">
        <w:t>Nr</w:t>
      </w:r>
      <w:proofErr w:type="spellEnd"/>
      <w:r w:rsidRPr="001205DB">
        <w:t>. 2185/96 Eiropas Birojs krāpšanas apkarošanai (</w:t>
      </w:r>
      <w:r w:rsidRPr="001205DB">
        <w:rPr>
          <w:i/>
        </w:rPr>
        <w:t>OLAF</w:t>
      </w:r>
      <w:r w:rsidRPr="001205DB">
        <w:t>) var veikt izmeklēšanu, tostarp pārbaudes uz vietas un inspekcijas, lai noteiktu, vai ir notikusi krāpšana, korupcija vai jebkāda cita nelikumīga darbība, kas ietekmē Savienības finanšu intereses. Saskaņā ar Regulu (ES) 2017/1939 Eiropas Prokuratūra (</w:t>
      </w:r>
      <w:r w:rsidRPr="001205DB">
        <w:rPr>
          <w:i/>
        </w:rPr>
        <w:t>EPPO</w:t>
      </w:r>
      <w:r w:rsidRPr="001205DB">
        <w:t xml:space="preserve">) var veikt Eiropas Parlamenta un Padomes Direktīvā (ES) </w:t>
      </w:r>
      <w:r w:rsidRPr="001205DB">
        <w:lastRenderedPageBreak/>
        <w:t>2017/1371</w:t>
      </w:r>
      <w:r w:rsidRPr="001205DB">
        <w:rPr>
          <w:rStyle w:val="FootnoteReference"/>
        </w:rPr>
        <w:footnoteReference w:id="37"/>
      </w:r>
      <w:r w:rsidRPr="001205DB">
        <w:t xml:space="preserve"> paredzēto izmeklēšanu un kriminālvajāšanu attiecībā uz krāpšanu un citām nelikumīgām darbībām, kas skar Savienības finanšu intereses. Saskaņā ar Finanšu regulu jebkurai personai vai subjektam, kas saņem Savienības līdzekļus, ir pilnībā jāsadarbojas Savienības finanšu interešu aizsardzībā, jāpiešķir Komisijai, </w:t>
      </w:r>
      <w:r w:rsidRPr="001205DB">
        <w:rPr>
          <w:i/>
        </w:rPr>
        <w:t>OLAF</w:t>
      </w:r>
      <w:r w:rsidRPr="001205DB">
        <w:t>, Eiropas Prokuratūrai (</w:t>
      </w:r>
      <w:r w:rsidRPr="001205DB">
        <w:rPr>
          <w:i/>
        </w:rPr>
        <w:t>EPPO</w:t>
      </w:r>
      <w:r w:rsidRPr="001205DB">
        <w:t>) un Eiropas Revīzijas palātai (ERP) nepieciešamās tiesības un piekļuve un jānodrošina, ka līdzvērtīgas tiesības piešķir visas trešās personas, kas iesaistītas Savienības līdzekļu apgūšanā.</w:t>
      </w:r>
    </w:p>
    <w:p w:rsidR="0099703E" w:rsidRPr="001205DB" w:rsidRDefault="0099703E" w:rsidP="0099703E">
      <w:pPr>
        <w:pStyle w:val="Considrant"/>
      </w:pPr>
      <w:r w:rsidRPr="001205DB">
        <w:t>Finansēšanas veidi un īstenošanas metodes būtu jāizvēlas atkarībā no iespējām ar tiem sasniegt darbību konkrētos mērķus un gūt rezultātus, jo īpaši ņemot vērā kontroles izmaksas, administratīvo slogu un paredzamo neatbilstības risku. Attiecībā uz dotācijām tam būtu jāietver fiksētu summu, vienotu likmju un vienības izmaksu standarta likmes izmantošanas izskatīšana.</w:t>
      </w:r>
    </w:p>
    <w:p w:rsidR="0099703E" w:rsidRPr="001205DB" w:rsidRDefault="0099703E" w:rsidP="0099703E">
      <w:pPr>
        <w:pStyle w:val="Considrant"/>
      </w:pPr>
      <w:r w:rsidRPr="001205DB">
        <w:t xml:space="preserve">Programmas </w:t>
      </w:r>
      <w:proofErr w:type="spellStart"/>
      <w:r w:rsidRPr="001205DB">
        <w:t>rīcībpolitisko</w:t>
      </w:r>
      <w:proofErr w:type="spellEnd"/>
      <w:r w:rsidRPr="001205DB">
        <w:t xml:space="preserve"> mērķu sasniegšanai būtu jāizmanto arī </w:t>
      </w:r>
      <w:proofErr w:type="spellStart"/>
      <w:r w:rsidRPr="001205DB">
        <w:rPr>
          <w:i/>
        </w:rPr>
        <w:t>InvestEU</w:t>
      </w:r>
      <w:proofErr w:type="spellEnd"/>
      <w:r w:rsidRPr="001205DB">
        <w:t xml:space="preserve"> </w:t>
      </w:r>
      <w:proofErr w:type="spellStart"/>
      <w:r w:rsidRPr="001205DB">
        <w:t>rīcībpolitiskās(-o)</w:t>
      </w:r>
      <w:proofErr w:type="spellEnd"/>
      <w:r w:rsidRPr="001205DB">
        <w:t xml:space="preserve"> sadaļas(-u) [...] finanšu instrumenti un budžeta garantijas.</w:t>
      </w:r>
    </w:p>
    <w:p w:rsidR="00737D33" w:rsidRPr="001205DB" w:rsidRDefault="003F27CD" w:rsidP="005A5F64">
      <w:pPr>
        <w:pStyle w:val="Considrant"/>
      </w:pPr>
      <w:r w:rsidRPr="001205DB">
        <w:t>Saskaņā ar Padomes Lēmuma 2013/755/ES</w:t>
      </w:r>
      <w:r w:rsidRPr="001205DB">
        <w:rPr>
          <w:rStyle w:val="FootnoteReference"/>
        </w:rPr>
        <w:footnoteReference w:id="38"/>
      </w:r>
      <w:r w:rsidRPr="001205DB">
        <w:t xml:space="preserve"> 94. pantu tiesību subjekti, kas veic uzņēmējdarbību aizjūras zemēs un teritorijās, ir tiesīgi saņemt finansējumu saskaņā ar Programmas noteikumiem un mērķiem un iespējamajiem režīmiem, kas piemērojami dalībvalstī, ar kuru attiecīgā aizjūras zeme vai teritorija ir saistīta. Šiem subjektiem Programmā būtu jāpiedalās galvenokārt ar apakšprogrammas “Daba un </w:t>
      </w:r>
      <w:proofErr w:type="spellStart"/>
      <w:r w:rsidRPr="001205DB">
        <w:t>biodaudzveidība</w:t>
      </w:r>
      <w:proofErr w:type="spellEnd"/>
      <w:r w:rsidRPr="001205DB">
        <w:t xml:space="preserve">” projektiem. </w:t>
      </w:r>
    </w:p>
    <w:p w:rsidR="00511487" w:rsidRPr="001205DB" w:rsidRDefault="00511487" w:rsidP="00511487">
      <w:pPr>
        <w:pStyle w:val="Considrant"/>
      </w:pPr>
      <w:r w:rsidRPr="001205DB">
        <w:t xml:space="preserve">Programmai vajadzētu būt atvērtai </w:t>
      </w:r>
      <w:proofErr w:type="spellStart"/>
      <w:r w:rsidRPr="001205DB">
        <w:t>trešām</w:t>
      </w:r>
      <w:proofErr w:type="spellEnd"/>
      <w:r w:rsidRPr="001205DB">
        <w:t xml:space="preserve"> valstīm saskaņā ar Savienības un attiecīgo valstu nolīgumiem, kuros noteikti konkrētie to dalības nosacījumi.</w:t>
      </w:r>
    </w:p>
    <w:p w:rsidR="00A44FDF" w:rsidRPr="001205DB" w:rsidRDefault="00A44FDF" w:rsidP="00A44FDF">
      <w:pPr>
        <w:pStyle w:val="Considrant"/>
      </w:pPr>
      <w:r w:rsidRPr="001205DB">
        <w:t>Trešās valstis, kas ir Eiropas Ekonomikas zonas (EEZ) dalībvalstis, Savienības programmās var piedalīties saskaņā ar EEZ līgumu noteiktajā sadarbības satvarā, kas paredz programmu īstenošanu ar lēmumu, kurš pieņemts saskaņā ar minēto līgumu. Trešās valstis var piedalīties arī uz citu tiesību instrumentu pamata. Regulā būtu jāievieš īpašs noteikums, kas prasa piešķirt vajadzīgās tiesības un piekļuvi atbildīgajam kredītrīkotājam, Eiropas Birojam krāpšanas apkarošanai (</w:t>
      </w:r>
      <w:r w:rsidRPr="001205DB">
        <w:rPr>
          <w:i/>
        </w:rPr>
        <w:t>OLAF</w:t>
      </w:r>
      <w:r w:rsidRPr="001205DB">
        <w:t>), kā arī Eiropas Revīzijas palātai, lai tie varētu visaptveroši rīkoties savā kompetencē.</w:t>
      </w:r>
    </w:p>
    <w:p w:rsidR="00017C51" w:rsidRPr="001205DB" w:rsidRDefault="00017C51" w:rsidP="00017C51">
      <w:pPr>
        <w:pStyle w:val="Considrant"/>
      </w:pPr>
      <w:r w:rsidRPr="001205DB">
        <w:t xml:space="preserve">Saskaņā ar 22. un 23. punktu 2016. gada 13. aprīļa Iestāžu nolīgumā par labāku likumdošanas procesu Programma ir jāizvērtē, balstoties uz informāciju, kas iegūta, pateicoties konkrētām uzraudzības prasībām, reizē izvairoties no pārmērīga regulējuma un administratīvā sloga, it sevišķi dalībvalstīm. Šīs prasības attiecīgā gadījumā var ietvert izmērāmus rādītājus, kas ir pamats Programmas faktiskās ietekmes izvērtēšanai. Programmas pilnīgā ietekme veidojas no netiešiem, ilgtermiņa un grūti izmērāmiem ieguldījumiem virzībā uz visiem Savienības vides un klimata mērķiem.  Programmas uzraudzībai šajā regulā noteiktie tiešie izlaides rādītāji un izsekošanas prasības būtu jāpapildina ar </w:t>
      </w:r>
      <w:proofErr w:type="spellStart"/>
      <w:r w:rsidRPr="001205DB">
        <w:t>agregētiem</w:t>
      </w:r>
      <w:proofErr w:type="spellEnd"/>
      <w:r w:rsidRPr="001205DB">
        <w:t xml:space="preserve"> konkrētiem projektu līmeņa rādītājiem, kas aprakstāmi darba programmās vai uzaicinājumos iesniegt priekšlikumus, cita starpā attiecībā uz </w:t>
      </w:r>
      <w:proofErr w:type="spellStart"/>
      <w:r w:rsidRPr="001205DB">
        <w:rPr>
          <w:i/>
        </w:rPr>
        <w:t>Natura</w:t>
      </w:r>
      <w:proofErr w:type="spellEnd"/>
      <w:r w:rsidRPr="001205DB">
        <w:rPr>
          <w:i/>
        </w:rPr>
        <w:t> 2000</w:t>
      </w:r>
      <w:r w:rsidRPr="001205DB">
        <w:t xml:space="preserve"> un dažu gaisa piesārņotāju emisijām.</w:t>
      </w:r>
    </w:p>
    <w:p w:rsidR="00C715C6" w:rsidRPr="001205DB" w:rsidRDefault="00C715C6" w:rsidP="00C715C6">
      <w:pPr>
        <w:pStyle w:val="Considrant"/>
      </w:pPr>
      <w:r w:rsidRPr="001205DB">
        <w:lastRenderedPageBreak/>
        <w:t xml:space="preserve">Lai rādītājus varētu pārskatīt, būtu Komisijai saskaņā ar Līguma par Eiropas Savienības darbību 290. pantu jādeleģē pilnvaras pieņemt aktus, ar ko groza rādītājus, kas izmantojami, lai ziņotu par progresu Programmas virzībā uz tās vispārīgo un īpašo mērķu sasniegšanu, it sevišķi nolūkā tos saskaņot ar citām Savienības programmām noteiktajiem rādītājiem. Ir īpaši būtiski, lai Komisija, veicot sagatavošanas darbus, rīkotu atbilstīgas apspriešanās, tostarp ekspertu līmenī, un lai minētās apspriešanās tiktu rīkotas saskaņā ar principiem, kas noteikti 2016. gada 13. aprīļa Iestāžu nolīgumā par labāku likumdošanas procesu. Jo īpaši, lai deleģēto aktu sagatavošanā nodrošinātu vienādu dalību, Eiropas Parlaments un Padome visus dokumentus saņem vienlaicīgi ar dalībvalstu ekspertiem, un minēto iestāžu ekspertiem ir sistemātiska piekļuve Komisijas ekspertu grupu sanāksmēm, kurās notiek deleģēto aktu sagatavošana. </w:t>
      </w:r>
    </w:p>
    <w:p w:rsidR="00A02B65" w:rsidRPr="001205DB" w:rsidRDefault="00446F81" w:rsidP="00C52C3F">
      <w:pPr>
        <w:pStyle w:val="Considrant"/>
      </w:pPr>
      <w:r w:rsidRPr="001205DB">
        <w:t xml:space="preserve">Ņemot vērā to, ka šīs regulas mērķus, proti, dot ieguldījumu ilgtspējīgā attīstībā un palīdzēt sasniegt Savienības vides, klimata un relevanto tīras enerģijas tiesību aktu, stratēģiju, plānu vai starptautisku saistību instrumentu mērķus un </w:t>
      </w:r>
      <w:proofErr w:type="spellStart"/>
      <w:r w:rsidRPr="001205DB">
        <w:t>mērķrādītājus</w:t>
      </w:r>
      <w:proofErr w:type="spellEnd"/>
      <w:r w:rsidRPr="001205DB">
        <w:t>, nevar pietiekami labi sasniegt atsevišķās dalībvalstīs, bet šīs regulas mēroga un iedarbības dēļ tos var labāk sasniegt Savienības līmenī, Savienība var pieņemt pasākumus saskaņā ar Līguma par Eiropas Savienību 5. pantā noteikto subsidiaritātes principu. Saskaņā ar minētajā pantā noteikto proporcionalitātes principu šajā regulā paredz vienīgi tos pasākumus, kas ir vajadzīgi minēto mērķu sasniegšanai.</w:t>
      </w:r>
    </w:p>
    <w:p w:rsidR="00301B94" w:rsidRPr="001205DB" w:rsidRDefault="00D831A0" w:rsidP="00F700C5">
      <w:pPr>
        <w:pStyle w:val="Considrant"/>
      </w:pPr>
      <w:r w:rsidRPr="001205DB">
        <w:t xml:space="preserve">Tāpēc Regula (ES) </w:t>
      </w:r>
      <w:proofErr w:type="spellStart"/>
      <w:r w:rsidRPr="001205DB">
        <w:t>Nr</w:t>
      </w:r>
      <w:proofErr w:type="spellEnd"/>
      <w:r w:rsidRPr="001205DB">
        <w:t xml:space="preserve">. 1293/2013 būtu jāatceļ, </w:t>
      </w:r>
    </w:p>
    <w:p w:rsidR="00C5603D" w:rsidRPr="001205DB" w:rsidRDefault="00C5603D" w:rsidP="005121F7">
      <w:pPr>
        <w:pStyle w:val="Formuledadoption"/>
        <w:spacing w:before="360"/>
      </w:pPr>
      <w:r w:rsidRPr="001205DB">
        <w:t>IR PIEŅĒMUŠI ŠO REGULU.</w:t>
      </w:r>
    </w:p>
    <w:p w:rsidR="00A960E1" w:rsidRPr="001205DB" w:rsidRDefault="00A960E1" w:rsidP="00301B94">
      <w:pPr>
        <w:pStyle w:val="ChapterTitle"/>
        <w:spacing w:before="480"/>
        <w:rPr>
          <w:b w:val="0"/>
          <w:sz w:val="24"/>
          <w:szCs w:val="24"/>
        </w:rPr>
      </w:pPr>
      <w:r w:rsidRPr="001205DB">
        <w:rPr>
          <w:b w:val="0"/>
          <w:sz w:val="24"/>
        </w:rPr>
        <w:t>I NODAĻA</w:t>
      </w:r>
      <w:r w:rsidRPr="001205DB">
        <w:rPr>
          <w:b w:val="0"/>
          <w:sz w:val="24"/>
          <w:szCs w:val="24"/>
        </w:rPr>
        <w:br/>
      </w:r>
      <w:r w:rsidRPr="001205DB">
        <w:rPr>
          <w:b w:val="0"/>
          <w:sz w:val="24"/>
        </w:rPr>
        <w:t>VISPĀRĪGIE NOTEIKUMI</w:t>
      </w:r>
    </w:p>
    <w:p w:rsidR="00872D4B" w:rsidRPr="001205DB" w:rsidRDefault="00C5603D" w:rsidP="00872D4B">
      <w:pPr>
        <w:pStyle w:val="Titrearticle"/>
      </w:pPr>
      <w:r w:rsidRPr="001205DB">
        <w:t>1. pants</w:t>
      </w:r>
      <w:r w:rsidRPr="001205DB">
        <w:br/>
        <w:t>Priekšmets</w:t>
      </w:r>
    </w:p>
    <w:p w:rsidR="00EB50B1" w:rsidRPr="001205DB" w:rsidRDefault="00872D4B" w:rsidP="00EB50B1">
      <w:r w:rsidRPr="001205DB">
        <w:t>Ar šo regulu tiek izveidota vides un klimata pasākumu programma (</w:t>
      </w:r>
      <w:r w:rsidRPr="001205DB">
        <w:rPr>
          <w:i/>
        </w:rPr>
        <w:t>LIFE</w:t>
      </w:r>
      <w:r w:rsidRPr="001205DB">
        <w:t xml:space="preserve">) (“Programma”). </w:t>
      </w:r>
    </w:p>
    <w:p w:rsidR="00EB50B1" w:rsidRPr="001205DB" w:rsidRDefault="009C2531" w:rsidP="00EB50B1">
      <w:r w:rsidRPr="001205DB">
        <w:t>Regulā ir izklāstīti Programmas mērķi, budžets 2021.–2027. gada periodam, Savienības finansējuma formas un šāda finansējuma sniegšanas noteikumi.</w:t>
      </w:r>
    </w:p>
    <w:p w:rsidR="00B3651C" w:rsidRPr="001205DB" w:rsidRDefault="00B3651C" w:rsidP="00B3651C">
      <w:pPr>
        <w:pStyle w:val="Titrearticle"/>
      </w:pPr>
      <w:r w:rsidRPr="001205DB">
        <w:t>2. pants</w:t>
      </w:r>
      <w:r w:rsidRPr="001205DB">
        <w:br/>
        <w:t>Definīcijas</w:t>
      </w:r>
    </w:p>
    <w:p w:rsidR="008F63B0" w:rsidRPr="001205DB" w:rsidRDefault="008F63B0" w:rsidP="00B3651C">
      <w:r w:rsidRPr="001205DB">
        <w:t xml:space="preserve">Šajā regulā piemēro šādas definīcijas: </w:t>
      </w:r>
    </w:p>
    <w:p w:rsidR="00357B57" w:rsidRPr="001205DB" w:rsidRDefault="00A659A3" w:rsidP="00A659A3">
      <w:pPr>
        <w:pStyle w:val="Point0number"/>
        <w:numPr>
          <w:ilvl w:val="0"/>
          <w:numId w:val="21"/>
        </w:numPr>
        <w:rPr>
          <w:noProof/>
        </w:rPr>
      </w:pPr>
      <w:r w:rsidRPr="001205DB">
        <w:t xml:space="preserve">“stratēģiski dabas projekti” ir projekti, kas palīdz sasniegt Savienības dabas un </w:t>
      </w:r>
      <w:proofErr w:type="spellStart"/>
      <w:r w:rsidRPr="001205DB">
        <w:t>biodaudzveidības</w:t>
      </w:r>
      <w:proofErr w:type="spellEnd"/>
      <w:r w:rsidRPr="001205DB">
        <w:t xml:space="preserve"> mērķus, dalībvalstīs īstenojot saskaņotas rīcības programmas nolūkā šos mērķus un prioritātes integrēt citās </w:t>
      </w:r>
      <w:proofErr w:type="spellStart"/>
      <w:r w:rsidRPr="001205DB">
        <w:t>rīcībpolitikās</w:t>
      </w:r>
      <w:proofErr w:type="spellEnd"/>
      <w:r w:rsidRPr="001205DB">
        <w:t xml:space="preserve"> un finanšu instrumentos, tostarp koordinēti īstenojot saskaņā ar Direktīvu 92/43/EEK izveidotos prioritārās rīcības satvarus;</w:t>
      </w:r>
    </w:p>
    <w:p w:rsidR="00A634FF" w:rsidRPr="001205DB" w:rsidRDefault="00617D11" w:rsidP="00A8330F">
      <w:pPr>
        <w:pStyle w:val="Point0number"/>
        <w:numPr>
          <w:ilvl w:val="0"/>
          <w:numId w:val="21"/>
        </w:numPr>
        <w:rPr>
          <w:noProof/>
        </w:rPr>
      </w:pPr>
      <w:r w:rsidRPr="001205DB">
        <w:t xml:space="preserve">“stratēģiski integrētie projekti” ir projekti, kas reģionālā, </w:t>
      </w:r>
      <w:proofErr w:type="spellStart"/>
      <w:r w:rsidRPr="001205DB">
        <w:t>starpreģionālā</w:t>
      </w:r>
      <w:proofErr w:type="spellEnd"/>
      <w:r w:rsidRPr="001205DB">
        <w:t xml:space="preserve">, nacionālā vai transnacionālā mērogā īsteno </w:t>
      </w:r>
      <w:proofErr w:type="spellStart"/>
      <w:r w:rsidRPr="001205DB">
        <w:t>vidiskās</w:t>
      </w:r>
      <w:proofErr w:type="spellEnd"/>
      <w:r w:rsidRPr="001205DB">
        <w:t xml:space="preserve"> vai klimatiskās stratēģijas vai rīcības plānus, kurus izstrādājušas dalībvalstu iestādes un kuri prasīti konkrētos Savienības vides, klimata vai relevantos tīras enerģijas tiesību aktos vai </w:t>
      </w:r>
      <w:proofErr w:type="spellStart"/>
      <w:r w:rsidRPr="001205DB">
        <w:t>rīcībpolitikās</w:t>
      </w:r>
      <w:proofErr w:type="spellEnd"/>
      <w:r w:rsidRPr="001205DB">
        <w:t>, nodrošinot ieinteresēto personu iesaisti un veicinot sadarbību ar vismaz vienu citu Savienības, nacionālo vai privāto finansējuma avotu un tā piesaisti;</w:t>
      </w:r>
    </w:p>
    <w:p w:rsidR="00AF58DF" w:rsidRPr="001205DB" w:rsidRDefault="00617D11" w:rsidP="00446F81">
      <w:pPr>
        <w:pStyle w:val="Point0number"/>
        <w:rPr>
          <w:noProof/>
        </w:rPr>
      </w:pPr>
      <w:r w:rsidRPr="001205DB">
        <w:lastRenderedPageBreak/>
        <w:t>“tehniskās palīdzības projekti” ir projekti, kas palīdz veidot spējas piedalīties standarta rīcības projektos, sagatavot stratēģiskos integrētos projektus vai sagatavoties piekļuvei Savienības finanšu instrumentiem vai atbalsta citus pasākumus, kuri vajadzīgi, lai sagatavotu citu Programmas, iepriekšējo programmu vai citu Savienības programmu finansēto projektu rezultātu izvēršanu lielākā mērogā vai atkārtošanu, nolūkā sasniegt 3. pantā noteiktos mērķus;</w:t>
      </w:r>
    </w:p>
    <w:p w:rsidR="000B0090" w:rsidRPr="001205DB" w:rsidRDefault="00617D11" w:rsidP="00617D11">
      <w:pPr>
        <w:pStyle w:val="Point0number"/>
        <w:rPr>
          <w:noProof/>
        </w:rPr>
      </w:pPr>
      <w:r w:rsidRPr="001205DB">
        <w:t>“standarta rīcības projekti” ir projekti, kas ir orientēti uz 3. panta 2. punktā noteiktajiem konkrētajiem Programmas mērķiem, bet nav ne stratēģiskie integrētie projekti, ne stratēģiskie dabas projekti, ne tehniskās palīdzības projekti;</w:t>
      </w:r>
    </w:p>
    <w:p w:rsidR="00552EEA" w:rsidRPr="001205DB" w:rsidRDefault="00617D11" w:rsidP="00617D11">
      <w:pPr>
        <w:pStyle w:val="Point0number"/>
        <w:rPr>
          <w:noProof/>
        </w:rPr>
      </w:pPr>
      <w:r w:rsidRPr="001205DB">
        <w:t xml:space="preserve">“finansējuma apvienošanas darbības” ir Savienības budžeta atbalstītas darbības, tostarp Regulas (ES, </w:t>
      </w:r>
      <w:proofErr w:type="spellStart"/>
      <w:r w:rsidRPr="001205DB">
        <w:rPr>
          <w:i/>
        </w:rPr>
        <w:t>Euratom</w:t>
      </w:r>
      <w:proofErr w:type="spellEnd"/>
      <w:r w:rsidRPr="001205DB">
        <w:t>) 2018/... (“Finanšu regula”) 2. panta 6. punktā minētā finansējuma apvienošanas mehānisma ietvaros, kuras apvieno no Savienības budžeta finansēta neatmaksājamā atbalsta formas un/vai finanšu instrumentus ar atmaksājama atbalsta formām no attīstības vai citām publisko finanšu iestādēm, kā arī komerciālām finanšu iestādēm un investoriem;</w:t>
      </w:r>
    </w:p>
    <w:p w:rsidR="000B0DD9" w:rsidRPr="001205DB" w:rsidRDefault="00617D11" w:rsidP="000B0DD9">
      <w:pPr>
        <w:pStyle w:val="Point0number"/>
        <w:rPr>
          <w:noProof/>
        </w:rPr>
      </w:pPr>
      <w:r w:rsidRPr="001205DB">
        <w:t>“tiesību subjekts” ir jebkura fiziska persona vai juridiska persona, kas izveidota saskaņā ar valsts, Savienības vai starptautiskajiem tiesību aktiem un kas minētajos aktos par tādu ir atzīta, un kam ir juridiskās personas statuss, un kas, rīkodamās savā vārdā, var īstenot tiesības, un kam var būt saistoši pienākumi, vai jebkurš subjekts bez juridiskas personas statusa saskaņā ar Finanšu regulas 190. panta 2. punkta c) apakšpunktu.</w:t>
      </w:r>
    </w:p>
    <w:p w:rsidR="00B3651C" w:rsidRPr="001205DB" w:rsidRDefault="00B3651C" w:rsidP="00E30FD5">
      <w:pPr>
        <w:pStyle w:val="Titrearticle"/>
      </w:pPr>
      <w:r w:rsidRPr="001205DB">
        <w:t>3. pants</w:t>
      </w:r>
      <w:r w:rsidRPr="001205DB">
        <w:br/>
        <w:t>Programmas mērķi</w:t>
      </w:r>
    </w:p>
    <w:p w:rsidR="002C38D1" w:rsidRPr="001205DB" w:rsidRDefault="0094120E" w:rsidP="005A5F64">
      <w:pPr>
        <w:pStyle w:val="NumPar1"/>
        <w:numPr>
          <w:ilvl w:val="0"/>
          <w:numId w:val="22"/>
        </w:numPr>
      </w:pPr>
      <w:r w:rsidRPr="001205DB">
        <w:t xml:space="preserve">Programmas vispārīgais mērķis ir sekmēt pāreju uz tīru, </w:t>
      </w:r>
      <w:proofErr w:type="spellStart"/>
      <w:r w:rsidRPr="001205DB">
        <w:t>energoefektīvu</w:t>
      </w:r>
      <w:proofErr w:type="spellEnd"/>
      <w:r w:rsidRPr="001205DB">
        <w:t xml:space="preserve"> un </w:t>
      </w:r>
      <w:proofErr w:type="spellStart"/>
      <w:r w:rsidRPr="001205DB">
        <w:t>klimatnoturīgu</w:t>
      </w:r>
      <w:proofErr w:type="spellEnd"/>
      <w:r w:rsidRPr="001205DB">
        <w:t xml:space="preserve"> </w:t>
      </w:r>
      <w:proofErr w:type="spellStart"/>
      <w:r w:rsidRPr="001205DB">
        <w:t>mazoglekļa</w:t>
      </w:r>
      <w:proofErr w:type="spellEnd"/>
      <w:r w:rsidRPr="001205DB">
        <w:t xml:space="preserve"> aprites ekonomiku, cita starpā veicinot pāreju uz tīru enerģiju, vides kvalitātes aizsardzību un uzlabošanu un </w:t>
      </w:r>
      <w:proofErr w:type="spellStart"/>
      <w:r w:rsidRPr="001205DB">
        <w:t>biodaudzveidības</w:t>
      </w:r>
      <w:proofErr w:type="spellEnd"/>
      <w:r w:rsidRPr="001205DB">
        <w:t xml:space="preserve"> zuduma apturēšanu un </w:t>
      </w:r>
      <w:proofErr w:type="spellStart"/>
      <w:r w:rsidRPr="001205DB">
        <w:t>biodaudzveidības</w:t>
      </w:r>
      <w:proofErr w:type="spellEnd"/>
      <w:r w:rsidRPr="001205DB">
        <w:t xml:space="preserve"> atjaunošanu, tādējādi dodot ieguldījumu ilgtspējīgā attīstībā.</w:t>
      </w:r>
    </w:p>
    <w:p w:rsidR="00115590" w:rsidRPr="001205DB" w:rsidRDefault="00115590" w:rsidP="008647E5">
      <w:pPr>
        <w:pStyle w:val="NumPar1"/>
      </w:pPr>
      <w:r w:rsidRPr="001205DB">
        <w:t>Programmas konkrētie mērķi ir šādi:</w:t>
      </w:r>
    </w:p>
    <w:p w:rsidR="00900330" w:rsidRPr="001205DB" w:rsidRDefault="00900330" w:rsidP="00AE57C2">
      <w:pPr>
        <w:pStyle w:val="Point1letter"/>
      </w:pPr>
      <w:r w:rsidRPr="001205DB">
        <w:t xml:space="preserve">izstrādāt, demonstrēt un popularizēt inovatīvus paņēmienus un pieejas, kā sasniegt Savienības tiesību aktos un </w:t>
      </w:r>
      <w:proofErr w:type="spellStart"/>
      <w:r w:rsidRPr="001205DB">
        <w:t>rīcībpolitikās</w:t>
      </w:r>
      <w:proofErr w:type="spellEnd"/>
      <w:r w:rsidRPr="001205DB">
        <w:t xml:space="preserve"> izvirzītos vides un klimata politikas mērķus, tostarp pāriet uz tīru enerģiju, un palīdzēt izmantot </w:t>
      </w:r>
      <w:proofErr w:type="spellStart"/>
      <w:r w:rsidRPr="001205DB">
        <w:t>paraugpraksi</w:t>
      </w:r>
      <w:proofErr w:type="spellEnd"/>
      <w:r w:rsidRPr="001205DB">
        <w:t xml:space="preserve"> dabas un </w:t>
      </w:r>
      <w:proofErr w:type="spellStart"/>
      <w:r w:rsidRPr="001205DB">
        <w:t>biodaudzveidības</w:t>
      </w:r>
      <w:proofErr w:type="spellEnd"/>
      <w:r w:rsidRPr="001205DB">
        <w:t xml:space="preserve"> jomā;</w:t>
      </w:r>
    </w:p>
    <w:p w:rsidR="00115590" w:rsidRPr="001205DB" w:rsidRDefault="00900330" w:rsidP="00216DE2">
      <w:pPr>
        <w:pStyle w:val="Point1letter"/>
      </w:pPr>
      <w:r w:rsidRPr="001205DB">
        <w:t xml:space="preserve">atbalstīt relevanto Savienības tiesību aktu un </w:t>
      </w:r>
      <w:proofErr w:type="spellStart"/>
      <w:r w:rsidRPr="001205DB">
        <w:t>rīcībpolitiku</w:t>
      </w:r>
      <w:proofErr w:type="spellEnd"/>
      <w:r w:rsidRPr="001205DB">
        <w:t xml:space="preserve"> izstrādi, īstenošanu, uzraudzību un izpildes panākšanu, tostarp uzlabot pārvaldību, stiprinot publisko un privāto </w:t>
      </w:r>
      <w:proofErr w:type="spellStart"/>
      <w:r w:rsidRPr="001205DB">
        <w:t>aktoru</w:t>
      </w:r>
      <w:proofErr w:type="spellEnd"/>
      <w:r w:rsidRPr="001205DB">
        <w:t xml:space="preserve"> spējas un pilsoniskās sabiedrības iesaisti;</w:t>
      </w:r>
    </w:p>
    <w:p w:rsidR="00115590" w:rsidRPr="001205DB" w:rsidRDefault="00900330" w:rsidP="007078FE">
      <w:pPr>
        <w:pStyle w:val="Point1letter"/>
      </w:pPr>
      <w:r w:rsidRPr="001205DB">
        <w:t xml:space="preserve">palīdzēt lielā mērogā izvērst veiksmīgus tehniskus un </w:t>
      </w:r>
      <w:proofErr w:type="spellStart"/>
      <w:r w:rsidRPr="001205DB">
        <w:t>rīcībpolitiskus</w:t>
      </w:r>
      <w:proofErr w:type="spellEnd"/>
      <w:r w:rsidRPr="001205DB">
        <w:t xml:space="preserve"> relevanto Savienības tiesību aktu un </w:t>
      </w:r>
      <w:proofErr w:type="spellStart"/>
      <w:r w:rsidRPr="001205DB">
        <w:t>rīcībpolitiku</w:t>
      </w:r>
      <w:proofErr w:type="spellEnd"/>
      <w:r w:rsidRPr="001205DB">
        <w:t xml:space="preserve"> īstenošanas risinājumus, atkārtojot rezultātus, integrējot saistītos mērķus citās </w:t>
      </w:r>
      <w:proofErr w:type="spellStart"/>
      <w:r w:rsidRPr="001205DB">
        <w:t>rīcībpolitikās</w:t>
      </w:r>
      <w:proofErr w:type="spellEnd"/>
      <w:r w:rsidRPr="001205DB">
        <w:t xml:space="preserve"> un publiskā un privātā sektora praksēs, mobilizējot investīcijas un uzlabojot piekļuvi finansējumam.</w:t>
      </w:r>
    </w:p>
    <w:p w:rsidR="0099703E" w:rsidRPr="001205DB" w:rsidRDefault="00115590" w:rsidP="0099703E">
      <w:pPr>
        <w:pStyle w:val="Titrearticle"/>
      </w:pPr>
      <w:r w:rsidRPr="001205DB">
        <w:t>4. pants</w:t>
      </w:r>
      <w:r w:rsidRPr="001205DB">
        <w:br/>
        <w:t>Programmas struktūra</w:t>
      </w:r>
    </w:p>
    <w:p w:rsidR="0099703E" w:rsidRPr="001205DB" w:rsidRDefault="0099703E" w:rsidP="0099703E">
      <w:r w:rsidRPr="001205DB">
        <w:t>Programmai ir šāda struktūra:</w:t>
      </w:r>
    </w:p>
    <w:p w:rsidR="0099703E" w:rsidRPr="001205DB" w:rsidRDefault="0099703E" w:rsidP="00602029">
      <w:pPr>
        <w:pStyle w:val="Point0number"/>
        <w:numPr>
          <w:ilvl w:val="0"/>
          <w:numId w:val="39"/>
        </w:numPr>
      </w:pPr>
      <w:r w:rsidRPr="001205DB">
        <w:t xml:space="preserve">joma “Vide”, kurā ietilpst: </w:t>
      </w:r>
    </w:p>
    <w:p w:rsidR="0099703E" w:rsidRPr="001205DB" w:rsidRDefault="0099703E" w:rsidP="00AA6928">
      <w:pPr>
        <w:pStyle w:val="Point1letter"/>
      </w:pPr>
      <w:r w:rsidRPr="001205DB">
        <w:lastRenderedPageBreak/>
        <w:t xml:space="preserve">apakšprogramma “Daba un </w:t>
      </w:r>
      <w:proofErr w:type="spellStart"/>
      <w:r w:rsidRPr="001205DB">
        <w:t>biodaudzveidība</w:t>
      </w:r>
      <w:proofErr w:type="spellEnd"/>
      <w:r w:rsidRPr="001205DB">
        <w:t xml:space="preserve">”; </w:t>
      </w:r>
    </w:p>
    <w:p w:rsidR="0099703E" w:rsidRPr="001205DB" w:rsidRDefault="0099703E" w:rsidP="00AA6928">
      <w:pPr>
        <w:pStyle w:val="Point1letter"/>
      </w:pPr>
      <w:r w:rsidRPr="001205DB">
        <w:t>apakšprogramma “Aprites ekonomika un dzīves kvalitāte”;</w:t>
      </w:r>
    </w:p>
    <w:p w:rsidR="0099703E" w:rsidRPr="001205DB" w:rsidRDefault="0099703E" w:rsidP="00602029">
      <w:pPr>
        <w:pStyle w:val="Point0number"/>
        <w:numPr>
          <w:ilvl w:val="0"/>
          <w:numId w:val="39"/>
        </w:numPr>
      </w:pPr>
      <w:r w:rsidRPr="001205DB">
        <w:t xml:space="preserve">joma “Klimata pasākumi”, kurā ietilpst: </w:t>
      </w:r>
    </w:p>
    <w:p w:rsidR="0099703E" w:rsidRPr="001205DB" w:rsidRDefault="0099703E" w:rsidP="00AA6928">
      <w:pPr>
        <w:pStyle w:val="Point1letter"/>
      </w:pPr>
      <w:r w:rsidRPr="001205DB">
        <w:t xml:space="preserve">apakšprogramma “Klimata pārmaiņu mazināšana un pielāgošanās tām”; </w:t>
      </w:r>
    </w:p>
    <w:p w:rsidR="0099703E" w:rsidRPr="001205DB" w:rsidRDefault="0099703E" w:rsidP="00AA6928">
      <w:pPr>
        <w:pStyle w:val="Point1letter"/>
      </w:pPr>
      <w:r w:rsidRPr="001205DB">
        <w:t>apakšprogramma “Pāreja uz tīru enerģiju”.</w:t>
      </w:r>
    </w:p>
    <w:p w:rsidR="00E428C1" w:rsidRPr="001205DB" w:rsidRDefault="00E428C1" w:rsidP="0099703E">
      <w:pPr>
        <w:pStyle w:val="Titrearticle"/>
      </w:pPr>
      <w:r w:rsidRPr="001205DB">
        <w:t>5. pants</w:t>
      </w:r>
      <w:r w:rsidRPr="001205DB">
        <w:br/>
        <w:t>Budžets</w:t>
      </w:r>
    </w:p>
    <w:p w:rsidR="004C16DB" w:rsidRPr="001205DB" w:rsidRDefault="00E428C1" w:rsidP="00A8330F">
      <w:pPr>
        <w:pStyle w:val="NumPar1"/>
        <w:numPr>
          <w:ilvl w:val="0"/>
          <w:numId w:val="18"/>
        </w:numPr>
      </w:pPr>
      <w:r w:rsidRPr="001205DB">
        <w:t>Finansējums Programmas īstenošanai 2021.–2027. gada periodā ir 5 450 000 000 EUR faktiskajās cenās.</w:t>
      </w:r>
    </w:p>
    <w:p w:rsidR="00E428C1" w:rsidRPr="001205DB" w:rsidRDefault="00175BF4" w:rsidP="00DE6CFA">
      <w:pPr>
        <w:pStyle w:val="NumPar1"/>
      </w:pPr>
      <w:r w:rsidRPr="001205DB">
        <w:t xml:space="preserve">Orientējošais 1. punktā minētās summas sadalījums ir: </w:t>
      </w:r>
    </w:p>
    <w:p w:rsidR="003E4496" w:rsidRPr="001205DB" w:rsidRDefault="003E4496" w:rsidP="003E4496">
      <w:pPr>
        <w:pStyle w:val="Point1letter"/>
        <w:numPr>
          <w:ilvl w:val="3"/>
          <w:numId w:val="1"/>
        </w:numPr>
      </w:pPr>
      <w:r w:rsidRPr="001205DB">
        <w:t xml:space="preserve">3 500 000 000 EUR jomai “Vide”, no kā </w:t>
      </w:r>
    </w:p>
    <w:p w:rsidR="003E4496" w:rsidRPr="001205DB" w:rsidRDefault="003E4496" w:rsidP="003E4496">
      <w:pPr>
        <w:pStyle w:val="Point2number"/>
      </w:pPr>
      <w:r w:rsidRPr="001205DB">
        <w:t xml:space="preserve">2 150 000 000 EUR apakšprogrammai “Daba un </w:t>
      </w:r>
      <w:proofErr w:type="spellStart"/>
      <w:r w:rsidRPr="001205DB">
        <w:t>biodaudzveidība</w:t>
      </w:r>
      <w:proofErr w:type="spellEnd"/>
      <w:r w:rsidRPr="001205DB">
        <w:t>” un</w:t>
      </w:r>
    </w:p>
    <w:p w:rsidR="003E4496" w:rsidRPr="001205DB" w:rsidRDefault="003E4496" w:rsidP="003E4496">
      <w:pPr>
        <w:pStyle w:val="Point2number"/>
      </w:pPr>
      <w:r w:rsidRPr="001205DB">
        <w:t>1 350 000 000 EUR apakšprogrammai “Aprites ekonomika un dzīves kvalitāte”;</w:t>
      </w:r>
    </w:p>
    <w:p w:rsidR="003E4496" w:rsidRPr="001205DB" w:rsidRDefault="003E4496" w:rsidP="003E4496">
      <w:pPr>
        <w:pStyle w:val="Point1letter"/>
        <w:numPr>
          <w:ilvl w:val="3"/>
          <w:numId w:val="1"/>
        </w:numPr>
      </w:pPr>
      <w:r w:rsidRPr="001205DB">
        <w:t>1 950 000 000 EUR jomai “Klimata pasākumi”, no kā</w:t>
      </w:r>
    </w:p>
    <w:p w:rsidR="00503041" w:rsidRPr="008249D4" w:rsidRDefault="008767B8" w:rsidP="003E4496">
      <w:pPr>
        <w:pStyle w:val="Point2number"/>
      </w:pPr>
      <w:r w:rsidRPr="001205DB">
        <w:t xml:space="preserve">950 000 000 EUR apakšprogrammai “Klimata pārmaiņu mazināšana un pielāgošanās </w:t>
      </w:r>
      <w:r w:rsidRPr="008249D4">
        <w:t>tām” un</w:t>
      </w:r>
    </w:p>
    <w:p w:rsidR="006D4352" w:rsidRPr="008249D4" w:rsidRDefault="006D4352" w:rsidP="003E4496">
      <w:pPr>
        <w:pStyle w:val="Point2number"/>
      </w:pPr>
      <w:r w:rsidRPr="008249D4">
        <w:t>1 000 000 000 EUR apakšprogrammai “Pāreja uz tīru enerģiju”.</w:t>
      </w:r>
    </w:p>
    <w:p w:rsidR="007E74FE" w:rsidRPr="008249D4" w:rsidRDefault="00796C5E" w:rsidP="007E74FE">
      <w:pPr>
        <w:pStyle w:val="NumPar1"/>
      </w:pPr>
      <w:r w:rsidRPr="008249D4">
        <w:t>Šā panta 1. un 2. punktā minētās summas neskar Eiropas Parlamenta un Padomes Regulā (ES) ...</w:t>
      </w:r>
      <w:r w:rsidRPr="008249D4">
        <w:rPr>
          <w:rStyle w:val="FootnoteReference"/>
        </w:rPr>
        <w:footnoteReference w:id="39"/>
      </w:r>
      <w:r w:rsidRPr="008249D4">
        <w:t xml:space="preserve"> [jaunā Daudzgadu finanšu shēmas regula] un Finanšu regulā izklāstīto elastības noteikumu piemērošanu.</w:t>
      </w:r>
    </w:p>
    <w:p w:rsidR="007E74FE" w:rsidRPr="008249D4" w:rsidRDefault="007E74FE" w:rsidP="00711BB3">
      <w:pPr>
        <w:pStyle w:val="NumPar1"/>
      </w:pPr>
      <w:r w:rsidRPr="008249D4">
        <w:t>Šā panta 1. punktā minēto summu var izmantot tehniskajai un administratīvajai palīdzībai, kas vajadzīga Programmas īstenošanai, piemēram, sagatavošanas, uzraudzības, kontroles, revīzijas un izvērtēšanas darbībām, tostarp korporatīvajām informācijas tehnoloģiju sistēmām.</w:t>
      </w:r>
    </w:p>
    <w:p w:rsidR="00A94C76" w:rsidRPr="001205DB" w:rsidRDefault="00A94C76" w:rsidP="00A94C76">
      <w:pPr>
        <w:pStyle w:val="NumPar1"/>
      </w:pPr>
      <w:r w:rsidRPr="008249D4">
        <w:t>No Programmas var fin</w:t>
      </w:r>
      <w:r w:rsidRPr="001205DB">
        <w:t xml:space="preserve">ansēt darbības, kuras Komisija īsteno, lai atbalstītu Savienības vides, klimata vai relevanto tīras enerģētikas tiesību aktu vai </w:t>
      </w:r>
      <w:proofErr w:type="spellStart"/>
      <w:r w:rsidRPr="001205DB">
        <w:t>rīcībpolitiku</w:t>
      </w:r>
      <w:proofErr w:type="spellEnd"/>
      <w:r w:rsidRPr="001205DB">
        <w:t xml:space="preserve"> ierosināšanu, īstenošanu un integrēšanu nolūkā sasniegt 3. pantā izklāstītos mērķus. Šādas darbības var ietvert:</w:t>
      </w:r>
    </w:p>
    <w:p w:rsidR="00A94C76" w:rsidRPr="001205DB" w:rsidRDefault="00A94C76" w:rsidP="00A8330F">
      <w:pPr>
        <w:pStyle w:val="Point1letter"/>
        <w:numPr>
          <w:ilvl w:val="3"/>
          <w:numId w:val="27"/>
        </w:numPr>
      </w:pPr>
      <w:r w:rsidRPr="001205DB">
        <w:t>informēšanu un komunikāciju, tostarp izpratnes vairošanas kampaņas. No finanšu līdzekļiem, kas saskaņā ar šo regulu piešķirti komunikācijas pasākumiem, sedz arī institucionālo komunikāciju par Savienības politiskajām prioritātēm, kā arī par Savienības vides, klimata vai relevanto tīras enerģijas tiesību aktu īstenošanu un transponēšanu;</w:t>
      </w:r>
    </w:p>
    <w:p w:rsidR="00A94C76" w:rsidRPr="001205DB" w:rsidRDefault="00A94C76" w:rsidP="00216DE2">
      <w:pPr>
        <w:pStyle w:val="Point1letter"/>
      </w:pPr>
      <w:r w:rsidRPr="001205DB">
        <w:t>pētījumus, apsekojumus, modelēšanu un scenāriju izstrādi;</w:t>
      </w:r>
    </w:p>
    <w:p w:rsidR="00A94C76" w:rsidRPr="001205DB" w:rsidRDefault="00A94C76" w:rsidP="00216DE2">
      <w:pPr>
        <w:pStyle w:val="Point1letter"/>
      </w:pPr>
      <w:r w:rsidRPr="001205DB">
        <w:t xml:space="preserve">no Programmas nefinansētu projektu, </w:t>
      </w:r>
      <w:proofErr w:type="spellStart"/>
      <w:r w:rsidRPr="001205DB">
        <w:t>rīcībpolitiku</w:t>
      </w:r>
      <w:proofErr w:type="spellEnd"/>
      <w:r w:rsidRPr="001205DB">
        <w:t>, programmu un tiesību aktu sagatavošanu, īstenošanu, uzraudzību, pārbaudi un izvērtēšanu;</w:t>
      </w:r>
    </w:p>
    <w:p w:rsidR="00A94C76" w:rsidRPr="001205DB" w:rsidRDefault="00A94C76" w:rsidP="00216DE2">
      <w:pPr>
        <w:pStyle w:val="Point1letter"/>
      </w:pPr>
      <w:r w:rsidRPr="001205DB">
        <w:t>darbseminārus, konferences un sanāksmes;</w:t>
      </w:r>
    </w:p>
    <w:p w:rsidR="00A94C76" w:rsidRPr="001205DB" w:rsidRDefault="00A94C76" w:rsidP="00216DE2">
      <w:pPr>
        <w:pStyle w:val="Point1letter"/>
      </w:pPr>
      <w:r w:rsidRPr="001205DB">
        <w:lastRenderedPageBreak/>
        <w:t xml:space="preserve">sadarbības tīklu veidošanu un </w:t>
      </w:r>
      <w:proofErr w:type="spellStart"/>
      <w:r w:rsidRPr="001205DB">
        <w:t>paraugprakses</w:t>
      </w:r>
      <w:proofErr w:type="spellEnd"/>
      <w:r w:rsidRPr="001205DB">
        <w:t xml:space="preserve"> platformas;</w:t>
      </w:r>
    </w:p>
    <w:p w:rsidR="00A94C76" w:rsidRPr="001205DB" w:rsidRDefault="00A94C76" w:rsidP="00216DE2">
      <w:pPr>
        <w:pStyle w:val="Point1letter"/>
      </w:pPr>
      <w:r w:rsidRPr="001205DB">
        <w:t>citas darbības.</w:t>
      </w:r>
    </w:p>
    <w:p w:rsidR="00B067B5" w:rsidRPr="001205DB" w:rsidRDefault="00B067B5" w:rsidP="00B067B5">
      <w:pPr>
        <w:pStyle w:val="Titrearticle"/>
      </w:pPr>
      <w:r w:rsidRPr="001205DB">
        <w:t>6. pants</w:t>
      </w:r>
      <w:r w:rsidRPr="001205DB">
        <w:br/>
        <w:t>Programmas asociētās trešās valstis</w:t>
      </w:r>
    </w:p>
    <w:p w:rsidR="00B067B5" w:rsidRPr="001205DB" w:rsidRDefault="00B067B5" w:rsidP="00602029">
      <w:pPr>
        <w:pStyle w:val="NumPar1"/>
        <w:numPr>
          <w:ilvl w:val="0"/>
          <w:numId w:val="41"/>
        </w:numPr>
      </w:pPr>
      <w:r w:rsidRPr="001205DB">
        <w:t>Programmā var piedalīties šādas trešās valstis:</w:t>
      </w:r>
    </w:p>
    <w:p w:rsidR="007A0B82" w:rsidRPr="001205DB" w:rsidRDefault="00B067B5" w:rsidP="00602029">
      <w:pPr>
        <w:pStyle w:val="Point1letter"/>
        <w:numPr>
          <w:ilvl w:val="3"/>
          <w:numId w:val="42"/>
        </w:numPr>
      </w:pPr>
      <w:r w:rsidRPr="001205DB">
        <w:t xml:space="preserve">Eiropas Brīvās tirdzniecības asociācijas (EBTA) locekles, kas ir Eiropas Ekonomikas zonas (EEZ) dalībvalstis, — saskaņā ar nosacījumiem, kuri noteikti EEZ nolīgumā; </w:t>
      </w:r>
    </w:p>
    <w:p w:rsidR="00B067B5" w:rsidRPr="001205DB" w:rsidRDefault="00B067B5" w:rsidP="00602029">
      <w:pPr>
        <w:pStyle w:val="Point1letter"/>
        <w:numPr>
          <w:ilvl w:val="3"/>
          <w:numId w:val="42"/>
        </w:numPr>
      </w:pPr>
      <w:r w:rsidRPr="001205DB">
        <w:t xml:space="preserve">valstis, kas pievienojas, kandidātvalstis un potenciālās kandidātvalstis — saskaņā ar attiecīgajos </w:t>
      </w:r>
      <w:proofErr w:type="spellStart"/>
      <w:r w:rsidRPr="001205DB">
        <w:t>pamatnolīgumos</w:t>
      </w:r>
      <w:proofErr w:type="spellEnd"/>
      <w:r w:rsidRPr="001205DB">
        <w:t xml:space="preserve"> un Asociācijas padomes lēmumos vai līdzīgos nolīgumos noteiktajiem vispārīgajiem principiem un vispārīgajiem noteikumiem un nosacījumiem, kas reglamentē šo valstu līdzdalību Savienības programmās, un saskaņā ar īpašajiem noteikumiem, kas ietverti nolīgumos starp Savienību un šīm valstīm;</w:t>
      </w:r>
    </w:p>
    <w:p w:rsidR="00B067B5" w:rsidRPr="001205DB" w:rsidRDefault="00B067B5" w:rsidP="00602029">
      <w:pPr>
        <w:pStyle w:val="Point1letter"/>
        <w:numPr>
          <w:ilvl w:val="3"/>
          <w:numId w:val="42"/>
        </w:numPr>
      </w:pPr>
      <w:r w:rsidRPr="001205DB">
        <w:t xml:space="preserve">valstis, uz kurām attiecas Eiropas kaimiņattiecību politika, — saskaņā ar attiecīgajos </w:t>
      </w:r>
      <w:proofErr w:type="spellStart"/>
      <w:r w:rsidRPr="001205DB">
        <w:t>pamatnolīgumos</w:t>
      </w:r>
      <w:proofErr w:type="spellEnd"/>
      <w:r w:rsidRPr="001205DB">
        <w:t xml:space="preserve"> un Asociācijas padomes lēmumos vai līdzīgos nolīgumos noteiktajiem vispārīgajiem principiem un vispārīgajiem noteikumiem un nosacījumiem, kas reglamentē šo valstu līdzdalību Savienības programmās, un saskaņā ar īpašajiem noteikumiem, kas ietverti nolīgumos starp Savienību un šīm valstīm;</w:t>
      </w:r>
    </w:p>
    <w:p w:rsidR="00D952E1" w:rsidRPr="001205DB" w:rsidRDefault="00D952E1" w:rsidP="00602029">
      <w:pPr>
        <w:pStyle w:val="Point1letter"/>
        <w:numPr>
          <w:ilvl w:val="3"/>
          <w:numId w:val="42"/>
        </w:numPr>
      </w:pPr>
      <w:r w:rsidRPr="001205DB">
        <w:t>citas trešās valstis — saskaņā ar nosacījumiem, kas noteikti īpašā nolīgumā, kurš aptver konkrētās trešās valsts dalību kādā Savienības programmā, ja vien minētais nolīgums</w:t>
      </w:r>
    </w:p>
    <w:p w:rsidR="00D952E1" w:rsidRPr="001205DB" w:rsidRDefault="00D952E1" w:rsidP="00CD1E7B">
      <w:pPr>
        <w:pStyle w:val="Tiret2"/>
        <w:numPr>
          <w:ilvl w:val="0"/>
          <w:numId w:val="45"/>
        </w:numPr>
      </w:pPr>
      <w:r w:rsidRPr="001205DB">
        <w:t xml:space="preserve">nodrošina, ka Savienības programmā </w:t>
      </w:r>
      <w:proofErr w:type="spellStart"/>
      <w:r w:rsidRPr="001205DB">
        <w:t>līdzdalīgās</w:t>
      </w:r>
      <w:proofErr w:type="spellEnd"/>
      <w:r w:rsidRPr="001205DB">
        <w:t xml:space="preserve"> trešās valsts iemaksas un ieguvumi ir taisnīgā līdzsvarā;</w:t>
      </w:r>
    </w:p>
    <w:p w:rsidR="00D952E1" w:rsidRPr="001205DB" w:rsidRDefault="00D952E1" w:rsidP="00DB7331">
      <w:pPr>
        <w:pStyle w:val="Tiret2"/>
      </w:pPr>
      <w:r w:rsidRPr="001205DB">
        <w:t>nosaka nosacījumus dalībai programmās, tostarp katras programmas finansiālo iemaksu un administratīvo izmaksu aprēķinu. Šīs iemaksas ir piešķirtie ieņēmumi saskaņā ar Finanšu regulas [21. panta 5. punktu];</w:t>
      </w:r>
    </w:p>
    <w:p w:rsidR="00D952E1" w:rsidRPr="001205DB" w:rsidRDefault="00D952E1" w:rsidP="00DB7331">
      <w:pPr>
        <w:pStyle w:val="Tiret2"/>
      </w:pPr>
      <w:r w:rsidRPr="001205DB">
        <w:t>trešajai valstij attiecībā uz programmu nepiešķir lēmuma tiesības;</w:t>
      </w:r>
    </w:p>
    <w:p w:rsidR="00D952E1" w:rsidRPr="001205DB" w:rsidRDefault="00D952E1" w:rsidP="00DB7331">
      <w:pPr>
        <w:pStyle w:val="Tiret2"/>
      </w:pPr>
      <w:r w:rsidRPr="001205DB">
        <w:t>garantē Savienības tiesības nodrošināt pareizu finanšu pārvaldību un aizsargāt savas finansiālās intereses.</w:t>
      </w:r>
    </w:p>
    <w:p w:rsidR="00DB7331" w:rsidRPr="001205DB" w:rsidRDefault="00DB7331" w:rsidP="00602029">
      <w:pPr>
        <w:pStyle w:val="NumPar1"/>
        <w:numPr>
          <w:ilvl w:val="0"/>
          <w:numId w:val="41"/>
        </w:numPr>
      </w:pPr>
      <w:r w:rsidRPr="001205DB">
        <w:t>Ja kāda trešā valsts programmā piedalās saskaņā ar lēmumu, kas pieņemts saskaņā ar starptautisku nolīgumu, vai saskaņā ar kādu citu tiesību instrumentu, šī trešā valsts piešķir vajadzīgās tiesības un piekļuvi atbildīgajam kredītrīkotājam, Eiropas Birojam krāpšanas apkarošanai (</w:t>
      </w:r>
      <w:r w:rsidRPr="001205DB">
        <w:rPr>
          <w:i/>
        </w:rPr>
        <w:t>OLAF</w:t>
      </w:r>
      <w:r w:rsidRPr="001205DB">
        <w:t xml:space="preserve">), kā arī Eiropas Revīzijas palātai, lai tie varētu visaptveroši rīkoties savā kompetencē. </w:t>
      </w:r>
      <w:r w:rsidRPr="001205DB">
        <w:rPr>
          <w:i/>
        </w:rPr>
        <w:t>OLAF</w:t>
      </w:r>
      <w:r w:rsidRPr="001205DB">
        <w:t xml:space="preserve"> gadījumā šādas tiesības ietver tiesības veikt izmeklēšanu, arī pārbaudes uz vietas un inspekcijas, kura paredzēta Eiropas Parlamenta un Padomes Regulā (ES, </w:t>
      </w:r>
      <w:proofErr w:type="spellStart"/>
      <w:r w:rsidRPr="001205DB">
        <w:rPr>
          <w:i/>
        </w:rPr>
        <w:t>Euratom</w:t>
      </w:r>
      <w:proofErr w:type="spellEnd"/>
      <w:r w:rsidRPr="001205DB">
        <w:t xml:space="preserve">) </w:t>
      </w:r>
      <w:proofErr w:type="spellStart"/>
      <w:r w:rsidRPr="001205DB">
        <w:t>Nr</w:t>
      </w:r>
      <w:proofErr w:type="spellEnd"/>
      <w:r w:rsidRPr="001205DB">
        <w:t>. 883/2013 par izmeklēšanu, ko veic Eiropas Birojs krāpšanas apkarošanai (</w:t>
      </w:r>
      <w:r w:rsidRPr="001205DB">
        <w:rPr>
          <w:i/>
        </w:rPr>
        <w:t>OLAF</w:t>
      </w:r>
      <w:r w:rsidRPr="001205DB">
        <w:t>).</w:t>
      </w:r>
    </w:p>
    <w:p w:rsidR="00D67DA6" w:rsidRPr="001205DB" w:rsidRDefault="00E4666E" w:rsidP="00D67DA6">
      <w:pPr>
        <w:pStyle w:val="Titrearticle"/>
      </w:pPr>
      <w:r w:rsidRPr="001205DB">
        <w:t>7. pants</w:t>
      </w:r>
      <w:r w:rsidRPr="001205DB">
        <w:br/>
        <w:t>Sinerģija ar citām Savienības programmām</w:t>
      </w:r>
    </w:p>
    <w:p w:rsidR="00D67DA6" w:rsidRPr="001205DB" w:rsidRDefault="00C614CD" w:rsidP="003276D9">
      <w:r w:rsidRPr="001205DB">
        <w:t xml:space="preserve">Programmu īsteno tā, lai gādātu par tās saskanību ar Eiropas Reģionālās attīstības fondu, Eiropas Sociālo fondu, Kohēzijas fondu, Eiropas Lauksaimniecības fondu lauku attīstībai, </w:t>
      </w:r>
      <w:r w:rsidRPr="001205DB">
        <w:lastRenderedPageBreak/>
        <w:t xml:space="preserve">Eiropas Jūrlietu un zivsaimniecības fondu, programmu “Apvārsnis Eiropa”, Eiropas infrastruktūras savienošanas instrumentu un </w:t>
      </w:r>
      <w:proofErr w:type="spellStart"/>
      <w:r w:rsidRPr="001205DB">
        <w:rPr>
          <w:i/>
        </w:rPr>
        <w:t>InvestEU</w:t>
      </w:r>
      <w:proofErr w:type="spellEnd"/>
      <w:r w:rsidRPr="001205DB">
        <w:t xml:space="preserve">, tā radot sinerģiju, ir sevišķi attiecībā uz stratēģiskiem dabas projektiem un stratēģiskiem integrētajiem projektiem, un atbalstot Programmas ietvaros izstrādāto risinājumu ieviešanos un pārņemšanu. </w:t>
      </w:r>
    </w:p>
    <w:p w:rsidR="00737D33" w:rsidRPr="001205DB" w:rsidRDefault="008D3225" w:rsidP="00737D33">
      <w:pPr>
        <w:pStyle w:val="Titrearticle"/>
      </w:pPr>
      <w:r w:rsidRPr="001205DB">
        <w:t>8. pants</w:t>
      </w:r>
      <w:r w:rsidRPr="001205DB">
        <w:br/>
        <w:t>Savienības finansējuma apgūšana un formas</w:t>
      </w:r>
    </w:p>
    <w:p w:rsidR="002B6F96" w:rsidRPr="001205DB" w:rsidRDefault="002B6F96" w:rsidP="00A8330F">
      <w:pPr>
        <w:pStyle w:val="NumPar1"/>
        <w:numPr>
          <w:ilvl w:val="0"/>
          <w:numId w:val="12"/>
        </w:numPr>
      </w:pPr>
      <w:r w:rsidRPr="001205DB">
        <w:t>Programmu īsteno atbilstoši tiešas pārvaldības principam saskaņā ar Finanšu regulu vai atbilstoši netiešas pārvaldības principam kopā ar struktūrām, kas minētas Finanšu regulas [61. panta 1. punkta c) apakšpunktā].</w:t>
      </w:r>
    </w:p>
    <w:p w:rsidR="00D4076B" w:rsidRPr="001205DB" w:rsidRDefault="00737D33" w:rsidP="00552EEA">
      <w:pPr>
        <w:pStyle w:val="NumPar1"/>
      </w:pPr>
      <w:r w:rsidRPr="001205DB">
        <w:t xml:space="preserve">Programmas sniegtais finansējums var būt jebkurā Finanšu regulā noteiktajā formā, </w:t>
      </w:r>
      <w:proofErr w:type="spellStart"/>
      <w:r w:rsidRPr="001205DB">
        <w:t>piem</w:t>
      </w:r>
      <w:proofErr w:type="spellEnd"/>
      <w:r w:rsidRPr="001205DB">
        <w:t>., dotācijas, godalgas un iepirkums. Tajā var būt paredzēts arī finansējums finanšu instrumentu formā finansējuma apvienošanas darbību ietvaros.</w:t>
      </w:r>
    </w:p>
    <w:p w:rsidR="000252CB" w:rsidRPr="001205DB" w:rsidRDefault="000252CB" w:rsidP="005335C0">
      <w:pPr>
        <w:pStyle w:val="ChapterTitle"/>
        <w:spacing w:before="360"/>
        <w:rPr>
          <w:b w:val="0"/>
          <w:sz w:val="24"/>
          <w:szCs w:val="24"/>
        </w:rPr>
      </w:pPr>
      <w:r w:rsidRPr="001205DB">
        <w:rPr>
          <w:b w:val="0"/>
          <w:sz w:val="24"/>
        </w:rPr>
        <w:t>II NODAĻA</w:t>
      </w:r>
      <w:r w:rsidRPr="001205DB">
        <w:rPr>
          <w:b w:val="0"/>
          <w:sz w:val="24"/>
          <w:szCs w:val="24"/>
        </w:rPr>
        <w:br/>
      </w:r>
      <w:r w:rsidRPr="001205DB">
        <w:rPr>
          <w:b w:val="0"/>
          <w:sz w:val="24"/>
        </w:rPr>
        <w:t>ATTIECINĀMĪBA UN TIESĪBAS PIEDALĪTIES</w:t>
      </w:r>
    </w:p>
    <w:p w:rsidR="00036FF9" w:rsidRPr="001205DB" w:rsidRDefault="0079076A" w:rsidP="00036FF9">
      <w:pPr>
        <w:pStyle w:val="Titrearticle"/>
      </w:pPr>
      <w:r w:rsidRPr="001205DB">
        <w:t>9. pants</w:t>
      </w:r>
      <w:r w:rsidRPr="001205DB">
        <w:br/>
        <w:t>Dotācijas</w:t>
      </w:r>
    </w:p>
    <w:p w:rsidR="001131E1" w:rsidRPr="001205DB" w:rsidRDefault="00A030AF" w:rsidP="00A960E1">
      <w:r w:rsidRPr="001205DB">
        <w:t>Programmas dotācijas piešķir un pārvalda saskaņā ar Finanšu regulas VIII sadaļu.</w:t>
      </w:r>
    </w:p>
    <w:p w:rsidR="00706FF6" w:rsidRPr="001205DB" w:rsidRDefault="00EE16CB" w:rsidP="00EE16CB">
      <w:pPr>
        <w:pStyle w:val="Titrearticle"/>
      </w:pPr>
      <w:r w:rsidRPr="001205DB">
        <w:t>10. pants</w:t>
      </w:r>
      <w:r w:rsidRPr="001205DB">
        <w:br/>
        <w:t>Attiecināmās darbības</w:t>
      </w:r>
    </w:p>
    <w:p w:rsidR="00706FF6" w:rsidRPr="001205DB" w:rsidRDefault="00706FF6" w:rsidP="00A8330F">
      <w:pPr>
        <w:pStyle w:val="NumPar1"/>
        <w:numPr>
          <w:ilvl w:val="0"/>
          <w:numId w:val="9"/>
        </w:numPr>
      </w:pPr>
      <w:r w:rsidRPr="001205DB">
        <w:t xml:space="preserve">Uz finansējumu var pretendēt vienīgi darbības, ar kurām īsteno 3. pantā minētos mērķus. </w:t>
      </w:r>
    </w:p>
    <w:p w:rsidR="00CE222E" w:rsidRPr="001205DB" w:rsidRDefault="0061150D" w:rsidP="00A8330F">
      <w:pPr>
        <w:pStyle w:val="NumPar1"/>
        <w:numPr>
          <w:ilvl w:val="0"/>
          <w:numId w:val="9"/>
        </w:numPr>
      </w:pPr>
      <w:r w:rsidRPr="001205DB">
        <w:t>Dotācijas var piešķirt šādu veidu darbībām:</w:t>
      </w:r>
    </w:p>
    <w:p w:rsidR="00363307" w:rsidRPr="001205DB" w:rsidRDefault="00363307" w:rsidP="00363307">
      <w:pPr>
        <w:pStyle w:val="Point1letter"/>
        <w:numPr>
          <w:ilvl w:val="3"/>
          <w:numId w:val="17"/>
        </w:numPr>
      </w:pPr>
      <w:r w:rsidRPr="001205DB">
        <w:t>stratēģiski dabas projekti 4. panta 1. punkta a) apakšpunktā minētajā apakšprogrammā;</w:t>
      </w:r>
    </w:p>
    <w:p w:rsidR="00CE222E" w:rsidRPr="001205DB" w:rsidRDefault="00CE222E" w:rsidP="00A8330F">
      <w:pPr>
        <w:pStyle w:val="Point1letter"/>
        <w:numPr>
          <w:ilvl w:val="3"/>
          <w:numId w:val="17"/>
        </w:numPr>
      </w:pPr>
      <w:r w:rsidRPr="001205DB">
        <w:t>stratēģiski integrētie projekti 4. panta 1. punkta b) apakšpunktā, 2. punkta a) apakšpunktā un 2. punkta b) apakšpunktā minētajās apakšprogrammās;</w:t>
      </w:r>
    </w:p>
    <w:p w:rsidR="00CE222E" w:rsidRPr="001205DB" w:rsidRDefault="00CE222E" w:rsidP="00A8330F">
      <w:pPr>
        <w:pStyle w:val="Point1letter"/>
        <w:numPr>
          <w:ilvl w:val="3"/>
          <w:numId w:val="17"/>
        </w:numPr>
      </w:pPr>
      <w:r w:rsidRPr="001205DB">
        <w:t>tehniskās palīdzības projekti;</w:t>
      </w:r>
    </w:p>
    <w:p w:rsidR="00722BE9" w:rsidRPr="001205DB" w:rsidRDefault="002D65CD" w:rsidP="00A8330F">
      <w:pPr>
        <w:pStyle w:val="Point1letter"/>
        <w:numPr>
          <w:ilvl w:val="3"/>
          <w:numId w:val="17"/>
        </w:numPr>
      </w:pPr>
      <w:r w:rsidRPr="001205DB">
        <w:t>standarta rīcības projekti;</w:t>
      </w:r>
    </w:p>
    <w:p w:rsidR="00CE222E" w:rsidRPr="001205DB" w:rsidRDefault="00CE222E" w:rsidP="00A8330F">
      <w:pPr>
        <w:pStyle w:val="Point1letter"/>
        <w:numPr>
          <w:ilvl w:val="3"/>
          <w:numId w:val="17"/>
        </w:numPr>
      </w:pPr>
      <w:r w:rsidRPr="001205DB">
        <w:t>citas darbības, kas vajadzīgas 3. panta 1. punktā nospraustā vispārīgā mērķa sasniegšanai.</w:t>
      </w:r>
    </w:p>
    <w:p w:rsidR="00EA2FF3" w:rsidRPr="001205DB" w:rsidRDefault="00EA2FF3" w:rsidP="00A8330F">
      <w:pPr>
        <w:pStyle w:val="NumPar1"/>
        <w:numPr>
          <w:ilvl w:val="0"/>
          <w:numId w:val="9"/>
        </w:numPr>
      </w:pPr>
      <w:r w:rsidRPr="001205DB">
        <w:t xml:space="preserve">Apakšprogrammas “Daba un </w:t>
      </w:r>
      <w:proofErr w:type="spellStart"/>
      <w:r w:rsidRPr="001205DB">
        <w:t>biodaudzveidība</w:t>
      </w:r>
      <w:proofErr w:type="spellEnd"/>
      <w:r w:rsidRPr="001205DB">
        <w:t xml:space="preserve">” projektus, kas attiecas uz </w:t>
      </w:r>
      <w:proofErr w:type="spellStart"/>
      <w:r w:rsidRPr="001205DB">
        <w:rPr>
          <w:i/>
        </w:rPr>
        <w:t>Natura</w:t>
      </w:r>
      <w:proofErr w:type="spellEnd"/>
      <w:r w:rsidRPr="001205DB">
        <w:rPr>
          <w:i/>
        </w:rPr>
        <w:t> 2000</w:t>
      </w:r>
      <w:r w:rsidRPr="001205DB">
        <w:t xml:space="preserve"> teritoriju pārvaldību, atjaunošanu un monitoringu saskaņā ar Direktīvu 92/43/EEK un Direktīvu 2009/147/EK atbalsta tā, kā paredzēts saskaņā ar Direktīvu 92/43/EEK izveidotajos prioritārās rīcības satvaros.</w:t>
      </w:r>
    </w:p>
    <w:p w:rsidR="00C614CD" w:rsidRPr="001205DB" w:rsidRDefault="00C614CD" w:rsidP="00A8330F">
      <w:pPr>
        <w:pStyle w:val="NumPar1"/>
        <w:numPr>
          <w:ilvl w:val="0"/>
          <w:numId w:val="9"/>
        </w:numPr>
      </w:pPr>
      <w:r w:rsidRPr="001205DB">
        <w:t xml:space="preserve">Ar dotācijām var finansēt darbības ārpus Savienības, ja vien projekts ir vērsts uz Savienības </w:t>
      </w:r>
      <w:proofErr w:type="spellStart"/>
      <w:r w:rsidRPr="001205DB">
        <w:t>vidiskajiem</w:t>
      </w:r>
      <w:proofErr w:type="spellEnd"/>
      <w:r w:rsidRPr="001205DB">
        <w:t xml:space="preserve"> un klimatiskajiem mērķiem un darbības ārpus Savienības ir jāveic, lai nodrošinātu dalībvalstu teritorijā veikto pasākumu rezultativitāti.</w:t>
      </w:r>
    </w:p>
    <w:p w:rsidR="007C20E3" w:rsidRPr="001205DB" w:rsidRDefault="007C20E3" w:rsidP="00A8330F">
      <w:pPr>
        <w:pStyle w:val="NumPar1"/>
        <w:numPr>
          <w:ilvl w:val="0"/>
          <w:numId w:val="9"/>
        </w:numPr>
      </w:pPr>
      <w:r w:rsidRPr="001205DB">
        <w:t xml:space="preserve">Ar darbības dotācijām atbalsta tādu bezpeļņas tiesību subjektu darbību, kas iesaistīti Savienības tiesību aktu un </w:t>
      </w:r>
      <w:proofErr w:type="spellStart"/>
      <w:r w:rsidRPr="001205DB">
        <w:t>rīcībpolitiku</w:t>
      </w:r>
      <w:proofErr w:type="spellEnd"/>
      <w:r w:rsidRPr="001205DB">
        <w:t xml:space="preserve"> izstrādē, īstenošanā un izpildes panākšanā un </w:t>
      </w:r>
      <w:r w:rsidRPr="001205DB">
        <w:lastRenderedPageBreak/>
        <w:t>kas galvenokārt nodarbojas ar vides vai klimata pasākumiem, arī pāreju uz tīru enerģiju.</w:t>
      </w:r>
    </w:p>
    <w:p w:rsidR="00A446AB" w:rsidRPr="001205DB" w:rsidRDefault="00706FF6" w:rsidP="005756BA">
      <w:pPr>
        <w:pStyle w:val="Titrearticle"/>
      </w:pPr>
      <w:r w:rsidRPr="001205DB">
        <w:t>11. pants</w:t>
      </w:r>
      <w:r w:rsidRPr="001205DB">
        <w:br/>
        <w:t xml:space="preserve">Subjekti, kas tiesīgi piedalīties </w:t>
      </w:r>
    </w:p>
    <w:p w:rsidR="00A446AB" w:rsidRPr="001205DB" w:rsidRDefault="00BF3657" w:rsidP="00A8330F">
      <w:pPr>
        <w:pStyle w:val="NumPar1"/>
        <w:numPr>
          <w:ilvl w:val="0"/>
          <w:numId w:val="19"/>
        </w:numPr>
      </w:pPr>
      <w:r w:rsidRPr="001205DB">
        <w:t xml:space="preserve">Papildus Finanšu regulas [197]. pantā noteiktajiem kritērijiem piemēro </w:t>
      </w:r>
      <w:proofErr w:type="spellStart"/>
      <w:r w:rsidRPr="001205DB">
        <w:t>dalībtiesīguma</w:t>
      </w:r>
      <w:proofErr w:type="spellEnd"/>
      <w:r w:rsidRPr="001205DB">
        <w:t xml:space="preserve"> kritērijus, kas noteikti 2. līdz 3. punktā.</w:t>
      </w:r>
    </w:p>
    <w:p w:rsidR="00BF3657" w:rsidRPr="001205DB" w:rsidRDefault="00BF3657" w:rsidP="00BF3657">
      <w:pPr>
        <w:pStyle w:val="NumPar1"/>
      </w:pPr>
      <w:r w:rsidRPr="001205DB">
        <w:t>Tiesīgi piedalīties ir šādi subjekti:</w:t>
      </w:r>
    </w:p>
    <w:p w:rsidR="00BF3657" w:rsidRPr="001205DB" w:rsidRDefault="00BF3657" w:rsidP="00A8330F">
      <w:pPr>
        <w:pStyle w:val="Point1letter"/>
        <w:numPr>
          <w:ilvl w:val="3"/>
          <w:numId w:val="28"/>
        </w:numPr>
      </w:pPr>
      <w:r w:rsidRPr="001205DB">
        <w:t>tiesību subjekti, kas veic uzņēmējdarbību kādā no šādām valstīm vai teritorijām:</w:t>
      </w:r>
    </w:p>
    <w:p w:rsidR="00BF3657" w:rsidRPr="001205DB" w:rsidRDefault="00BF3657" w:rsidP="000302BF">
      <w:pPr>
        <w:pStyle w:val="Point2number"/>
      </w:pPr>
      <w:r w:rsidRPr="001205DB">
        <w:t xml:space="preserve">dalībvalsts vai aizjūras zeme vai teritorija, kas ar to ir saistīta; </w:t>
      </w:r>
    </w:p>
    <w:p w:rsidR="00BF3657" w:rsidRPr="001205DB" w:rsidRDefault="007C117A" w:rsidP="000302BF">
      <w:pPr>
        <w:pStyle w:val="Point2number"/>
      </w:pPr>
      <w:r w:rsidRPr="001205DB">
        <w:t xml:space="preserve">Programmas asociētā trešā valsts; </w:t>
      </w:r>
    </w:p>
    <w:p w:rsidR="00BF3657" w:rsidRPr="001205DB" w:rsidRDefault="00BF3657" w:rsidP="00AA6928">
      <w:pPr>
        <w:pStyle w:val="Point2number"/>
      </w:pPr>
      <w:r w:rsidRPr="001205DB">
        <w:t>cita darba programmā uzskaitīta trešā valsts, ņemot vērā 4.–6. punktā noteiktos nosacījumus;</w:t>
      </w:r>
    </w:p>
    <w:p w:rsidR="00BF3657" w:rsidRPr="001205DB" w:rsidRDefault="00BF3657" w:rsidP="00A8330F">
      <w:pPr>
        <w:pStyle w:val="Point1letter"/>
        <w:numPr>
          <w:ilvl w:val="3"/>
          <w:numId w:val="28"/>
        </w:numPr>
      </w:pPr>
      <w:r w:rsidRPr="001205DB">
        <w:t>tiesību subjekti, kas izveidoti saskaņā ar Savienības tiesību aktiem, vai jebkura starptautiska organizācija.</w:t>
      </w:r>
    </w:p>
    <w:p w:rsidR="00BF3657" w:rsidRPr="001205DB" w:rsidRDefault="00BF3657" w:rsidP="005335C0">
      <w:pPr>
        <w:pStyle w:val="NumPar1"/>
      </w:pPr>
      <w:r w:rsidRPr="001205DB">
        <w:t>Fiziskas personas nav tiesīgas piedalīties.</w:t>
      </w:r>
    </w:p>
    <w:p w:rsidR="00CE0878" w:rsidRPr="001205DB" w:rsidRDefault="00CE0878" w:rsidP="00CE0878">
      <w:pPr>
        <w:pStyle w:val="NumPar1"/>
      </w:pPr>
      <w:r w:rsidRPr="001205DB">
        <w:t>Tiesību subjekti, kas veic uzņēmējdarbību trešā valstī, kas nav Programmas asociētā valsts, izņēmuma kārtā ir tiesīgi Programmā piedalīties, ja tas ir vajadzīgs konkrētas darbības mērķu sasniegšanai vai tālab, lai nodrošinātu Savienības pasākumu iedarbīgumu.</w:t>
      </w:r>
    </w:p>
    <w:p w:rsidR="00CE0878" w:rsidRPr="001205DB" w:rsidRDefault="00CE0878" w:rsidP="00CE0878">
      <w:pPr>
        <w:pStyle w:val="NumPar1"/>
      </w:pPr>
      <w:r w:rsidRPr="001205DB">
        <w:t>Tiesīgi piedalīties ir tiesību subjekti, kas piedalās konsorcijos no vismaz trim neatkarīgiem subjektiem, kuri veic uzņēmējdarbību dažādās dalībvalstīs vai ar tām saistītās aizjūras zemēs vai teritorijās, vai trešās valstīs, kas ir Programmas asociētās valstis, vai citās trešās valstīs.</w:t>
      </w:r>
    </w:p>
    <w:p w:rsidR="00CE0878" w:rsidRPr="001205DB" w:rsidRDefault="00CE0878" w:rsidP="00CE0878">
      <w:pPr>
        <w:pStyle w:val="NumPar1"/>
      </w:pPr>
      <w:r w:rsidRPr="001205DB">
        <w:t>Tiesību subjektiem, kas veic uzņēmējdarbību trešā valstī, kas nav Programmas asociētā valsts, principā būtu jāsedz savas dalības izmaksas.</w:t>
      </w:r>
    </w:p>
    <w:p w:rsidR="00BF3657" w:rsidRPr="001205DB" w:rsidRDefault="00BF3657" w:rsidP="00E86C82">
      <w:pPr>
        <w:pStyle w:val="Titrearticle"/>
      </w:pPr>
      <w:r w:rsidRPr="001205DB">
        <w:t>12. pants</w:t>
      </w:r>
      <w:r w:rsidRPr="001205DB">
        <w:br/>
        <w:t>Uzaicinājumi iesniegt priekšlikumus</w:t>
      </w:r>
    </w:p>
    <w:p w:rsidR="00BF3657" w:rsidRPr="001205DB" w:rsidRDefault="00AA6928" w:rsidP="00BF3657">
      <w:r w:rsidRPr="001205DB">
        <w:t>Neskarot Finanšu regulas [188.] pantu, I pielikumā nosauktajām struktūrām dotācijas var piešķirt bez uzaicinājuma iesniegt priekšlikumus.</w:t>
      </w:r>
    </w:p>
    <w:p w:rsidR="005A5531" w:rsidRPr="001205DB" w:rsidRDefault="005A5531" w:rsidP="00E86C82">
      <w:pPr>
        <w:pStyle w:val="Titrearticle"/>
      </w:pPr>
      <w:r w:rsidRPr="001205DB">
        <w:t>13. pants</w:t>
      </w:r>
      <w:r w:rsidRPr="001205DB">
        <w:br/>
        <w:t>Piešķiršanas kritēriji</w:t>
      </w:r>
    </w:p>
    <w:p w:rsidR="00704861" w:rsidRPr="001205DB" w:rsidRDefault="00194C22" w:rsidP="009008D1">
      <w:r w:rsidRPr="001205DB">
        <w:t>Piešķiršanas kritērijus uzaicinājumos iesniegt priekšlikumus nosaka, ņemot vērā šādus apsvērumus:</w:t>
      </w:r>
    </w:p>
    <w:p w:rsidR="00704861" w:rsidRPr="001205DB" w:rsidRDefault="00363307" w:rsidP="00A8330F">
      <w:pPr>
        <w:pStyle w:val="Point0letter"/>
        <w:numPr>
          <w:ilvl w:val="1"/>
          <w:numId w:val="15"/>
        </w:numPr>
      </w:pPr>
      <w:r w:rsidRPr="001205DB">
        <w:t>Programmas finansētie projekti izvairās apdraudēt Programmas vides, klimata vai relevanto tīras enerģijas mērķu sasniegšanu un, ja iespējams, veicina zaļā publiskā iepirkuma izmantošanu;</w:t>
      </w:r>
    </w:p>
    <w:p w:rsidR="00130D66" w:rsidRPr="001205DB" w:rsidRDefault="00363307" w:rsidP="00A8330F">
      <w:pPr>
        <w:pStyle w:val="Point0letter"/>
        <w:numPr>
          <w:ilvl w:val="1"/>
          <w:numId w:val="15"/>
        </w:numPr>
      </w:pPr>
      <w:r w:rsidRPr="001205DB">
        <w:t xml:space="preserve">priekšroka dodama projektiem, kas sniedz </w:t>
      </w:r>
      <w:proofErr w:type="spellStart"/>
      <w:r w:rsidRPr="001205DB">
        <w:t>blakusieguvumus</w:t>
      </w:r>
      <w:proofErr w:type="spellEnd"/>
      <w:r w:rsidRPr="001205DB">
        <w:t xml:space="preserve"> un veicina sinerģijas starp 4. pantā minētajām apakšprogrammām.</w:t>
      </w:r>
    </w:p>
    <w:p w:rsidR="00704861" w:rsidRPr="001205DB" w:rsidRDefault="00363307" w:rsidP="00A8330F">
      <w:pPr>
        <w:pStyle w:val="Point0letter"/>
        <w:numPr>
          <w:ilvl w:val="1"/>
          <w:numId w:val="15"/>
        </w:numPr>
      </w:pPr>
      <w:r w:rsidRPr="001205DB">
        <w:lastRenderedPageBreak/>
        <w:t>priekšroka dodama projektiem, kam ir vislielākās izredzes tikt atkārtotiem un ieviestiem publiskajā vai privātajā sektorā vai vislielākās izredzes mobilizēt lielākās investīcijas vai finansiālos resursus (katalītiskais potenciāls);</w:t>
      </w:r>
    </w:p>
    <w:p w:rsidR="005D5AE6" w:rsidRPr="001205DB" w:rsidRDefault="00363307" w:rsidP="00A8330F">
      <w:pPr>
        <w:pStyle w:val="Point0letter"/>
        <w:numPr>
          <w:ilvl w:val="1"/>
          <w:numId w:val="15"/>
        </w:numPr>
      </w:pPr>
      <w:r w:rsidRPr="001205DB">
        <w:t xml:space="preserve">nodrošina, ka standarta rīcības projekti ir atkārtojami; </w:t>
      </w:r>
    </w:p>
    <w:p w:rsidR="005E27E5" w:rsidRPr="001205DB" w:rsidRDefault="00363307" w:rsidP="00A8330F">
      <w:pPr>
        <w:pStyle w:val="Point0letter"/>
        <w:numPr>
          <w:ilvl w:val="1"/>
          <w:numId w:val="15"/>
        </w:numPr>
      </w:pPr>
      <w:r w:rsidRPr="001205DB">
        <w:t>izvērtējumā papildpunktus piešķir projektiem, kas par pamatu ņem citu Programmas, iepriekšējo programmu vai no citiem Savienības līdzekļiem finansētu projektu rezultātus vai tos izvērš lielākā mērogā;</w:t>
      </w:r>
    </w:p>
    <w:p w:rsidR="00AE337E" w:rsidRPr="001205DB" w:rsidRDefault="00363307" w:rsidP="00A8330F">
      <w:pPr>
        <w:pStyle w:val="Point0letter"/>
        <w:numPr>
          <w:ilvl w:val="1"/>
          <w:numId w:val="15"/>
        </w:numPr>
      </w:pPr>
      <w:r w:rsidRPr="001205DB">
        <w:t xml:space="preserve">attiecīgā gadījumā īpašu uzmanību veltī projektiem ģeogrāfiskos apgabalos, kam ir īpašas vajadzības vai kas ir sevišķi neaizsargāti, </w:t>
      </w:r>
      <w:proofErr w:type="spellStart"/>
      <w:r w:rsidRPr="001205DB">
        <w:t>piem</w:t>
      </w:r>
      <w:proofErr w:type="spellEnd"/>
      <w:r w:rsidRPr="001205DB">
        <w:t xml:space="preserve">., apgabalos ar īpašiem </w:t>
      </w:r>
      <w:proofErr w:type="spellStart"/>
      <w:r w:rsidRPr="001205DB">
        <w:t>vidiskiem</w:t>
      </w:r>
      <w:proofErr w:type="spellEnd"/>
      <w:r w:rsidRPr="001205DB">
        <w:t xml:space="preserve"> izaicinājumiem vai dabas ierobežojumiem, pārrobežu apgabalos vai tālākajos reģionos.</w:t>
      </w:r>
    </w:p>
    <w:p w:rsidR="00D069C0" w:rsidRPr="001205DB" w:rsidRDefault="00D069C0" w:rsidP="00511487">
      <w:pPr>
        <w:pStyle w:val="Titrearticle"/>
        <w:rPr>
          <w:i w:val="0"/>
        </w:rPr>
      </w:pPr>
      <w:r w:rsidRPr="001205DB">
        <w:t>14. pants</w:t>
      </w:r>
      <w:r w:rsidRPr="001205DB">
        <w:br/>
        <w:t>Ar zemes iegādi saistītās attiecināmās izmaksas</w:t>
      </w:r>
    </w:p>
    <w:p w:rsidR="00AE337E" w:rsidRPr="001205DB" w:rsidRDefault="00D069C0" w:rsidP="00AE337E">
      <w:pPr>
        <w:rPr>
          <w:rFonts w:eastAsia="Times New Roman"/>
          <w:color w:val="000000"/>
          <w:szCs w:val="24"/>
        </w:rPr>
      </w:pPr>
      <w:r w:rsidRPr="001205DB">
        <w:t>Papildus kritērijiem, kas izklāstīti Finanšu regulas [186]. pantā, ar zemes iegādi saistītās izmaksas uzskata par attiecināmām, ja ir izpildīti šādi nosacījumi:</w:t>
      </w:r>
    </w:p>
    <w:tbl>
      <w:tblPr>
        <w:tblW w:w="5000" w:type="pct"/>
        <w:tblCellSpacing w:w="0" w:type="dxa"/>
        <w:tblCellMar>
          <w:left w:w="0" w:type="dxa"/>
          <w:right w:w="0" w:type="dxa"/>
        </w:tblCellMar>
        <w:tblLook w:val="04A0" w:firstRow="1" w:lastRow="0" w:firstColumn="1" w:lastColumn="0" w:noHBand="0" w:noVBand="1"/>
      </w:tblPr>
      <w:tblGrid>
        <w:gridCol w:w="6"/>
        <w:gridCol w:w="9067"/>
      </w:tblGrid>
      <w:tr w:rsidR="00AE337E" w:rsidRPr="001205DB" w:rsidTr="00247B0B">
        <w:trPr>
          <w:tblCellSpacing w:w="0" w:type="dxa"/>
        </w:trPr>
        <w:tc>
          <w:tcPr>
            <w:tcW w:w="0" w:type="auto"/>
            <w:hideMark/>
          </w:tcPr>
          <w:p w:rsidR="00AE337E" w:rsidRPr="001205DB" w:rsidRDefault="00AE337E" w:rsidP="00A8330F">
            <w:pPr>
              <w:pStyle w:val="Point0letter"/>
              <w:numPr>
                <w:ilvl w:val="1"/>
                <w:numId w:val="10"/>
              </w:numPr>
            </w:pPr>
          </w:p>
        </w:tc>
        <w:tc>
          <w:tcPr>
            <w:tcW w:w="0" w:type="auto"/>
            <w:hideMark/>
          </w:tcPr>
          <w:p w:rsidR="00AE337E" w:rsidRPr="001205DB" w:rsidRDefault="00AE337E" w:rsidP="00A8330F">
            <w:pPr>
              <w:pStyle w:val="Point0letter"/>
              <w:numPr>
                <w:ilvl w:val="1"/>
                <w:numId w:val="16"/>
              </w:numPr>
            </w:pPr>
            <w:r w:rsidRPr="001205DB">
              <w:t xml:space="preserve">iegāde veicinās saskaņā ar Direktīvas 92/43/EEK 3. pantu izveidotā tīkla </w:t>
            </w:r>
            <w:proofErr w:type="spellStart"/>
            <w:r w:rsidRPr="001205DB">
              <w:rPr>
                <w:i/>
              </w:rPr>
              <w:t>Natura</w:t>
            </w:r>
            <w:proofErr w:type="spellEnd"/>
            <w:r w:rsidRPr="001205DB">
              <w:rPr>
                <w:i/>
              </w:rPr>
              <w:t> 2000</w:t>
            </w:r>
            <w:r w:rsidRPr="001205DB">
              <w:t xml:space="preserve"> uzlabošanu, uzturēšanu un integritātes atjaunošanu, tostarp </w:t>
            </w:r>
            <w:proofErr w:type="spellStart"/>
            <w:r w:rsidRPr="001205DB">
              <w:t>savienotības</w:t>
            </w:r>
            <w:proofErr w:type="spellEnd"/>
            <w:r w:rsidRPr="001205DB">
              <w:t xml:space="preserve"> uzlabošanu, radot koridorus, atbalsta punktus vai citus zaļās infrastruktūras elementus;</w:t>
            </w:r>
          </w:p>
          <w:p w:rsidR="00130585" w:rsidRPr="001205DB" w:rsidRDefault="00130585" w:rsidP="00A8330F">
            <w:pPr>
              <w:pStyle w:val="Point0letter"/>
              <w:numPr>
                <w:ilvl w:val="1"/>
                <w:numId w:val="16"/>
              </w:numPr>
            </w:pPr>
            <w:r w:rsidRPr="001205DB">
              <w:t xml:space="preserve">zemes iegāde ir vienīgais vai </w:t>
            </w:r>
            <w:proofErr w:type="spellStart"/>
            <w:r w:rsidRPr="001205DB">
              <w:t>izmaksefektīvākais</w:t>
            </w:r>
            <w:proofErr w:type="spellEnd"/>
            <w:r w:rsidRPr="001205DB">
              <w:t xml:space="preserve"> veids, kā panākt vēlamo saglabāšanas iznākumu;</w:t>
            </w:r>
          </w:p>
          <w:p w:rsidR="00130585" w:rsidRPr="001205DB" w:rsidRDefault="00130585" w:rsidP="00A8330F">
            <w:pPr>
              <w:pStyle w:val="Point0letter"/>
              <w:numPr>
                <w:ilvl w:val="1"/>
                <w:numId w:val="16"/>
              </w:numPr>
            </w:pPr>
            <w:r w:rsidRPr="001205DB">
              <w:t>iegādātā zeme ilgtermiņā tiek rezervēta zemes izmantojumiem, kas atbilst Programmas konkrētajiem mērķiem,</w:t>
            </w:r>
          </w:p>
          <w:p w:rsidR="0044327C" w:rsidRPr="001205DB" w:rsidRDefault="00130585" w:rsidP="00A8330F">
            <w:pPr>
              <w:pStyle w:val="Point0letter"/>
              <w:numPr>
                <w:ilvl w:val="1"/>
                <w:numId w:val="16"/>
              </w:numPr>
            </w:pPr>
            <w:r w:rsidRPr="001205DB">
              <w:t>attiecīgā dalībvalsts ar īpašuma nodošanu vai citādā veidā nodrošina šādas zemes ilgtermiņa paredzēšanu dabas saglabāšanas mērķiem.</w:t>
            </w:r>
          </w:p>
        </w:tc>
      </w:tr>
    </w:tbl>
    <w:p w:rsidR="00420329" w:rsidRPr="001205DB" w:rsidRDefault="00BE041F" w:rsidP="00420329">
      <w:pPr>
        <w:pStyle w:val="Titrearticle"/>
      </w:pPr>
      <w:r w:rsidRPr="001205DB">
        <w:t>15. pants</w:t>
      </w:r>
      <w:r w:rsidRPr="001205DB">
        <w:br/>
        <w:t>Kumulatīvais, komplementārais un kombinētais finansējums</w:t>
      </w:r>
    </w:p>
    <w:p w:rsidR="00420329" w:rsidRPr="001205DB" w:rsidRDefault="00420329" w:rsidP="00602029">
      <w:pPr>
        <w:pStyle w:val="NumPar1"/>
        <w:numPr>
          <w:ilvl w:val="0"/>
          <w:numId w:val="43"/>
        </w:numPr>
      </w:pPr>
      <w:r w:rsidRPr="001205DB">
        <w:t>Darbība, kurai piešķirts finansējums no citas Savienības programmas, var saņemt finansējumu arī no Programmas ar noteikumu, ka finansējums neattiecas uz tām pašām izmaksām. Katrai darbības finansējuma daļai ir attiecīgi piemērojami tās Savienības programmas noteikumi, kas šo daļu finansē.  Kumulatīvais finansējums nepārsniedz darbības kopējās attiecināmās izmaksas, un to, kādu atbalstu sniegušas dažādās Savienības programmas, var aprēķināt pēc proporcionalitātes principa saskaņā ar dokumentiem, kuros izklāstīti atbalsta nosacījumi.</w:t>
      </w:r>
    </w:p>
    <w:p w:rsidR="00420329" w:rsidRPr="001205DB" w:rsidRDefault="00551564" w:rsidP="00551564">
      <w:pPr>
        <w:pStyle w:val="NumPar1"/>
      </w:pPr>
      <w:r w:rsidRPr="001205DB">
        <w:t xml:space="preserve">Darbības, kam piešķirts izcilības zīmogs vai kas atbilst šiem kumulatīvajiem </w:t>
      </w:r>
      <w:proofErr w:type="spellStart"/>
      <w:r w:rsidRPr="001205DB">
        <w:t>komparatīvajiem</w:t>
      </w:r>
      <w:proofErr w:type="spellEnd"/>
      <w:r w:rsidRPr="001205DB">
        <w:t xml:space="preserve"> nosacījumiem: </w:t>
      </w:r>
    </w:p>
    <w:p w:rsidR="00420329" w:rsidRPr="001205DB" w:rsidRDefault="00420329" w:rsidP="00602029">
      <w:pPr>
        <w:pStyle w:val="Point1letter"/>
        <w:numPr>
          <w:ilvl w:val="3"/>
          <w:numId w:val="44"/>
        </w:numPr>
      </w:pPr>
      <w:r w:rsidRPr="001205DB">
        <w:t xml:space="preserve">tās ir novērtētas Programmas uzaicinājumā iesniegt priekšlikumus; </w:t>
      </w:r>
    </w:p>
    <w:p w:rsidR="00420329" w:rsidRPr="001205DB" w:rsidRDefault="00420329" w:rsidP="00602029">
      <w:pPr>
        <w:pStyle w:val="Point1letter"/>
        <w:numPr>
          <w:ilvl w:val="3"/>
          <w:numId w:val="44"/>
        </w:numPr>
      </w:pPr>
      <w:r w:rsidRPr="001205DB">
        <w:t xml:space="preserve">tās atbilst minētā uzaicinājuma iesniegt priekšlikumus kvalitātes prasību minimumam; </w:t>
      </w:r>
    </w:p>
    <w:p w:rsidR="00420329" w:rsidRPr="001205DB" w:rsidRDefault="00420329" w:rsidP="00602029">
      <w:pPr>
        <w:pStyle w:val="Point1letter"/>
        <w:numPr>
          <w:ilvl w:val="3"/>
          <w:numId w:val="44"/>
        </w:numPr>
      </w:pPr>
      <w:r w:rsidRPr="001205DB">
        <w:t xml:space="preserve">minētā uzaicinājuma iesniegt priekšlikumus ietvaros tās finansēt nevar budžeta ierobežojumu dēļ, </w:t>
      </w:r>
    </w:p>
    <w:p w:rsidR="00BE041F" w:rsidRPr="001205DB" w:rsidRDefault="00551564" w:rsidP="00551564">
      <w:pPr>
        <w:pStyle w:val="Text1"/>
        <w:ind w:left="709"/>
      </w:pPr>
      <w:r w:rsidRPr="001205DB">
        <w:lastRenderedPageBreak/>
        <w:t xml:space="preserve">var saņemt atbalstu no Eiropas Reģionālās attīstības fonda, Kohēzijas fonda, Eiropas Sociālā fonda+ vai Eiropas Lauksaimniecības fonda lauku attīstībai saskaņā ar Regulas (ES) XX [Kopīgo noteikumu regula] [67]. panta 5. punktu vai Regulas (ES) XX [par kopējās lauksaimniecības politikas finansēšanu, pārvaldību un uzraudzību] [8]. pantu, ja vien šādas darbības atbilst attiecīgās programmas mērķiem.  Piemēro tā fonda noteikumus, kurš sniedz atbalstu.  </w:t>
      </w:r>
    </w:p>
    <w:p w:rsidR="0044327C" w:rsidRPr="001205DB" w:rsidRDefault="0044327C" w:rsidP="00511487">
      <w:pPr>
        <w:pStyle w:val="ChapterTitle"/>
        <w:rPr>
          <w:b w:val="0"/>
          <w:sz w:val="24"/>
          <w:szCs w:val="24"/>
        </w:rPr>
      </w:pPr>
      <w:r w:rsidRPr="001205DB">
        <w:rPr>
          <w:b w:val="0"/>
          <w:sz w:val="24"/>
        </w:rPr>
        <w:t>III NODAĻA</w:t>
      </w:r>
      <w:r w:rsidRPr="001205DB">
        <w:rPr>
          <w:b w:val="0"/>
          <w:sz w:val="24"/>
          <w:szCs w:val="24"/>
        </w:rPr>
        <w:br/>
      </w:r>
      <w:r w:rsidRPr="001205DB">
        <w:rPr>
          <w:b w:val="0"/>
          <w:sz w:val="24"/>
        </w:rPr>
        <w:t>FINANASĒJUMA APVIENOŠANAS DARBĪBAS</w:t>
      </w:r>
    </w:p>
    <w:p w:rsidR="009B37D7" w:rsidRPr="001205DB" w:rsidRDefault="009B37D7" w:rsidP="00511487">
      <w:pPr>
        <w:pStyle w:val="Titrearticle"/>
      </w:pPr>
      <w:r w:rsidRPr="001205DB">
        <w:t>16. pants</w:t>
      </w:r>
      <w:r w:rsidRPr="001205DB">
        <w:br/>
        <w:t>Finansējuma apvienošanas darbības</w:t>
      </w:r>
    </w:p>
    <w:p w:rsidR="009252DF" w:rsidRPr="001205DB" w:rsidRDefault="00C1209E" w:rsidP="00C1209E">
      <w:r w:rsidRPr="001205DB">
        <w:t>Finansējuma apvienošanas darbības saskaņā ar šo programmu īsteno atbilstoši [</w:t>
      </w:r>
      <w:proofErr w:type="spellStart"/>
      <w:r w:rsidRPr="001205DB">
        <w:rPr>
          <w:i/>
        </w:rPr>
        <w:t>InvestEU</w:t>
      </w:r>
      <w:proofErr w:type="spellEnd"/>
      <w:r w:rsidRPr="001205DB">
        <w:t xml:space="preserve"> regula] un Finanšu regulas X sadaļai.</w:t>
      </w:r>
    </w:p>
    <w:p w:rsidR="0044327C" w:rsidRPr="001205DB" w:rsidRDefault="0044327C" w:rsidP="000A5658">
      <w:pPr>
        <w:pStyle w:val="ChapterTitle"/>
        <w:spacing w:before="360"/>
        <w:rPr>
          <w:b w:val="0"/>
          <w:sz w:val="24"/>
          <w:szCs w:val="24"/>
        </w:rPr>
      </w:pPr>
      <w:r w:rsidRPr="001205DB">
        <w:rPr>
          <w:b w:val="0"/>
          <w:sz w:val="24"/>
        </w:rPr>
        <w:t>IV NODAĻA</w:t>
      </w:r>
      <w:r w:rsidRPr="001205DB">
        <w:rPr>
          <w:b w:val="0"/>
          <w:sz w:val="24"/>
          <w:szCs w:val="24"/>
        </w:rPr>
        <w:br/>
      </w:r>
      <w:r w:rsidRPr="001205DB">
        <w:rPr>
          <w:b w:val="0"/>
          <w:sz w:val="24"/>
        </w:rPr>
        <w:t>PLĀNOŠANA, UZRAUDZĪBA, ZIŅOŠANA UN IZVĒRTĒŠANA</w:t>
      </w:r>
    </w:p>
    <w:p w:rsidR="0045599B" w:rsidRPr="001205DB" w:rsidRDefault="0045599B" w:rsidP="00511487">
      <w:pPr>
        <w:pStyle w:val="Titrearticle"/>
      </w:pPr>
      <w:r w:rsidRPr="001205DB">
        <w:t>17. pants</w:t>
      </w:r>
      <w:r w:rsidRPr="001205DB">
        <w:br/>
        <w:t>Darba programma</w:t>
      </w:r>
    </w:p>
    <w:p w:rsidR="004A2680" w:rsidRPr="001205DB" w:rsidRDefault="0045599B" w:rsidP="00A8330F">
      <w:pPr>
        <w:pStyle w:val="NumPar1"/>
        <w:numPr>
          <w:ilvl w:val="0"/>
          <w:numId w:val="11"/>
        </w:numPr>
      </w:pPr>
      <w:r w:rsidRPr="001205DB">
        <w:t>Programmu īsteno ar vismaz divām daudzgadu darba programmām, kas minētas Finanšu regulas 110. pantā. Darba programmās attiecīgā gadījumā norāda kopējo summu, kas atvēlēta finansējuma apvienošanas darbībām.</w:t>
      </w:r>
    </w:p>
    <w:p w:rsidR="004A2680" w:rsidRPr="001205DB" w:rsidRDefault="004A2680" w:rsidP="00A8330F">
      <w:pPr>
        <w:pStyle w:val="NumPar1"/>
        <w:numPr>
          <w:ilvl w:val="0"/>
          <w:numId w:val="11"/>
        </w:numPr>
      </w:pPr>
      <w:r w:rsidRPr="001205DB">
        <w:t>Katrā daudzgadu darba programmā atbilstoši 3. pantā izklāstītajiem mērķiem nosaka:</w:t>
      </w:r>
    </w:p>
    <w:p w:rsidR="004A2680" w:rsidRPr="001205DB" w:rsidRDefault="004A2680" w:rsidP="00A8330F">
      <w:pPr>
        <w:pStyle w:val="Point1letter"/>
        <w:numPr>
          <w:ilvl w:val="3"/>
          <w:numId w:val="14"/>
        </w:numPr>
      </w:pPr>
      <w:r w:rsidRPr="001205DB">
        <w:t>līdzekļu sadalījumu katrā apakšprogrammā šīs apakšprogrammas vajadzībām un starp dažādiem finansējuma veidiem;</w:t>
      </w:r>
    </w:p>
    <w:p w:rsidR="004A2680" w:rsidRPr="001205DB" w:rsidRDefault="004A2680" w:rsidP="005D5AE6">
      <w:pPr>
        <w:pStyle w:val="Point1letter"/>
      </w:pPr>
      <w:r w:rsidRPr="001205DB">
        <w:t>projektu tēmas vai konkrētas vajadzības, kurām finansējums 10. panta 2. punkta c) un d) apakšpunktā minētajiem projektiem tiek piešķirts jau iepriekš;</w:t>
      </w:r>
    </w:p>
    <w:p w:rsidR="00C1209E" w:rsidRPr="001205DB" w:rsidRDefault="004A2680" w:rsidP="00F20E2B">
      <w:pPr>
        <w:pStyle w:val="Point1letter"/>
      </w:pPr>
      <w:proofErr w:type="spellStart"/>
      <w:r w:rsidRPr="001205DB">
        <w:t>mērķplānus</w:t>
      </w:r>
      <w:proofErr w:type="spellEnd"/>
      <w:r w:rsidRPr="001205DB">
        <w:t>, attiecībā uz kuriem finansējumu var pieprasīt 10. panta 2. punkta b) apakšpunktā minētajiem projektiem;</w:t>
      </w:r>
    </w:p>
    <w:p w:rsidR="004A2680" w:rsidRPr="001205DB" w:rsidRDefault="00C1209E" w:rsidP="00C1209E">
      <w:pPr>
        <w:pStyle w:val="Point1letter"/>
      </w:pPr>
      <w:r w:rsidRPr="001205DB">
        <w:t xml:space="preserve">maksimālo </w:t>
      </w:r>
      <w:proofErr w:type="spellStart"/>
      <w:r w:rsidRPr="001205DB">
        <w:t>attiecināmības</w:t>
      </w:r>
      <w:proofErr w:type="spellEnd"/>
      <w:r w:rsidRPr="001205DB">
        <w:t xml:space="preserve"> periodu projekta īstenošanai.</w:t>
      </w:r>
    </w:p>
    <w:p w:rsidR="00F15D60" w:rsidRPr="001205DB" w:rsidRDefault="00A00D7D" w:rsidP="00511487">
      <w:pPr>
        <w:pStyle w:val="Titrearticle"/>
      </w:pPr>
      <w:r w:rsidRPr="001205DB">
        <w:t>18. pants</w:t>
      </w:r>
      <w:r w:rsidRPr="001205DB">
        <w:br/>
        <w:t>Uzraudzība un ziņošana</w:t>
      </w:r>
    </w:p>
    <w:p w:rsidR="00A00D7D" w:rsidRPr="001205DB" w:rsidRDefault="000322BF" w:rsidP="00602029">
      <w:pPr>
        <w:pStyle w:val="NumPar1"/>
        <w:numPr>
          <w:ilvl w:val="0"/>
          <w:numId w:val="38"/>
        </w:numPr>
      </w:pPr>
      <w:r w:rsidRPr="001205DB">
        <w:t>Regulas II pielikumā ir noteikti rādītāji, ar kuriem ziņo par Programmas virzību ceļā uz 3. pantā izklāstīto mērķu sasniegšanu.</w:t>
      </w:r>
    </w:p>
    <w:p w:rsidR="000322BF" w:rsidRPr="001205DB" w:rsidRDefault="00C81B68" w:rsidP="00C81B68">
      <w:pPr>
        <w:pStyle w:val="NumPar1"/>
        <w:rPr>
          <w:color w:val="000000" w:themeColor="text1"/>
        </w:rPr>
      </w:pPr>
      <w:r w:rsidRPr="001205DB">
        <w:t>Lai nodrošinātu, ka Programmas virzība uz tās mērķu sasniegšanu tiek novērtēta rezultatīvi, Komisija ir pilnvarota saskaņā ar 21. pantu pieņemt deleģētos aktus, ar ko groza II pielikumu, lai vajadzības gadījumā rādītājus pārskatītu vai papildinātu, un šo regulu papildina ar noteikumiem par uzraudzības un izvērtēšanas satvara izveidi.</w:t>
      </w:r>
      <w:r w:rsidRPr="001205DB">
        <w:rPr>
          <w:color w:val="000000" w:themeColor="text1"/>
        </w:rPr>
        <w:t xml:space="preserve"> </w:t>
      </w:r>
    </w:p>
    <w:p w:rsidR="00F87885" w:rsidRPr="001205DB" w:rsidRDefault="000322BF" w:rsidP="00704716">
      <w:pPr>
        <w:pStyle w:val="NumPar1"/>
        <w:rPr>
          <w:szCs w:val="24"/>
        </w:rPr>
      </w:pPr>
      <w:r w:rsidRPr="001205DB">
        <w:t xml:space="preserve">Snieguma ziņošanas sistēma nodrošina, ka programmas īstenošanas un rezultātu uzraudzībai vajadzīgie dati tiek savākti efektīvi, lietderīgi un savlaicīgi. Lai to panāktu, Savienības līdzekļu saņēmējiem nosaka samērīgas ziņošanas prasības, lai varētu savākt </w:t>
      </w:r>
      <w:proofErr w:type="spellStart"/>
      <w:r w:rsidRPr="001205DB">
        <w:t>agregējamus</w:t>
      </w:r>
      <w:proofErr w:type="spellEnd"/>
      <w:r w:rsidRPr="001205DB">
        <w:t xml:space="preserve"> projekta līmeņa izlaides un ietekmes rādītājus attiecībā uz </w:t>
      </w:r>
      <w:r w:rsidRPr="001205DB">
        <w:lastRenderedPageBreak/>
        <w:t xml:space="preserve">visiem relevantajiem konkrētajiem vides un klimata </w:t>
      </w:r>
      <w:proofErr w:type="spellStart"/>
      <w:r w:rsidRPr="001205DB">
        <w:t>rīcībpolitikas</w:t>
      </w:r>
      <w:proofErr w:type="spellEnd"/>
      <w:r w:rsidRPr="001205DB">
        <w:t xml:space="preserve"> mērķiem, arī </w:t>
      </w:r>
      <w:proofErr w:type="spellStart"/>
      <w:r w:rsidRPr="001205DB">
        <w:rPr>
          <w:i/>
        </w:rPr>
        <w:t>Natura</w:t>
      </w:r>
      <w:proofErr w:type="spellEnd"/>
      <w:r w:rsidRPr="001205DB">
        <w:rPr>
          <w:i/>
        </w:rPr>
        <w:t> 2000</w:t>
      </w:r>
      <w:r w:rsidRPr="001205DB">
        <w:t xml:space="preserve"> un dažu gaisa piesārņotāju, arī CO</w:t>
      </w:r>
      <w:r w:rsidRPr="001205DB">
        <w:rPr>
          <w:vertAlign w:val="subscript"/>
        </w:rPr>
        <w:t>2</w:t>
      </w:r>
      <w:r w:rsidRPr="001205DB">
        <w:t xml:space="preserve">, emisijām. </w:t>
      </w:r>
    </w:p>
    <w:p w:rsidR="00F87885" w:rsidRPr="001205DB" w:rsidRDefault="00F87885" w:rsidP="00F87885">
      <w:pPr>
        <w:pStyle w:val="NumPar1"/>
        <w:spacing w:before="0" w:after="0"/>
        <w:rPr>
          <w:szCs w:val="24"/>
        </w:rPr>
      </w:pPr>
      <w:r w:rsidRPr="001205DB">
        <w:t xml:space="preserve">Komisija regulāri uzrauga klimata un </w:t>
      </w:r>
      <w:proofErr w:type="spellStart"/>
      <w:r w:rsidRPr="001205DB">
        <w:t>biodaudzveidības</w:t>
      </w:r>
      <w:proofErr w:type="spellEnd"/>
      <w:r w:rsidRPr="001205DB">
        <w:t xml:space="preserve"> mērķu integrēšanu un par to ziņo, arī par izdevumu apmēru. Šīs regulas ieguldījumam budžeta mēroga </w:t>
      </w:r>
      <w:proofErr w:type="spellStart"/>
      <w:r w:rsidRPr="001205DB">
        <w:t>mērķrādītājā</w:t>
      </w:r>
      <w:proofErr w:type="spellEnd"/>
      <w:r w:rsidRPr="001205DB">
        <w:t xml:space="preserve"> — panākt, ka 25 % izdevumu dod ieguldījumu klimatisko mērķu sasniegšanā, — seko ar Savienības klimatisko marķieru sistēmu. Ar </w:t>
      </w:r>
      <w:proofErr w:type="spellStart"/>
      <w:r w:rsidRPr="001205DB">
        <w:t>biodaudzveidību</w:t>
      </w:r>
      <w:proofErr w:type="spellEnd"/>
      <w:r w:rsidRPr="001205DB">
        <w:t xml:space="preserve"> saistītajiem izdevumiem seko, izmantojot īpašu marķieru kopu. Ar minētajām izsekošanas metodēm kvantificē saistību apropriācijas, kuras, kā gaidāms, 2021.–2027. gada daudzgadu finanšu shēmā dos ieguldījumu attiecīgi klimata un </w:t>
      </w:r>
      <w:proofErr w:type="spellStart"/>
      <w:r w:rsidRPr="001205DB">
        <w:t>biodaudzveidības</w:t>
      </w:r>
      <w:proofErr w:type="spellEnd"/>
      <w:r w:rsidRPr="001205DB">
        <w:t xml:space="preserve"> mērķu sasniegšanā, attiecīgajā </w:t>
      </w:r>
      <w:proofErr w:type="spellStart"/>
      <w:r w:rsidRPr="001205DB">
        <w:t>dezagregācijas</w:t>
      </w:r>
      <w:proofErr w:type="spellEnd"/>
      <w:r w:rsidRPr="001205DB">
        <w:t xml:space="preserve"> līmenī. Izdevumus ik gadu uzrāda budžeta programmas deklarācijā. Par Programmas ieguldījumu Savienības klimata un </w:t>
      </w:r>
      <w:proofErr w:type="spellStart"/>
      <w:r w:rsidRPr="001205DB">
        <w:t>biodaudzveidības</w:t>
      </w:r>
      <w:proofErr w:type="spellEnd"/>
      <w:r w:rsidRPr="001205DB">
        <w:t xml:space="preserve"> mērķu sasniegšanā regulāri ziņo izvērtējumu un gada ziņojuma kontekstā.</w:t>
      </w:r>
    </w:p>
    <w:p w:rsidR="00F87885" w:rsidRPr="001205DB" w:rsidRDefault="00F87885" w:rsidP="00F87885">
      <w:pPr>
        <w:pStyle w:val="NumPar1"/>
      </w:pPr>
      <w:r w:rsidRPr="001205DB">
        <w:t>Komisija novērtē sinerģiju starp Programmu un citām komplementārām Savienības programmām un starp tās apakšprogrammām.</w:t>
      </w:r>
    </w:p>
    <w:p w:rsidR="008005C7" w:rsidRPr="001205DB" w:rsidRDefault="008005C7" w:rsidP="00511487">
      <w:pPr>
        <w:pStyle w:val="Titrearticle"/>
      </w:pPr>
      <w:r w:rsidRPr="001205DB">
        <w:t>19. pants</w:t>
      </w:r>
      <w:r w:rsidRPr="001205DB">
        <w:br/>
        <w:t>Izvērtēšana</w:t>
      </w:r>
    </w:p>
    <w:p w:rsidR="007C629D" w:rsidRPr="001205DB" w:rsidRDefault="007C629D" w:rsidP="0018450D">
      <w:pPr>
        <w:pStyle w:val="NumPar1"/>
        <w:numPr>
          <w:ilvl w:val="0"/>
          <w:numId w:val="7"/>
        </w:numPr>
      </w:pPr>
      <w:r w:rsidRPr="001205DB">
        <w:t>Izvērtēšanas veic savlaicīgi, lai to rezultātus varētu ņemt vērā lēmumu pieņemšanas procesā.</w:t>
      </w:r>
    </w:p>
    <w:p w:rsidR="00DC6914" w:rsidRPr="001205DB" w:rsidRDefault="00DC6914" w:rsidP="0018450D">
      <w:pPr>
        <w:pStyle w:val="NumPar1"/>
        <w:numPr>
          <w:ilvl w:val="0"/>
          <w:numId w:val="7"/>
        </w:numPr>
      </w:pPr>
      <w:r w:rsidRPr="001205DB">
        <w:t>Programmas starpposma izvērtēšanu veic, tiklīdz par Programmas īstenošanu ir pieejama pietiekama informācija, bet ne vēlāk kā četrus gadus pēc Programmas īstenošanas sākuma.</w:t>
      </w:r>
    </w:p>
    <w:p w:rsidR="00DC6914" w:rsidRPr="001205DB" w:rsidRDefault="00DC6914" w:rsidP="0018450D">
      <w:pPr>
        <w:pStyle w:val="NumPar1"/>
        <w:numPr>
          <w:ilvl w:val="0"/>
          <w:numId w:val="7"/>
        </w:numPr>
      </w:pPr>
      <w:r w:rsidRPr="001205DB">
        <w:t>Programmas īstenošanas beigās, bet ne vēlāk kā četrus gadus pēc 1. panta otrajā daļā norādītā perioda beigām Komisija veic Programmas galīgo izvērtēšanu.</w:t>
      </w:r>
    </w:p>
    <w:p w:rsidR="00DC6914" w:rsidRPr="001205DB" w:rsidRDefault="00DC6914" w:rsidP="0018450D">
      <w:pPr>
        <w:pStyle w:val="NumPar1"/>
        <w:numPr>
          <w:ilvl w:val="0"/>
          <w:numId w:val="7"/>
        </w:numPr>
      </w:pPr>
      <w:r w:rsidRPr="001205DB">
        <w:t>Komisija šīs izvērtēšanas rezultātus kopā ar saviem apsvērumiem paziņo Eiropas Parlamentam, Padomei, Eiropas Ekonomikas un sociālo lietu komitejai un Reģionu komitejai.</w:t>
      </w:r>
    </w:p>
    <w:p w:rsidR="0044327C" w:rsidRPr="001205DB" w:rsidRDefault="0044327C" w:rsidP="00511487">
      <w:pPr>
        <w:pStyle w:val="ChapterTitle"/>
        <w:rPr>
          <w:b w:val="0"/>
          <w:sz w:val="24"/>
          <w:szCs w:val="24"/>
        </w:rPr>
      </w:pPr>
      <w:r w:rsidRPr="001205DB">
        <w:rPr>
          <w:b w:val="0"/>
          <w:sz w:val="24"/>
        </w:rPr>
        <w:t>V NODAĻA</w:t>
      </w:r>
      <w:r w:rsidRPr="001205DB">
        <w:rPr>
          <w:b w:val="0"/>
          <w:sz w:val="24"/>
          <w:szCs w:val="24"/>
        </w:rPr>
        <w:br/>
      </w:r>
      <w:r w:rsidRPr="001205DB">
        <w:rPr>
          <w:b w:val="0"/>
          <w:sz w:val="24"/>
        </w:rPr>
        <w:t>PĀREJAS UN NOBEIGUMA NOTEIKUMI</w:t>
      </w:r>
    </w:p>
    <w:p w:rsidR="00845424" w:rsidRPr="001205DB" w:rsidRDefault="00845424" w:rsidP="00511487">
      <w:pPr>
        <w:pStyle w:val="Titrearticle"/>
      </w:pPr>
      <w:r w:rsidRPr="001205DB">
        <w:t>20. pants</w:t>
      </w:r>
      <w:r w:rsidRPr="001205DB">
        <w:br/>
        <w:t>Informācija, komunikācija un publicitāte</w:t>
      </w:r>
    </w:p>
    <w:p w:rsidR="00762F6D" w:rsidRPr="001205DB" w:rsidRDefault="00845424" w:rsidP="009F2194">
      <w:pPr>
        <w:pStyle w:val="NumPar1"/>
        <w:numPr>
          <w:ilvl w:val="0"/>
          <w:numId w:val="29"/>
        </w:numPr>
      </w:pPr>
      <w:r w:rsidRPr="001205DB">
        <w:t>Savienības finansējuma saņēmēji atzīst Savienības finansējuma izcelsmi un nodrošina tā redzamību (jo īpaši projektu un to rezultātu popularizēšanā), sniedzot dažādām auditorijām, tostarp plašsaziņas līdzekļiem un sabiedrībai, mērķorientētu informāciju, kas ir konsekventa, lietderīga un samērīga.</w:t>
      </w:r>
    </w:p>
    <w:p w:rsidR="00845424" w:rsidRPr="001205DB" w:rsidRDefault="00845424" w:rsidP="00A8330F">
      <w:pPr>
        <w:pStyle w:val="NumPar1"/>
        <w:numPr>
          <w:ilvl w:val="0"/>
          <w:numId w:val="8"/>
        </w:numPr>
      </w:pPr>
      <w:r w:rsidRPr="001205DB">
        <w:t>Komisija rīko informācijas un komunikācijas pasākumus par Programmu, tās darbībām un rezultātiem. Programmai piešķirtie finanšu resursi veicina arī Savienības politisko prioritāšu korporatīvo komunikāciju, ciktāl šīs prioritātes saistītas ar 3. pantā minētajiem mērķiem.</w:t>
      </w:r>
    </w:p>
    <w:p w:rsidR="009E2C39" w:rsidRPr="001205DB" w:rsidRDefault="009E2C39" w:rsidP="00511487">
      <w:pPr>
        <w:pStyle w:val="Titrearticle"/>
      </w:pPr>
      <w:r w:rsidRPr="001205DB">
        <w:lastRenderedPageBreak/>
        <w:t>21. pants</w:t>
      </w:r>
      <w:r w:rsidRPr="001205DB">
        <w:br/>
        <w:t>Deleģēšanas īstenošana</w:t>
      </w:r>
    </w:p>
    <w:p w:rsidR="009E2C39" w:rsidRPr="001205DB" w:rsidRDefault="009E2C39" w:rsidP="00A8330F">
      <w:pPr>
        <w:pStyle w:val="NumPar1"/>
        <w:numPr>
          <w:ilvl w:val="0"/>
          <w:numId w:val="13"/>
        </w:numPr>
        <w:spacing w:after="0"/>
        <w:rPr>
          <w:color w:val="000000"/>
        </w:rPr>
      </w:pPr>
      <w:r w:rsidRPr="001205DB">
        <w:rPr>
          <w:color w:val="000000"/>
        </w:rPr>
        <w:t>Pilnvaras pieņemt deleģētos aktus Komisijai piešķir, ievērojot šajā pantā izklāstītos nosacījumus.</w:t>
      </w:r>
    </w:p>
    <w:p w:rsidR="009E2C39" w:rsidRPr="001205DB" w:rsidRDefault="009E2C39" w:rsidP="00A8330F">
      <w:pPr>
        <w:pStyle w:val="NumPar1"/>
        <w:numPr>
          <w:ilvl w:val="0"/>
          <w:numId w:val="8"/>
        </w:numPr>
        <w:spacing w:after="0"/>
        <w:rPr>
          <w:color w:val="000000"/>
        </w:rPr>
      </w:pPr>
      <w:r w:rsidRPr="001205DB">
        <w:rPr>
          <w:color w:val="000000"/>
        </w:rPr>
        <w:t>Pilnvaras pieņemt 18. panta 2. punktā minētos deleģētos aktus Komisijai piešķir līdz 2028. gada 31. decembrim.</w:t>
      </w:r>
    </w:p>
    <w:p w:rsidR="009E2C39" w:rsidRPr="001205DB" w:rsidRDefault="009E2C39" w:rsidP="00A8330F">
      <w:pPr>
        <w:pStyle w:val="NumPar1"/>
        <w:numPr>
          <w:ilvl w:val="0"/>
          <w:numId w:val="8"/>
        </w:numPr>
        <w:spacing w:after="0"/>
        <w:rPr>
          <w:color w:val="000000"/>
        </w:rPr>
      </w:pPr>
      <w:r w:rsidRPr="001205DB">
        <w:rPr>
          <w:color w:val="000000"/>
        </w:rPr>
        <w:t xml:space="preserve">Eiropas Parlaments vai Padome jebkurā laikā var atsaukt 18. panta 2. punktā minēto pilnvaru deleģēšanu. Ar lēmumu par atsaukšanu izbeidz tajā norādīto pilnvaru deleģēšanu. Lēmums stājas spēkā nākamajā dienā pēc tā publicēšanas </w:t>
      </w:r>
      <w:r w:rsidRPr="001205DB">
        <w:rPr>
          <w:i/>
          <w:color w:val="000000"/>
        </w:rPr>
        <w:t>Eiropas Savienības Oficiālajā Vēstnesī</w:t>
      </w:r>
      <w:r w:rsidRPr="001205DB">
        <w:rPr>
          <w:color w:val="000000"/>
        </w:rPr>
        <w:t xml:space="preserve"> vai vēlākā dienā, kas tajā norādīta. Tas neskar jau spēkā esošos deleģētos aktus.</w:t>
      </w:r>
    </w:p>
    <w:p w:rsidR="00943A62" w:rsidRPr="001205DB" w:rsidRDefault="00943A62" w:rsidP="00A8330F">
      <w:pPr>
        <w:pStyle w:val="NumPar1"/>
        <w:numPr>
          <w:ilvl w:val="0"/>
          <w:numId w:val="8"/>
        </w:numPr>
        <w:spacing w:after="0"/>
        <w:rPr>
          <w:color w:val="000000"/>
        </w:rPr>
      </w:pPr>
      <w:r w:rsidRPr="001205DB">
        <w:rPr>
          <w:color w:val="000000"/>
        </w:rPr>
        <w:t>Pirms deleģēta akta pieņemšanas Komisija apspriežas ar katras dalībvalsts ieceltajiem ekspertiem saskaņā ar principiem, kas paredzēti 2016. gada 13. aprīļa Iestāžu nolīgumā par labāku likumdošanas procesu.</w:t>
      </w:r>
    </w:p>
    <w:p w:rsidR="009E2C39" w:rsidRPr="001205DB" w:rsidRDefault="009E2C39" w:rsidP="00A8330F">
      <w:pPr>
        <w:pStyle w:val="NumPar1"/>
        <w:numPr>
          <w:ilvl w:val="0"/>
          <w:numId w:val="8"/>
        </w:numPr>
        <w:spacing w:after="0"/>
        <w:rPr>
          <w:color w:val="000000"/>
        </w:rPr>
      </w:pPr>
      <w:r w:rsidRPr="001205DB">
        <w:rPr>
          <w:color w:val="000000"/>
        </w:rPr>
        <w:t>Tiklīdz Komisija pieņem deleģētu aktu, tā par to paziņo vienlaikus Eiropas Parlamentam un Padomei.</w:t>
      </w:r>
    </w:p>
    <w:p w:rsidR="009E2C39" w:rsidRPr="001205DB" w:rsidRDefault="009E2C39" w:rsidP="00A8330F">
      <w:pPr>
        <w:pStyle w:val="NumPar1"/>
        <w:numPr>
          <w:ilvl w:val="0"/>
          <w:numId w:val="8"/>
        </w:numPr>
        <w:spacing w:after="0"/>
        <w:rPr>
          <w:color w:val="000000"/>
        </w:rPr>
      </w:pPr>
      <w:r w:rsidRPr="001205DB">
        <w:rPr>
          <w:color w:val="000000"/>
        </w:rPr>
        <w:t>Saskaņā ar 18. panta 2. punktu pieņemts deleģētais akts stājas spēkā tikai tad, ja divos mēnešos no dienas, kad minētais akts paziņots Eiropas Parlamentam un Padomei, ne Eiropas Parlaments, ne Padome nav izteikuši iebildumus vai ja pirms minētā laikposma beigām gan Eiropas Parlaments, gan Padome ir informējuši Komisiju par savu nodomu neizteikt iebildumus. Pēc Eiropas Parlamenta vai Padomes iniciatīvas šo laikposmu pagarina par diviem mēnešiem.</w:t>
      </w:r>
    </w:p>
    <w:p w:rsidR="00350FD5" w:rsidRPr="001205DB" w:rsidRDefault="00C355A3" w:rsidP="009E2C39">
      <w:pPr>
        <w:pStyle w:val="Titrearticle"/>
      </w:pPr>
      <w:r w:rsidRPr="001205DB">
        <w:t>22. pants</w:t>
      </w:r>
      <w:r w:rsidRPr="001205DB">
        <w:br/>
        <w:t xml:space="preserve">Atcelšana </w:t>
      </w:r>
    </w:p>
    <w:p w:rsidR="00350FD5" w:rsidRPr="001205DB" w:rsidRDefault="002B6F96" w:rsidP="002B6F96">
      <w:r w:rsidRPr="001205DB">
        <w:t xml:space="preserve">Regula (ES) </w:t>
      </w:r>
      <w:proofErr w:type="spellStart"/>
      <w:r w:rsidRPr="001205DB">
        <w:t>Nr</w:t>
      </w:r>
      <w:proofErr w:type="spellEnd"/>
      <w:r w:rsidRPr="001205DB">
        <w:t>. 1293/2013 no 2021. gada 1. janvāra tiek atcelta.</w:t>
      </w:r>
    </w:p>
    <w:p w:rsidR="00623468" w:rsidRPr="001205DB" w:rsidRDefault="00350FD5" w:rsidP="009E2C39">
      <w:pPr>
        <w:pStyle w:val="Titrearticle"/>
      </w:pPr>
      <w:r w:rsidRPr="001205DB">
        <w:t>23. pants</w:t>
      </w:r>
      <w:r w:rsidRPr="001205DB">
        <w:br/>
        <w:t xml:space="preserve">Pārejas noteikumi </w:t>
      </w:r>
    </w:p>
    <w:p w:rsidR="00DE6FA0" w:rsidRPr="001205DB" w:rsidRDefault="00224511" w:rsidP="0018450D">
      <w:pPr>
        <w:pStyle w:val="NumPar1"/>
        <w:numPr>
          <w:ilvl w:val="0"/>
          <w:numId w:val="6"/>
        </w:numPr>
        <w:rPr>
          <w:szCs w:val="24"/>
        </w:rPr>
      </w:pPr>
      <w:r w:rsidRPr="001205DB">
        <w:t xml:space="preserve">Šī regula neskar attiecīgo darbību turpināšanu vai grozīšanu — līdz to noslēgumam — saskaņā ar Eiropas Parlamenta un Padomes Regulu (EK) </w:t>
      </w:r>
      <w:proofErr w:type="spellStart"/>
      <w:r w:rsidRPr="001205DB">
        <w:t>Nr</w:t>
      </w:r>
      <w:proofErr w:type="spellEnd"/>
      <w:r w:rsidRPr="001205DB">
        <w:t>. 614/2007</w:t>
      </w:r>
      <w:r w:rsidRPr="001205DB">
        <w:rPr>
          <w:rStyle w:val="FootnoteReference"/>
        </w:rPr>
        <w:footnoteReference w:id="40"/>
      </w:r>
      <w:r w:rsidRPr="001205DB">
        <w:t xml:space="preserve"> un Regulu (ES) </w:t>
      </w:r>
      <w:proofErr w:type="spellStart"/>
      <w:r w:rsidRPr="001205DB">
        <w:t>Nr</w:t>
      </w:r>
      <w:proofErr w:type="spellEnd"/>
      <w:r w:rsidRPr="001205DB">
        <w:t>. 1293/2013, ko attiecīgajiem projektiem turpina piemērot līdz to noslēgumam.</w:t>
      </w:r>
    </w:p>
    <w:p w:rsidR="00623468" w:rsidRPr="001205DB" w:rsidRDefault="00623468" w:rsidP="0018450D">
      <w:pPr>
        <w:pStyle w:val="NumPar1"/>
        <w:numPr>
          <w:ilvl w:val="0"/>
          <w:numId w:val="6"/>
        </w:numPr>
      </w:pPr>
      <w:r w:rsidRPr="001205DB">
        <w:t xml:space="preserve">No programmas finansējuma var segt arī izdevumus par tehnisko un administratīvo palīdzību, kas ir vajadzīga, lai nodrošinātu pāreju starp Programmu un pasākumiem, kuri pieņemti saskaņā ar Regulu (EK) </w:t>
      </w:r>
      <w:proofErr w:type="spellStart"/>
      <w:r w:rsidRPr="001205DB">
        <w:t>Nr</w:t>
      </w:r>
      <w:proofErr w:type="spellEnd"/>
      <w:r w:rsidRPr="001205DB">
        <w:t xml:space="preserve">. 614/2007 un Regulu (ES) </w:t>
      </w:r>
      <w:proofErr w:type="spellStart"/>
      <w:r w:rsidRPr="001205DB">
        <w:t>Nr</w:t>
      </w:r>
      <w:proofErr w:type="spellEnd"/>
      <w:r w:rsidRPr="001205DB">
        <w:t xml:space="preserve">. 1293/2013. </w:t>
      </w:r>
    </w:p>
    <w:p w:rsidR="00C355A3" w:rsidRPr="001205DB" w:rsidRDefault="00623468" w:rsidP="00A8330F">
      <w:pPr>
        <w:pStyle w:val="NumPar1"/>
        <w:numPr>
          <w:ilvl w:val="0"/>
          <w:numId w:val="8"/>
        </w:numPr>
      </w:pPr>
      <w:r w:rsidRPr="001205DB">
        <w:t>Lai varētu pārvaldīt darbības, kuras nebūs pabeigtas līdz 2027. gada 31. decembrim, 5. panta 4. punktā paredzēto izmaksu segšanai budžetā vajadzības gadījumā var iekļaut apropriācijas arī pēc 2027. gada.</w:t>
      </w:r>
    </w:p>
    <w:p w:rsidR="009777F6" w:rsidRPr="001205DB" w:rsidRDefault="009777F6" w:rsidP="006936F5">
      <w:pPr>
        <w:pStyle w:val="NumPar1"/>
      </w:pPr>
      <w:r w:rsidRPr="001205DB">
        <w:lastRenderedPageBreak/>
        <w:t xml:space="preserve">Atmaksājumus no finanšu instrumentiem, kas izveidoti saskaņā ar Regulu (ES) </w:t>
      </w:r>
      <w:proofErr w:type="spellStart"/>
      <w:r w:rsidRPr="001205DB">
        <w:t>Nr</w:t>
      </w:r>
      <w:proofErr w:type="spellEnd"/>
      <w:r w:rsidRPr="001205DB">
        <w:t xml:space="preserve">. 1293/2013, var ieguldīt saskaņā ar [fondu </w:t>
      </w:r>
      <w:proofErr w:type="spellStart"/>
      <w:r w:rsidRPr="001205DB">
        <w:rPr>
          <w:i/>
        </w:rPr>
        <w:t>InvestEU</w:t>
      </w:r>
      <w:proofErr w:type="spellEnd"/>
      <w:r w:rsidRPr="001205DB">
        <w:t>] izveidotajos finanšu instrumentos.</w:t>
      </w:r>
    </w:p>
    <w:p w:rsidR="005D6476" w:rsidRPr="001205DB" w:rsidRDefault="005D6476" w:rsidP="005D6476">
      <w:pPr>
        <w:pStyle w:val="NumPar1"/>
      </w:pPr>
      <w:r w:rsidRPr="001205DB">
        <w:t xml:space="preserve">Apropriācijas, kas atbilst piešķirtajiem ieņēmumiem, kuri gūti, atgūstot summas, kas saskaņā ar Regulu (EK) </w:t>
      </w:r>
      <w:proofErr w:type="spellStart"/>
      <w:r w:rsidRPr="001205DB">
        <w:t>Nr</w:t>
      </w:r>
      <w:proofErr w:type="spellEnd"/>
      <w:r w:rsidRPr="001205DB">
        <w:t xml:space="preserve">. 614/2007 vai Regulu (EK) </w:t>
      </w:r>
      <w:proofErr w:type="spellStart"/>
      <w:r w:rsidRPr="001205DB">
        <w:t>Nr</w:t>
      </w:r>
      <w:proofErr w:type="spellEnd"/>
      <w:r w:rsidRPr="001205DB">
        <w:t xml:space="preserve">. 1293/2013 izmaksātas nepamatoti, izmanto Programmas finansēšanai saskaņā ar Eiropas Parlamenta un Padomes Regulas (ES, </w:t>
      </w:r>
      <w:proofErr w:type="spellStart"/>
      <w:r w:rsidRPr="001205DB">
        <w:rPr>
          <w:i/>
        </w:rPr>
        <w:t>Euratom</w:t>
      </w:r>
      <w:proofErr w:type="spellEnd"/>
      <w:r w:rsidRPr="001205DB">
        <w:t xml:space="preserve">) </w:t>
      </w:r>
      <w:proofErr w:type="spellStart"/>
      <w:r w:rsidRPr="001205DB">
        <w:t>Nr</w:t>
      </w:r>
      <w:proofErr w:type="spellEnd"/>
      <w:r w:rsidRPr="001205DB">
        <w:t>. 966/2012</w:t>
      </w:r>
      <w:r w:rsidRPr="001205DB">
        <w:rPr>
          <w:rStyle w:val="FootnoteReference"/>
        </w:rPr>
        <w:footnoteReference w:id="41"/>
      </w:r>
      <w:r w:rsidRPr="001205DB">
        <w:t xml:space="preserve"> 21. pantu.</w:t>
      </w:r>
    </w:p>
    <w:p w:rsidR="00531FDF" w:rsidRPr="001205DB" w:rsidRDefault="00C5603D" w:rsidP="00511487">
      <w:pPr>
        <w:pStyle w:val="Titrearticle"/>
      </w:pPr>
      <w:r w:rsidRPr="001205DB">
        <w:t>24. pants</w:t>
      </w:r>
      <w:r w:rsidRPr="001205DB">
        <w:br/>
        <w:t>Stāšanās spēkā</w:t>
      </w:r>
    </w:p>
    <w:p w:rsidR="00C5603D" w:rsidRPr="001205DB" w:rsidRDefault="00C5603D" w:rsidP="008F26E4">
      <w:r w:rsidRPr="001205DB">
        <w:t xml:space="preserve">Šī regula stājas spēkā divdesmitajā dienā pēc tās publicēšanas </w:t>
      </w:r>
      <w:r w:rsidRPr="001205DB">
        <w:rPr>
          <w:i/>
        </w:rPr>
        <w:t>Eiropas Savienības Oficiālajā Vēstnesī</w:t>
      </w:r>
      <w:r w:rsidRPr="001205DB">
        <w:t>.</w:t>
      </w:r>
    </w:p>
    <w:p w:rsidR="00C5603D" w:rsidRPr="001205DB" w:rsidRDefault="00C5603D" w:rsidP="00DE6FA0">
      <w:pPr>
        <w:pStyle w:val="Applicationdirecte"/>
        <w:spacing w:before="0"/>
      </w:pPr>
      <w:r w:rsidRPr="001205DB">
        <w:t xml:space="preserve">Šī regula uzliek saistības kopumā un ir tieši piemērojama visās dalībvalstīs. </w:t>
      </w:r>
    </w:p>
    <w:p w:rsidR="00C5603D" w:rsidRPr="001205DB" w:rsidRDefault="00FE5A09" w:rsidP="00FE5A09">
      <w:pPr>
        <w:pStyle w:val="Fait"/>
      </w:pPr>
      <w:r w:rsidRPr="00FE5A09">
        <w:t>Briselē,</w:t>
      </w:r>
    </w:p>
    <w:p w:rsidR="00C5603D" w:rsidRPr="001205DB" w:rsidRDefault="00C5603D" w:rsidP="00DE6FA0">
      <w:pPr>
        <w:pStyle w:val="Institutionquisigne"/>
        <w:tabs>
          <w:tab w:val="clear" w:pos="4252"/>
          <w:tab w:val="left" w:pos="5387"/>
        </w:tabs>
      </w:pPr>
      <w:r w:rsidRPr="001205DB">
        <w:t>Eiropas Parlamenta vārdā —</w:t>
      </w:r>
      <w:r w:rsidRPr="001205DB">
        <w:tab/>
        <w:t>Padomes vārdā —</w:t>
      </w:r>
    </w:p>
    <w:p w:rsidR="002909CB" w:rsidRPr="001205DB" w:rsidRDefault="00C5603D" w:rsidP="00DE6FA0">
      <w:pPr>
        <w:pStyle w:val="Personnequisigne"/>
        <w:tabs>
          <w:tab w:val="clear" w:pos="4252"/>
          <w:tab w:val="left" w:pos="5387"/>
        </w:tabs>
      </w:pPr>
      <w:r w:rsidRPr="001205DB">
        <w:t>priekšsēdētājs</w:t>
      </w:r>
      <w:r w:rsidRPr="001205DB">
        <w:tab/>
      </w:r>
      <w:proofErr w:type="spellStart"/>
      <w:r w:rsidRPr="001205DB">
        <w:t>priekšsēdētājs</w:t>
      </w:r>
      <w:proofErr w:type="spellEnd"/>
    </w:p>
    <w:p w:rsidR="00D75E46" w:rsidRPr="001205DB" w:rsidRDefault="00D75E46" w:rsidP="00D75E46">
      <w:pPr>
        <w:sectPr w:rsidR="00D75E46" w:rsidRPr="001205DB" w:rsidSect="00FE5A09">
          <w:pgSz w:w="11907" w:h="16839"/>
          <w:pgMar w:top="1134" w:right="1417" w:bottom="1134" w:left="1417" w:header="709" w:footer="709" w:gutter="0"/>
          <w:cols w:space="720"/>
          <w:docGrid w:linePitch="360"/>
        </w:sectPr>
      </w:pPr>
    </w:p>
    <w:p w:rsidR="00FB0A0F" w:rsidRPr="001205DB" w:rsidRDefault="00FB0A0F" w:rsidP="00FB0A0F">
      <w:pPr>
        <w:pStyle w:val="Fichefinanciretitre"/>
        <w:rPr>
          <w:noProof/>
        </w:rPr>
      </w:pPr>
      <w:r w:rsidRPr="001205DB">
        <w:lastRenderedPageBreak/>
        <w:t>TIESĪBU AKTA PRIEKŠLIKUMA FINANŠU PĀRSKATS</w:t>
      </w:r>
    </w:p>
    <w:p w:rsidR="00FB0A0F" w:rsidRPr="001205DB" w:rsidRDefault="00FB0A0F" w:rsidP="00FB0A0F">
      <w:pPr>
        <w:pStyle w:val="Heading1"/>
        <w:numPr>
          <w:ilvl w:val="0"/>
          <w:numId w:val="33"/>
        </w:numPr>
        <w:rPr>
          <w:rFonts w:eastAsia="Times New Roman"/>
          <w:noProof/>
        </w:rPr>
      </w:pPr>
      <w:r w:rsidRPr="001205DB">
        <w:t xml:space="preserve">PRIEKŠLIKUMA/INICIATĪVAS KONTEKSTS </w:t>
      </w:r>
    </w:p>
    <w:p w:rsidR="00FB0A0F" w:rsidRPr="001205DB" w:rsidRDefault="00FB0A0F" w:rsidP="00FB0A0F">
      <w:pPr>
        <w:pStyle w:val="Heading2"/>
        <w:rPr>
          <w:noProof/>
        </w:rPr>
      </w:pPr>
      <w:r w:rsidRPr="001205DB">
        <w:t xml:space="preserve">Priekšlikuma/iniciatīvas nosaukums </w:t>
      </w:r>
    </w:p>
    <w:p w:rsidR="00FB0A0F" w:rsidRPr="008249D4"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8249D4">
        <w:t>Priekšlikums Eiropas Parlamenta un Padomes regulai, ar ko izveido vides un klimata pasākumu programmu (</w:t>
      </w:r>
      <w:r w:rsidRPr="008249D4">
        <w:rPr>
          <w:i/>
        </w:rPr>
        <w:t>LIFE</w:t>
      </w:r>
      <w:r w:rsidRPr="008249D4">
        <w:t>) un atceļ Regulu (ES) </w:t>
      </w:r>
      <w:proofErr w:type="spellStart"/>
      <w:r w:rsidRPr="008249D4">
        <w:t>Nr</w:t>
      </w:r>
      <w:proofErr w:type="spellEnd"/>
      <w:r w:rsidRPr="008249D4">
        <w:t xml:space="preserve">. 1293/2013 </w:t>
      </w:r>
    </w:p>
    <w:p w:rsidR="00FB0A0F" w:rsidRPr="008249D4" w:rsidRDefault="00FB0A0F" w:rsidP="00FB0A0F">
      <w:pPr>
        <w:pStyle w:val="Heading2"/>
        <w:rPr>
          <w:noProof/>
          <w:szCs w:val="24"/>
        </w:rPr>
      </w:pPr>
      <w:r w:rsidRPr="008249D4">
        <w:t xml:space="preserve">Attiecīgā(-s) </w:t>
      </w:r>
      <w:proofErr w:type="spellStart"/>
      <w:r w:rsidRPr="008249D4">
        <w:t>rīcībpolitikas</w:t>
      </w:r>
      <w:proofErr w:type="spellEnd"/>
      <w:r w:rsidRPr="008249D4">
        <w:t xml:space="preserve"> joma(-s) </w:t>
      </w:r>
      <w:r w:rsidRPr="008249D4">
        <w:rPr>
          <w:i/>
        </w:rPr>
        <w:t>(programmu kopums)</w:t>
      </w:r>
    </w:p>
    <w:p w:rsidR="00FB0A0F" w:rsidRPr="008249D4"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8249D4">
        <w:rPr>
          <w:noProof/>
        </w:rPr>
        <w:t>III. Dabas resursi</w:t>
      </w:r>
      <w:r w:rsidRPr="008249D4">
        <w:t xml:space="preserve"> un vide</w:t>
      </w:r>
    </w:p>
    <w:p w:rsidR="00FB0A0F" w:rsidRPr="008249D4" w:rsidRDefault="00FB0A0F" w:rsidP="00FB0A0F">
      <w:pPr>
        <w:pStyle w:val="Heading2"/>
        <w:rPr>
          <w:noProof/>
          <w:szCs w:val="24"/>
        </w:rPr>
      </w:pPr>
      <w:r w:rsidRPr="008249D4">
        <w:t xml:space="preserve">Priekšlikums/iniciatīva attiecas uz: </w:t>
      </w:r>
    </w:p>
    <w:p w:rsidR="00FB0A0F" w:rsidRPr="008249D4" w:rsidRDefault="00FB0A0F" w:rsidP="00FB0A0F">
      <w:pPr>
        <w:rPr>
          <w:rFonts w:eastAsia="Times New Roman"/>
          <w:b/>
          <w:noProof/>
          <w:sz w:val="22"/>
        </w:rPr>
      </w:pPr>
      <w:r w:rsidRPr="008249D4">
        <w:rPr>
          <w:rFonts w:eastAsia="Times New Roman"/>
          <w:noProof/>
          <w:sz w:val="22"/>
        </w:rPr>
        <w:sym w:font="Wingdings" w:char="F0A8"/>
      </w:r>
      <w:r w:rsidRPr="008249D4">
        <w:rPr>
          <w:b/>
          <w:i/>
          <w:noProof/>
          <w:sz w:val="22"/>
        </w:rPr>
        <w:t xml:space="preserve"> </w:t>
      </w:r>
      <w:r w:rsidRPr="008249D4">
        <w:rPr>
          <w:b/>
          <w:noProof/>
        </w:rPr>
        <w:t>jaunu darbību</w:t>
      </w:r>
      <w:r w:rsidRPr="008249D4">
        <w:rPr>
          <w:b/>
          <w:noProof/>
          <w:sz w:val="22"/>
        </w:rPr>
        <w:t xml:space="preserve"> </w:t>
      </w:r>
    </w:p>
    <w:p w:rsidR="00FB0A0F" w:rsidRPr="008249D4" w:rsidRDefault="00FB0A0F" w:rsidP="00FB0A0F">
      <w:pPr>
        <w:rPr>
          <w:rFonts w:eastAsia="Times New Roman"/>
          <w:noProof/>
          <w:sz w:val="22"/>
        </w:rPr>
      </w:pPr>
      <w:r w:rsidRPr="008249D4">
        <w:rPr>
          <w:rFonts w:eastAsia="Times New Roman"/>
          <w:noProof/>
          <w:sz w:val="22"/>
        </w:rPr>
        <w:sym w:font="Wingdings" w:char="F0A8"/>
      </w:r>
      <w:r w:rsidRPr="008249D4">
        <w:rPr>
          <w:i/>
          <w:noProof/>
          <w:sz w:val="22"/>
        </w:rPr>
        <w:t xml:space="preserve"> </w:t>
      </w:r>
      <w:r w:rsidRPr="008249D4">
        <w:rPr>
          <w:b/>
        </w:rPr>
        <w:t>jaunu darbību, kas balstās uz iepriekš veiktu izmēģinājuma projektu / sagatavošanas darbību</w:t>
      </w:r>
      <w:r w:rsidRPr="008249D4">
        <w:rPr>
          <w:rStyle w:val="FootnoteReference"/>
        </w:rPr>
        <w:footnoteReference w:id="42"/>
      </w:r>
      <w:r w:rsidRPr="008249D4">
        <w:rPr>
          <w:noProof/>
          <w:sz w:val="22"/>
        </w:rPr>
        <w:t xml:space="preserve"> </w:t>
      </w:r>
    </w:p>
    <w:p w:rsidR="00FB0A0F" w:rsidRPr="008249D4" w:rsidRDefault="00FB0A0F" w:rsidP="00FB0A0F">
      <w:pPr>
        <w:rPr>
          <w:rFonts w:eastAsia="Times New Roman"/>
          <w:noProof/>
          <w:sz w:val="22"/>
        </w:rPr>
      </w:pPr>
      <w:r w:rsidRPr="008249D4">
        <w:rPr>
          <w:rFonts w:eastAsia="Times New Roman"/>
          <w:noProof/>
          <w:sz w:val="22"/>
        </w:rPr>
        <w:sym w:font="Wingdings" w:char="F0FE"/>
      </w:r>
      <w:r w:rsidRPr="008249D4">
        <w:rPr>
          <w:i/>
          <w:noProof/>
          <w:sz w:val="22"/>
        </w:rPr>
        <w:t xml:space="preserve"> </w:t>
      </w:r>
      <w:r w:rsidRPr="008249D4">
        <w:rPr>
          <w:b/>
        </w:rPr>
        <w:t>esošas darbības turpināšanu;</w:t>
      </w:r>
      <w:r w:rsidRPr="008249D4">
        <w:rPr>
          <w:noProof/>
          <w:sz w:val="22"/>
        </w:rPr>
        <w:t xml:space="preserve"> </w:t>
      </w:r>
    </w:p>
    <w:p w:rsidR="00FB0A0F" w:rsidRPr="001205DB" w:rsidRDefault="00FB0A0F" w:rsidP="00FB0A0F">
      <w:pPr>
        <w:rPr>
          <w:rFonts w:eastAsia="Times New Roman"/>
          <w:noProof/>
        </w:rPr>
      </w:pPr>
      <w:r w:rsidRPr="008249D4">
        <w:rPr>
          <w:rFonts w:eastAsia="Times New Roman"/>
          <w:noProof/>
          <w:sz w:val="22"/>
        </w:rPr>
        <w:sym w:font="Wingdings" w:char="F0A8"/>
      </w:r>
      <w:r w:rsidRPr="008249D4">
        <w:rPr>
          <w:i/>
          <w:noProof/>
          <w:sz w:val="22"/>
        </w:rPr>
        <w:t xml:space="preserve"> </w:t>
      </w:r>
      <w:r w:rsidRPr="008249D4">
        <w:rPr>
          <w:b/>
        </w:rPr>
        <w:t>vienas vai</w:t>
      </w:r>
      <w:bookmarkStart w:id="0" w:name="_GoBack"/>
      <w:bookmarkEnd w:id="0"/>
      <w:r w:rsidRPr="001205DB">
        <w:rPr>
          <w:b/>
        </w:rPr>
        <w:t xml:space="preserve"> vairāku darbību apvienošanu vai pārorientēšanu uz citu/jaunu darbību</w:t>
      </w:r>
      <w:r w:rsidRPr="001205DB">
        <w:t xml:space="preserve">. </w:t>
      </w:r>
    </w:p>
    <w:p w:rsidR="00FB0A0F" w:rsidRPr="001205DB" w:rsidRDefault="00FB0A0F" w:rsidP="00FB0A0F">
      <w:pPr>
        <w:pStyle w:val="Heading2"/>
        <w:rPr>
          <w:noProof/>
          <w:szCs w:val="24"/>
        </w:rPr>
      </w:pPr>
      <w:r w:rsidRPr="001205DB">
        <w:t xml:space="preserve">Priekšlikuma/iniciatīvas pamatojums </w:t>
      </w:r>
    </w:p>
    <w:p w:rsidR="00FB0A0F" w:rsidRPr="001205DB" w:rsidRDefault="00FB0A0F" w:rsidP="00FB0A0F">
      <w:pPr>
        <w:pStyle w:val="Heading3"/>
        <w:rPr>
          <w:noProof/>
        </w:rPr>
      </w:pPr>
      <w:proofErr w:type="spellStart"/>
      <w:r w:rsidRPr="001205DB">
        <w:t>Īstermiņā</w:t>
      </w:r>
      <w:proofErr w:type="spellEnd"/>
      <w:r w:rsidRPr="001205DB">
        <w:t xml:space="preserve"> vai ilgtermiņā izpildāmās vajadzības, tostarp sīki izstrādāts iniciatīvas izvēršanas grafiks</w:t>
      </w:r>
    </w:p>
    <w:p w:rsidR="00FB0A0F" w:rsidRPr="001205DB" w:rsidRDefault="00FB0A0F" w:rsidP="00FB0A0F">
      <w:pPr>
        <w:pBdr>
          <w:top w:val="single" w:sz="4" w:space="0" w:color="auto"/>
          <w:left w:val="single" w:sz="4" w:space="4" w:color="auto"/>
          <w:bottom w:val="single" w:sz="4" w:space="1" w:color="auto"/>
          <w:right w:val="single" w:sz="4" w:space="4" w:color="auto"/>
        </w:pBdr>
        <w:rPr>
          <w:rFonts w:eastAsia="Times New Roman"/>
          <w:noProof/>
        </w:rPr>
      </w:pPr>
      <w:r w:rsidRPr="001205DB">
        <w:t>Paredzams, ka regula stāsies spēkā 2021. gada 1. janvārī.</w:t>
      </w:r>
    </w:p>
    <w:p w:rsidR="00FB0A0F" w:rsidRPr="001205DB" w:rsidRDefault="00FB0A0F" w:rsidP="00FB0A0F">
      <w:pPr>
        <w:pBdr>
          <w:top w:val="single" w:sz="4" w:space="0" w:color="auto"/>
          <w:left w:val="single" w:sz="4" w:space="4" w:color="auto"/>
          <w:bottom w:val="single" w:sz="4" w:space="1" w:color="auto"/>
          <w:right w:val="single" w:sz="4" w:space="4" w:color="auto"/>
        </w:pBdr>
        <w:rPr>
          <w:rFonts w:eastAsia="Times New Roman"/>
          <w:noProof/>
        </w:rPr>
      </w:pPr>
      <w:r w:rsidRPr="001205DB">
        <w:t xml:space="preserve">Pirms tās īstenošanas: </w:t>
      </w:r>
    </w:p>
    <w:p w:rsidR="00FB0A0F" w:rsidRPr="001205DB" w:rsidRDefault="00FB0A0F" w:rsidP="00FB0A0F">
      <w:pPr>
        <w:pBdr>
          <w:top w:val="single" w:sz="4" w:space="0" w:color="auto"/>
          <w:left w:val="single" w:sz="4" w:space="4" w:color="auto"/>
          <w:bottom w:val="single" w:sz="4" w:space="1" w:color="auto"/>
          <w:right w:val="single" w:sz="4" w:space="4" w:color="auto"/>
        </w:pBdr>
        <w:rPr>
          <w:rFonts w:eastAsia="Times New Roman"/>
          <w:noProof/>
        </w:rPr>
      </w:pPr>
      <w:r w:rsidRPr="001205DB">
        <w:t xml:space="preserve">— tiks veiktas dažas sagatavošanas darbības pašreizējās programmas ietvaros; tās jo īpaši ir vajadzīgas apakšprogrammas "Daba un </w:t>
      </w:r>
      <w:proofErr w:type="spellStart"/>
      <w:r w:rsidRPr="001205DB">
        <w:t>biodaudzveidība</w:t>
      </w:r>
      <w:proofErr w:type="spellEnd"/>
      <w:r w:rsidRPr="001205DB">
        <w:t>" īstenošanas savlaicīgai sākšanai;</w:t>
      </w:r>
    </w:p>
    <w:p w:rsidR="00FB0A0F" w:rsidRPr="001205DB" w:rsidRDefault="00FB0A0F" w:rsidP="00FB0A0F">
      <w:pPr>
        <w:pBdr>
          <w:top w:val="single" w:sz="4" w:space="0" w:color="auto"/>
          <w:left w:val="single" w:sz="4" w:space="4" w:color="auto"/>
          <w:bottom w:val="single" w:sz="4" w:space="1" w:color="auto"/>
          <w:right w:val="single" w:sz="4" w:space="4" w:color="auto"/>
        </w:pBdr>
        <w:rPr>
          <w:rFonts w:eastAsia="Times New Roman"/>
          <w:noProof/>
        </w:rPr>
      </w:pPr>
      <w:r w:rsidRPr="001205DB">
        <w:t xml:space="preserve">— tiks pieņemta daudzgadu darba programma, kas noteiks līdzekļu sadalījumu starp dažādiem finansējuma veidiem katrā apakšprogrammā, projektu tēmas vai īpašas vajadzības, kurām nepieciešama finansējuma iepriekšēja piešķiršana, </w:t>
      </w:r>
      <w:proofErr w:type="spellStart"/>
      <w:r w:rsidRPr="001205DB">
        <w:t>mērķplānu</w:t>
      </w:r>
      <w:proofErr w:type="spellEnd"/>
      <w:r w:rsidRPr="001205DB">
        <w:t xml:space="preserve"> veidus, attiecībā uz kuriem var pieprasīt finansējumu stratēģiskiem integrētajiem projektiem, kā arī maksimālais </w:t>
      </w:r>
      <w:proofErr w:type="spellStart"/>
      <w:r w:rsidRPr="001205DB">
        <w:t>attiecināmības</w:t>
      </w:r>
      <w:proofErr w:type="spellEnd"/>
      <w:r w:rsidRPr="001205DB">
        <w:t xml:space="preserve"> periods projektu īstenošanai.</w:t>
      </w:r>
    </w:p>
    <w:p w:rsidR="00FB0A0F" w:rsidRPr="001205DB" w:rsidRDefault="00FB0A0F" w:rsidP="00FB0A0F">
      <w:pPr>
        <w:pStyle w:val="Heading3"/>
        <w:rPr>
          <w:noProof/>
          <w:szCs w:val="24"/>
        </w:rPr>
      </w:pPr>
      <w:r w:rsidRPr="001205DB">
        <w:t xml:space="preserve">Savienības iesaistīšanās pievienotā vērtība (tās pamatā var būt dažādi faktori, piemēram, koordinēšanas radītie ieguvumi, juridiskā noteiktība, lielāka rezultativitāte vai </w:t>
      </w:r>
      <w:proofErr w:type="spellStart"/>
      <w:r w:rsidRPr="001205DB">
        <w:t>papildināmība</w:t>
      </w:r>
      <w:proofErr w:type="spellEnd"/>
      <w:r w:rsidRPr="001205DB">
        <w:t>). Šā punkta izpratnē “Savienības iesaistīšanās pievienotā vērtība” ir vērtība, kas veidojas Savienības iesaistīšanās rezultātā un kas papildina vērtību, kura veidotos, ja dalībvalstis rīkotos atsevišķi.</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1205DB">
        <w:t>Eiropas līmeņa rīcības pamatojums (</w:t>
      </w:r>
      <w:proofErr w:type="spellStart"/>
      <w:r w:rsidRPr="001205DB">
        <w:rPr>
          <w:i/>
        </w:rPr>
        <w:t>ex</w:t>
      </w:r>
      <w:proofErr w:type="spellEnd"/>
      <w:r w:rsidRPr="001205DB">
        <w:rPr>
          <w:i/>
        </w:rPr>
        <w:t xml:space="preserve"> </w:t>
      </w:r>
      <w:proofErr w:type="spellStart"/>
      <w:r w:rsidRPr="001205DB">
        <w:rPr>
          <w:i/>
        </w:rPr>
        <w:t>ante</w:t>
      </w:r>
      <w:proofErr w:type="spellEnd"/>
      <w:r w:rsidRPr="001205DB">
        <w:t xml:space="preserve">)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1205DB">
        <w:t xml:space="preserve">Programmas pievienotā vērtība izriet no tās katalītiskās ietekmes uz Savienības vides un klimata </w:t>
      </w:r>
      <w:proofErr w:type="spellStart"/>
      <w:r w:rsidRPr="001205DB">
        <w:t>rīcībpolitikas</w:t>
      </w:r>
      <w:proofErr w:type="spellEnd"/>
      <w:r w:rsidRPr="001205DB">
        <w:t xml:space="preserve"> attīstību, kā arī darbībām, kas veicina Savienības </w:t>
      </w:r>
      <w:proofErr w:type="spellStart"/>
      <w:r w:rsidRPr="001205DB">
        <w:t>vidisko</w:t>
      </w:r>
      <w:proofErr w:type="spellEnd"/>
      <w:r w:rsidRPr="001205DB">
        <w:t xml:space="preserve"> un klimatisko mērķu īstenošanu, ieskaitot relevanto pāreju uz tīru enerģiju visā Savienībā.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1205DB">
        <w:t xml:space="preserve">Sava rakstura dēļ </w:t>
      </w:r>
      <w:proofErr w:type="spellStart"/>
      <w:r w:rsidRPr="001205DB">
        <w:t>vidiskās</w:t>
      </w:r>
      <w:proofErr w:type="spellEnd"/>
      <w:r w:rsidRPr="001205DB">
        <w:t xml:space="preserve"> problēmas, ieskaitot klimata pārmaiņas, sniedzas pāri politiskajām, juridiskajām un cilvēku izveidotajām robežām, tāpēc dalībvalstis tās nevar pienācīgi atrisināt vienas pašas. Lai efektīvi risinātu šādas problēmas, izvairītos no nepietiekamas </w:t>
      </w:r>
      <w:proofErr w:type="spellStart"/>
      <w:r w:rsidRPr="001205DB">
        <w:t>koordinētības</w:t>
      </w:r>
      <w:proofErr w:type="spellEnd"/>
      <w:r w:rsidRPr="001205DB">
        <w:t xml:space="preserve"> </w:t>
      </w:r>
      <w:r w:rsidRPr="001205DB">
        <w:lastRenderedPageBreak/>
        <w:t xml:space="preserve">radītām grūtībām un ar mērķtiecīgām darbībām veicinātu vides un klimata </w:t>
      </w:r>
      <w:proofErr w:type="spellStart"/>
      <w:r w:rsidRPr="001205DB">
        <w:t>rīcībpolitiku</w:t>
      </w:r>
      <w:proofErr w:type="spellEnd"/>
      <w:r w:rsidRPr="001205DB">
        <w:t xml:space="preserve"> saskaņotu integrēšanu Savienības budžetā, Savienībai ir jāiesaistās ar īpašu instrumentu, kas veltīts videi un klimatam, arī energoefektivitātei un atjaunojamajiem energoresursiem.</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1205DB">
        <w:t xml:space="preserve">Īstenošana ir efektīvāka, jo programma </w:t>
      </w:r>
      <w:r w:rsidRPr="001205DB">
        <w:rPr>
          <w:i/>
        </w:rPr>
        <w:t>LIFE</w:t>
      </w:r>
      <w:r w:rsidRPr="001205DB">
        <w:t xml:space="preserve"> veicina Savienības vides un klimata </w:t>
      </w:r>
      <w:proofErr w:type="spellStart"/>
      <w:r w:rsidRPr="001205DB">
        <w:t>rīcībpolitiku</w:t>
      </w:r>
      <w:proofErr w:type="spellEnd"/>
      <w:r w:rsidRPr="001205DB">
        <w:t xml:space="preserve"> un tiesību aktu izstrādi, īstenošanu un izpildes panākšanu, nodrošinot Savienības līmeņa koordināciju un izveidojot Savienības līmeņa platformu tādas </w:t>
      </w:r>
      <w:proofErr w:type="spellStart"/>
      <w:r w:rsidRPr="001205DB">
        <w:t>paraugprakses</w:t>
      </w:r>
      <w:proofErr w:type="spellEnd"/>
      <w:r w:rsidRPr="001205DB">
        <w:t xml:space="preserve"> apmaiņai un tādu efektīvāku risinājumu demonstrēšanai, tostarp pārejai uz tīru enerģiju, ko var pārņemt Savienībā plašākā mērogā.</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1205DB">
        <w:t xml:space="preserve">Programma </w:t>
      </w:r>
      <w:r w:rsidRPr="001205DB">
        <w:rPr>
          <w:i/>
        </w:rPr>
        <w:t>LIFE</w:t>
      </w:r>
      <w:r w:rsidRPr="001205DB">
        <w:t xml:space="preserve"> ļauj uzlabot atbildības dalīšanu, vienlaicīgi veicinot arī solidaritāti attiecībā uz to, kā tiek pārvaldīti/saglabāti Savienības vides resursi, kas parasti ir sabiedriskais labums un nav Savienībā izvietoti vienmērīgi. Ar to saistītās izmaksas un ieguvumi parasti neatspoguļojas tirgū, tāpēc vienotā tirgus pareizai darbībai ir nepieciešams nodrošināt attiecīgā sloga dalīšanu.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1205DB">
        <w:t xml:space="preserve">Programma </w:t>
      </w:r>
      <w:r w:rsidRPr="001205DB">
        <w:rPr>
          <w:i/>
        </w:rPr>
        <w:t>LIFE</w:t>
      </w:r>
      <w:r w:rsidRPr="001205DB">
        <w:t xml:space="preserve"> ir vērsta uz relatīvi maza mēroga projektiem, kuri dod vienreizēju ieguldījumu, kas nepieciešams konkrētā jomā, likvidē sākotnējus šķēršļus un izmēģina jaunas pieejas, kas savukārt veicina plašākas darbības un vides un klimata </w:t>
      </w:r>
      <w:proofErr w:type="spellStart"/>
      <w:r w:rsidRPr="001205DB">
        <w:t>rīcībpolitikas</w:t>
      </w:r>
      <w:proofErr w:type="spellEnd"/>
      <w:r w:rsidRPr="001205DB">
        <w:t xml:space="preserve"> integrēšanu lielākajos Savienības izdevumu instrumentos.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1205DB">
        <w:t xml:space="preserve">Ar stratēģiskiem integrētajiem projektiem un stratēģiskiem dabas projektiem Programma rada sinerģiju starp Savienības un valstu fondiem, atvieglojot Savienības tiesību aktu īstenošanu.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1205DB">
        <w:t xml:space="preserve">Turklāt programma </w:t>
      </w:r>
      <w:r w:rsidRPr="001205DB">
        <w:rPr>
          <w:i/>
        </w:rPr>
        <w:t>LIFE</w:t>
      </w:r>
      <w:r w:rsidRPr="001205DB">
        <w:t xml:space="preserve"> finansē darbības un pasākumus, kas citādi nebūtu pietiekami finansētas, ja to darītu dalībvalstis vienas pašas. Dažos Savienības vides tiesību aktos, piemēram, Dzīvotņu direktīvā un Direktīvā par valstīm noteikto maksimāli pieļaujamo emisiju (</w:t>
      </w:r>
      <w:r w:rsidRPr="001205DB">
        <w:rPr>
          <w:i/>
        </w:rPr>
        <w:t>NEC</w:t>
      </w:r>
      <w:r w:rsidRPr="001205DB">
        <w:t>), ir īpaši atzīta Savienības finansējuma nepieciešamība šo direktīvu mērķu sasniegšanai.</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1205DB">
        <w:t>Paredzētā radītā Savienības pievienotā vērtība (</w:t>
      </w:r>
      <w:proofErr w:type="spellStart"/>
      <w:r w:rsidRPr="001205DB">
        <w:rPr>
          <w:i/>
        </w:rPr>
        <w:t>ex</w:t>
      </w:r>
      <w:proofErr w:type="spellEnd"/>
      <w:r w:rsidRPr="001205DB">
        <w:rPr>
          <w:i/>
        </w:rPr>
        <w:t xml:space="preserve"> post</w:t>
      </w:r>
      <w:r w:rsidRPr="001205DB">
        <w:t xml:space="preserve">) ir saistīta ar tās katalītisko ietekmi, tātad ar ietekmi, ko rada: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1205DB">
        <w:t xml:space="preserve">— jauni/pārveidoti tiesību akti un </w:t>
      </w:r>
      <w:proofErr w:type="spellStart"/>
      <w:r w:rsidRPr="001205DB">
        <w:t>rīcībpolitikas</w:t>
      </w:r>
      <w:proofErr w:type="spellEnd"/>
      <w:r w:rsidRPr="001205DB">
        <w:t xml:space="preserve">, kas pieņemtas un īstenotas starptautiskā līmenī (piemēram, Parīzes klimata nolīgums) un Savienības līmenī,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rPr>
      </w:pPr>
      <w:r w:rsidRPr="001205DB">
        <w:t xml:space="preserve">— jaunu inovatīvu metožu, pieeju un </w:t>
      </w:r>
      <w:proofErr w:type="spellStart"/>
      <w:r w:rsidRPr="001205DB">
        <w:t>paraugprakses</w:t>
      </w:r>
      <w:proofErr w:type="spellEnd"/>
      <w:r w:rsidRPr="001205DB">
        <w:t xml:space="preserve"> īstenošana, kā arī</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 sekmīgu tehnisko un ar </w:t>
      </w:r>
      <w:proofErr w:type="spellStart"/>
      <w:r w:rsidRPr="001205DB">
        <w:t>rīcībpolitiku</w:t>
      </w:r>
      <w:proofErr w:type="spellEnd"/>
      <w:r w:rsidRPr="001205DB">
        <w:t xml:space="preserve"> saistīto risinājumu izmantošana vides, klimata politikas un tīras enerģijas mērķu integrācijai citās </w:t>
      </w:r>
      <w:proofErr w:type="spellStart"/>
      <w:r w:rsidRPr="001205DB">
        <w:t>rīcībpolitikās</w:t>
      </w:r>
      <w:proofErr w:type="spellEnd"/>
      <w:r w:rsidRPr="001205DB">
        <w:t xml:space="preserve"> un publiskā un privātā sektora praksēs.</w:t>
      </w:r>
    </w:p>
    <w:p w:rsidR="00FB0A0F" w:rsidRPr="001205DB" w:rsidRDefault="00FB0A0F" w:rsidP="00FB0A0F">
      <w:pPr>
        <w:pStyle w:val="Heading3"/>
        <w:rPr>
          <w:noProof/>
        </w:rPr>
      </w:pPr>
      <w:r w:rsidRPr="001205DB">
        <w:t>Līdzīgas līdzšinējās pieredzes rezultātā gūtās atziņas</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Programmas </w:t>
      </w:r>
      <w:r w:rsidRPr="001205DB">
        <w:rPr>
          <w:i/>
        </w:rPr>
        <w:t>LIFE+</w:t>
      </w:r>
      <w:r w:rsidRPr="001205DB">
        <w:t xml:space="preserve"> (2007–2013) galīgajā izvērtējumā secināts, ka programmai veiksmīgi izdevies atbalstīt Savienības vides un tiesību aktu un </w:t>
      </w:r>
      <w:proofErr w:type="spellStart"/>
      <w:r w:rsidRPr="001205DB">
        <w:t>rīcībpolitiku</w:t>
      </w:r>
      <w:proofErr w:type="spellEnd"/>
      <w:r w:rsidRPr="001205DB">
        <w:t xml:space="preserve"> īstenošanu, radot nozīmīgu Savienības pievienoto vērtību. Tomēr izvērtējumā tika konstatēti arī vairāki trūkumi. Lielākā daļa no tiem tika novērsti, ieviešot izmaiņas pašreizējās programmas </w:t>
      </w:r>
      <w:r w:rsidRPr="001205DB">
        <w:rPr>
          <w:i/>
        </w:rPr>
        <w:t>LIFE</w:t>
      </w:r>
      <w:r w:rsidRPr="001205DB">
        <w:t xml:space="preserve"> (2014–2020) struktūrā.</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Šo izmaiņu lietderība tika analizēta nesen veiktajā programmas </w:t>
      </w:r>
      <w:r w:rsidRPr="001205DB">
        <w:rPr>
          <w:i/>
        </w:rPr>
        <w:t>LIFE</w:t>
      </w:r>
      <w:r w:rsidRPr="001205DB">
        <w:t xml:space="preserve"> </w:t>
      </w:r>
      <w:proofErr w:type="spellStart"/>
      <w:r w:rsidRPr="001205DB">
        <w:t>vidusposma</w:t>
      </w:r>
      <w:proofErr w:type="spellEnd"/>
      <w:r w:rsidRPr="001205DB">
        <w:t xml:space="preserve"> novērtējumā. Lai gan nesenais 2014.–2020. gada </w:t>
      </w:r>
      <w:r w:rsidRPr="001205DB">
        <w:rPr>
          <w:i/>
        </w:rPr>
        <w:t>LIFE</w:t>
      </w:r>
      <w:r w:rsidRPr="001205DB">
        <w:t xml:space="preserve"> </w:t>
      </w:r>
      <w:proofErr w:type="spellStart"/>
      <w:r w:rsidRPr="001205DB">
        <w:t>vidusposma</w:t>
      </w:r>
      <w:proofErr w:type="spellEnd"/>
      <w:r w:rsidRPr="001205DB">
        <w:t xml:space="preserve"> novērtējums tika veikts ļoti agrīnā programmas īstenošanas posmā, kad bija sākti tikai 2014. un 2015. gada projekti, tas apstiprināja, ka līdz šim panāktais dod pamatu to vērtēt kā lietderīgu, efektīvu un relevantu un ka tā dod ieguldījumu stratēģijas “Eiropa 2020” īstenošanā. Turklāt lielākā daļa ieinteresēto personu, kuras piedalījās sabiedriskajā apspriešanā, uzskata programmu </w:t>
      </w:r>
      <w:r w:rsidRPr="001205DB">
        <w:rPr>
          <w:i/>
        </w:rPr>
        <w:t>LIFE</w:t>
      </w:r>
      <w:r w:rsidRPr="001205DB">
        <w:t xml:space="preserve"> par ļoti svarīgu instrumentu prioritāšu īstenošanai vides un klimata jomā.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lastRenderedPageBreak/>
        <w:t xml:space="preserve">Šeit apkopoti no </w:t>
      </w:r>
      <w:proofErr w:type="spellStart"/>
      <w:r w:rsidRPr="001205DB">
        <w:t>vidusposma</w:t>
      </w:r>
      <w:proofErr w:type="spellEnd"/>
      <w:r w:rsidRPr="001205DB">
        <w:t xml:space="preserve"> novērtējuma gūtās atziņas un attiecīgos gadījumos ieteikumi, kas sniegti citās programmas </w:t>
      </w:r>
      <w:r w:rsidRPr="001205DB">
        <w:rPr>
          <w:i/>
        </w:rPr>
        <w:t>LIFE</w:t>
      </w:r>
      <w:r w:rsidRPr="001205DB">
        <w:t xml:space="preserve"> pārskatīšanas reizēs. Tie attiecas uz trīs aspektiem: programmas relevantumu, saskaņotību un tvērumu, lietderību un katalītisko ietekmi, efektivitāti un vienkāršošanu. Daži secinājumi jau ir ņemti vērā pašreizējās programmas īstenošanā.</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1. Relevantums, saskaņotība un tvērums</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 xml:space="preserve">Programma </w:t>
      </w:r>
      <w:r w:rsidRPr="001205DB">
        <w:rPr>
          <w:i/>
        </w:rPr>
        <w:t>LIFE</w:t>
      </w:r>
      <w:r w:rsidRPr="001205DB">
        <w:t xml:space="preserve"> un tās vispārīgie mērķi ir relevanti un vērsti uz Savienības esošo vides un klimata </w:t>
      </w:r>
      <w:proofErr w:type="spellStart"/>
      <w:r w:rsidRPr="001205DB">
        <w:t>rīcībpolitikas</w:t>
      </w:r>
      <w:proofErr w:type="spellEnd"/>
      <w:r w:rsidRPr="001205DB">
        <w:t xml:space="preserve"> prioritāšu īstenošanu. Arī spēkā esošajā </w:t>
      </w:r>
      <w:r w:rsidRPr="001205DB">
        <w:rPr>
          <w:i/>
        </w:rPr>
        <w:t>LIFE</w:t>
      </w:r>
      <w:r w:rsidRPr="001205DB">
        <w:t xml:space="preserve"> regulā noteiktās sešas prioritārās jomas atbilst vajadzībām.</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 xml:space="preserve">Apmēram 13 % programmas </w:t>
      </w:r>
      <w:r w:rsidRPr="001205DB">
        <w:rPr>
          <w:i/>
        </w:rPr>
        <w:t>LIFE</w:t>
      </w:r>
      <w:r w:rsidRPr="001205DB">
        <w:t xml:space="preserve"> projektu ietekmē vairāk nekā vienu tematisko jomu. Šī pārklāšanās ir sinerģiska: ņemot vērā dabas resursu savstarpējo atkarību, projekti ar vairākiem mērķiem ir efektīvāki. Par to apvienoto ietekmi novērtēšanas laikā tiek piešķirti papildu punkti.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 xml:space="preserve">Nelielais budžets, </w:t>
      </w:r>
      <w:proofErr w:type="spellStart"/>
      <w:r w:rsidRPr="001205DB">
        <w:t>rīcībpolitisko</w:t>
      </w:r>
      <w:proofErr w:type="spellEnd"/>
      <w:r w:rsidRPr="001205DB">
        <w:t xml:space="preserve"> mērķu plašums un jaunās problēmas nozīmē, ka ne visās jomās varētu panākt atbilstošus rezultātus līdz plānošanas perioda beigām. Kritiskajai masai, kas radītu izmaiņas visos vides un klimata jautājumos, būtu nepieciešams ievērojams budžeta palielinājums.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 xml:space="preserve">Tomēr programmas tematiskā tvēruma samazināšana izšķirīgi negatīvi ietekmētu vienas vai vairāku programmas prioritāšu (piemēram, </w:t>
      </w:r>
      <w:proofErr w:type="spellStart"/>
      <w:r w:rsidRPr="001205DB">
        <w:t>resursefektivitāte</w:t>
      </w:r>
      <w:proofErr w:type="spellEnd"/>
      <w:r w:rsidRPr="001205DB">
        <w:t xml:space="preserve">, ūdens un gaisa kvalitāte, siltumnīcefekta gāzu emisijas samazināšana, daba un bioloģiskā daudzveidība, arī jūras vides saglabāšana, </w:t>
      </w:r>
      <w:proofErr w:type="spellStart"/>
      <w:r w:rsidRPr="001205DB">
        <w:t>utt</w:t>
      </w:r>
      <w:proofErr w:type="spellEnd"/>
      <w:r w:rsidRPr="001205DB">
        <w:t xml:space="preserve">.) īstenošanu.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No programmas</w:t>
      </w:r>
      <w:r w:rsidRPr="001205DB">
        <w:rPr>
          <w:i/>
        </w:rPr>
        <w:t xml:space="preserve"> LIFE</w:t>
      </w:r>
      <w:r w:rsidRPr="001205DB">
        <w:t xml:space="preserve"> un citām Savienības programmām finansēto dotāciju (piemēram, demonstrējumu projektiem programmā “Apvārsnis 2020”) pārklāšanās ir sinerģiska, jo programmām ir atšķirīgi mērķi un darbības, lai gan dažāda lieluma un rakstura, ir savstarpēji saistītas. Dažās jomās (t. i., daba un </w:t>
      </w:r>
      <w:proofErr w:type="spellStart"/>
      <w:r w:rsidRPr="001205DB">
        <w:t>biodaudzveidība</w:t>
      </w:r>
      <w:proofErr w:type="spellEnd"/>
      <w:r w:rsidRPr="001205DB">
        <w:t xml:space="preserve">, arī jūras ekosistēmas) programmai ir unikāla un būtiska loma. Sinerģija un </w:t>
      </w:r>
      <w:proofErr w:type="spellStart"/>
      <w:r w:rsidRPr="001205DB">
        <w:t>komplementaritāte</w:t>
      </w:r>
      <w:proofErr w:type="spellEnd"/>
      <w:r w:rsidRPr="001205DB">
        <w:t xml:space="preserve"> jo īpaši novērota pētniecības, kohēzijas un lauku attīstības programmās. Tomēr sinerģijas mehānismu sistemātiska attīstīšana varētu radīt uzlabojumus.</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2. Lietderība un katalītiskā ietekme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Kopumā dažādo veidu dotācijas (standarta rīcības projekti, integrētie projekti, tehniskā palīdzība integrētajiem projektiem, sagatavošanas projekti un NVO atbalsts) šķiet efektīvi izpildes mehānismi.</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 xml:space="preserve">Integrētie projekti, kas koordinē darbību īstenošanu lielā teritoriālā mērogā, ir pierādījuši nozīmīgu potenciālu pastiprināt programmas </w:t>
      </w:r>
      <w:r w:rsidRPr="001205DB">
        <w:rPr>
          <w:i/>
        </w:rPr>
        <w:t>LIFE</w:t>
      </w:r>
      <w:r w:rsidRPr="001205DB">
        <w:t xml:space="preserve"> katalītisko ietekmi. Paredzams, ka programmas </w:t>
      </w:r>
      <w:r w:rsidRPr="001205DB">
        <w:rPr>
          <w:i/>
        </w:rPr>
        <w:t>LIFE</w:t>
      </w:r>
      <w:r w:rsidRPr="001205DB">
        <w:t xml:space="preserve"> finansējums 251,7 miljonu EUR apmērā integrētiem projektiem pašreizējā programmā 2014.–2016. gadā  vides un klimata pasākumiem piesaistīs investīcijas kopā apmēram 5,7 miljardu EUR apmērā.  Tas nozīmē, ka pēc prognozēm uz katru programmā </w:t>
      </w:r>
      <w:r w:rsidRPr="001205DB">
        <w:rPr>
          <w:i/>
        </w:rPr>
        <w:t>LIFE</w:t>
      </w:r>
      <w:r w:rsidRPr="001205DB">
        <w:t xml:space="preserve"> iztērēto </w:t>
      </w:r>
      <w:proofErr w:type="spellStart"/>
      <w:r w:rsidRPr="001205DB">
        <w:t>euro</w:t>
      </w:r>
      <w:proofErr w:type="spellEnd"/>
      <w:r w:rsidRPr="001205DB">
        <w:t xml:space="preserve"> saskaņotā veidā vides un klimata mērķu sasniegšanai tiks izmantoti vēl 22 </w:t>
      </w:r>
      <w:proofErr w:type="spellStart"/>
      <w:r w:rsidRPr="001205DB">
        <w:t>euro</w:t>
      </w:r>
      <w:proofErr w:type="spellEnd"/>
      <w:r w:rsidRPr="001205DB">
        <w:t xml:space="preserve"> no citiem avotiem.</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 xml:space="preserve">Finanšu </w:t>
      </w:r>
      <w:proofErr w:type="spellStart"/>
      <w:r w:rsidRPr="001205DB">
        <w:t>pilotinstruments</w:t>
      </w:r>
      <w:proofErr w:type="spellEnd"/>
      <w:r w:rsidRPr="001205DB">
        <w:t xml:space="preserve"> "Energoefektivitātes privātā finansējuma instruments" (</w:t>
      </w:r>
      <w:r w:rsidRPr="001205DB">
        <w:rPr>
          <w:i/>
        </w:rPr>
        <w:t>PF4EE</w:t>
      </w:r>
      <w:r w:rsidRPr="001205DB">
        <w:t xml:space="preserve">) ir vērsts uz to, lai veidotu finanšu iestāžu spējas izstrādāt un izmēģināt konkrētus aizdevumu produktus privātā sektora investīcijām energoefektivitātes pasākumos. Tā līdzekļu apgūšana ir bijusi laba, un tas paver iespēju pēc </w:t>
      </w:r>
      <w:proofErr w:type="spellStart"/>
      <w:r w:rsidRPr="001205DB">
        <w:t>pilotposma</w:t>
      </w:r>
      <w:proofErr w:type="spellEnd"/>
      <w:r w:rsidRPr="001205DB">
        <w:t xml:space="preserve"> plašākā mērogā izvērst un plaši integrēt </w:t>
      </w:r>
      <w:proofErr w:type="spellStart"/>
      <w:r w:rsidRPr="001205DB">
        <w:t>pilotinstrumentā</w:t>
      </w:r>
      <w:proofErr w:type="spellEnd"/>
      <w:r w:rsidRPr="001205DB">
        <w:t xml:space="preserve"> izmēģinātos aizdevumus energoefektivitātes uzlabošanai, izmantojot attiecīgos finanšu instrumentus, ko mobilizējušas Savienības programmas, jo īpaši no gaidāmā </w:t>
      </w:r>
      <w:proofErr w:type="spellStart"/>
      <w:r w:rsidRPr="001205DB">
        <w:rPr>
          <w:i/>
        </w:rPr>
        <w:t>InvestEU</w:t>
      </w:r>
      <w:proofErr w:type="spellEnd"/>
      <w:r w:rsidRPr="001205DB">
        <w:t xml:space="preserve"> fonda.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lastRenderedPageBreak/>
        <w:t>•</w:t>
      </w:r>
      <w:r w:rsidRPr="001205DB">
        <w:tab/>
        <w:t xml:space="preserve">Reģionu komiteja ir aicinājusi nodrošināt, lai programma </w:t>
      </w:r>
      <w:r w:rsidRPr="001205DB">
        <w:rPr>
          <w:i/>
        </w:rPr>
        <w:t>LIFE</w:t>
      </w:r>
      <w:r w:rsidRPr="001205DB">
        <w:t xml:space="preserve"> panāktu </w:t>
      </w:r>
      <w:r w:rsidRPr="001205DB">
        <w:rPr>
          <w:i/>
        </w:rPr>
        <w:t>PF4EE</w:t>
      </w:r>
      <w:r w:rsidRPr="001205DB">
        <w:t xml:space="preserve"> un citu attiecīgo finanšu instrumentu lielāku savstarpējo </w:t>
      </w:r>
      <w:proofErr w:type="spellStart"/>
      <w:r w:rsidRPr="001205DB">
        <w:t>komplementaritāti</w:t>
      </w:r>
      <w:proofErr w:type="spellEnd"/>
      <w:r w:rsidRPr="001205DB">
        <w:t>.</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 xml:space="preserve">Finanšu </w:t>
      </w:r>
      <w:proofErr w:type="spellStart"/>
      <w:r w:rsidRPr="001205DB">
        <w:t>pilotinstruments</w:t>
      </w:r>
      <w:proofErr w:type="spellEnd"/>
      <w:r w:rsidRPr="001205DB">
        <w:t xml:space="preserve"> "Dabas kapitāla finansēšanas mehānisms" (</w:t>
      </w:r>
      <w:r w:rsidRPr="001205DB">
        <w:rPr>
          <w:i/>
        </w:rPr>
        <w:t>NCFF</w:t>
      </w:r>
      <w:r w:rsidRPr="001205DB">
        <w:t xml:space="preserve">) piešķir aizdevumus, kapitālu un garantijas dabas un </w:t>
      </w:r>
      <w:proofErr w:type="spellStart"/>
      <w:r w:rsidRPr="001205DB">
        <w:t>klimatadaptācijas</w:t>
      </w:r>
      <w:proofErr w:type="spellEnd"/>
      <w:r w:rsidRPr="001205DB">
        <w:t xml:space="preserve"> pasākumiem, kas var radīt ieņēmumus vai ietaupīt izmaksas. Ar to iecerēts izveidot pārņemamu un rentablu darbību izstrādes sistēmu, kas kalpos par koncepcijas pierādījumu, potenciālajiem investoriem uzskatāmi parādot, cik izdevīgas ir darbības, kas tieši orientētas uz </w:t>
      </w:r>
      <w:proofErr w:type="spellStart"/>
      <w:r w:rsidRPr="001205DB">
        <w:t>biodaudzveidības</w:t>
      </w:r>
      <w:proofErr w:type="spellEnd"/>
      <w:r w:rsidRPr="001205DB">
        <w:t xml:space="preserve"> un </w:t>
      </w:r>
      <w:proofErr w:type="spellStart"/>
      <w:r w:rsidRPr="001205DB">
        <w:t>klimatadaptācijas</w:t>
      </w:r>
      <w:proofErr w:type="spellEnd"/>
      <w:r w:rsidRPr="001205DB">
        <w:t xml:space="preserve"> mērķiem. Tā līdzekļu apgūšana ir bijusi lēna, jo bija nepieciešams bankas prakses pielāgot šādu investīciju dotās peļņas novērtēšanai, kā arī uzlabot projektu pieteikumu kvalitāti. Kā programmas </w:t>
      </w:r>
      <w:r w:rsidRPr="001205DB">
        <w:rPr>
          <w:i/>
        </w:rPr>
        <w:t>LIFE</w:t>
      </w:r>
      <w:r w:rsidRPr="001205DB">
        <w:t xml:space="preserve"> </w:t>
      </w:r>
      <w:proofErr w:type="spellStart"/>
      <w:r w:rsidRPr="001205DB">
        <w:t>vidusposma</w:t>
      </w:r>
      <w:proofErr w:type="spellEnd"/>
      <w:r w:rsidRPr="001205DB">
        <w:t xml:space="preserve"> novērtējuma </w:t>
      </w:r>
      <w:proofErr w:type="spellStart"/>
      <w:r w:rsidRPr="001205DB">
        <w:t>sekojumpasākumi</w:t>
      </w:r>
      <w:proofErr w:type="spellEnd"/>
      <w:r w:rsidRPr="001205DB">
        <w:t xml:space="preserve"> ir veikti vairāki pielāgojumi, kuru mērķis ir uzlabot instrumenta atpazīstamību un </w:t>
      </w:r>
      <w:proofErr w:type="spellStart"/>
      <w:r w:rsidRPr="001205DB">
        <w:t>operacionalizēt</w:t>
      </w:r>
      <w:proofErr w:type="spellEnd"/>
      <w:r w:rsidRPr="001205DB">
        <w:t xml:space="preserve"> tehniskās palīdzības mehānismu. Tā rezultātā ir uzlabojusies projektu izstrādes sistēma. Viens no ieteikumiem, kas vēl ir jāizpilda, ir šo finansiālo atbalstu papildināt ar mērķtiecīgām dotācijām (finansējuma apvienošana).</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Publiskā iepirkuma līgumi tiek uzskatīti par vērtīgu mehānismu, kā mērķorientēti atbalstīt vides un klimata tiesību aktu sagatavošanu un to īstenošanu un izpildi. Tiem ir nozīmīga katalītiska ietekme.</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3. Efektivitāte un vienkāršošana</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 xml:space="preserve">Komisijas pārvaldības pilnvaru deleģēšana Mazo un vidējo uzņēmumu </w:t>
      </w:r>
      <w:proofErr w:type="spellStart"/>
      <w:r w:rsidRPr="001205DB">
        <w:t>izpildaģentūrai</w:t>
      </w:r>
      <w:proofErr w:type="spellEnd"/>
      <w:r w:rsidRPr="001205DB">
        <w:t xml:space="preserve"> (</w:t>
      </w:r>
      <w:r w:rsidRPr="001205DB">
        <w:rPr>
          <w:i/>
        </w:rPr>
        <w:t>EASME</w:t>
      </w:r>
      <w:r w:rsidRPr="001205DB">
        <w:t xml:space="preserve">) radīja izmaksu aiztaupījumu un uzlaboja programmas efektivitāti, jo, īstenojot daudzas līdzīgas un standartizētas darbības, kas nepieciešamas dotāciju pārvaldībai, radās </w:t>
      </w:r>
      <w:proofErr w:type="spellStart"/>
      <w:r w:rsidRPr="001205DB">
        <w:t>apjomradīti</w:t>
      </w:r>
      <w:proofErr w:type="spellEnd"/>
      <w:r w:rsidRPr="001205DB">
        <w:t xml:space="preserve"> ietaupījumi.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 xml:space="preserve">Programma </w:t>
      </w:r>
      <w:r w:rsidRPr="001205DB">
        <w:rPr>
          <w:i/>
        </w:rPr>
        <w:t>LIFE</w:t>
      </w:r>
      <w:r w:rsidRPr="001205DB">
        <w:t xml:space="preserve"> ir relatīvi efektīva, salīdzinot ar citām Savienības programmām. Programmas </w:t>
      </w:r>
      <w:r w:rsidRPr="001205DB">
        <w:rPr>
          <w:i/>
        </w:rPr>
        <w:t>LIFE</w:t>
      </w:r>
      <w:r w:rsidRPr="001205DB">
        <w:t xml:space="preserve"> pārvaldības izmaksas relatīvā izteiksmē ir ievērojami mazākas nekā citām līdzīgām programmām (piemēram, Uzņēmumu un mazo un vidējo uzņēmumu konkurētspējas programma (</w:t>
      </w:r>
      <w:r w:rsidRPr="001205DB">
        <w:rPr>
          <w:i/>
        </w:rPr>
        <w:t>COSME</w:t>
      </w:r>
      <w:r w:rsidRPr="001205DB">
        <w:t>) un programma “Apvārsnis 2020”). Pārvaldības prakses, ko raksturo ārēja atbalsta izmantošana projekta uzraudzībai, radīja ļoti augstu projektu sekmīguma līmeni un ļoti mazu kļūdu īpatsvaru (2017. gadā 0,25 % — zemākais īpatsvars visu Savienības programmu vidū).</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Ko vēl varētu darīt</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Projektu mērķtiecīgāka virzīšana uz galvenajām prioritātēm varētu uzlabot to mērķtiecību un sniegumu, jo īpaši vides apakšprogrammā, kur tematiskās prioritātes pašlaik regulā ir noteiktas septiņu gadu periodam. Jaunām prioritātēm, kas rastos septiņu gadu plānošanas periodā (piemēram, aprites ekonomika un ar to saistītās nozares, tādas kā plastmasas nozare), vai citām prioritātēm, kuras nav pienācīgi ietvertas projektos (kas atlasīti pēc uzaicinājumiem iesniegt priekšlikumus uz augšupējas pieejas pamata), varētu nebūt veltīts pietiekams pasākumu skaits.</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Labuma guvēji uzskata, ka administratīvais slogs ir pārāk liels. Tāpēc ir nepieciešams vienkāršot regulu un tās piemērošanu, kā arī ziņošanas procesu. Daži vienkāršošanas pasākumi jau ir ieviesti, un vēl citi tiek izmēģināti.</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Labuma guvēju skaits no dažām dalībvalstīm ir mazs, un tas draud vājināt programmas katalītisko ietekmi. Valsts piešķīrumu izmantošana šīs problēmas risināšanai nav bijusi rezultatīva: tās ietekmē mazinājusies to valstu dalība, kas piedalījās vairāk, nepalielinoties citu valstu dalībai. Šī pieeja kopš 2018. gada ir atmesta. Lai gan 2014. gadā ieviestās dotācijas spēju veidošanai joprojām tiek izmantotas un ir pāragri izdarīt secinājumus, rezultāti šķiet neviennozīmīgi. Ir jāmeklē jauni veidi, kā mazināt nevienādu piedalīšanās līmeni.</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lastRenderedPageBreak/>
        <w:t>•</w:t>
      </w:r>
      <w:r w:rsidRPr="001205DB">
        <w:tab/>
        <w:t xml:space="preserve">Jo lielāka ir projekta rezultātu atkārtojamība, jo spēcīgāka ir programmas </w:t>
      </w:r>
      <w:r w:rsidRPr="001205DB">
        <w:rPr>
          <w:i/>
        </w:rPr>
        <w:t>LIFE</w:t>
      </w:r>
      <w:r w:rsidRPr="001205DB">
        <w:t xml:space="preserve"> katalītiskā ietekme. Kā norādīts 2016. gada ziņojumā, lai gan apmēram trim ceturtdaļām projektu ir labs atkārtojamības potenciāls, faktisko atkārtojamību vēl varētu uzlabot. Labuma guvēji atzīmē, ka galvenie šķēršļi ir finanšu līdzekļu, lēmumu pieņēmēju intereses un steidzamības sajūtas, konkrētas informācijas un pārnesamu risinājumu nodošanas, kā arī investīciju plānošanas spējas trūkums.</w:t>
      </w:r>
    </w:p>
    <w:p w:rsidR="00FB0A0F" w:rsidRPr="001205DB" w:rsidRDefault="00FB0A0F" w:rsidP="00FB0A0F">
      <w:pPr>
        <w:pStyle w:val="Heading3"/>
        <w:rPr>
          <w:noProof/>
          <w:szCs w:val="24"/>
        </w:rPr>
      </w:pPr>
      <w:r w:rsidRPr="001205DB">
        <w:t>Saderība un iespējamā sinerģija ar citiem atbilstošiem instrumentiem</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Programma </w:t>
      </w:r>
      <w:r w:rsidRPr="001205DB">
        <w:rPr>
          <w:i/>
        </w:rPr>
        <w:t>LIFE</w:t>
      </w:r>
      <w:r w:rsidRPr="001205DB">
        <w:t xml:space="preserve"> ir vienīgais Savienības fonds, kas ir pilnībā paredzēts vides un klimata mērķu sasniegšanai, ieskaitot pāreju uz tīru enerģiju. Tā ir vērsta uz nišu starp Savienības programmām, kas atbalsta pētniecību un inovāciju, no vienas puses, un Savienības programmām, no kurām tiek finansēti liela mēroga izvēršanas pasākumi, no otras puses (</w:t>
      </w:r>
      <w:proofErr w:type="spellStart"/>
      <w:r w:rsidRPr="001205DB">
        <w:t>sk</w:t>
      </w:r>
      <w:proofErr w:type="spellEnd"/>
      <w:r w:rsidRPr="001205DB">
        <w:t xml:space="preserve">. 1. attēlu).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Kā redzams 1. attēlā, pirmais posms </w:t>
      </w:r>
      <w:r w:rsidRPr="001205DB">
        <w:rPr>
          <w:i/>
        </w:rPr>
        <w:t>“pētniecība/inovācija”</w:t>
      </w:r>
      <w:r w:rsidRPr="001205DB">
        <w:t xml:space="preserve"> ietver </w:t>
      </w:r>
      <w:proofErr w:type="spellStart"/>
      <w:r w:rsidRPr="001205DB">
        <w:t>pamatizpēti</w:t>
      </w:r>
      <w:proofErr w:type="spellEnd"/>
      <w:r w:rsidRPr="001205DB">
        <w:t xml:space="preserve">, kas uzlabo zinātniskās zināšanas, un tehniskos demonstrējumus, kas pierāda inovāciju realizējamību. Programma </w:t>
      </w:r>
      <w:r w:rsidRPr="001205DB">
        <w:rPr>
          <w:i/>
        </w:rPr>
        <w:t>LIFE</w:t>
      </w:r>
      <w:r w:rsidRPr="001205DB">
        <w:t xml:space="preserve"> šo jomu neaptver, izņemot maza mēroga pētnieciskās darbības, kas projektos atbalsta citus mērķus. Otrais posms ir </w:t>
      </w:r>
      <w:r w:rsidRPr="001205DB">
        <w:rPr>
          <w:i/>
        </w:rPr>
        <w:t>“demonstrējumi/</w:t>
      </w:r>
      <w:proofErr w:type="spellStart"/>
      <w:r w:rsidRPr="001205DB">
        <w:rPr>
          <w:i/>
        </w:rPr>
        <w:t>paraugprakses</w:t>
      </w:r>
      <w:proofErr w:type="spellEnd"/>
      <w:r w:rsidRPr="001205DB">
        <w:rPr>
          <w:i/>
        </w:rPr>
        <w:t>”</w:t>
      </w:r>
      <w:r w:rsidRPr="001205DB">
        <w:t xml:space="preserve">, kas ietver jaunu tehnoloģiju, pieeju vai </w:t>
      </w:r>
      <w:proofErr w:type="spellStart"/>
      <w:r w:rsidRPr="001205DB">
        <w:t>rīcībpolitiku</w:t>
      </w:r>
      <w:proofErr w:type="spellEnd"/>
      <w:r w:rsidRPr="001205DB">
        <w:t xml:space="preserve"> kā </w:t>
      </w:r>
      <w:proofErr w:type="spellStart"/>
      <w:r w:rsidRPr="001205DB">
        <w:t>rīcībpolitikas</w:t>
      </w:r>
      <w:proofErr w:type="spellEnd"/>
      <w:r w:rsidRPr="001205DB">
        <w:t xml:space="preserve"> īstenošanas metožu lietderības testēšanu, demonstrēšanu un izmēģināšanu. Programma </w:t>
      </w:r>
      <w:r w:rsidRPr="001205DB">
        <w:rPr>
          <w:i/>
        </w:rPr>
        <w:t>LIFE</w:t>
      </w:r>
      <w:r w:rsidRPr="001205DB">
        <w:t xml:space="preserve"> galvenokārt finansē darbības, kas atbilst šim posmam, jo īpaši standarta “tradicionālos” rīcības projektus. Programma </w:t>
      </w:r>
      <w:r w:rsidRPr="001205DB">
        <w:rPr>
          <w:i/>
        </w:rPr>
        <w:t>LIFE</w:t>
      </w:r>
      <w:r w:rsidRPr="001205DB">
        <w:t xml:space="preserve"> finansē arī darbības trešajā posmā </w:t>
      </w:r>
      <w:r w:rsidRPr="001205DB">
        <w:rPr>
          <w:i/>
        </w:rPr>
        <w:t>“izmantošanas veicināšana / paplašināšana / izpratnes veidošana”</w:t>
      </w:r>
      <w:r w:rsidRPr="001205DB">
        <w:t xml:space="preserve">, piemēram, izmantojot stratēģiskus integrētos projektus un darbības, kas atbalsta pāreju uz tīru enerģiju. Šajā posmā projekti sagatavo pamatu piemērotu tehnoloģiju un pieeju ieviešanai plašā mērogā. Ceturtais posms </w:t>
      </w:r>
      <w:r w:rsidRPr="001205DB">
        <w:rPr>
          <w:i/>
        </w:rPr>
        <w:t xml:space="preserve">“zaļo risinājumu </w:t>
      </w:r>
      <w:proofErr w:type="spellStart"/>
      <w:r w:rsidRPr="001205DB">
        <w:rPr>
          <w:i/>
        </w:rPr>
        <w:t>lielmēroga</w:t>
      </w:r>
      <w:proofErr w:type="spellEnd"/>
      <w:r w:rsidRPr="001205DB">
        <w:rPr>
          <w:i/>
        </w:rPr>
        <w:t xml:space="preserve"> finansēšana”</w:t>
      </w:r>
      <w:r w:rsidRPr="001205DB">
        <w:t xml:space="preserve"> aptver uzticamas tehnoloģijas, risinājumus vai politikas, kuru ieviešanai galvenais šķērslis ir nepietiekama piekļuve finansējumam. Programma </w:t>
      </w:r>
      <w:r w:rsidRPr="001205DB">
        <w:rPr>
          <w:i/>
        </w:rPr>
        <w:t>LIFE</w:t>
      </w:r>
      <w:r w:rsidRPr="001205DB">
        <w:t xml:space="preserve"> nepiešķir finansējumu </w:t>
      </w:r>
      <w:proofErr w:type="spellStart"/>
      <w:r w:rsidRPr="001205DB">
        <w:t>lielmēroga</w:t>
      </w:r>
      <w:proofErr w:type="spellEnd"/>
      <w:r w:rsidRPr="001205DB">
        <w:t xml:space="preserve"> īstenošanai.</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Lai gan programma </w:t>
      </w:r>
      <w:r w:rsidRPr="001205DB">
        <w:rPr>
          <w:i/>
        </w:rPr>
        <w:t>LIFE</w:t>
      </w:r>
      <w:r w:rsidRPr="001205DB">
        <w:t xml:space="preserve"> dažas problēmas risina tieši, programmas galvenā ietekme ir netieša, tai darbojoties kā katalizatoram: tā sniedz atbalstu maza mēroga darbībām, kas paredzētas tam, lai uzsāktu, paplašinātu vai paātrinātu ilgtspējīgas ražošanas, izplatīšanas un patēriņa prakses:</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 xml:space="preserve">veicinot </w:t>
      </w:r>
      <w:proofErr w:type="spellStart"/>
      <w:r w:rsidRPr="001205DB">
        <w:t>paraugprakses</w:t>
      </w:r>
      <w:proofErr w:type="spellEnd"/>
      <w:r w:rsidRPr="001205DB">
        <w:t xml:space="preserve"> un zināšanu pilnveidošanu un apmaiņu;</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veidojot spējas un paātrinot vides un klimata</w:t>
      </w:r>
      <w:r w:rsidRPr="001205DB">
        <w:tab/>
        <w:t xml:space="preserve">tiesību aktu un </w:t>
      </w:r>
      <w:proofErr w:type="spellStart"/>
      <w:r w:rsidRPr="001205DB">
        <w:t>rīcībpolitiku</w:t>
      </w:r>
      <w:proofErr w:type="spellEnd"/>
      <w:r w:rsidRPr="001205DB">
        <w:t xml:space="preserve"> īstenošanu;</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 xml:space="preserve">palīdzot ieinteresētajām personām izmēģināt </w:t>
      </w:r>
      <w:proofErr w:type="spellStart"/>
      <w:r w:rsidRPr="001205DB">
        <w:t>mazmēroga</w:t>
      </w:r>
      <w:proofErr w:type="spellEnd"/>
      <w:r w:rsidRPr="001205DB">
        <w:t xml:space="preserve"> tehnoloģijas un risinājumus, kā arī</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w:t>
      </w:r>
      <w:r w:rsidRPr="001205DB">
        <w:tab/>
        <w:t>mobilizējot finansējumu no citiem avotiem.</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1. attēls. Programmas </w:t>
      </w:r>
      <w:r w:rsidRPr="001205DB">
        <w:rPr>
          <w:i/>
        </w:rPr>
        <w:t>LIFE</w:t>
      </w:r>
      <w:r w:rsidRPr="001205DB">
        <w:t xml:space="preserve"> un citu lielu Eiropas Savienības programmu un fondu tvērums</w:t>
      </w:r>
    </w:p>
    <w:p w:rsidR="00FB0A0F" w:rsidRPr="001205DB" w:rsidRDefault="00DF20B3" w:rsidP="00FB0A0F">
      <w:pPr>
        <w:pBdr>
          <w:top w:val="single" w:sz="4" w:space="1" w:color="auto"/>
          <w:left w:val="single" w:sz="4" w:space="4" w:color="auto"/>
          <w:bottom w:val="single" w:sz="4" w:space="1" w:color="auto"/>
          <w:right w:val="single" w:sz="4" w:space="4" w:color="auto"/>
        </w:pBdr>
        <w:rPr>
          <w:rFonts w:eastAsia="Times New Roman"/>
          <w:noProof/>
        </w:rPr>
      </w:pPr>
      <w:r w:rsidRPr="001205DB">
        <w:rPr>
          <w:noProof/>
          <w:lang w:val="en-GB" w:eastAsia="en-GB" w:bidi="ar-SA"/>
        </w:rPr>
        <w:lastRenderedPageBreak/>
        <w:drawing>
          <wp:inline distT="0" distB="0" distL="0" distR="0" wp14:anchorId="41BB6A53" wp14:editId="4DEAC433">
            <wp:extent cx="5760085" cy="2731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85" cy="2731155"/>
                    </a:xfrm>
                    <a:prstGeom prst="rect">
                      <a:avLst/>
                    </a:prstGeom>
                    <a:noFill/>
                    <a:ln>
                      <a:noFill/>
                    </a:ln>
                  </pic:spPr>
                </pic:pic>
              </a:graphicData>
            </a:graphic>
          </wp:inline>
        </w:drawing>
      </w:r>
    </w:p>
    <w:p w:rsidR="00FB0A0F" w:rsidRPr="001205DB" w:rsidRDefault="00FB0A0F" w:rsidP="00FB0A0F">
      <w:pPr>
        <w:pBdr>
          <w:top w:val="single" w:sz="4" w:space="1" w:color="auto"/>
          <w:left w:val="single" w:sz="4" w:space="4" w:color="auto"/>
          <w:bottom w:val="single" w:sz="4" w:space="1" w:color="auto"/>
          <w:right w:val="single" w:sz="4" w:space="4" w:color="auto"/>
        </w:pBdr>
        <w:jc w:val="left"/>
        <w:rPr>
          <w:rFonts w:eastAsia="Times New Roman"/>
          <w:i/>
          <w:noProof/>
          <w:sz w:val="22"/>
        </w:rPr>
      </w:pPr>
      <w:r w:rsidRPr="001205DB">
        <w:rPr>
          <w:i/>
          <w:noProof/>
          <w:sz w:val="22"/>
        </w:rPr>
        <w:t>Avots: Eiropas Komisija</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Ietekmes novērtējums apstiprina programmas</w:t>
      </w:r>
      <w:r w:rsidRPr="001205DB">
        <w:rPr>
          <w:i/>
        </w:rPr>
        <w:t xml:space="preserve"> LIFE</w:t>
      </w:r>
      <w:r w:rsidRPr="001205DB">
        <w:t xml:space="preserve"> </w:t>
      </w:r>
      <w:proofErr w:type="spellStart"/>
      <w:r w:rsidRPr="001205DB">
        <w:t>vidusposma</w:t>
      </w:r>
      <w:proofErr w:type="spellEnd"/>
      <w:r w:rsidRPr="001205DB">
        <w:t xml:space="preserve"> novērtējuma secinājumus, ka ar vides un klimata </w:t>
      </w:r>
      <w:proofErr w:type="spellStart"/>
      <w:r w:rsidRPr="001205DB">
        <w:t>rīcībpolitikas</w:t>
      </w:r>
      <w:proofErr w:type="spellEnd"/>
      <w:r w:rsidRPr="001205DB">
        <w:t xml:space="preserve"> veidošanu un īstenošanu saistīto finansēšanas posmu pārklāšanās (</w:t>
      </w:r>
      <w:proofErr w:type="spellStart"/>
      <w:r w:rsidRPr="001205DB">
        <w:t>sk</w:t>
      </w:r>
      <w:proofErr w:type="spellEnd"/>
      <w:r w:rsidRPr="001205DB">
        <w:t xml:space="preserve">. 1. attēlu iepriekš) ir sinerģiska.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Sinerģijas jo īpaši tiks veidotas ar [fondu </w:t>
      </w:r>
      <w:proofErr w:type="spellStart"/>
      <w:r w:rsidRPr="001205DB">
        <w:rPr>
          <w:i/>
        </w:rPr>
        <w:t>InvestEU</w:t>
      </w:r>
      <w:proofErr w:type="spellEnd"/>
      <w:r w:rsidRPr="001205DB">
        <w:t xml:space="preserve">], sevišķi ilgtspējīgas infrastruktūras sadaļā [“Apvārsnis Eiropa”, Eiropas Reģionālās attīstības fonds, Kohēzijas fonds, Eiropas Sociālais fonds+, Eiropas Lauksaimniecības fonds lauku attīstībai un Eiropas Jūrlietu un zivsaimniecības fonds]. </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Ar programmu </w:t>
      </w:r>
      <w:r w:rsidRPr="001205DB">
        <w:rPr>
          <w:i/>
        </w:rPr>
        <w:t>LIFE</w:t>
      </w:r>
      <w:r w:rsidRPr="001205DB">
        <w:t xml:space="preserve"> paredzēts atbalstīt tādu metožu, pieeju un </w:t>
      </w:r>
      <w:proofErr w:type="spellStart"/>
      <w:r w:rsidRPr="001205DB">
        <w:t>paraugprakses</w:t>
      </w:r>
      <w:proofErr w:type="spellEnd"/>
      <w:r w:rsidRPr="001205DB">
        <w:t xml:space="preserve"> demonstrēšanu, ko var pārņemt un izvērst lielākās programmās. Programmas </w:t>
      </w:r>
      <w:r w:rsidRPr="001205DB">
        <w:rPr>
          <w:i/>
        </w:rPr>
        <w:t>LIFE</w:t>
      </w:r>
      <w:r w:rsidRPr="001205DB">
        <w:t xml:space="preserve"> stratēģiskie integrētie projekti mobilizē citus Eiropas, nacionālos, reģionālos un privātos līdzekļus galveno vides un klimata plānu (piemēram, upes baseina pārvaldības plāni, tīra gaisa plāni </w:t>
      </w:r>
      <w:proofErr w:type="spellStart"/>
      <w:r w:rsidRPr="001205DB">
        <w:t>utt</w:t>
      </w:r>
      <w:proofErr w:type="spellEnd"/>
      <w:r w:rsidRPr="001205DB">
        <w:t xml:space="preserve">.) īstenošanai. Dabas un </w:t>
      </w:r>
      <w:proofErr w:type="spellStart"/>
      <w:r w:rsidRPr="001205DB">
        <w:t>biodaudzveidības</w:t>
      </w:r>
      <w:proofErr w:type="spellEnd"/>
      <w:r w:rsidRPr="001205DB">
        <w:t xml:space="preserve"> jomā ar stratēģiskiem dabas projektiem tiks īstenotas saskaņotas rīcības programmas Savienības dabas un bioloģiskās daudzveidības mērķu un prioritāšu integrēšanai citās </w:t>
      </w:r>
      <w:proofErr w:type="spellStart"/>
      <w:r w:rsidRPr="001205DB">
        <w:t>rīcībpolitikās</w:t>
      </w:r>
      <w:proofErr w:type="spellEnd"/>
      <w:r w:rsidRPr="001205DB">
        <w:t xml:space="preserve"> un finanšu instrumentos, tostarp saskaņotā veidā īstenojot prioritārās rīcības satvarus, kas izveidoti saskaņā ar Direktīvu 92/43/EEK. Šo projektu mērķis būs koordinēt pieejamos resursus dabas un bioloģiskās daudzveidības mērķu atbalstam, tādā veidā uzlabojot integrāciju.</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Ietekmes novērtējumā ir analizēti arī divi konkrēti ar Programmas tvērumu saistīti risinājumi, kuru mērķis ir labāk attīstīt iespējamās sinerģijas, novēršot trūkumus un pārklāšanos:</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no vienas puses, ņemot vērā līdzīgo mērķi un posmu, uz ko ir vērsta programmas </w:t>
      </w:r>
      <w:r w:rsidRPr="001205DB">
        <w:rPr>
          <w:i/>
        </w:rPr>
        <w:t>LIFE</w:t>
      </w:r>
      <w:r w:rsidRPr="001205DB">
        <w:t xml:space="preserve"> klimata apakšprogramma, pārejai uz tīru enerģiju paredzēto atbalsta darbību integrācija pastiprinās visas programmas saskaņotību un sinerģiju Savienības vides, klimata un tīras enerģijas </w:t>
      </w:r>
      <w:proofErr w:type="spellStart"/>
      <w:r w:rsidRPr="001205DB">
        <w:t>rīcībpolitiku</w:t>
      </w:r>
      <w:proofErr w:type="spellEnd"/>
      <w:r w:rsidRPr="001205DB">
        <w:t xml:space="preserve"> īstenošanā;</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no otras puses, arī turpmāka </w:t>
      </w:r>
      <w:r w:rsidRPr="001205DB">
        <w:rPr>
          <w:i/>
        </w:rPr>
        <w:t>BEST</w:t>
      </w:r>
      <w:r w:rsidRPr="001205DB">
        <w:t xml:space="preserve"> shēmas</w:t>
      </w:r>
      <w:r w:rsidRPr="001205DB">
        <w:rPr>
          <w:rStyle w:val="FootnoteReference"/>
          <w:noProof/>
        </w:rPr>
        <w:footnoteReference w:id="43"/>
      </w:r>
      <w:r w:rsidRPr="001205DB">
        <w:t xml:space="preserve"> finansēšana no programmas </w:t>
      </w:r>
      <w:r w:rsidRPr="001205DB">
        <w:rPr>
          <w:i/>
        </w:rPr>
        <w:t>LIFE</w:t>
      </w:r>
      <w:r w:rsidRPr="001205DB">
        <w:t xml:space="preserve"> apakšprogrammas "Daba un </w:t>
      </w:r>
      <w:proofErr w:type="spellStart"/>
      <w:r w:rsidRPr="001205DB">
        <w:t>biodaudzveidība</w:t>
      </w:r>
      <w:proofErr w:type="spellEnd"/>
      <w:r w:rsidRPr="001205DB">
        <w:t xml:space="preserve">" novērsīs trūkumu, kas saistīts ar bioloģiskās </w:t>
      </w:r>
      <w:r w:rsidRPr="001205DB">
        <w:lastRenderedPageBreak/>
        <w:t xml:space="preserve">daudzveidības finansēšanu tālākajos reģionos (TR) un aizjūras zemēs un teritorijās (AZT), un ļaus vēl attīstīt sinerģijas, kas jau aizsāktas </w:t>
      </w:r>
      <w:r w:rsidRPr="001205DB">
        <w:rPr>
          <w:i/>
        </w:rPr>
        <w:t>BEST</w:t>
      </w:r>
      <w:r w:rsidRPr="001205DB">
        <w:t xml:space="preserve"> shēmas ietvaros.</w:t>
      </w:r>
    </w:p>
    <w:p w:rsidR="00FB0A0F" w:rsidRPr="001205DB" w:rsidRDefault="00FB0A0F" w:rsidP="00FB0A0F">
      <w:pPr>
        <w:pStyle w:val="Heading2"/>
        <w:rPr>
          <w:noProof/>
          <w:szCs w:val="24"/>
        </w:rPr>
      </w:pPr>
      <w:r w:rsidRPr="001205DB">
        <w:t xml:space="preserve">Ilgums un finansiālā ietekme </w:t>
      </w:r>
    </w:p>
    <w:p w:rsidR="00FB0A0F" w:rsidRPr="001205DB" w:rsidRDefault="00FB0A0F" w:rsidP="00FB0A0F">
      <w:pPr>
        <w:ind w:left="850"/>
        <w:rPr>
          <w:rFonts w:eastAsia="Times New Roman"/>
          <w:noProof/>
        </w:rPr>
      </w:pPr>
      <w:r w:rsidRPr="001205DB">
        <w:rPr>
          <w:rFonts w:eastAsia="Times New Roman"/>
          <w:noProof/>
        </w:rPr>
        <w:sym w:font="Wingdings" w:char="F0FE"/>
      </w:r>
      <w:r w:rsidRPr="001205DB">
        <w:rPr>
          <w:b/>
          <w:i/>
          <w:noProof/>
        </w:rPr>
        <w:t xml:space="preserve"> </w:t>
      </w:r>
      <w:r w:rsidRPr="001205DB">
        <w:rPr>
          <w:b/>
        </w:rPr>
        <w:t>ierobežota ilguma</w:t>
      </w:r>
      <w:r w:rsidRPr="001205DB">
        <w:t xml:space="preserve"> priekšlikums/iniciatīva</w:t>
      </w:r>
      <w:r w:rsidRPr="001205DB">
        <w:rPr>
          <w:b/>
          <w:noProof/>
        </w:rPr>
        <w:t xml:space="preserve"> </w:t>
      </w:r>
    </w:p>
    <w:p w:rsidR="00FB0A0F" w:rsidRPr="001205DB" w:rsidRDefault="00FB0A0F" w:rsidP="00FB0A0F">
      <w:pPr>
        <w:tabs>
          <w:tab w:val="num" w:pos="1134"/>
        </w:tabs>
        <w:ind w:left="1134" w:hanging="283"/>
        <w:rPr>
          <w:rFonts w:eastAsia="Times New Roman"/>
          <w:noProof/>
        </w:rPr>
      </w:pPr>
      <w:r w:rsidRPr="001205DB">
        <w:rPr>
          <w:rFonts w:eastAsia="Times New Roman"/>
          <w:noProof/>
        </w:rPr>
        <w:sym w:font="Wingdings" w:char="F0FE"/>
      </w:r>
      <w:r w:rsidRPr="001205DB">
        <w:tab/>
        <w:t>darbības laiks: 01.01.2021.–31.12.2027.</w:t>
      </w:r>
    </w:p>
    <w:p w:rsidR="00FB0A0F" w:rsidRPr="001205DB" w:rsidRDefault="00FB0A0F" w:rsidP="00FB0A0F">
      <w:pPr>
        <w:tabs>
          <w:tab w:val="num" w:pos="1134"/>
        </w:tabs>
        <w:ind w:left="1134" w:hanging="283"/>
        <w:rPr>
          <w:rFonts w:eastAsia="Times New Roman"/>
          <w:noProof/>
        </w:rPr>
      </w:pPr>
      <w:r w:rsidRPr="001205DB">
        <w:rPr>
          <w:rFonts w:eastAsia="Times New Roman"/>
          <w:noProof/>
        </w:rPr>
        <w:sym w:font="Wingdings" w:char="F0FE"/>
      </w:r>
      <w:r w:rsidRPr="001205DB">
        <w:tab/>
        <w:t xml:space="preserve">finansiālā ietekme uz saistību apropriācijām — no 2021. gada līdz 2027. gadam, uz maksājumu apropriācijām — no 2021. gada līdz 2036. gadam </w:t>
      </w:r>
    </w:p>
    <w:p w:rsidR="00FB0A0F" w:rsidRPr="001205DB" w:rsidRDefault="00FB0A0F" w:rsidP="00FB0A0F">
      <w:pPr>
        <w:ind w:left="850"/>
        <w:rPr>
          <w:rFonts w:eastAsia="Times New Roman"/>
          <w:noProof/>
        </w:rPr>
      </w:pPr>
      <w:r w:rsidRPr="001205DB">
        <w:rPr>
          <w:rFonts w:eastAsia="Times New Roman"/>
          <w:noProof/>
        </w:rPr>
        <w:sym w:font="Wingdings" w:char="F0A8"/>
      </w:r>
      <w:r w:rsidRPr="001205DB">
        <w:rPr>
          <w:b/>
          <w:i/>
          <w:noProof/>
        </w:rPr>
        <w:t xml:space="preserve"> </w:t>
      </w:r>
      <w:r w:rsidRPr="001205DB">
        <w:rPr>
          <w:b/>
        </w:rPr>
        <w:t>beztermiņa</w:t>
      </w:r>
      <w:r w:rsidRPr="001205DB">
        <w:t xml:space="preserve"> priekšlikums/iniciatīva </w:t>
      </w:r>
      <w:r w:rsidRPr="001205DB">
        <w:br/>
      </w:r>
    </w:p>
    <w:p w:rsidR="00FB0A0F" w:rsidRPr="001205DB" w:rsidRDefault="00FB0A0F" w:rsidP="00FB0A0F">
      <w:pPr>
        <w:tabs>
          <w:tab w:val="num" w:pos="1134"/>
        </w:tabs>
        <w:ind w:left="1134" w:hanging="283"/>
        <w:rPr>
          <w:rFonts w:eastAsia="Times New Roman"/>
          <w:noProof/>
        </w:rPr>
      </w:pPr>
      <w:r w:rsidRPr="001205DB">
        <w:t>Īstenošana ar uzsākšanas periodu no GGGG. līdz GGGG.,</w:t>
      </w:r>
    </w:p>
    <w:p w:rsidR="00FB0A0F" w:rsidRPr="001205DB" w:rsidRDefault="00FB0A0F" w:rsidP="00FB0A0F">
      <w:pPr>
        <w:ind w:left="1134"/>
        <w:rPr>
          <w:rFonts w:eastAsia="Times New Roman"/>
          <w:noProof/>
        </w:rPr>
      </w:pPr>
      <w:r w:rsidRPr="001205DB">
        <w:t>pēc kura turpinās normāla darbība.</w:t>
      </w:r>
    </w:p>
    <w:p w:rsidR="00FB0A0F" w:rsidRPr="001205DB" w:rsidRDefault="00FB0A0F" w:rsidP="00FB0A0F">
      <w:pPr>
        <w:pStyle w:val="Heading2"/>
        <w:rPr>
          <w:noProof/>
        </w:rPr>
      </w:pPr>
      <w:r w:rsidRPr="001205DB">
        <w:t>Plānotie pārvaldības veidi</w:t>
      </w:r>
      <w:r w:rsidRPr="001205DB">
        <w:rPr>
          <w:rStyle w:val="FootnoteReference"/>
        </w:rPr>
        <w:footnoteReference w:id="44"/>
      </w:r>
      <w:r w:rsidRPr="001205DB">
        <w:rPr>
          <w:noProof/>
          <w:vertAlign w:val="superscript"/>
        </w:rPr>
        <w:t xml:space="preserve"> </w:t>
      </w:r>
    </w:p>
    <w:p w:rsidR="00FB0A0F" w:rsidRPr="001205DB" w:rsidRDefault="00FB0A0F" w:rsidP="00FB0A0F">
      <w:pPr>
        <w:ind w:left="850"/>
        <w:rPr>
          <w:rFonts w:eastAsia="Times New Roman"/>
          <w:noProof/>
        </w:rPr>
      </w:pPr>
      <w:r w:rsidRPr="001205DB">
        <w:rPr>
          <w:rFonts w:eastAsia="Times New Roman"/>
          <w:noProof/>
        </w:rPr>
        <w:sym w:font="Wingdings" w:char="F0FE"/>
      </w:r>
      <w:r w:rsidRPr="001205DB">
        <w:rPr>
          <w:i/>
          <w:noProof/>
        </w:rPr>
        <w:t xml:space="preserve"> </w:t>
      </w:r>
      <w:r w:rsidRPr="001205DB">
        <w:t xml:space="preserve">Komisijas īstenota </w:t>
      </w:r>
      <w:r w:rsidRPr="001205DB">
        <w:rPr>
          <w:b/>
        </w:rPr>
        <w:t>tieša pārvaldība</w:t>
      </w:r>
      <w:r w:rsidRPr="001205DB">
        <w:t>:</w:t>
      </w:r>
    </w:p>
    <w:p w:rsidR="00FB0A0F" w:rsidRPr="001205DB" w:rsidRDefault="00FB0A0F" w:rsidP="00FB0A0F">
      <w:pPr>
        <w:tabs>
          <w:tab w:val="num" w:pos="1134"/>
        </w:tabs>
        <w:ind w:left="1134" w:hanging="283"/>
        <w:rPr>
          <w:rFonts w:eastAsia="Times New Roman" w:cs="EUAlbertina"/>
          <w:noProof/>
        </w:rPr>
      </w:pPr>
      <w:r w:rsidRPr="001205DB">
        <w:rPr>
          <w:rFonts w:eastAsia="Times New Roman"/>
          <w:noProof/>
        </w:rPr>
        <w:sym w:font="Wingdings" w:char="F0FE"/>
      </w:r>
      <w:r w:rsidRPr="001205DB">
        <w:t xml:space="preserve"> ko veic tās struktūrvienības, tostarp personāls Savienības delegācijās; </w:t>
      </w:r>
    </w:p>
    <w:p w:rsidR="00FB0A0F" w:rsidRPr="001205DB" w:rsidRDefault="00FB0A0F" w:rsidP="00FB0A0F">
      <w:pPr>
        <w:tabs>
          <w:tab w:val="num" w:pos="1134"/>
        </w:tabs>
        <w:ind w:left="1134" w:hanging="283"/>
        <w:rPr>
          <w:rFonts w:eastAsia="Times New Roman"/>
          <w:noProof/>
        </w:rPr>
      </w:pPr>
      <w:r w:rsidRPr="001205DB">
        <w:rPr>
          <w:rFonts w:eastAsia="Times New Roman"/>
          <w:noProof/>
        </w:rPr>
        <w:sym w:font="Wingdings" w:char="F0FE"/>
      </w:r>
      <w:r w:rsidRPr="001205DB">
        <w:tab/>
        <w:t xml:space="preserve">ko veic </w:t>
      </w:r>
      <w:proofErr w:type="spellStart"/>
      <w:r w:rsidRPr="001205DB">
        <w:t>izpildaģentūras</w:t>
      </w:r>
      <w:proofErr w:type="spellEnd"/>
      <w:r w:rsidRPr="001205DB">
        <w:t xml:space="preserve">. </w:t>
      </w:r>
    </w:p>
    <w:p w:rsidR="00FB0A0F" w:rsidRPr="001205DB" w:rsidRDefault="00FB0A0F" w:rsidP="00FB0A0F">
      <w:pPr>
        <w:ind w:left="850"/>
        <w:rPr>
          <w:rFonts w:eastAsia="Times New Roman"/>
          <w:noProof/>
        </w:rPr>
      </w:pPr>
      <w:r w:rsidRPr="001205DB">
        <w:rPr>
          <w:rFonts w:eastAsia="Times New Roman"/>
          <w:noProof/>
        </w:rPr>
        <w:sym w:font="Wingdings" w:char="F0A8"/>
      </w:r>
      <w:r w:rsidRPr="001205DB">
        <w:rPr>
          <w:b/>
          <w:i/>
          <w:noProof/>
        </w:rPr>
        <w:t xml:space="preserve"> </w:t>
      </w:r>
      <w:r w:rsidRPr="001205DB">
        <w:rPr>
          <w:b/>
        </w:rPr>
        <w:t>Dalīta pārvaldība</w:t>
      </w:r>
      <w:r w:rsidRPr="001205DB">
        <w:t xml:space="preserve"> kopā ar dalībvalstīm </w:t>
      </w:r>
    </w:p>
    <w:p w:rsidR="00FB0A0F" w:rsidRPr="001205DB" w:rsidRDefault="00FB0A0F" w:rsidP="00FB0A0F">
      <w:pPr>
        <w:ind w:left="850"/>
        <w:rPr>
          <w:rFonts w:eastAsia="Times New Roman"/>
          <w:noProof/>
        </w:rPr>
      </w:pPr>
      <w:r w:rsidRPr="001205DB">
        <w:rPr>
          <w:rFonts w:eastAsia="Times New Roman"/>
          <w:noProof/>
        </w:rPr>
        <w:sym w:font="Wingdings" w:char="F0FE"/>
      </w:r>
      <w:r w:rsidRPr="001205DB">
        <w:t xml:space="preserve"> </w:t>
      </w:r>
      <w:r w:rsidRPr="001205DB">
        <w:rPr>
          <w:b/>
        </w:rPr>
        <w:t>Netieša pārvaldība</w:t>
      </w:r>
      <w:r w:rsidRPr="001205DB">
        <w:t>, kurā budžeta īstenošanas uzdevumi uzticēti:</w:t>
      </w:r>
    </w:p>
    <w:p w:rsidR="00FB0A0F" w:rsidRPr="001205DB" w:rsidRDefault="00FB0A0F" w:rsidP="00FB0A0F">
      <w:pPr>
        <w:tabs>
          <w:tab w:val="num" w:pos="1134"/>
        </w:tabs>
        <w:ind w:left="1134" w:hanging="283"/>
        <w:rPr>
          <w:rFonts w:eastAsia="Times New Roman"/>
          <w:noProof/>
        </w:rPr>
      </w:pPr>
      <w:r w:rsidRPr="001205DB">
        <w:rPr>
          <w:rFonts w:eastAsia="Times New Roman"/>
          <w:noProof/>
        </w:rPr>
        <w:sym w:font="Wingdings" w:char="F0FE"/>
      </w:r>
      <w:r w:rsidRPr="001205DB">
        <w:t xml:space="preserve"> </w:t>
      </w:r>
      <w:proofErr w:type="spellStart"/>
      <w:r w:rsidRPr="001205DB">
        <w:t>trešām</w:t>
      </w:r>
      <w:proofErr w:type="spellEnd"/>
      <w:r w:rsidRPr="001205DB">
        <w:t xml:space="preserve"> valstīm vai to izraudzītām struktūrām;</w:t>
      </w:r>
    </w:p>
    <w:p w:rsidR="00FB0A0F" w:rsidRPr="001205DB" w:rsidRDefault="00FB0A0F" w:rsidP="00FB0A0F">
      <w:pPr>
        <w:tabs>
          <w:tab w:val="num" w:pos="1134"/>
        </w:tabs>
        <w:ind w:left="1134" w:hanging="283"/>
        <w:rPr>
          <w:rFonts w:eastAsia="Times New Roman"/>
          <w:noProof/>
        </w:rPr>
      </w:pPr>
      <w:r w:rsidRPr="001205DB">
        <w:rPr>
          <w:rFonts w:eastAsia="Times New Roman"/>
          <w:noProof/>
        </w:rPr>
        <w:sym w:font="Wingdings" w:char="F0FE"/>
      </w:r>
      <w:r w:rsidRPr="001205DB">
        <w:t xml:space="preserve"> starptautiskām organizācijām un to aģentūrām (precizēt);</w:t>
      </w:r>
    </w:p>
    <w:p w:rsidR="00FB0A0F" w:rsidRPr="001205DB" w:rsidRDefault="00FB0A0F" w:rsidP="00FB0A0F">
      <w:pPr>
        <w:tabs>
          <w:tab w:val="num" w:pos="1134"/>
        </w:tabs>
        <w:ind w:left="1134" w:hanging="283"/>
        <w:rPr>
          <w:rFonts w:eastAsia="Times New Roman"/>
          <w:noProof/>
        </w:rPr>
      </w:pPr>
      <w:r w:rsidRPr="001205DB">
        <w:rPr>
          <w:rFonts w:eastAsia="Times New Roman"/>
          <w:noProof/>
        </w:rPr>
        <w:sym w:font="Wingdings" w:char="F0FE"/>
      </w:r>
      <w:r w:rsidRPr="001205DB">
        <w:t xml:space="preserve"> EIB un Eiropas Investīciju fondam;</w:t>
      </w:r>
    </w:p>
    <w:p w:rsidR="00FB0A0F" w:rsidRPr="001205DB" w:rsidRDefault="00FB0A0F" w:rsidP="00FB0A0F">
      <w:pPr>
        <w:tabs>
          <w:tab w:val="num" w:pos="1134"/>
        </w:tabs>
        <w:ind w:left="1134" w:hanging="283"/>
        <w:rPr>
          <w:rFonts w:eastAsia="Times New Roman"/>
          <w:noProof/>
        </w:rPr>
      </w:pPr>
      <w:r w:rsidRPr="001205DB">
        <w:rPr>
          <w:rFonts w:eastAsia="Times New Roman"/>
          <w:noProof/>
        </w:rPr>
        <w:sym w:font="Wingdings" w:char="F0FE"/>
      </w:r>
      <w:r w:rsidRPr="001205DB">
        <w:t xml:space="preserve"> Finanšu regulas 70. un 71. pantā minētajām struktūrām;</w:t>
      </w:r>
    </w:p>
    <w:p w:rsidR="00FB0A0F" w:rsidRPr="001205DB" w:rsidRDefault="00FB0A0F" w:rsidP="00FB0A0F">
      <w:pPr>
        <w:tabs>
          <w:tab w:val="num" w:pos="1134"/>
        </w:tabs>
        <w:ind w:left="1134" w:hanging="283"/>
        <w:rPr>
          <w:rFonts w:eastAsia="Times New Roman"/>
          <w:noProof/>
        </w:rPr>
      </w:pPr>
      <w:r w:rsidRPr="001205DB">
        <w:rPr>
          <w:rFonts w:eastAsia="Times New Roman"/>
          <w:noProof/>
        </w:rPr>
        <w:sym w:font="Wingdings" w:char="F0FE"/>
      </w:r>
      <w:r w:rsidRPr="001205DB">
        <w:t xml:space="preserve"> publisko tiesību subjektiem;</w:t>
      </w:r>
    </w:p>
    <w:p w:rsidR="00FB0A0F" w:rsidRPr="001205DB" w:rsidRDefault="00FB0A0F" w:rsidP="00FB0A0F">
      <w:pPr>
        <w:tabs>
          <w:tab w:val="num" w:pos="1134"/>
        </w:tabs>
        <w:ind w:left="1134" w:hanging="283"/>
        <w:rPr>
          <w:rFonts w:eastAsia="Times New Roman"/>
          <w:noProof/>
        </w:rPr>
      </w:pPr>
      <w:r w:rsidRPr="001205DB">
        <w:rPr>
          <w:rFonts w:eastAsia="Times New Roman"/>
          <w:noProof/>
        </w:rPr>
        <w:sym w:font="Wingdings" w:char="F0FE"/>
      </w:r>
      <w:r w:rsidRPr="001205DB">
        <w:t xml:space="preserve"> privāttiesību subjektiem, kas veic valsts pārvaldes uzdevumus, ja tie sniedz pienācīgas finanšu garantijas;</w:t>
      </w:r>
    </w:p>
    <w:p w:rsidR="00FB0A0F" w:rsidRPr="001205DB" w:rsidRDefault="00FB0A0F" w:rsidP="00FB0A0F">
      <w:pPr>
        <w:tabs>
          <w:tab w:val="num" w:pos="1134"/>
        </w:tabs>
        <w:ind w:left="1134" w:hanging="283"/>
        <w:rPr>
          <w:rFonts w:eastAsia="Times New Roman"/>
          <w:noProof/>
        </w:rPr>
      </w:pPr>
      <w:r w:rsidRPr="001205DB">
        <w:rPr>
          <w:rFonts w:eastAsia="Times New Roman"/>
          <w:noProof/>
        </w:rPr>
        <w:sym w:font="Wingdings" w:char="F0FE"/>
      </w:r>
      <w:r w:rsidRPr="001205DB">
        <w:t xml:space="preserve"> struktūrām, kuru darbību reglamentē dalībvalsts privāttiesības, kurām ir uzticēta publiskā un privātā sektora partnerības īstenošana un kuras sniedz pienācīgas finanšu garantijas;</w:t>
      </w:r>
    </w:p>
    <w:p w:rsidR="00FB0A0F" w:rsidRPr="001205DB" w:rsidRDefault="00FB0A0F" w:rsidP="00FB0A0F">
      <w:pPr>
        <w:tabs>
          <w:tab w:val="num" w:pos="1134"/>
        </w:tabs>
        <w:ind w:left="1134" w:hanging="283"/>
        <w:rPr>
          <w:rFonts w:eastAsia="Times New Roman"/>
          <w:noProof/>
        </w:rPr>
      </w:pPr>
      <w:r w:rsidRPr="001205DB">
        <w:rPr>
          <w:rFonts w:eastAsia="Times New Roman"/>
          <w:noProof/>
        </w:rPr>
        <w:sym w:font="Wingdings" w:char="F0A8"/>
      </w:r>
      <w:r w:rsidRPr="001205DB">
        <w:t xml:space="preserve"> personām, kurām ir uzticēts veikt īpašas darbības KĀDP jomā, kāda tā paredzēta Līguma par Eiropas Savienību V sadaļā, un kuras ir noteiktas attiecīgā </w:t>
      </w:r>
      <w:proofErr w:type="spellStart"/>
      <w:r w:rsidRPr="001205DB">
        <w:t>pamataktā</w:t>
      </w:r>
      <w:proofErr w:type="spellEnd"/>
      <w:r w:rsidRPr="001205DB">
        <w:t>.</w:t>
      </w:r>
    </w:p>
    <w:p w:rsidR="00FB0A0F" w:rsidRPr="001205DB" w:rsidRDefault="00FB0A0F" w:rsidP="00FB0A0F">
      <w:pPr>
        <w:tabs>
          <w:tab w:val="num" w:pos="1134"/>
        </w:tabs>
        <w:ind w:left="1134" w:hanging="283"/>
        <w:rPr>
          <w:rFonts w:eastAsia="Times New Roman"/>
          <w:i/>
          <w:noProof/>
          <w:sz w:val="18"/>
          <w:u w:val="single"/>
        </w:rPr>
      </w:pPr>
      <w:r w:rsidRPr="001205DB">
        <w:rPr>
          <w:i/>
          <w:noProof/>
          <w:sz w:val="18"/>
        </w:rPr>
        <w:t>Ja norādīti vairāki pārvaldības veidi, iedaļā “Piezīmes” sniedziet papildu informāciju.</w:t>
      </w:r>
    </w:p>
    <w:p w:rsidR="00FB0A0F" w:rsidRPr="001205DB" w:rsidRDefault="00FB0A0F" w:rsidP="00FB0A0F">
      <w:pPr>
        <w:rPr>
          <w:rFonts w:eastAsia="Times New Roman"/>
          <w:noProof/>
        </w:rPr>
      </w:pPr>
      <w:r w:rsidRPr="001205DB">
        <w:t>Piezīmes</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Programmas īstenošanu var deleģēt </w:t>
      </w:r>
      <w:proofErr w:type="spellStart"/>
      <w:r w:rsidRPr="001205DB">
        <w:t>izpildaģentūrai</w:t>
      </w:r>
      <w:proofErr w:type="spellEnd"/>
      <w:r w:rsidRPr="001205DB">
        <w:t xml:space="preserve"> atkarībā no izmaksu un ieguvumu analīzes secinājumiem un saistītajiem pieņemamajiem lēmumiem.</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r w:rsidRPr="001205DB">
        <w:t xml:space="preserve">Netiešu pārvaldību varētu izmantot uz </w:t>
      </w:r>
      <w:proofErr w:type="spellStart"/>
      <w:r w:rsidRPr="001205DB">
        <w:rPr>
          <w:i/>
        </w:rPr>
        <w:t>ad</w:t>
      </w:r>
      <w:proofErr w:type="spellEnd"/>
      <w:r w:rsidRPr="001205DB">
        <w:rPr>
          <w:i/>
        </w:rPr>
        <w:t xml:space="preserve"> </w:t>
      </w:r>
      <w:proofErr w:type="spellStart"/>
      <w:r w:rsidRPr="001205DB">
        <w:rPr>
          <w:i/>
        </w:rPr>
        <w:t>hoc</w:t>
      </w:r>
      <w:proofErr w:type="spellEnd"/>
      <w:r w:rsidRPr="001205DB">
        <w:t xml:space="preserve"> pamata un ierobežotai programmas finansējuma daļai, uzticot budžeta izpildes uzdevumus starptautiskām organizācijām, Eiropas Investīciju </w:t>
      </w:r>
      <w:r w:rsidRPr="001205DB">
        <w:lastRenderedPageBreak/>
        <w:t>bankai vai Eiropas Investīciju fondam, vai citām organizācijām. Tas būs atkarīgs no attiecīgo uzdevumu rakstura.</w:t>
      </w: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pPr>
    </w:p>
    <w:p w:rsidR="00FB0A0F" w:rsidRPr="001205DB" w:rsidRDefault="00FB0A0F" w:rsidP="00FB0A0F">
      <w:pPr>
        <w:pBdr>
          <w:top w:val="single" w:sz="4" w:space="1" w:color="auto"/>
          <w:left w:val="single" w:sz="4" w:space="4" w:color="auto"/>
          <w:bottom w:val="single" w:sz="4" w:space="1" w:color="auto"/>
          <w:right w:val="single" w:sz="4" w:space="4" w:color="auto"/>
        </w:pBdr>
        <w:rPr>
          <w:rFonts w:eastAsia="Times New Roman"/>
          <w:noProof/>
        </w:rPr>
        <w:sectPr w:rsidR="00FB0A0F" w:rsidRPr="001205DB" w:rsidSect="00FE5A09">
          <w:pgSz w:w="11907" w:h="16840" w:code="9"/>
          <w:pgMar w:top="1134" w:right="1418" w:bottom="1134" w:left="1418" w:header="709" w:footer="709" w:gutter="0"/>
          <w:cols w:space="708"/>
          <w:docGrid w:linePitch="360"/>
        </w:sectPr>
      </w:pPr>
    </w:p>
    <w:p w:rsidR="00FB0A0F" w:rsidRPr="001205DB" w:rsidRDefault="00FB0A0F" w:rsidP="00FB0A0F">
      <w:pPr>
        <w:pStyle w:val="Heading1"/>
        <w:rPr>
          <w:noProof/>
          <w:szCs w:val="24"/>
        </w:rPr>
      </w:pPr>
      <w:r w:rsidRPr="001205DB">
        <w:lastRenderedPageBreak/>
        <w:t xml:space="preserve">PĀRVALDĪBAS PASĀKUMI </w:t>
      </w:r>
    </w:p>
    <w:p w:rsidR="00FB0A0F" w:rsidRPr="001205DB" w:rsidRDefault="00FB0A0F" w:rsidP="00FB0A0F">
      <w:pPr>
        <w:pStyle w:val="Heading2"/>
        <w:rPr>
          <w:noProof/>
        </w:rPr>
      </w:pPr>
      <w:r w:rsidRPr="001205DB">
        <w:t xml:space="preserve">Uzraudzības un ziņošanas noteikumi </w:t>
      </w:r>
    </w:p>
    <w:p w:rsidR="00FB0A0F" w:rsidRPr="001205DB" w:rsidRDefault="00FB0A0F" w:rsidP="00FB0A0F">
      <w:pPr>
        <w:ind w:left="850"/>
        <w:rPr>
          <w:rFonts w:eastAsia="Times New Roman"/>
          <w:i/>
          <w:noProof/>
          <w:sz w:val="20"/>
          <w:u w:val="single"/>
        </w:rPr>
      </w:pPr>
      <w:r w:rsidRPr="001205DB">
        <w:rPr>
          <w:i/>
          <w:noProof/>
          <w:sz w:val="20"/>
        </w:rPr>
        <w:t>Norādīt periodiskumu un nosacījumus</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proofErr w:type="spellStart"/>
      <w:r w:rsidRPr="001205DB">
        <w:t>Vidusposma</w:t>
      </w:r>
      <w:proofErr w:type="spellEnd"/>
      <w:r w:rsidRPr="001205DB">
        <w:t xml:space="preserve"> novērtējumā pašreizējā uzraudzība ir atzīta par lielākoties lietderīgu un efektīvu.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Attiecībā uz līdzekļu izmantošanu projektos rezultāti, kas iegūti </w:t>
      </w:r>
      <w:r w:rsidRPr="001205DB">
        <w:rPr>
          <w:i/>
        </w:rPr>
        <w:t xml:space="preserve">LIFE+ </w:t>
      </w:r>
      <w:proofErr w:type="spellStart"/>
      <w:r w:rsidRPr="001205DB">
        <w:rPr>
          <w:i/>
        </w:rPr>
        <w:t>ex</w:t>
      </w:r>
      <w:proofErr w:type="spellEnd"/>
      <w:r w:rsidRPr="001205DB">
        <w:rPr>
          <w:i/>
        </w:rPr>
        <w:t xml:space="preserve"> post</w:t>
      </w:r>
      <w:r w:rsidRPr="001205DB">
        <w:t xml:space="preserve"> kontroles pasākumos un </w:t>
      </w:r>
      <w:r w:rsidRPr="001205DB">
        <w:rPr>
          <w:i/>
        </w:rPr>
        <w:t>LIFE</w:t>
      </w:r>
      <w:r w:rsidRPr="001205DB">
        <w:t xml:space="preserve"> projektu klātienes uzraudzībā, liecina, ka ļoti liels projektu īpatsvars sniedz labus rezultātus un programmas kļūdu īpatsvars, proti, riskam pakļautā summa, ir krietni zem 2 % būtiskuma </w:t>
      </w:r>
      <w:proofErr w:type="spellStart"/>
      <w:r w:rsidRPr="001205DB">
        <w:t>sliekšņvērtības</w:t>
      </w:r>
      <w:proofErr w:type="spellEnd"/>
      <w:r w:rsidRPr="001205DB">
        <w:t xml:space="preserve"> un samazinās: 2012. gadā tā bija 2,27 EUR uz katriem iztērētajiem 100 EUR, samazinājās līdz 1,24 EUR 2015. gadā, bet vēl līdz 0,44 EUR 2016. gadā un līdz 0,25 EUR 2017. gadā — zemākajam visu Savienības programmu vidū.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Programmas uzraudzība ir balstīta uz iepriekšējās programmās gūtajām atziņām un tiek veikta:</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1) projekta līmenī un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2) programmas līmenī.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1. Visos priekšlikumos ir jānorāda paredzamie rezultāti, kas izteikti kā iznākums projekta līmenī. Šos iznākumus nosaka atbilstoši iepriekš noteiktu galveno snieguma rādītāju kopai. Projektiem šos rādītājus apstiprina uzraudzības grupa un projekta koordinators, un tie ir pamats projekta īstenošanas gaitas uzraudzībai. Tie ir regulāri jāatjaunina, un sagaidāmās vērtības salīdzina ar reālajām vērtībām </w:t>
      </w:r>
      <w:proofErr w:type="spellStart"/>
      <w:r w:rsidRPr="001205DB">
        <w:t>vidusposma</w:t>
      </w:r>
      <w:proofErr w:type="spellEnd"/>
      <w:r w:rsidRPr="001205DB">
        <w:t xml:space="preserve"> un galīgajos ziņojumos.</w:t>
      </w:r>
    </w:p>
    <w:p w:rsidR="00FB0A0F" w:rsidRPr="001205DB" w:rsidRDefault="00A95390"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Vides, dabas un bioloģiskās daudzveidības, kā arī klimata pasākumu projektu uzraudzības apmeklējumi ir paredzēti vismaz reizi gadā, un katru projektu vismaz vienu reizi apmeklē Komisijas darbinieki. Saņēmējam tiek sniegtas atsauksmes snieguma uzlabošanai. Katra projekta sākumā tiek izveidota uzraudzības lieta — īss ziņojums, kurā ir projekta apraksts un kopsavilkums par darbībām un paredzamo izlaidi un rezultātiem. Uzraudzības grupas ikgadējie apmeklējumi nodrošina projekta īstenošanas pārskatu, problēmu savlaicīgu atklāšanu un tūlītēju risināšanu. Tas veicina augstu projekta sekmīguma līmeni un mazu programmas kļūdu īpatsvaru.</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Kopā ar galīgo ziņojumu katram projektam ir jāiesniedz plāns darbībai pēc </w:t>
      </w:r>
      <w:r w:rsidRPr="001205DB">
        <w:rPr>
          <w:i/>
        </w:rPr>
        <w:t>LIFE</w:t>
      </w:r>
      <w:r w:rsidRPr="001205DB">
        <w:t xml:space="preserve"> finansējuma beigām, cita starpā iekļaujot sarakstu ar sagaidāmo ietekmi, kas ir pamats projekta rezultātu ilgtspējas novērtēšanai. Turpināsies pašreizējā prakse — atlasītu projektu </w:t>
      </w:r>
      <w:proofErr w:type="spellStart"/>
      <w:r w:rsidRPr="001205DB">
        <w:rPr>
          <w:i/>
        </w:rPr>
        <w:t>ex</w:t>
      </w:r>
      <w:proofErr w:type="spellEnd"/>
      <w:r w:rsidRPr="001205DB">
        <w:rPr>
          <w:i/>
        </w:rPr>
        <w:t xml:space="preserve"> post</w:t>
      </w:r>
      <w:r w:rsidRPr="001205DB">
        <w:t xml:space="preserve"> uzraudzības apmeklējumi. Tie sniegs informāciju par projektu atkārtojamību pēc viena gada un palīdzēs novērtēt programmas katalītisko ietekmi.</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2. Programmas līmenī daudzgadu darba programmas nosaka konkrētas tematiskās prioritātes visam to norises laikam, kā arī konkrētus </w:t>
      </w:r>
      <w:proofErr w:type="spellStart"/>
      <w:r w:rsidRPr="001205DB">
        <w:t>mērķrādītājus</w:t>
      </w:r>
      <w:proofErr w:type="spellEnd"/>
      <w:r w:rsidRPr="001205DB">
        <w:t xml:space="preserve">, arī paredzamo izlaidi (t. i., paredzamais stratēģisko integrēto projektu skaits, </w:t>
      </w:r>
      <w:r w:rsidRPr="001205DB">
        <w:rPr>
          <w:i/>
        </w:rPr>
        <w:t>LIFE</w:t>
      </w:r>
      <w:r w:rsidRPr="001205DB">
        <w:t xml:space="preserve"> projektu aptvertās </w:t>
      </w:r>
      <w:proofErr w:type="spellStart"/>
      <w:r w:rsidRPr="001205DB">
        <w:rPr>
          <w:i/>
        </w:rPr>
        <w:t>Natura</w:t>
      </w:r>
      <w:proofErr w:type="spellEnd"/>
      <w:r w:rsidRPr="001205DB">
        <w:rPr>
          <w:i/>
        </w:rPr>
        <w:t xml:space="preserve"> 2000</w:t>
      </w:r>
      <w:r w:rsidRPr="001205DB">
        <w:t xml:space="preserve"> teritorijas, </w:t>
      </w:r>
      <w:r w:rsidRPr="001205DB">
        <w:rPr>
          <w:i/>
        </w:rPr>
        <w:t>LIFE</w:t>
      </w:r>
      <w:r w:rsidRPr="001205DB">
        <w:t xml:space="preserve"> projektu aptvertie upes baseinu apgabali). Katra gada priekšlikumu iesniegšanas uzaicinājuma beigās Komisija analizē, vai konkrētajā rīcības jomā ir bijis finansēts pietiekams skaits projektu, un vajadzības gadījumā veiks korekcijas, lai sasniegtu </w:t>
      </w:r>
      <w:proofErr w:type="spellStart"/>
      <w:r w:rsidRPr="001205DB">
        <w:t>vidusposma</w:t>
      </w:r>
      <w:proofErr w:type="spellEnd"/>
      <w:r w:rsidRPr="001205DB">
        <w:t xml:space="preserve"> mērķus.</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Informācija par galvenajiem sasniegumiem konkrētu prioritāšu īstenošanā tiek sniegta kopu sanāksmēs un apkopota tematiskajos ziņojumos. Tas ir viens no </w:t>
      </w:r>
      <w:r w:rsidRPr="001205DB">
        <w:lastRenderedPageBreak/>
        <w:t xml:space="preserve">instrumentiem, kas tiek izmantoti, lai izplatītu rezultātus un atbalstītu </w:t>
      </w:r>
      <w:proofErr w:type="spellStart"/>
      <w:r w:rsidRPr="001205DB">
        <w:t>rīcībpolitikas</w:t>
      </w:r>
      <w:proofErr w:type="spellEnd"/>
      <w:r w:rsidRPr="001205DB">
        <w:t xml:space="preserve"> izstrādi un īstenošanu.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Īpaši grūti ir novērtēt programmas katalītisko ietekmi, ņemot vērā finansēto iniciatīvu dažādību un to, ka projektu katalītiskās ietekmes rašanās galvenokārt ir sagaidāma ilgtermiņā pēc tam, kad projekts ir beidzies. Tāpēc ir jāpanāk līdzsvars starp nepieciešamību iegūt sīkus un relevantus datus un saistītajām izmaksām un administratīvo slogu labuma guvējam.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Tādējādi kopā ar projekta līmenī savāktajiem datiem tiks izmantoti tālāk norādītie informācijas avoti.</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1.</w:t>
      </w:r>
      <w:r w:rsidRPr="001205DB">
        <w:tab/>
        <w:t>Balstoties uz instrumentiem, kas ir neatkarīgi no paša projekta (</w:t>
      </w:r>
      <w:proofErr w:type="spellStart"/>
      <w:r w:rsidRPr="001205DB">
        <w:t>piem</w:t>
      </w:r>
      <w:proofErr w:type="spellEnd"/>
      <w:r w:rsidRPr="001205DB">
        <w:t>., reģionālie dati par gaisa kvalitāti vai dati no uzņēmumu reģistra), tiks novērtēta projekta rezultātu izlase. Šie projekti tiks sistemātiski identificēti.</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2.</w:t>
      </w:r>
      <w:r w:rsidRPr="001205DB">
        <w:tab/>
        <w:t xml:space="preserve">Labuma guvēju brīvprātīgi sniegtie dati par jau pabeigtiem projektiem tiks pārbaudīti izlases veidā un </w:t>
      </w:r>
      <w:proofErr w:type="spellStart"/>
      <w:r w:rsidRPr="001205DB">
        <w:rPr>
          <w:i/>
        </w:rPr>
        <w:t>ex</w:t>
      </w:r>
      <w:proofErr w:type="spellEnd"/>
      <w:r w:rsidRPr="001205DB">
        <w:rPr>
          <w:i/>
        </w:rPr>
        <w:t xml:space="preserve"> post</w:t>
      </w:r>
      <w:r w:rsidRPr="001205DB">
        <w:t xml:space="preserve"> misijās.</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3. </w:t>
      </w:r>
      <w:r w:rsidRPr="001205DB">
        <w:tab/>
        <w:t>Tiks sistemātiski vākti dati par projektu mobilizēto un/vai koordinēto finanšu resursu kopējo summu.</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4.</w:t>
      </w:r>
      <w:r w:rsidRPr="001205DB">
        <w:tab/>
        <w:t xml:space="preserve">Tiks veiktas galveno </w:t>
      </w:r>
      <w:proofErr w:type="spellStart"/>
      <w:r w:rsidRPr="001205DB">
        <w:t>aktoru</w:t>
      </w:r>
      <w:proofErr w:type="spellEnd"/>
      <w:r w:rsidRPr="001205DB">
        <w:t xml:space="preserve"> aptaujas valsts un Savienības līmenī.</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Tādā veidā ar datu vākšanu saistītais slogs tiks pārnests no labuma guvējiem uz uzraudzītājiem (uzraudzības grupu, ārējiem uzraudzītājiem, </w:t>
      </w:r>
      <w:r w:rsidRPr="001205DB">
        <w:rPr>
          <w:i/>
        </w:rPr>
        <w:t>EASME</w:t>
      </w:r>
      <w:r w:rsidRPr="001205DB">
        <w:t xml:space="preserve"> un Komisiju).</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Programmas </w:t>
      </w:r>
      <w:proofErr w:type="spellStart"/>
      <w:r w:rsidRPr="001205DB">
        <w:t>vidusposma</w:t>
      </w:r>
      <w:proofErr w:type="spellEnd"/>
      <w:r w:rsidRPr="001205DB">
        <w:t xml:space="preserve"> novērtējums un </w:t>
      </w:r>
      <w:proofErr w:type="spellStart"/>
      <w:r w:rsidRPr="001205DB">
        <w:rPr>
          <w:i/>
        </w:rPr>
        <w:t>ex</w:t>
      </w:r>
      <w:proofErr w:type="spellEnd"/>
      <w:r w:rsidRPr="001205DB">
        <w:rPr>
          <w:i/>
        </w:rPr>
        <w:t xml:space="preserve"> post</w:t>
      </w:r>
      <w:r w:rsidRPr="001205DB">
        <w:t xml:space="preserve"> novērtējums tiks veikts attiecīgi 2024.  un 2027. gadā. Kā noteikts ietekmes novērtējumā, šie novērtējumi, ņemot vērā projekta vidējo ilgumu, sniegs pārskatu par pašreizējo programmu, un tos papildinās programmas </w:t>
      </w:r>
      <w:r w:rsidRPr="001205DB">
        <w:rPr>
          <w:i/>
        </w:rPr>
        <w:t>LIFE</w:t>
      </w:r>
      <w:r w:rsidRPr="001205DB">
        <w:t xml:space="preserve"> 2014.–2020. gadam izpildes un programmas </w:t>
      </w:r>
      <w:r w:rsidRPr="001205DB">
        <w:rPr>
          <w:i/>
        </w:rPr>
        <w:t>LIFE+</w:t>
      </w:r>
      <w:r w:rsidRPr="001205DB">
        <w:t xml:space="preserve"> snieguma analīze.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Lai sniegtu pierādījumus par </w:t>
      </w:r>
      <w:proofErr w:type="spellStart"/>
      <w:r w:rsidRPr="001205DB">
        <w:t>blakusieguvumiem</w:t>
      </w:r>
      <w:proofErr w:type="spellEnd"/>
      <w:r w:rsidRPr="001205DB">
        <w:t xml:space="preserve">, ko programma var radīt konkrētām prioritātēm, piemēram, pasākumiem klimata un bioloģiskās daudzveidības jomā, un labāk ilustrētu izdevumu līmeni, kas šīm prioritātēm pieejams visā programmas darbības laikā, uzraudzības satvars ietver metodiku daudzgadu finanšu shēmas paziņojumā definēto ar klimatu un bioloģisko daudzveidību saistīto izdevumu izsekošanai.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Tas ļaus katru gadu identificēt izdevumus, kas programmā </w:t>
      </w:r>
      <w:r w:rsidRPr="001205DB">
        <w:rPr>
          <w:i/>
        </w:rPr>
        <w:t>LIFE</w:t>
      </w:r>
      <w:r w:rsidRPr="001205DB">
        <w:t xml:space="preserve"> saistīti ar šīm divām prioritātēm.</w:t>
      </w:r>
    </w:p>
    <w:p w:rsidR="00FB0A0F" w:rsidRPr="001205DB" w:rsidRDefault="00FB0A0F" w:rsidP="00FB0A0F">
      <w:pPr>
        <w:pStyle w:val="Heading2"/>
        <w:rPr>
          <w:noProof/>
          <w:szCs w:val="24"/>
        </w:rPr>
      </w:pPr>
      <w:r w:rsidRPr="001205DB">
        <w:t xml:space="preserve">Pārvaldības un kontroles sistēma </w:t>
      </w:r>
    </w:p>
    <w:p w:rsidR="00FB0A0F" w:rsidRPr="001205DB" w:rsidRDefault="00FB0A0F" w:rsidP="00FB0A0F">
      <w:pPr>
        <w:pStyle w:val="Heading3"/>
        <w:rPr>
          <w:noProof/>
        </w:rPr>
      </w:pPr>
      <w:r w:rsidRPr="001205DB">
        <w:t>Ierosinātā(-o) pārvaldības veida(-u), finansējuma apgūšanas mehānisma, maksāšanas kārtības un kontroles stratēģijas pamatojums</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Programmas </w:t>
      </w:r>
      <w:r w:rsidRPr="001205DB">
        <w:rPr>
          <w:i/>
        </w:rPr>
        <w:t>LIFE</w:t>
      </w:r>
      <w:r w:rsidRPr="001205DB">
        <w:t xml:space="preserve"> pārvaldības veids ir centrāla tieša pārvaldība, ko īsteno Komisija un kas var tikt daļēji deleģēta esošai </w:t>
      </w:r>
      <w:proofErr w:type="spellStart"/>
      <w:r w:rsidRPr="001205DB">
        <w:t>izpildaģentūrai</w:t>
      </w:r>
      <w:proofErr w:type="spellEnd"/>
      <w:r w:rsidRPr="001205DB">
        <w:t xml:space="preserve">. Dažreiz specifiskām </w:t>
      </w:r>
      <w:proofErr w:type="spellStart"/>
      <w:r w:rsidRPr="001205DB">
        <w:rPr>
          <w:i/>
        </w:rPr>
        <w:t>ad</w:t>
      </w:r>
      <w:proofErr w:type="spellEnd"/>
      <w:r w:rsidRPr="001205DB">
        <w:rPr>
          <w:i/>
        </w:rPr>
        <w:t xml:space="preserve"> </w:t>
      </w:r>
      <w:proofErr w:type="spellStart"/>
      <w:r w:rsidRPr="001205DB">
        <w:rPr>
          <w:i/>
        </w:rPr>
        <w:t>hoc</w:t>
      </w:r>
      <w:proofErr w:type="spellEnd"/>
      <w:r w:rsidRPr="001205DB">
        <w:t xml:space="preserve"> darbībām var būt paredzēta netieša pārvaldība.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Komisijai palīdzēs ekspertu grupa ar dalībvalstu pārstāvjiem.</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Iekšējās kontroles sistēma ir balstīta uz pieredzē gūtajām atziņām. Tās galvenie elementi, kas attiecas uz visiem finanšu darījumiem (dotācijām, iepirkumiem un godalgām), ir: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lastRenderedPageBreak/>
        <w:t>–</w:t>
      </w:r>
      <w:r w:rsidRPr="001205DB">
        <w:tab/>
        <w:t xml:space="preserve">finanšu plūsmas, kas balstās uz katra darījuma </w:t>
      </w:r>
      <w:proofErr w:type="spellStart"/>
      <w:r w:rsidRPr="001205DB">
        <w:rPr>
          <w:i/>
        </w:rPr>
        <w:t>ex</w:t>
      </w:r>
      <w:proofErr w:type="spellEnd"/>
      <w:r w:rsidRPr="001205DB">
        <w:rPr>
          <w:i/>
        </w:rPr>
        <w:t xml:space="preserve"> </w:t>
      </w:r>
      <w:proofErr w:type="spellStart"/>
      <w:r w:rsidRPr="001205DB">
        <w:rPr>
          <w:i/>
        </w:rPr>
        <w:t>ante</w:t>
      </w:r>
      <w:proofErr w:type="spellEnd"/>
      <w:r w:rsidRPr="001205DB">
        <w:t xml:space="preserve"> kontroli un dažu darījumu īpašu kontroli;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t xml:space="preserve">pieteikumu iesniedzēju/pretendentu finansiālās un tehniskās spējas kontrole, kas veikta pirms piešķiršanas;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t>pārvaldības un snieguma ikgadējie ziņojumi, kā arī citi ziņojumi par uzskaites, finanšu un darbības pārvaldību.</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Iepriekš noteiktam projektu skaitam, kas atlasīti uz riska pamata (lai konstatētu un labotu kļūdas) vai uz reprezentatīvas izlases pamata (lai kredītrīkotājam nodrošinātu pietiekamu pārliecību par darījumu likumību un pareizību), veic </w:t>
      </w:r>
      <w:proofErr w:type="spellStart"/>
      <w:r w:rsidRPr="001205DB">
        <w:rPr>
          <w:i/>
        </w:rPr>
        <w:t>ex</w:t>
      </w:r>
      <w:proofErr w:type="spellEnd"/>
      <w:r w:rsidRPr="001205DB">
        <w:rPr>
          <w:i/>
        </w:rPr>
        <w:t xml:space="preserve"> post</w:t>
      </w:r>
      <w:r w:rsidRPr="001205DB">
        <w:t xml:space="preserve"> revīzijas uz vietas.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Kontroles stratēģijā ņem vērā ieteikumus, kas izriet no programmas izvērtējumiem, iekšējā revidenta ziņojumiem un Revīzijas palātas īpašajiem ziņojumiem un kas domāti tam, lai uzlabotu lietderību un programmas Eiropas pievienoto vērtību.</w:t>
      </w:r>
    </w:p>
    <w:p w:rsidR="00FB0A0F" w:rsidRPr="001205DB" w:rsidRDefault="00FB0A0F" w:rsidP="00FB0A0F">
      <w:pPr>
        <w:pStyle w:val="Heading3"/>
        <w:rPr>
          <w:noProof/>
          <w:szCs w:val="24"/>
        </w:rPr>
      </w:pPr>
      <w:r w:rsidRPr="001205DB">
        <w:t>Informācija par apzinātajiem riskiem un risku mazināšanai izveidoto(-</w:t>
      </w:r>
      <w:proofErr w:type="spellStart"/>
      <w:r w:rsidRPr="001205DB">
        <w:t>ajām</w:t>
      </w:r>
      <w:proofErr w:type="spellEnd"/>
      <w:r w:rsidRPr="001205DB">
        <w:t>) iekšējās kontroles sistēmu(-</w:t>
      </w:r>
      <w:proofErr w:type="spellStart"/>
      <w:r w:rsidRPr="001205DB">
        <w:t>ām</w:t>
      </w:r>
      <w:proofErr w:type="spellEnd"/>
      <w:r w:rsidRPr="001205DB">
        <w:t>)</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Iekšējās kontroles sistēma lielā mērā ir balstīta uz programmas </w:t>
      </w:r>
      <w:r w:rsidRPr="001205DB">
        <w:rPr>
          <w:i/>
        </w:rPr>
        <w:t>LIFE</w:t>
      </w:r>
      <w:r w:rsidRPr="001205DB">
        <w:t xml:space="preserve"> pārvaldības 25 gadu laikā gūto pieredzi.</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Projektu labuma guvēji ir daudzas dažādas organizācijas: no maziem līdz lieliem uzņēmumiem (44 % no kopējā budžeta saņem uzņēmumi, no tiem 33 % ir MVU), privātām bezpeļņas organizācijām (24 %) un publiskām iestādēm (32 %).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Priekšlikumi tiek atlasīti atbilstoši labuma guvēju profesionālajai kvalifikācijai un finansiālajai stabilitātei, kā arī citiem kritērijiem, ko nosaka juridiskais pamats.</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Atlases procesa laikā tiek izmantota agrīnās brīdināšanas sistēma, kura palīdz identificēt iespējamos riskus, kas saistīti ar potenciālajiem centralizēti pārvaldītu dotāciju saņēmējiem. Projektu atlases laikā tiek analizēts dubultas finansēšanas risks, un notiek sistemātiska informācijas apmaiņa ar citiem dienestiem.</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Lai apmierinātu konkrētas pārvaldības un finansiālās vajadzības, projektu vadītājiem klātienē tiek organizētas apmācības sesijas par dažādajiem projekta pārvaldības cikla posmiem. Konkrētu jautājumu risināšanai tiek veicināti tieši kontakti ar projektu koordinatoriem un par finansēm atbildīgajām amatpersonām Komisijā un aģentūrā.</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Labuma guvējiem apmeklējumos uz vietas un koordinācijas sanāksmēs tiek pienācīgi izskaidrotas dotācijas nolīguma galvenās prasības. Ļoti vērtīgs instruments, ar ko mazināt neatbilstības gadījumu skaitu, bijusi uzraudzības misiju organizēšana ļoti agrīnā stadijā nolūkā konstatēt un labot iespējamās problēmas, jo īpaši labuma guvēju izveidoto kontroles sistēmu līmenī.</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Revidentiem, kas veic </w:t>
      </w:r>
      <w:proofErr w:type="spellStart"/>
      <w:r w:rsidRPr="001205DB">
        <w:rPr>
          <w:i/>
        </w:rPr>
        <w:t>ex</w:t>
      </w:r>
      <w:proofErr w:type="spellEnd"/>
      <w:r w:rsidRPr="001205DB">
        <w:rPr>
          <w:i/>
        </w:rPr>
        <w:t xml:space="preserve"> post</w:t>
      </w:r>
      <w:r w:rsidRPr="001205DB">
        <w:t xml:space="preserve"> revīzijas, tiek organizētas informatīvas sesijas par krāpšanas pazīmēm, ko varētu atklāt finanšu pārskatu revīzijā uz vietas. Papildu informāciju par krāpšanas apkarošanas stratēģijām </w:t>
      </w:r>
      <w:proofErr w:type="spellStart"/>
      <w:r w:rsidRPr="001205DB">
        <w:t>sk</w:t>
      </w:r>
      <w:proofErr w:type="spellEnd"/>
      <w:r w:rsidRPr="001205DB">
        <w:t>. 2.3. punktā.</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Identificētie riski programmas īstenošanai galvenokārt atbilst šādām kategorijām:</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t xml:space="preserve">pēc ieceres vai izpildījuma nepietiekami mērķtiecīgs līdzekļu izmantojums, kā arī līdzekļu pārāk sīka sadalījuma risks lielāka teritoriālā vai tematiskā tvēruma dēļ;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t>kļūdas un neefektivitāte, kas rodas no sarežģītiem noteikumiem labuma guvējiem un Komisijai (</w:t>
      </w:r>
      <w:proofErr w:type="spellStart"/>
      <w:r w:rsidRPr="001205DB">
        <w:t>piem</w:t>
      </w:r>
      <w:proofErr w:type="spellEnd"/>
      <w:r w:rsidRPr="001205DB">
        <w:t xml:space="preserve">., izmaksu </w:t>
      </w:r>
      <w:proofErr w:type="spellStart"/>
      <w:r w:rsidRPr="001205DB">
        <w:t>attiecināmība</w:t>
      </w:r>
      <w:proofErr w:type="spellEnd"/>
      <w:r w:rsidRPr="001205DB">
        <w:t>, daudz budžeta pozīciju);</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lastRenderedPageBreak/>
        <w:t xml:space="preserve">ja programmas pārvaldība tiks deleģēta </w:t>
      </w:r>
      <w:proofErr w:type="spellStart"/>
      <w:r w:rsidRPr="001205DB">
        <w:t>izpildaģentūrai</w:t>
      </w:r>
      <w:proofErr w:type="spellEnd"/>
      <w:r w:rsidRPr="001205DB">
        <w:t>, pastāv šādi riski:</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 </w:t>
      </w:r>
      <w:r w:rsidRPr="001205DB">
        <w:tab/>
        <w:t>noderīgās projektu informācijas zudums politikas veidotājiem un otrādi;</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r>
      <w:proofErr w:type="spellStart"/>
      <w:r w:rsidRPr="001205DB">
        <w:t>nekoordinētība</w:t>
      </w:r>
      <w:proofErr w:type="spellEnd"/>
      <w:r w:rsidRPr="001205DB">
        <w:t xml:space="preserve"> (ar </w:t>
      </w:r>
      <w:proofErr w:type="spellStart"/>
      <w:r w:rsidRPr="001205DB">
        <w:t>izpildaģentūru</w:t>
      </w:r>
      <w:proofErr w:type="spellEnd"/>
      <w:r w:rsidRPr="001205DB">
        <w:t xml:space="preserve">, citiem atbalsta sniedzējiem vai finanšu iestādēm), ja programmas pārvaldība ir daļēji deleģēta;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t>risks, ka būs neskaidri sadalīti pienākumi aģentūrai deleģēto uzdevumu pārvaldībā un kontrolē, ja programmas pārvaldība ir daļēji deleģēta.</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Pirmie divi minētie riski ir daļēji novērsti ar konkrētiem risinājumiem, kas analizēti ietekmes novērtējumā, proti: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rPr>
      </w:pPr>
      <w:r w:rsidRPr="001205DB">
        <w:t>1. uzlabot programmas stratēģisko mērķi, vienkāršojot regulu un daudzgadu darba programmu;</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rPr>
      </w:pPr>
      <w:r w:rsidRPr="001205DB">
        <w:t>2. samazināt administratīvo slogu pretendentiem/labuma guvējiem;</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3. racionalizēt Savienības budžeta izpildes procedūras.</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Pārceļot galvenos cilvēkresursus no Komisijas uz </w:t>
      </w:r>
      <w:r w:rsidRPr="001205DB">
        <w:rPr>
          <w:i/>
        </w:rPr>
        <w:t>EASME</w:t>
      </w:r>
      <w:r w:rsidRPr="001205DB">
        <w:t xml:space="preserve"> un izstrādājot </w:t>
      </w:r>
      <w:proofErr w:type="spellStart"/>
      <w:r w:rsidRPr="001205DB">
        <w:t>rīcībpolitikas</w:t>
      </w:r>
      <w:proofErr w:type="spellEnd"/>
      <w:r w:rsidRPr="001205DB">
        <w:t xml:space="preserve"> integrācijas stratēģiju, kas ietver atkārtotas un vienreizējas darbības, jau iepriekš ir novērstas iespējamās negatīvās </w:t>
      </w:r>
      <w:proofErr w:type="spellStart"/>
      <w:r w:rsidRPr="001205DB">
        <w:t>blakusietekmes</w:t>
      </w:r>
      <w:proofErr w:type="spellEnd"/>
      <w:r w:rsidRPr="001205DB">
        <w:t xml:space="preserve">, ko radītu iespējamie ar programmas pārvaldības nodošanu </w:t>
      </w:r>
      <w:r w:rsidRPr="001205DB">
        <w:rPr>
          <w:i/>
        </w:rPr>
        <w:t>EASME</w:t>
      </w:r>
      <w:r w:rsidRPr="001205DB">
        <w:t xml:space="preserve"> saistītie riski, piemēram, kontinuitātes trūkums un noderīgās projektu informācijas zudums politikas veidotājiem un otrādi; tā tiek nodrošināts, ka:</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t xml:space="preserve">programmas un projektu īstenošanā ir atspoguļotas </w:t>
      </w:r>
      <w:proofErr w:type="spellStart"/>
      <w:r w:rsidRPr="001205DB">
        <w:t>rīcībpolitiskās</w:t>
      </w:r>
      <w:proofErr w:type="spellEnd"/>
      <w:r w:rsidRPr="001205DB">
        <w:t xml:space="preserve"> vajadzības;</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t>relevantā projektu izlaide un to konstatējumi sasniedz politikas veidotājus, un politikas veidotāji tos var izmantot.</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Stratēģija ietver tādas darbības kā aģentūras darbinieku apmācība par konkrētām </w:t>
      </w:r>
      <w:proofErr w:type="spellStart"/>
      <w:r w:rsidRPr="001205DB">
        <w:t>rīcībpolitikām</w:t>
      </w:r>
      <w:proofErr w:type="spellEnd"/>
      <w:r w:rsidRPr="001205DB">
        <w:t xml:space="preserve">, kopīgas tematisko kopu sanāksmes par projektiem, kopīga apspriešanās par </w:t>
      </w:r>
      <w:proofErr w:type="spellStart"/>
      <w:r w:rsidRPr="001205DB">
        <w:t>rīcībpolitiskajām</w:t>
      </w:r>
      <w:proofErr w:type="spellEnd"/>
      <w:r w:rsidRPr="001205DB">
        <w:t xml:space="preserve"> vajadzībām uzaicinājumos iesniegt priekšlikumus, atsauksmju sniegšana par politikas veidošanai svarīgiem projektu iznākumiem </w:t>
      </w:r>
      <w:proofErr w:type="spellStart"/>
      <w:r w:rsidRPr="001205DB">
        <w:t>utt</w:t>
      </w:r>
      <w:proofErr w:type="spellEnd"/>
      <w:r w:rsidRPr="001205DB">
        <w:t>.</w:t>
      </w:r>
    </w:p>
    <w:p w:rsidR="00FB0A0F" w:rsidRPr="001205DB" w:rsidRDefault="00FB0A0F" w:rsidP="00FB0A0F">
      <w:pPr>
        <w:pStyle w:val="Heading3"/>
        <w:rPr>
          <w:noProof/>
        </w:rPr>
      </w:pPr>
      <w:r w:rsidRPr="001205DB">
        <w:t xml:space="preserve">Pārbaužu izmaksas un to lietderības pamatojums (attiecība “kontroles izmaksas ÷ attiecīgo pārvaldīto fondu vērtība”), un gaidāmā kļūdu riska līmeņa novērtējums (maksājumu izdarīšanas un programmas slēgšanas brīdī)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Pašlaik 2014.–2020. gada programmas </w:t>
      </w:r>
      <w:r w:rsidRPr="001205DB">
        <w:rPr>
          <w:i/>
        </w:rPr>
        <w:t>LIFE</w:t>
      </w:r>
      <w:r w:rsidRPr="001205DB">
        <w:t xml:space="preserve"> pārvaldība galvenokārt ir deleģēta </w:t>
      </w:r>
      <w:proofErr w:type="spellStart"/>
      <w:r w:rsidRPr="001205DB">
        <w:t>izpildaģentūrai</w:t>
      </w:r>
      <w:proofErr w:type="spellEnd"/>
      <w:r w:rsidRPr="001205DB">
        <w:t xml:space="preserve">. Finanšu pārskats ir balstīts uz pieņēmumu, ka programmu 2020.–2027. gadam iekšēji īstenos Komisijas dienesti. Ar </w:t>
      </w:r>
      <w:proofErr w:type="spellStart"/>
      <w:r w:rsidRPr="001205DB">
        <w:t>eksternalizāciju</w:t>
      </w:r>
      <w:proofErr w:type="spellEnd"/>
      <w:r w:rsidRPr="001205DB">
        <w:t xml:space="preserve"> </w:t>
      </w:r>
      <w:proofErr w:type="spellStart"/>
      <w:r w:rsidRPr="001205DB">
        <w:t>izpildaģentūrai</w:t>
      </w:r>
      <w:proofErr w:type="spellEnd"/>
      <w:r w:rsidRPr="001205DB">
        <w:t xml:space="preserve"> saistītā </w:t>
      </w:r>
      <w:proofErr w:type="spellStart"/>
      <w:r w:rsidRPr="001205DB">
        <w:t>izmaksefektivitāte</w:t>
      </w:r>
      <w:proofErr w:type="spellEnd"/>
      <w:r w:rsidRPr="001205DB">
        <w:t xml:space="preserve"> tiks novērtēta uz izmaksu un ieguvumu analīzes pamata.</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Projekti:</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 </w:t>
      </w:r>
      <w:r w:rsidRPr="001205DB">
        <w:tab/>
        <w:t>projektu atlase/izvērtēšana/apspriešana — visu lietu preventīva kontrole, vajadzības gadījumā pieaicinot ārējus ekspertus;</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 </w:t>
      </w:r>
      <w:r w:rsidRPr="001205DB">
        <w:tab/>
        <w:t>projektu īstenošana ar dotācijām — preventīva un izmeklējoša uzraudzība, klātienes apmeklējumi katrā projektā vismaz vienreiz projekta norises laikā;</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 </w:t>
      </w:r>
      <w:r w:rsidRPr="001205DB">
        <w:tab/>
        <w:t xml:space="preserve">pirms galīgā maksājuma — izmeklējoši un koriģējoši kontroles pasākumi, visu lietu </w:t>
      </w:r>
      <w:proofErr w:type="spellStart"/>
      <w:r w:rsidRPr="001205DB">
        <w:t>kamerāla</w:t>
      </w:r>
      <w:proofErr w:type="spellEnd"/>
      <w:r w:rsidRPr="001205DB">
        <w:t xml:space="preserve"> izskatīšana, tostarp plaši izmantojot ārēju revīziju sertifikātus.</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Katru gadu uz vietas tiks veikti </w:t>
      </w:r>
      <w:proofErr w:type="spellStart"/>
      <w:r w:rsidRPr="001205DB">
        <w:rPr>
          <w:i/>
        </w:rPr>
        <w:t>ex</w:t>
      </w:r>
      <w:proofErr w:type="spellEnd"/>
      <w:r w:rsidRPr="001205DB">
        <w:rPr>
          <w:i/>
        </w:rPr>
        <w:t xml:space="preserve"> post</w:t>
      </w:r>
      <w:r w:rsidRPr="001205DB">
        <w:t xml:space="preserve"> dotāciju kontroles pasākumi. Turklāt tiks ieviesta jauna veida revīzija, “</w:t>
      </w:r>
      <w:proofErr w:type="spellStart"/>
      <w:r w:rsidRPr="001205DB">
        <w:t>kamerāla</w:t>
      </w:r>
      <w:proofErr w:type="spellEnd"/>
      <w:r w:rsidRPr="001205DB">
        <w:t xml:space="preserve"> revīzija”, lai varētu veikt pārvaldības pārbaudes bez apmeklējuma klātienē.</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lastRenderedPageBreak/>
        <w:t xml:space="preserve">Programmas </w:t>
      </w:r>
      <w:r w:rsidRPr="001205DB">
        <w:rPr>
          <w:i/>
        </w:rPr>
        <w:t>LIFE</w:t>
      </w:r>
      <w:r w:rsidRPr="001205DB">
        <w:t xml:space="preserve"> kontroles pasākumus nevar atdalīt no programmas pārvaldības — 2017. gadā pārvaldības kopējās izmaksas bija 20 miljoni EUR, ieskaitot visus klātienes kontroles pasākumus. Tas atbilst 4 % no kopējās summas, kas tika pārvaldīta 2017. gadā.</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Aplēsts, ka kontroles pasākumu izmaksas nedaudz samazināsies paredzēto programmas pārvaldības un izmaksu atbilstības noteikumu vienkāršojumu rezultātā.</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t xml:space="preserve">Ņemot vērā pašlaik notiekošajā izmēģinājumā gūto pieredzi, būtu jāapsver iespēja vēl lielākā mērā atteikties no prasības pieteikumu iesniegšanas procesa sākumā iesniegt pilnīgu priekšlikumu, divu posmu piešķiršanas procedūru attiecinot arī uz standarta projektiem. Tā jau ir izmantota integrētiem projektiem un </w:t>
      </w:r>
      <w:proofErr w:type="spellStart"/>
      <w:r w:rsidRPr="001205DB">
        <w:t>pilotkārtībā</w:t>
      </w:r>
      <w:proofErr w:type="spellEnd"/>
      <w:r w:rsidRPr="001205DB">
        <w:t xml:space="preserve"> tiek izmēģināta dažiem tradicionāliem projektiem. Tas samazinātu administratīvo slogu pieteikumu iesniedzējiem.</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t>Ziņošanas prasību pielāgošana proporcionāli projektu ilgumam un sarežģītībai, kā arī dotācijas vērtībai.</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t>Rādītāju datubāzes vienkāršošana atkarībā no projekta fokusa.</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t>Vienkāršotu izmaksu iespēju izmantošana, maksājumi atkarībā no izlaides, attiecināmo izmaksu ierobežošana dotācijām.</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r>
      <w:proofErr w:type="spellStart"/>
      <w:r w:rsidRPr="001205DB">
        <w:t>Kaskādveida</w:t>
      </w:r>
      <w:proofErr w:type="spellEnd"/>
      <w:r w:rsidRPr="001205DB">
        <w:t xml:space="preserve"> dotāciju izmantošana ar samazinātu ziņošanu un ar uzraudzības grupas iesaisti.</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w:t>
      </w:r>
      <w:r w:rsidRPr="001205DB">
        <w:tab/>
        <w:t>Pieteikumu iesniegšanas procesa vienkāršošana, ieskaitot racionalizētas veidlapas un apliecinošos dokumentus.</w:t>
      </w:r>
    </w:p>
    <w:p w:rsidR="00FB0A0F" w:rsidRPr="001205DB" w:rsidRDefault="00FB0A0F" w:rsidP="00FB0A0F">
      <w:pPr>
        <w:pStyle w:val="Heading2"/>
        <w:rPr>
          <w:noProof/>
          <w:szCs w:val="24"/>
        </w:rPr>
      </w:pPr>
      <w:r w:rsidRPr="001205DB">
        <w:t xml:space="preserve">Krāpšanas un pārkāpumu novēršanas pasākumi </w:t>
      </w:r>
    </w:p>
    <w:p w:rsidR="00FB0A0F" w:rsidRPr="001205DB" w:rsidRDefault="00FB0A0F" w:rsidP="00FB0A0F">
      <w:pPr>
        <w:ind w:left="850"/>
        <w:rPr>
          <w:rFonts w:eastAsia="Times New Roman"/>
          <w:i/>
          <w:noProof/>
          <w:sz w:val="20"/>
        </w:rPr>
      </w:pPr>
      <w:r w:rsidRPr="001205DB">
        <w:rPr>
          <w:i/>
          <w:noProof/>
          <w:sz w:val="20"/>
        </w:rPr>
        <w:t>Norādīt esošos vai paredzētos novēršanas pasākumus un citus pretpasākumus, piemēram, krāpšanas apkarošanas stratēģijā iekļautos pasākumus.</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Krāpšana aptver iekšēju un ārēju neatļautu rīcību. Tā jo īpaši aptver jebkādus nodarījumus, kas skar Savienības finanšu intereses, kā noteikts Konvencijā par Eiropas Kopienu finanšu interešu aizsardzību. Galvenā pazīme, kas atšķir krāpšanu no pārkāpuma, ir nodoms. Papildus finansiālai ietekmei krāpšana var ietvert reputācijas apdraudējumu.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Saskaņā ar Eiropas Biroja krāpšanas apkarošanai (</w:t>
      </w:r>
      <w:r w:rsidRPr="001205DB">
        <w:rPr>
          <w:i/>
        </w:rPr>
        <w:t>OLAF)</w:t>
      </w:r>
      <w:r w:rsidRPr="001205DB">
        <w:t xml:space="preserve"> metodiku un vadlīnijām ģenerāldirektorāta līmenī ir izstrādāta īpaša krāpšanas apkarošanas stratēģija, balstoties uz galvenās finanšu vadības un ar finansēm nesaistītas vadības darbību krāpšanas riska novērtējumu.</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Krāpšanas riska novērtējums tika veikts no 2015. gada jūnija līdz augustam, un tas tiks atjaunināts 2018. gadā. Krāpšanas riska novērtējumā tika ņemta vērā arī Iekšējās revīzijas dienesta veiktā revīzija pēc krāpšanas apkarošanas stratēģijas revīzijas, ko veica </w:t>
      </w:r>
      <w:r w:rsidRPr="001205DB">
        <w:rPr>
          <w:i/>
        </w:rPr>
        <w:t>SIAC</w:t>
      </w:r>
      <w:r w:rsidRPr="001205DB">
        <w:t>, un Revīzijas palātas ziņojumi. Krāpšanas riska novērtējumā tika izdarīts vispārējs secinājums, ka neatklātas būtiskas krāpšanas atlikušais risks (</w:t>
      </w:r>
      <w:proofErr w:type="spellStart"/>
      <w:r w:rsidRPr="001205DB">
        <w:t>varbūtīgums</w:t>
      </w:r>
      <w:proofErr w:type="spellEnd"/>
      <w:r w:rsidRPr="001205DB">
        <w:t xml:space="preserve"> un ietekme) ir mazs. </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Tika īpaši pārbaudītas jomas, kur atlikušais risks ir novērtēts kā zems līdz vidējs:</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1) iepirkumi: pamatojoties uz riska novērtējumu, var pamatoti secināt, ka esošie kontroles pasākumi iepirkumu procesa sagatavošanas, izvērtēšanas, piešķiršanas un īstenošanas posmā efektīvi samazina galvenos krāpšanas riskus (t. i., neobjektīvas konkursa specifikācijas, neatklāts interešu konflikts, negodīga izvērtēšanas </w:t>
      </w:r>
      <w:r w:rsidRPr="001205DB">
        <w:lastRenderedPageBreak/>
        <w:t>procedūra, slepena noruna starp darbuzņēmējiem vai ar darbuzņēmēju un iekšējās informācijas izmantošana, fiktīvi darbuzņēmēji, plaģiāts, dubulta finansēšana). Tika konstatētas šādas jomas ar zemu līdz vidēju aplēsto atlikušo risku: a) slepena noruna ar darbuzņēmēju pieņemt standartam neatbilstošu darba izpildi; b) plaģiāts / produkta aizstāšana; un ar vidēju aplēsto atlikušo risku: c) dubulta finansēšana.</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Lai novērstu zemu līdz vidēju un vidēju atlikušo krāpšanas risku, ir organizēta brīdinājuma zīmju kontrolsarakstu regulāra lietošana (ko paredz pārskatītā krāpšanas apkarošanas stratēģija) un ārēju datubāzu lietošana (piemēram, </w:t>
      </w:r>
      <w:r w:rsidRPr="001205DB">
        <w:rPr>
          <w:i/>
        </w:rPr>
        <w:t>OLAF</w:t>
      </w:r>
      <w:r w:rsidRPr="001205DB">
        <w:t xml:space="preserve"> krāpšanas apkarošanas tīmekļa vietnē uzskaitīto datubāzu lietošana) kopā ar papildu apmācības sesijām, kas saskaņotas ar </w:t>
      </w:r>
      <w:r w:rsidRPr="001205DB">
        <w:rPr>
          <w:i/>
        </w:rPr>
        <w:t>OLAF</w:t>
      </w:r>
      <w:r w:rsidRPr="001205DB">
        <w:t>;</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2) dotācijas: balstoties uz riska novērtējumu, ir iespējams secināt, ka esošie kontroles pasākumi dotāciju piešķiršanas procesa izvērtēšanas, līgumu slēgšanas un </w:t>
      </w:r>
      <w:proofErr w:type="spellStart"/>
      <w:r w:rsidRPr="001205DB">
        <w:rPr>
          <w:i/>
        </w:rPr>
        <w:t>ex</w:t>
      </w:r>
      <w:proofErr w:type="spellEnd"/>
      <w:r w:rsidRPr="001205DB">
        <w:rPr>
          <w:i/>
        </w:rPr>
        <w:t xml:space="preserve"> post</w:t>
      </w:r>
      <w:r w:rsidRPr="001205DB">
        <w:t xml:space="preserve"> posmā efektīvi samazina krāpšanas riskus (t. i., neatklāti interešu konflikti, negodīga izvērtēšanas procedūra, darbības, kas nav veiktas atbilstoši tehniskajam aprakstam, pārmērīgi lielas izmaksātās summas, dubulta finansēšana un krāpšanas mēģinājumi). Tika konstatētas šādas jomas ar vidēju aplēsto atlikušo risku: 1) dubulta finansēšana; un zemu līdz vidēju aplēsto atlikušo risku: 2) iespējamie neatklātie krāpšanas gadījumi.</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 xml:space="preserve">Šie riski tiek samazināti vēl vairāk, organizējot ar </w:t>
      </w:r>
      <w:r w:rsidRPr="001205DB">
        <w:rPr>
          <w:i/>
        </w:rPr>
        <w:t>OLAF</w:t>
      </w:r>
      <w:r w:rsidRPr="001205DB">
        <w:t xml:space="preserve"> saskaņotas apmācības sesijas un regulāri izmantojot brīdinājuma zīmju kontrolsarakstus (ko paredz pārskatītā krāpšanas apkarošanas stratēģija).</w:t>
      </w:r>
    </w:p>
    <w:p w:rsidR="00FB0A0F" w:rsidRPr="001205DB" w:rsidRDefault="00FB0A0F" w:rsidP="00FB0A0F">
      <w:pPr>
        <w:pBdr>
          <w:top w:val="single" w:sz="4" w:space="1" w:color="auto"/>
          <w:left w:val="single" w:sz="4" w:space="4" w:color="auto"/>
          <w:bottom w:val="single" w:sz="4" w:space="1" w:color="auto"/>
          <w:right w:val="single" w:sz="4" w:space="4" w:color="auto"/>
        </w:pBdr>
        <w:ind w:left="850"/>
        <w:rPr>
          <w:rFonts w:eastAsia="Times New Roman"/>
          <w:noProof/>
        </w:rPr>
      </w:pPr>
      <w:r w:rsidRPr="001205DB">
        <w:t>3) administratīvie izdevumi: balstoties uz riska novērtējumu, iespējams secināt, ka esošie kontroles pasākumi efektīvi samazina galvenos krāpšanas riskus apmācības, publikāciju un iekšējo sanāksmju jomā, kā arī riskus, kas saistīti ar administratīvo izdevumu izklaides/reprezentācijas izmaksu elementiem (t. i., iespējama krāpnieciska neattiecināmu izmaksu segšana).</w:t>
      </w:r>
    </w:p>
    <w:p w:rsidR="00FB0A0F" w:rsidRPr="001205DB" w:rsidRDefault="00FB0A0F" w:rsidP="00FB0A0F">
      <w:pPr>
        <w:rPr>
          <w:rFonts w:eastAsia="Times New Roman"/>
          <w:noProof/>
        </w:rPr>
        <w:sectPr w:rsidR="00FB0A0F" w:rsidRPr="001205DB" w:rsidSect="00FE5A09">
          <w:pgSz w:w="11907" w:h="16840" w:code="9"/>
          <w:pgMar w:top="1134" w:right="1418" w:bottom="1134" w:left="1418" w:header="709" w:footer="709" w:gutter="0"/>
          <w:cols w:space="708"/>
          <w:docGrid w:linePitch="360"/>
        </w:sectPr>
      </w:pPr>
    </w:p>
    <w:p w:rsidR="00FB0A0F" w:rsidRPr="001205DB" w:rsidRDefault="00FB0A0F" w:rsidP="00FB0A0F">
      <w:pPr>
        <w:pStyle w:val="Heading1"/>
        <w:rPr>
          <w:bCs w:val="0"/>
          <w:noProof/>
          <w:szCs w:val="24"/>
        </w:rPr>
      </w:pPr>
      <w:r w:rsidRPr="001205DB">
        <w:lastRenderedPageBreak/>
        <w:t xml:space="preserve">PRIEKŠLIKUMA/INICIATĪVAS PAREDZAMĀ FINANSIĀLĀ IETEKME </w:t>
      </w:r>
    </w:p>
    <w:p w:rsidR="00FB0A0F" w:rsidRPr="001205DB" w:rsidRDefault="00FB0A0F" w:rsidP="00FB0A0F">
      <w:pPr>
        <w:pStyle w:val="Heading2"/>
        <w:rPr>
          <w:noProof/>
        </w:rPr>
      </w:pPr>
      <w:r w:rsidRPr="001205DB">
        <w:t xml:space="preserve">Daudzgadu finanšu shēmas izdevumu kategorija un jauna(-s) ierosinātā(-s) budžeta izdevumu pozīcija(-s)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FB0A0F" w:rsidRPr="001205DB" w:rsidTr="00704716">
        <w:tc>
          <w:tcPr>
            <w:tcW w:w="1080" w:type="dxa"/>
            <w:vMerge w:val="restart"/>
            <w:vAlign w:val="center"/>
          </w:tcPr>
          <w:p w:rsidR="00FB0A0F" w:rsidRPr="001205DB" w:rsidRDefault="00FB0A0F" w:rsidP="00704716">
            <w:pPr>
              <w:spacing w:before="60" w:after="60"/>
              <w:jc w:val="center"/>
              <w:rPr>
                <w:noProof/>
              </w:rPr>
            </w:pPr>
            <w:r w:rsidRPr="001205DB">
              <w:rPr>
                <w:noProof/>
                <w:sz w:val="18"/>
              </w:rPr>
              <w:t>Daudzgadu finanšu shēmas izdevumu kategorija:</w:t>
            </w:r>
          </w:p>
        </w:tc>
        <w:tc>
          <w:tcPr>
            <w:tcW w:w="3960" w:type="dxa"/>
            <w:vAlign w:val="center"/>
          </w:tcPr>
          <w:p w:rsidR="00FB0A0F" w:rsidRPr="001205DB" w:rsidRDefault="00FB0A0F" w:rsidP="00704716">
            <w:pPr>
              <w:spacing w:before="60" w:after="60"/>
              <w:jc w:val="center"/>
              <w:rPr>
                <w:noProof/>
              </w:rPr>
            </w:pPr>
            <w:r w:rsidRPr="001205DB">
              <w:rPr>
                <w:noProof/>
                <w:sz w:val="20"/>
              </w:rPr>
              <w:t>Budžeta pozīcija</w:t>
            </w:r>
          </w:p>
        </w:tc>
        <w:tc>
          <w:tcPr>
            <w:tcW w:w="1080" w:type="dxa"/>
            <w:vAlign w:val="center"/>
          </w:tcPr>
          <w:p w:rsidR="00FB0A0F" w:rsidRPr="001205DB" w:rsidRDefault="00FB0A0F" w:rsidP="00704716">
            <w:pPr>
              <w:spacing w:before="60" w:after="60"/>
              <w:jc w:val="center"/>
              <w:rPr>
                <w:noProof/>
              </w:rPr>
            </w:pPr>
            <w:r w:rsidRPr="001205DB">
              <w:rPr>
                <w:noProof/>
                <w:sz w:val="18"/>
              </w:rPr>
              <w:t>Izdevumu</w:t>
            </w:r>
            <w:r w:rsidRPr="001205DB">
              <w:rPr>
                <w:noProof/>
                <w:sz w:val="22"/>
              </w:rPr>
              <w:br/>
            </w:r>
            <w:r w:rsidRPr="001205DB">
              <w:rPr>
                <w:noProof/>
                <w:sz w:val="18"/>
              </w:rPr>
              <w:t>veids</w:t>
            </w:r>
          </w:p>
        </w:tc>
        <w:tc>
          <w:tcPr>
            <w:tcW w:w="4440" w:type="dxa"/>
            <w:gridSpan w:val="4"/>
            <w:vAlign w:val="center"/>
          </w:tcPr>
          <w:p w:rsidR="00FB0A0F" w:rsidRPr="001205DB" w:rsidRDefault="00FB0A0F" w:rsidP="00704716">
            <w:pPr>
              <w:spacing w:before="60" w:after="60"/>
              <w:jc w:val="center"/>
              <w:rPr>
                <w:noProof/>
              </w:rPr>
            </w:pPr>
            <w:r w:rsidRPr="001205DB">
              <w:rPr>
                <w:noProof/>
                <w:sz w:val="20"/>
              </w:rPr>
              <w:t xml:space="preserve">Iemaksas </w:t>
            </w:r>
          </w:p>
        </w:tc>
      </w:tr>
      <w:tr w:rsidR="00FB0A0F" w:rsidRPr="001205DB" w:rsidTr="00704716">
        <w:tc>
          <w:tcPr>
            <w:tcW w:w="1080" w:type="dxa"/>
            <w:vMerge/>
            <w:vAlign w:val="center"/>
          </w:tcPr>
          <w:p w:rsidR="00FB0A0F" w:rsidRPr="001205DB" w:rsidRDefault="00FB0A0F" w:rsidP="00704716">
            <w:pPr>
              <w:jc w:val="center"/>
              <w:rPr>
                <w:noProof/>
              </w:rPr>
            </w:pPr>
          </w:p>
        </w:tc>
        <w:tc>
          <w:tcPr>
            <w:tcW w:w="3960" w:type="dxa"/>
            <w:vAlign w:val="center"/>
          </w:tcPr>
          <w:p w:rsidR="00FB0A0F" w:rsidRPr="001205DB" w:rsidRDefault="00FB0A0F" w:rsidP="00704716">
            <w:pPr>
              <w:jc w:val="left"/>
              <w:rPr>
                <w:noProof/>
              </w:rPr>
            </w:pPr>
            <w:r w:rsidRPr="001205DB">
              <w:rPr>
                <w:noProof/>
                <w:sz w:val="20"/>
              </w:rPr>
              <w:t>09 02</w:t>
            </w:r>
            <w:r w:rsidRPr="001205DB">
              <w:rPr>
                <w:noProof/>
                <w:sz w:val="22"/>
              </w:rPr>
              <w:br/>
            </w:r>
            <w:r w:rsidRPr="001205DB">
              <w:t>Vides un klimata pasākumu programma (</w:t>
            </w:r>
            <w:r w:rsidRPr="001205DB">
              <w:rPr>
                <w:i/>
              </w:rPr>
              <w:t>LIFE</w:t>
            </w:r>
            <w:r w:rsidRPr="001205DB">
              <w:t>)</w:t>
            </w:r>
          </w:p>
        </w:tc>
        <w:tc>
          <w:tcPr>
            <w:tcW w:w="1080" w:type="dxa"/>
            <w:vAlign w:val="center"/>
          </w:tcPr>
          <w:p w:rsidR="00FB0A0F" w:rsidRPr="001205DB" w:rsidRDefault="00FB0A0F" w:rsidP="00704716">
            <w:pPr>
              <w:jc w:val="center"/>
              <w:rPr>
                <w:noProof/>
              </w:rPr>
            </w:pPr>
            <w:r w:rsidRPr="001205DB">
              <w:rPr>
                <w:noProof/>
                <w:sz w:val="18"/>
              </w:rPr>
              <w:t>Dif./Nedif.</w:t>
            </w:r>
            <w:r w:rsidRPr="001205DB">
              <w:rPr>
                <w:rStyle w:val="FootnoteReference"/>
              </w:rPr>
              <w:footnoteReference w:id="45"/>
            </w:r>
          </w:p>
        </w:tc>
        <w:tc>
          <w:tcPr>
            <w:tcW w:w="956" w:type="dxa"/>
            <w:vAlign w:val="center"/>
          </w:tcPr>
          <w:p w:rsidR="00FB0A0F" w:rsidRPr="001205DB" w:rsidRDefault="00FB0A0F" w:rsidP="00704716">
            <w:pPr>
              <w:jc w:val="center"/>
              <w:rPr>
                <w:noProof/>
              </w:rPr>
            </w:pPr>
            <w:r w:rsidRPr="001205DB">
              <w:rPr>
                <w:noProof/>
                <w:sz w:val="18"/>
              </w:rPr>
              <w:t>no EBTA valstīm</w:t>
            </w:r>
            <w:r w:rsidRPr="001205DB">
              <w:rPr>
                <w:rStyle w:val="FootnoteReference"/>
              </w:rPr>
              <w:footnoteReference w:id="46"/>
            </w:r>
          </w:p>
          <w:p w:rsidR="00FB0A0F" w:rsidRPr="001205DB" w:rsidRDefault="00FB0A0F" w:rsidP="00704716">
            <w:pPr>
              <w:spacing w:before="0" w:after="0"/>
              <w:jc w:val="center"/>
              <w:rPr>
                <w:b/>
                <w:noProof/>
                <w:sz w:val="18"/>
              </w:rPr>
            </w:pPr>
          </w:p>
        </w:tc>
        <w:tc>
          <w:tcPr>
            <w:tcW w:w="1080" w:type="dxa"/>
            <w:vAlign w:val="center"/>
          </w:tcPr>
          <w:p w:rsidR="00FB0A0F" w:rsidRPr="001205DB" w:rsidRDefault="00FB0A0F" w:rsidP="00704716">
            <w:pPr>
              <w:jc w:val="center"/>
              <w:rPr>
                <w:noProof/>
              </w:rPr>
            </w:pPr>
            <w:r w:rsidRPr="001205DB">
              <w:rPr>
                <w:noProof/>
                <w:sz w:val="18"/>
              </w:rPr>
              <w:t>no kandidātvalstīm</w:t>
            </w:r>
          </w:p>
          <w:p w:rsidR="00FB0A0F" w:rsidRPr="001205DB" w:rsidRDefault="00FB0A0F" w:rsidP="00704716">
            <w:pPr>
              <w:spacing w:before="0" w:after="0"/>
              <w:jc w:val="center"/>
              <w:rPr>
                <w:noProof/>
                <w:sz w:val="18"/>
              </w:rPr>
            </w:pPr>
          </w:p>
        </w:tc>
        <w:tc>
          <w:tcPr>
            <w:tcW w:w="956" w:type="dxa"/>
            <w:vAlign w:val="center"/>
          </w:tcPr>
          <w:p w:rsidR="00FB0A0F" w:rsidRPr="001205DB" w:rsidRDefault="00FB0A0F" w:rsidP="00704716">
            <w:pPr>
              <w:jc w:val="center"/>
              <w:rPr>
                <w:noProof/>
                <w:sz w:val="18"/>
              </w:rPr>
            </w:pPr>
            <w:r w:rsidRPr="001205DB">
              <w:rPr>
                <w:noProof/>
                <w:sz w:val="18"/>
              </w:rPr>
              <w:t>no trešām valstīm</w:t>
            </w:r>
          </w:p>
        </w:tc>
        <w:tc>
          <w:tcPr>
            <w:tcW w:w="1448" w:type="dxa"/>
            <w:vAlign w:val="center"/>
          </w:tcPr>
          <w:p w:rsidR="00FB0A0F" w:rsidRPr="001205DB" w:rsidRDefault="00FB0A0F" w:rsidP="00704716">
            <w:pPr>
              <w:jc w:val="center"/>
              <w:rPr>
                <w:noProof/>
              </w:rPr>
            </w:pPr>
            <w:r w:rsidRPr="001205DB">
              <w:rPr>
                <w:noProof/>
                <w:sz w:val="16"/>
              </w:rPr>
              <w:t xml:space="preserve">Finanšu regulas 21. panta 2. punkta b) apakšpunkta nozīmē </w:t>
            </w:r>
          </w:p>
        </w:tc>
      </w:tr>
      <w:tr w:rsidR="00FB0A0F" w:rsidRPr="001205DB" w:rsidTr="00704716">
        <w:tc>
          <w:tcPr>
            <w:tcW w:w="1080" w:type="dxa"/>
            <w:vMerge w:val="restart"/>
            <w:vAlign w:val="center"/>
          </w:tcPr>
          <w:p w:rsidR="00FB0A0F" w:rsidRPr="001205DB" w:rsidRDefault="00FB0A0F" w:rsidP="00704716">
            <w:pPr>
              <w:jc w:val="center"/>
              <w:rPr>
                <w:noProof/>
                <w:sz w:val="20"/>
              </w:rPr>
            </w:pPr>
            <w:r w:rsidRPr="001205DB">
              <w:rPr>
                <w:noProof/>
                <w:sz w:val="20"/>
              </w:rPr>
              <w:t>3. izdevumu kategorija. Dabas resursi un vide</w:t>
            </w:r>
          </w:p>
        </w:tc>
        <w:tc>
          <w:tcPr>
            <w:tcW w:w="3960" w:type="dxa"/>
            <w:vAlign w:val="center"/>
          </w:tcPr>
          <w:p w:rsidR="00FB0A0F" w:rsidRPr="001205DB" w:rsidRDefault="00FB0A0F" w:rsidP="00704716">
            <w:pPr>
              <w:spacing w:after="60"/>
              <w:rPr>
                <w:noProof/>
              </w:rPr>
            </w:pPr>
            <w:r w:rsidRPr="001205DB">
              <w:t xml:space="preserve">09 02 XX Vide </w:t>
            </w:r>
          </w:p>
        </w:tc>
        <w:tc>
          <w:tcPr>
            <w:tcW w:w="1080" w:type="dxa"/>
            <w:vAlign w:val="center"/>
          </w:tcPr>
          <w:p w:rsidR="00FB0A0F" w:rsidRPr="001205DB" w:rsidRDefault="00FB0A0F" w:rsidP="00704716">
            <w:pPr>
              <w:jc w:val="center"/>
              <w:rPr>
                <w:noProof/>
              </w:rPr>
            </w:pPr>
            <w:r w:rsidRPr="001205DB">
              <w:rPr>
                <w:noProof/>
                <w:sz w:val="22"/>
              </w:rPr>
              <w:t>Dif.</w:t>
            </w:r>
          </w:p>
        </w:tc>
        <w:tc>
          <w:tcPr>
            <w:tcW w:w="956" w:type="dxa"/>
            <w:vAlign w:val="center"/>
          </w:tcPr>
          <w:p w:rsidR="00FB0A0F" w:rsidRPr="001205DB" w:rsidRDefault="00FB0A0F" w:rsidP="00704716">
            <w:pPr>
              <w:jc w:val="center"/>
              <w:rPr>
                <w:noProof/>
              </w:rPr>
            </w:pPr>
            <w:r w:rsidRPr="001205DB">
              <w:rPr>
                <w:noProof/>
                <w:sz w:val="22"/>
              </w:rPr>
              <w:t>JĀ</w:t>
            </w:r>
          </w:p>
        </w:tc>
        <w:tc>
          <w:tcPr>
            <w:tcW w:w="1080" w:type="dxa"/>
            <w:vAlign w:val="center"/>
          </w:tcPr>
          <w:p w:rsidR="00FB0A0F" w:rsidRPr="001205DB" w:rsidRDefault="00FB0A0F" w:rsidP="00704716">
            <w:pPr>
              <w:jc w:val="center"/>
              <w:rPr>
                <w:noProof/>
              </w:rPr>
            </w:pPr>
            <w:r w:rsidRPr="001205DB">
              <w:rPr>
                <w:noProof/>
                <w:sz w:val="22"/>
              </w:rPr>
              <w:t>JĀ</w:t>
            </w:r>
          </w:p>
        </w:tc>
        <w:tc>
          <w:tcPr>
            <w:tcW w:w="956" w:type="dxa"/>
            <w:vAlign w:val="center"/>
          </w:tcPr>
          <w:p w:rsidR="00FB0A0F" w:rsidRPr="001205DB" w:rsidRDefault="00FB0A0F" w:rsidP="00704716">
            <w:pPr>
              <w:jc w:val="center"/>
              <w:rPr>
                <w:noProof/>
              </w:rPr>
            </w:pPr>
            <w:r w:rsidRPr="001205DB">
              <w:rPr>
                <w:noProof/>
                <w:sz w:val="22"/>
              </w:rPr>
              <w:t>JĀ</w:t>
            </w:r>
          </w:p>
        </w:tc>
        <w:tc>
          <w:tcPr>
            <w:tcW w:w="1448" w:type="dxa"/>
            <w:vAlign w:val="center"/>
          </w:tcPr>
          <w:p w:rsidR="00FB0A0F" w:rsidRPr="001205DB" w:rsidRDefault="00FB0A0F" w:rsidP="00704716">
            <w:pPr>
              <w:jc w:val="center"/>
              <w:rPr>
                <w:noProof/>
              </w:rPr>
            </w:pPr>
            <w:r w:rsidRPr="001205DB">
              <w:rPr>
                <w:noProof/>
                <w:sz w:val="22"/>
              </w:rPr>
              <w:t>NĒ</w:t>
            </w:r>
          </w:p>
        </w:tc>
      </w:tr>
      <w:tr w:rsidR="00FB0A0F" w:rsidRPr="001205DB" w:rsidTr="00704716">
        <w:tc>
          <w:tcPr>
            <w:tcW w:w="1080" w:type="dxa"/>
            <w:vMerge/>
            <w:vAlign w:val="center"/>
          </w:tcPr>
          <w:p w:rsidR="00FB0A0F" w:rsidRPr="001205DB" w:rsidRDefault="00FB0A0F" w:rsidP="00704716">
            <w:pPr>
              <w:jc w:val="center"/>
              <w:rPr>
                <w:noProof/>
                <w:sz w:val="20"/>
              </w:rPr>
            </w:pPr>
          </w:p>
        </w:tc>
        <w:tc>
          <w:tcPr>
            <w:tcW w:w="3960" w:type="dxa"/>
            <w:vAlign w:val="center"/>
          </w:tcPr>
          <w:p w:rsidR="00FB0A0F" w:rsidRPr="001205DB" w:rsidRDefault="00FB0A0F" w:rsidP="00704716">
            <w:pPr>
              <w:spacing w:after="60"/>
              <w:ind w:left="372"/>
              <w:rPr>
                <w:noProof/>
                <w:sz w:val="20"/>
                <w:szCs w:val="20"/>
              </w:rPr>
            </w:pPr>
            <w:r w:rsidRPr="001205DB">
              <w:rPr>
                <w:noProof/>
                <w:sz w:val="20"/>
              </w:rPr>
              <w:t xml:space="preserve">09 02 XX XX Daba un biodaudzveidība </w:t>
            </w:r>
          </w:p>
        </w:tc>
        <w:tc>
          <w:tcPr>
            <w:tcW w:w="1080" w:type="dxa"/>
            <w:vAlign w:val="center"/>
          </w:tcPr>
          <w:p w:rsidR="00FB0A0F" w:rsidRPr="001205DB" w:rsidRDefault="00FB0A0F" w:rsidP="00704716">
            <w:pPr>
              <w:jc w:val="center"/>
              <w:rPr>
                <w:noProof/>
                <w:sz w:val="20"/>
                <w:szCs w:val="20"/>
              </w:rPr>
            </w:pPr>
            <w:r w:rsidRPr="001205DB">
              <w:rPr>
                <w:noProof/>
                <w:sz w:val="20"/>
              </w:rPr>
              <w:t>Dif.</w:t>
            </w:r>
          </w:p>
        </w:tc>
        <w:tc>
          <w:tcPr>
            <w:tcW w:w="956" w:type="dxa"/>
            <w:vAlign w:val="center"/>
          </w:tcPr>
          <w:p w:rsidR="00FB0A0F" w:rsidRPr="001205DB" w:rsidRDefault="00FB0A0F" w:rsidP="00704716">
            <w:pPr>
              <w:jc w:val="center"/>
              <w:rPr>
                <w:noProof/>
                <w:sz w:val="20"/>
                <w:szCs w:val="20"/>
              </w:rPr>
            </w:pPr>
            <w:r w:rsidRPr="001205DB">
              <w:rPr>
                <w:noProof/>
                <w:sz w:val="20"/>
              </w:rPr>
              <w:t>JĀ</w:t>
            </w:r>
          </w:p>
        </w:tc>
        <w:tc>
          <w:tcPr>
            <w:tcW w:w="1080" w:type="dxa"/>
            <w:vAlign w:val="center"/>
          </w:tcPr>
          <w:p w:rsidR="00FB0A0F" w:rsidRPr="001205DB" w:rsidRDefault="00FB0A0F" w:rsidP="00704716">
            <w:pPr>
              <w:jc w:val="center"/>
              <w:rPr>
                <w:noProof/>
                <w:sz w:val="20"/>
                <w:szCs w:val="20"/>
              </w:rPr>
            </w:pPr>
            <w:r w:rsidRPr="001205DB">
              <w:rPr>
                <w:noProof/>
                <w:sz w:val="20"/>
              </w:rPr>
              <w:t>JĀ</w:t>
            </w:r>
          </w:p>
        </w:tc>
        <w:tc>
          <w:tcPr>
            <w:tcW w:w="956" w:type="dxa"/>
            <w:vAlign w:val="center"/>
          </w:tcPr>
          <w:p w:rsidR="00FB0A0F" w:rsidRPr="001205DB" w:rsidRDefault="00FB0A0F" w:rsidP="00704716">
            <w:pPr>
              <w:jc w:val="center"/>
              <w:rPr>
                <w:noProof/>
                <w:sz w:val="20"/>
                <w:szCs w:val="20"/>
              </w:rPr>
            </w:pPr>
            <w:r w:rsidRPr="001205DB">
              <w:rPr>
                <w:noProof/>
                <w:sz w:val="20"/>
              </w:rPr>
              <w:t>JĀ</w:t>
            </w:r>
          </w:p>
        </w:tc>
        <w:tc>
          <w:tcPr>
            <w:tcW w:w="1448" w:type="dxa"/>
            <w:vAlign w:val="center"/>
          </w:tcPr>
          <w:p w:rsidR="00FB0A0F" w:rsidRPr="001205DB" w:rsidRDefault="00FB0A0F" w:rsidP="00704716">
            <w:pPr>
              <w:jc w:val="center"/>
              <w:rPr>
                <w:noProof/>
                <w:sz w:val="20"/>
                <w:szCs w:val="20"/>
              </w:rPr>
            </w:pPr>
            <w:r w:rsidRPr="001205DB">
              <w:rPr>
                <w:noProof/>
                <w:sz w:val="20"/>
              </w:rPr>
              <w:t>NĒ</w:t>
            </w:r>
          </w:p>
        </w:tc>
      </w:tr>
      <w:tr w:rsidR="00FB0A0F" w:rsidRPr="001205DB" w:rsidTr="00704716">
        <w:tc>
          <w:tcPr>
            <w:tcW w:w="1080" w:type="dxa"/>
            <w:vMerge/>
            <w:vAlign w:val="center"/>
          </w:tcPr>
          <w:p w:rsidR="00FB0A0F" w:rsidRPr="001205DB" w:rsidRDefault="00FB0A0F" w:rsidP="00704716">
            <w:pPr>
              <w:jc w:val="center"/>
              <w:rPr>
                <w:noProof/>
                <w:sz w:val="20"/>
              </w:rPr>
            </w:pPr>
          </w:p>
        </w:tc>
        <w:tc>
          <w:tcPr>
            <w:tcW w:w="3960" w:type="dxa"/>
            <w:vAlign w:val="center"/>
          </w:tcPr>
          <w:p w:rsidR="00FB0A0F" w:rsidRPr="001205DB" w:rsidRDefault="00FB0A0F" w:rsidP="00704716">
            <w:pPr>
              <w:spacing w:after="60"/>
              <w:ind w:left="372"/>
              <w:rPr>
                <w:noProof/>
                <w:sz w:val="20"/>
                <w:szCs w:val="20"/>
              </w:rPr>
            </w:pPr>
            <w:r w:rsidRPr="001205DB">
              <w:rPr>
                <w:noProof/>
                <w:sz w:val="20"/>
              </w:rPr>
              <w:t>09 02 XX XX Aprites ekonomika un dzīves kvalitāte</w:t>
            </w:r>
          </w:p>
        </w:tc>
        <w:tc>
          <w:tcPr>
            <w:tcW w:w="1080" w:type="dxa"/>
            <w:vAlign w:val="center"/>
          </w:tcPr>
          <w:p w:rsidR="00FB0A0F" w:rsidRPr="001205DB" w:rsidRDefault="00FB0A0F" w:rsidP="00704716">
            <w:pPr>
              <w:jc w:val="center"/>
              <w:rPr>
                <w:noProof/>
                <w:sz w:val="20"/>
                <w:szCs w:val="20"/>
              </w:rPr>
            </w:pPr>
            <w:r w:rsidRPr="001205DB">
              <w:rPr>
                <w:noProof/>
                <w:sz w:val="20"/>
              </w:rPr>
              <w:t>Dif.</w:t>
            </w:r>
          </w:p>
        </w:tc>
        <w:tc>
          <w:tcPr>
            <w:tcW w:w="956" w:type="dxa"/>
            <w:vAlign w:val="center"/>
          </w:tcPr>
          <w:p w:rsidR="00FB0A0F" w:rsidRPr="001205DB" w:rsidRDefault="00FB0A0F" w:rsidP="00704716">
            <w:pPr>
              <w:jc w:val="center"/>
              <w:rPr>
                <w:noProof/>
                <w:sz w:val="20"/>
                <w:szCs w:val="20"/>
              </w:rPr>
            </w:pPr>
            <w:r w:rsidRPr="001205DB">
              <w:rPr>
                <w:noProof/>
                <w:sz w:val="20"/>
              </w:rPr>
              <w:t>JĀ</w:t>
            </w:r>
          </w:p>
        </w:tc>
        <w:tc>
          <w:tcPr>
            <w:tcW w:w="1080" w:type="dxa"/>
            <w:vAlign w:val="center"/>
          </w:tcPr>
          <w:p w:rsidR="00FB0A0F" w:rsidRPr="001205DB" w:rsidRDefault="00FB0A0F" w:rsidP="00704716">
            <w:pPr>
              <w:jc w:val="center"/>
              <w:rPr>
                <w:noProof/>
                <w:sz w:val="20"/>
                <w:szCs w:val="20"/>
              </w:rPr>
            </w:pPr>
            <w:r w:rsidRPr="001205DB">
              <w:rPr>
                <w:noProof/>
                <w:sz w:val="20"/>
              </w:rPr>
              <w:t>JĀ</w:t>
            </w:r>
          </w:p>
        </w:tc>
        <w:tc>
          <w:tcPr>
            <w:tcW w:w="956" w:type="dxa"/>
            <w:vAlign w:val="center"/>
          </w:tcPr>
          <w:p w:rsidR="00FB0A0F" w:rsidRPr="001205DB" w:rsidRDefault="00FB0A0F" w:rsidP="00704716">
            <w:pPr>
              <w:jc w:val="center"/>
              <w:rPr>
                <w:noProof/>
                <w:sz w:val="20"/>
                <w:szCs w:val="20"/>
              </w:rPr>
            </w:pPr>
            <w:r w:rsidRPr="001205DB">
              <w:rPr>
                <w:noProof/>
                <w:sz w:val="20"/>
              </w:rPr>
              <w:t>JĀ</w:t>
            </w:r>
          </w:p>
        </w:tc>
        <w:tc>
          <w:tcPr>
            <w:tcW w:w="1448" w:type="dxa"/>
            <w:vAlign w:val="center"/>
          </w:tcPr>
          <w:p w:rsidR="00FB0A0F" w:rsidRPr="001205DB" w:rsidRDefault="00FB0A0F" w:rsidP="00704716">
            <w:pPr>
              <w:jc w:val="center"/>
              <w:rPr>
                <w:noProof/>
                <w:sz w:val="20"/>
                <w:szCs w:val="20"/>
              </w:rPr>
            </w:pPr>
            <w:r w:rsidRPr="001205DB">
              <w:rPr>
                <w:noProof/>
                <w:sz w:val="20"/>
              </w:rPr>
              <w:t>NĒ</w:t>
            </w:r>
          </w:p>
        </w:tc>
      </w:tr>
      <w:tr w:rsidR="00FB0A0F" w:rsidRPr="001205DB" w:rsidTr="00704716">
        <w:tc>
          <w:tcPr>
            <w:tcW w:w="1080" w:type="dxa"/>
            <w:vMerge/>
            <w:vAlign w:val="center"/>
          </w:tcPr>
          <w:p w:rsidR="00FB0A0F" w:rsidRPr="001205DB" w:rsidRDefault="00FB0A0F" w:rsidP="00704716">
            <w:pPr>
              <w:jc w:val="center"/>
              <w:rPr>
                <w:noProof/>
                <w:sz w:val="20"/>
              </w:rPr>
            </w:pPr>
          </w:p>
        </w:tc>
        <w:tc>
          <w:tcPr>
            <w:tcW w:w="3960" w:type="dxa"/>
            <w:vAlign w:val="center"/>
          </w:tcPr>
          <w:p w:rsidR="00FB0A0F" w:rsidRPr="001205DB" w:rsidRDefault="00FB0A0F" w:rsidP="00704716">
            <w:pPr>
              <w:spacing w:after="60"/>
              <w:rPr>
                <w:noProof/>
              </w:rPr>
            </w:pPr>
            <w:r w:rsidRPr="001205DB">
              <w:t>09 02 XX Klimata pārmaiņu mazināšana un pielāgošanās tām</w:t>
            </w:r>
          </w:p>
        </w:tc>
        <w:tc>
          <w:tcPr>
            <w:tcW w:w="1080" w:type="dxa"/>
            <w:vAlign w:val="center"/>
          </w:tcPr>
          <w:p w:rsidR="00FB0A0F" w:rsidRPr="001205DB" w:rsidRDefault="00FB0A0F" w:rsidP="00704716">
            <w:pPr>
              <w:jc w:val="center"/>
              <w:rPr>
                <w:noProof/>
              </w:rPr>
            </w:pPr>
            <w:r w:rsidRPr="001205DB">
              <w:rPr>
                <w:noProof/>
                <w:sz w:val="22"/>
              </w:rPr>
              <w:t>Dif.</w:t>
            </w:r>
          </w:p>
        </w:tc>
        <w:tc>
          <w:tcPr>
            <w:tcW w:w="956" w:type="dxa"/>
            <w:vAlign w:val="center"/>
          </w:tcPr>
          <w:p w:rsidR="00FB0A0F" w:rsidRPr="001205DB" w:rsidRDefault="00FB0A0F" w:rsidP="00704716">
            <w:pPr>
              <w:jc w:val="center"/>
              <w:rPr>
                <w:noProof/>
              </w:rPr>
            </w:pPr>
            <w:r w:rsidRPr="001205DB">
              <w:rPr>
                <w:noProof/>
                <w:sz w:val="22"/>
              </w:rPr>
              <w:t>JĀ</w:t>
            </w:r>
          </w:p>
        </w:tc>
        <w:tc>
          <w:tcPr>
            <w:tcW w:w="1080" w:type="dxa"/>
            <w:vAlign w:val="center"/>
          </w:tcPr>
          <w:p w:rsidR="00FB0A0F" w:rsidRPr="001205DB" w:rsidRDefault="00FB0A0F" w:rsidP="00704716">
            <w:pPr>
              <w:jc w:val="center"/>
              <w:rPr>
                <w:noProof/>
              </w:rPr>
            </w:pPr>
            <w:r w:rsidRPr="001205DB">
              <w:rPr>
                <w:noProof/>
                <w:sz w:val="22"/>
              </w:rPr>
              <w:t>JĀ</w:t>
            </w:r>
          </w:p>
        </w:tc>
        <w:tc>
          <w:tcPr>
            <w:tcW w:w="956" w:type="dxa"/>
            <w:vAlign w:val="center"/>
          </w:tcPr>
          <w:p w:rsidR="00FB0A0F" w:rsidRPr="001205DB" w:rsidRDefault="00FB0A0F" w:rsidP="00704716">
            <w:pPr>
              <w:jc w:val="center"/>
              <w:rPr>
                <w:noProof/>
              </w:rPr>
            </w:pPr>
            <w:r w:rsidRPr="001205DB">
              <w:rPr>
                <w:noProof/>
                <w:sz w:val="22"/>
              </w:rPr>
              <w:t>JĀ</w:t>
            </w:r>
          </w:p>
        </w:tc>
        <w:tc>
          <w:tcPr>
            <w:tcW w:w="1448" w:type="dxa"/>
            <w:vAlign w:val="center"/>
          </w:tcPr>
          <w:p w:rsidR="00FB0A0F" w:rsidRPr="001205DB" w:rsidRDefault="00FB0A0F" w:rsidP="00704716">
            <w:pPr>
              <w:jc w:val="center"/>
              <w:rPr>
                <w:noProof/>
              </w:rPr>
            </w:pPr>
            <w:r w:rsidRPr="001205DB">
              <w:rPr>
                <w:noProof/>
                <w:sz w:val="22"/>
              </w:rPr>
              <w:t>NĒ</w:t>
            </w:r>
          </w:p>
        </w:tc>
      </w:tr>
      <w:tr w:rsidR="00FB0A0F" w:rsidRPr="001205DB" w:rsidTr="00704716">
        <w:tc>
          <w:tcPr>
            <w:tcW w:w="1080" w:type="dxa"/>
            <w:vMerge/>
            <w:vAlign w:val="center"/>
          </w:tcPr>
          <w:p w:rsidR="00FB0A0F" w:rsidRPr="001205DB" w:rsidRDefault="00FB0A0F" w:rsidP="00704716">
            <w:pPr>
              <w:jc w:val="center"/>
              <w:rPr>
                <w:noProof/>
              </w:rPr>
            </w:pPr>
          </w:p>
        </w:tc>
        <w:tc>
          <w:tcPr>
            <w:tcW w:w="3960" w:type="dxa"/>
            <w:vAlign w:val="center"/>
          </w:tcPr>
          <w:p w:rsidR="00FB0A0F" w:rsidRPr="001205DB" w:rsidRDefault="00FB0A0F" w:rsidP="00704716">
            <w:pPr>
              <w:spacing w:after="60"/>
              <w:ind w:left="23"/>
              <w:rPr>
                <w:noProof/>
                <w:szCs w:val="24"/>
              </w:rPr>
            </w:pPr>
            <w:r w:rsidRPr="001205DB">
              <w:t xml:space="preserve">09 02 XX Pāreja uz tīru enerģiju </w:t>
            </w:r>
          </w:p>
        </w:tc>
        <w:tc>
          <w:tcPr>
            <w:tcW w:w="1080" w:type="dxa"/>
            <w:vAlign w:val="center"/>
          </w:tcPr>
          <w:p w:rsidR="00FB0A0F" w:rsidRPr="001205DB" w:rsidRDefault="00FB0A0F" w:rsidP="00704716">
            <w:pPr>
              <w:jc w:val="center"/>
              <w:rPr>
                <w:noProof/>
                <w:sz w:val="20"/>
                <w:szCs w:val="20"/>
              </w:rPr>
            </w:pPr>
            <w:r w:rsidRPr="001205DB">
              <w:rPr>
                <w:noProof/>
                <w:sz w:val="20"/>
              </w:rPr>
              <w:t>Dif.</w:t>
            </w:r>
          </w:p>
        </w:tc>
        <w:tc>
          <w:tcPr>
            <w:tcW w:w="956" w:type="dxa"/>
            <w:vAlign w:val="center"/>
          </w:tcPr>
          <w:p w:rsidR="00FB0A0F" w:rsidRPr="001205DB" w:rsidRDefault="00FB0A0F" w:rsidP="00704716">
            <w:pPr>
              <w:jc w:val="center"/>
              <w:rPr>
                <w:noProof/>
                <w:sz w:val="20"/>
                <w:szCs w:val="20"/>
              </w:rPr>
            </w:pPr>
            <w:r w:rsidRPr="001205DB">
              <w:rPr>
                <w:noProof/>
                <w:sz w:val="20"/>
              </w:rPr>
              <w:t>JĀ</w:t>
            </w:r>
          </w:p>
        </w:tc>
        <w:tc>
          <w:tcPr>
            <w:tcW w:w="1080" w:type="dxa"/>
            <w:vAlign w:val="center"/>
          </w:tcPr>
          <w:p w:rsidR="00FB0A0F" w:rsidRPr="001205DB" w:rsidRDefault="00FB0A0F" w:rsidP="00704716">
            <w:pPr>
              <w:jc w:val="center"/>
              <w:rPr>
                <w:noProof/>
                <w:sz w:val="20"/>
                <w:szCs w:val="20"/>
              </w:rPr>
            </w:pPr>
            <w:r w:rsidRPr="001205DB">
              <w:rPr>
                <w:noProof/>
                <w:sz w:val="20"/>
              </w:rPr>
              <w:t>JĀ</w:t>
            </w:r>
          </w:p>
        </w:tc>
        <w:tc>
          <w:tcPr>
            <w:tcW w:w="956" w:type="dxa"/>
            <w:vAlign w:val="center"/>
          </w:tcPr>
          <w:p w:rsidR="00FB0A0F" w:rsidRPr="001205DB" w:rsidRDefault="00FB0A0F" w:rsidP="00704716">
            <w:pPr>
              <w:jc w:val="center"/>
              <w:rPr>
                <w:noProof/>
                <w:sz w:val="20"/>
                <w:szCs w:val="20"/>
              </w:rPr>
            </w:pPr>
            <w:r w:rsidRPr="001205DB">
              <w:rPr>
                <w:noProof/>
                <w:sz w:val="20"/>
              </w:rPr>
              <w:t>JĀ</w:t>
            </w:r>
          </w:p>
        </w:tc>
        <w:tc>
          <w:tcPr>
            <w:tcW w:w="1448" w:type="dxa"/>
            <w:vAlign w:val="center"/>
          </w:tcPr>
          <w:p w:rsidR="00FB0A0F" w:rsidRPr="001205DB" w:rsidRDefault="00FB0A0F" w:rsidP="00704716">
            <w:pPr>
              <w:jc w:val="center"/>
              <w:rPr>
                <w:noProof/>
                <w:sz w:val="20"/>
                <w:szCs w:val="20"/>
              </w:rPr>
            </w:pPr>
            <w:r w:rsidRPr="001205DB">
              <w:rPr>
                <w:noProof/>
                <w:sz w:val="20"/>
              </w:rPr>
              <w:t>NĒ</w:t>
            </w:r>
          </w:p>
        </w:tc>
      </w:tr>
      <w:tr w:rsidR="00FB0A0F" w:rsidRPr="001205DB" w:rsidTr="00704716">
        <w:tc>
          <w:tcPr>
            <w:tcW w:w="1080" w:type="dxa"/>
            <w:vAlign w:val="center"/>
          </w:tcPr>
          <w:p w:rsidR="00FB0A0F" w:rsidRPr="001205DB" w:rsidRDefault="00FB0A0F" w:rsidP="00704716">
            <w:pPr>
              <w:jc w:val="center"/>
              <w:rPr>
                <w:noProof/>
              </w:rPr>
            </w:pPr>
          </w:p>
        </w:tc>
        <w:tc>
          <w:tcPr>
            <w:tcW w:w="3960" w:type="dxa"/>
            <w:vAlign w:val="center"/>
          </w:tcPr>
          <w:p w:rsidR="00FB0A0F" w:rsidRPr="001205DB" w:rsidRDefault="00FB0A0F" w:rsidP="00704716">
            <w:pPr>
              <w:spacing w:after="60"/>
              <w:ind w:left="372"/>
              <w:rPr>
                <w:noProof/>
                <w:sz w:val="20"/>
                <w:szCs w:val="20"/>
              </w:rPr>
            </w:pPr>
            <w:r w:rsidRPr="001205DB">
              <w:rPr>
                <w:noProof/>
                <w:sz w:val="20"/>
              </w:rPr>
              <w:t>09 01 XX XX Vide — izdevumi par administratīvo vadību</w:t>
            </w:r>
          </w:p>
        </w:tc>
        <w:tc>
          <w:tcPr>
            <w:tcW w:w="1080" w:type="dxa"/>
            <w:vAlign w:val="center"/>
          </w:tcPr>
          <w:p w:rsidR="00FB0A0F" w:rsidRPr="001205DB" w:rsidRDefault="00FB0A0F" w:rsidP="00704716">
            <w:pPr>
              <w:jc w:val="center"/>
              <w:rPr>
                <w:noProof/>
                <w:sz w:val="20"/>
                <w:szCs w:val="20"/>
              </w:rPr>
            </w:pPr>
            <w:r w:rsidRPr="001205DB">
              <w:rPr>
                <w:noProof/>
                <w:sz w:val="20"/>
              </w:rPr>
              <w:t>Nedif.</w:t>
            </w:r>
          </w:p>
        </w:tc>
        <w:tc>
          <w:tcPr>
            <w:tcW w:w="956" w:type="dxa"/>
            <w:vAlign w:val="center"/>
          </w:tcPr>
          <w:p w:rsidR="00FB0A0F" w:rsidRPr="001205DB" w:rsidRDefault="00FB0A0F" w:rsidP="00704716">
            <w:pPr>
              <w:jc w:val="center"/>
              <w:rPr>
                <w:noProof/>
                <w:sz w:val="20"/>
                <w:szCs w:val="20"/>
              </w:rPr>
            </w:pPr>
            <w:r w:rsidRPr="001205DB">
              <w:rPr>
                <w:noProof/>
                <w:sz w:val="20"/>
              </w:rPr>
              <w:t>JĀ</w:t>
            </w:r>
          </w:p>
        </w:tc>
        <w:tc>
          <w:tcPr>
            <w:tcW w:w="1080" w:type="dxa"/>
            <w:vAlign w:val="center"/>
          </w:tcPr>
          <w:p w:rsidR="00FB0A0F" w:rsidRPr="001205DB" w:rsidRDefault="00FB0A0F" w:rsidP="00704716">
            <w:pPr>
              <w:jc w:val="center"/>
              <w:rPr>
                <w:noProof/>
                <w:sz w:val="20"/>
                <w:szCs w:val="20"/>
              </w:rPr>
            </w:pPr>
            <w:r w:rsidRPr="001205DB">
              <w:rPr>
                <w:noProof/>
                <w:sz w:val="20"/>
              </w:rPr>
              <w:t>JĀ</w:t>
            </w:r>
          </w:p>
        </w:tc>
        <w:tc>
          <w:tcPr>
            <w:tcW w:w="956" w:type="dxa"/>
            <w:vAlign w:val="center"/>
          </w:tcPr>
          <w:p w:rsidR="00FB0A0F" w:rsidRPr="001205DB" w:rsidRDefault="00FB0A0F" w:rsidP="00704716">
            <w:pPr>
              <w:jc w:val="center"/>
              <w:rPr>
                <w:noProof/>
                <w:sz w:val="20"/>
                <w:szCs w:val="20"/>
              </w:rPr>
            </w:pPr>
            <w:r w:rsidRPr="001205DB">
              <w:rPr>
                <w:noProof/>
                <w:sz w:val="20"/>
              </w:rPr>
              <w:t>JĀ</w:t>
            </w:r>
          </w:p>
        </w:tc>
        <w:tc>
          <w:tcPr>
            <w:tcW w:w="1448" w:type="dxa"/>
            <w:vAlign w:val="center"/>
          </w:tcPr>
          <w:p w:rsidR="00FB0A0F" w:rsidRPr="001205DB" w:rsidRDefault="00FB0A0F" w:rsidP="00704716">
            <w:pPr>
              <w:jc w:val="center"/>
              <w:rPr>
                <w:noProof/>
                <w:sz w:val="20"/>
                <w:szCs w:val="20"/>
              </w:rPr>
            </w:pPr>
            <w:r w:rsidRPr="001205DB">
              <w:rPr>
                <w:noProof/>
                <w:sz w:val="20"/>
              </w:rPr>
              <w:t>NĒ</w:t>
            </w:r>
          </w:p>
        </w:tc>
      </w:tr>
      <w:tr w:rsidR="00FB0A0F" w:rsidRPr="001205DB" w:rsidTr="00704716">
        <w:tc>
          <w:tcPr>
            <w:tcW w:w="1080" w:type="dxa"/>
            <w:vAlign w:val="center"/>
          </w:tcPr>
          <w:p w:rsidR="00FB0A0F" w:rsidRPr="001205DB" w:rsidRDefault="00FB0A0F" w:rsidP="00704716">
            <w:pPr>
              <w:jc w:val="center"/>
              <w:rPr>
                <w:noProof/>
              </w:rPr>
            </w:pPr>
          </w:p>
        </w:tc>
        <w:tc>
          <w:tcPr>
            <w:tcW w:w="3960" w:type="dxa"/>
            <w:vAlign w:val="center"/>
          </w:tcPr>
          <w:p w:rsidR="00FB0A0F" w:rsidRPr="001205DB" w:rsidRDefault="00FB0A0F" w:rsidP="00704716">
            <w:pPr>
              <w:spacing w:after="60"/>
              <w:ind w:left="372"/>
              <w:rPr>
                <w:noProof/>
                <w:sz w:val="20"/>
                <w:szCs w:val="20"/>
              </w:rPr>
            </w:pPr>
            <w:r w:rsidRPr="001205DB">
              <w:rPr>
                <w:noProof/>
                <w:sz w:val="20"/>
              </w:rPr>
              <w:t>09 01 XX XX Klimata pārmaiņu mazināšana un pielāgošanās tām — izdevumi par administratīvo vadību</w:t>
            </w:r>
          </w:p>
        </w:tc>
        <w:tc>
          <w:tcPr>
            <w:tcW w:w="1080" w:type="dxa"/>
            <w:vAlign w:val="center"/>
          </w:tcPr>
          <w:p w:rsidR="00FB0A0F" w:rsidRPr="001205DB" w:rsidRDefault="00FB0A0F" w:rsidP="00704716">
            <w:pPr>
              <w:jc w:val="center"/>
              <w:rPr>
                <w:noProof/>
                <w:sz w:val="20"/>
                <w:szCs w:val="20"/>
              </w:rPr>
            </w:pPr>
            <w:r w:rsidRPr="001205DB">
              <w:rPr>
                <w:noProof/>
                <w:sz w:val="20"/>
              </w:rPr>
              <w:t>Nedif.</w:t>
            </w:r>
          </w:p>
        </w:tc>
        <w:tc>
          <w:tcPr>
            <w:tcW w:w="956" w:type="dxa"/>
            <w:vAlign w:val="center"/>
          </w:tcPr>
          <w:p w:rsidR="00FB0A0F" w:rsidRPr="001205DB" w:rsidRDefault="00FB0A0F" w:rsidP="00704716">
            <w:pPr>
              <w:jc w:val="center"/>
              <w:rPr>
                <w:noProof/>
                <w:sz w:val="20"/>
                <w:szCs w:val="20"/>
              </w:rPr>
            </w:pPr>
            <w:r w:rsidRPr="001205DB">
              <w:rPr>
                <w:noProof/>
                <w:sz w:val="20"/>
              </w:rPr>
              <w:t>JĀ</w:t>
            </w:r>
          </w:p>
        </w:tc>
        <w:tc>
          <w:tcPr>
            <w:tcW w:w="1080" w:type="dxa"/>
            <w:vAlign w:val="center"/>
          </w:tcPr>
          <w:p w:rsidR="00FB0A0F" w:rsidRPr="001205DB" w:rsidRDefault="00FB0A0F" w:rsidP="00704716">
            <w:pPr>
              <w:jc w:val="center"/>
              <w:rPr>
                <w:noProof/>
                <w:sz w:val="20"/>
                <w:szCs w:val="20"/>
              </w:rPr>
            </w:pPr>
            <w:r w:rsidRPr="001205DB">
              <w:rPr>
                <w:noProof/>
                <w:sz w:val="20"/>
              </w:rPr>
              <w:t>JĀ</w:t>
            </w:r>
          </w:p>
        </w:tc>
        <w:tc>
          <w:tcPr>
            <w:tcW w:w="956" w:type="dxa"/>
            <w:vAlign w:val="center"/>
          </w:tcPr>
          <w:p w:rsidR="00FB0A0F" w:rsidRPr="001205DB" w:rsidRDefault="00FB0A0F" w:rsidP="00704716">
            <w:pPr>
              <w:jc w:val="center"/>
              <w:rPr>
                <w:noProof/>
                <w:sz w:val="20"/>
                <w:szCs w:val="20"/>
              </w:rPr>
            </w:pPr>
            <w:r w:rsidRPr="001205DB">
              <w:rPr>
                <w:noProof/>
                <w:sz w:val="20"/>
              </w:rPr>
              <w:t>JĀ</w:t>
            </w:r>
          </w:p>
        </w:tc>
        <w:tc>
          <w:tcPr>
            <w:tcW w:w="1448" w:type="dxa"/>
            <w:vAlign w:val="center"/>
          </w:tcPr>
          <w:p w:rsidR="00FB0A0F" w:rsidRPr="001205DB" w:rsidRDefault="00FB0A0F" w:rsidP="00704716">
            <w:pPr>
              <w:jc w:val="center"/>
              <w:rPr>
                <w:noProof/>
                <w:sz w:val="20"/>
                <w:szCs w:val="20"/>
              </w:rPr>
            </w:pPr>
            <w:r w:rsidRPr="001205DB">
              <w:rPr>
                <w:noProof/>
                <w:sz w:val="20"/>
              </w:rPr>
              <w:t>NĒ</w:t>
            </w:r>
          </w:p>
        </w:tc>
      </w:tr>
      <w:tr w:rsidR="00FB0A0F" w:rsidRPr="001205DB" w:rsidTr="00704716">
        <w:tc>
          <w:tcPr>
            <w:tcW w:w="1080" w:type="dxa"/>
            <w:vAlign w:val="center"/>
          </w:tcPr>
          <w:p w:rsidR="00FB0A0F" w:rsidRPr="001205DB" w:rsidRDefault="00FB0A0F" w:rsidP="00704716">
            <w:pPr>
              <w:jc w:val="center"/>
              <w:rPr>
                <w:noProof/>
              </w:rPr>
            </w:pPr>
          </w:p>
        </w:tc>
        <w:tc>
          <w:tcPr>
            <w:tcW w:w="3960" w:type="dxa"/>
            <w:vAlign w:val="center"/>
          </w:tcPr>
          <w:p w:rsidR="00FB0A0F" w:rsidRPr="001205DB" w:rsidRDefault="00FB0A0F" w:rsidP="00704716">
            <w:pPr>
              <w:spacing w:after="60"/>
              <w:ind w:left="372"/>
              <w:rPr>
                <w:noProof/>
                <w:sz w:val="20"/>
                <w:szCs w:val="20"/>
              </w:rPr>
            </w:pPr>
            <w:r w:rsidRPr="001205DB">
              <w:rPr>
                <w:noProof/>
                <w:sz w:val="20"/>
              </w:rPr>
              <w:t>09 01 XX XX Pāreja uz tīru enerģiju — izdevumi par administratīvo vadību</w:t>
            </w:r>
          </w:p>
        </w:tc>
        <w:tc>
          <w:tcPr>
            <w:tcW w:w="1080" w:type="dxa"/>
            <w:vAlign w:val="center"/>
          </w:tcPr>
          <w:p w:rsidR="00FB0A0F" w:rsidRPr="001205DB" w:rsidRDefault="00FB0A0F" w:rsidP="00704716">
            <w:pPr>
              <w:jc w:val="center"/>
              <w:rPr>
                <w:noProof/>
                <w:sz w:val="20"/>
                <w:szCs w:val="20"/>
              </w:rPr>
            </w:pPr>
            <w:r w:rsidRPr="001205DB">
              <w:rPr>
                <w:noProof/>
                <w:sz w:val="20"/>
              </w:rPr>
              <w:t>Nedif.</w:t>
            </w:r>
          </w:p>
        </w:tc>
        <w:tc>
          <w:tcPr>
            <w:tcW w:w="956" w:type="dxa"/>
            <w:vAlign w:val="center"/>
          </w:tcPr>
          <w:p w:rsidR="00FB0A0F" w:rsidRPr="001205DB" w:rsidRDefault="00FB0A0F" w:rsidP="00704716">
            <w:pPr>
              <w:jc w:val="center"/>
              <w:rPr>
                <w:noProof/>
                <w:sz w:val="20"/>
                <w:szCs w:val="20"/>
              </w:rPr>
            </w:pPr>
            <w:r w:rsidRPr="001205DB">
              <w:rPr>
                <w:noProof/>
                <w:sz w:val="20"/>
              </w:rPr>
              <w:t>JĀ</w:t>
            </w:r>
          </w:p>
        </w:tc>
        <w:tc>
          <w:tcPr>
            <w:tcW w:w="1080" w:type="dxa"/>
            <w:vAlign w:val="center"/>
          </w:tcPr>
          <w:p w:rsidR="00FB0A0F" w:rsidRPr="001205DB" w:rsidRDefault="00FB0A0F" w:rsidP="00704716">
            <w:pPr>
              <w:jc w:val="center"/>
              <w:rPr>
                <w:noProof/>
                <w:sz w:val="20"/>
                <w:szCs w:val="20"/>
              </w:rPr>
            </w:pPr>
            <w:r w:rsidRPr="001205DB">
              <w:rPr>
                <w:noProof/>
                <w:sz w:val="20"/>
              </w:rPr>
              <w:t>JĀ</w:t>
            </w:r>
          </w:p>
        </w:tc>
        <w:tc>
          <w:tcPr>
            <w:tcW w:w="956" w:type="dxa"/>
            <w:vAlign w:val="center"/>
          </w:tcPr>
          <w:p w:rsidR="00FB0A0F" w:rsidRPr="001205DB" w:rsidRDefault="00FB0A0F" w:rsidP="00704716">
            <w:pPr>
              <w:jc w:val="center"/>
              <w:rPr>
                <w:noProof/>
                <w:sz w:val="20"/>
                <w:szCs w:val="20"/>
              </w:rPr>
            </w:pPr>
            <w:r w:rsidRPr="001205DB">
              <w:rPr>
                <w:noProof/>
                <w:sz w:val="20"/>
              </w:rPr>
              <w:t>JĀ</w:t>
            </w:r>
          </w:p>
        </w:tc>
        <w:tc>
          <w:tcPr>
            <w:tcW w:w="1448" w:type="dxa"/>
            <w:vAlign w:val="center"/>
          </w:tcPr>
          <w:p w:rsidR="00FB0A0F" w:rsidRPr="001205DB" w:rsidRDefault="00FB0A0F" w:rsidP="00704716">
            <w:pPr>
              <w:jc w:val="center"/>
              <w:rPr>
                <w:noProof/>
                <w:sz w:val="20"/>
                <w:szCs w:val="20"/>
              </w:rPr>
            </w:pPr>
            <w:r w:rsidRPr="001205DB">
              <w:rPr>
                <w:noProof/>
                <w:sz w:val="20"/>
              </w:rPr>
              <w:t>NĒ</w:t>
            </w:r>
          </w:p>
        </w:tc>
      </w:tr>
    </w:tbl>
    <w:p w:rsidR="00FB0A0F" w:rsidRPr="001205DB" w:rsidRDefault="00FB0A0F" w:rsidP="00FB0A0F">
      <w:pPr>
        <w:spacing w:after="60"/>
        <w:rPr>
          <w:noProof/>
        </w:rPr>
      </w:pPr>
      <w:r w:rsidRPr="001205DB">
        <w:t>Ierosinātās budžeta izdevumu pozīcijas atspoguļo darbības jomas, kas norādītas Komisijas priekšlikumos jaunajai daudzgadu finanšu shēmai (DFS) 2021.–2027. gadam (COM(2018)321 </w:t>
      </w:r>
      <w:proofErr w:type="spellStart"/>
      <w:r w:rsidRPr="001205DB">
        <w:t>final</w:t>
      </w:r>
      <w:proofErr w:type="spellEnd"/>
      <w:r w:rsidRPr="001205DB">
        <w:t xml:space="preserve">), kuri tika pieņemti 2018. gada </w:t>
      </w:r>
      <w:r w:rsidR="00192DE2">
        <w:t>2.</w:t>
      </w:r>
      <w:r w:rsidR="00192DE2" w:rsidRPr="001205DB">
        <w:t> </w:t>
      </w:r>
      <w:r w:rsidRPr="001205DB">
        <w:t>maijā, un atbilst programmas struktūrai, kas norādīta regulas projektā.</w:t>
      </w:r>
    </w:p>
    <w:p w:rsidR="00FB0A0F" w:rsidRPr="001205DB" w:rsidRDefault="00FB0A0F" w:rsidP="00FB0A0F">
      <w:pPr>
        <w:spacing w:after="60"/>
        <w:rPr>
          <w:noProof/>
        </w:rPr>
      </w:pPr>
      <w:r w:rsidRPr="001205DB">
        <w:t>Tiesību akta priekšlikuma finanšu pārskatā norādītā budžeta nomenklatūra var tikt mainīta, un par to vēl ir jāpieņem turpmāki lēmumi.</w:t>
      </w:r>
    </w:p>
    <w:p w:rsidR="00FB0A0F" w:rsidRPr="001205DB" w:rsidRDefault="00FB0A0F" w:rsidP="00FB0A0F">
      <w:pPr>
        <w:rPr>
          <w:noProof/>
        </w:rPr>
      </w:pPr>
    </w:p>
    <w:p w:rsidR="00FB0A0F" w:rsidRPr="001205DB" w:rsidRDefault="00FB0A0F" w:rsidP="00FB0A0F">
      <w:pPr>
        <w:rPr>
          <w:noProof/>
        </w:rPr>
      </w:pPr>
    </w:p>
    <w:p w:rsidR="00FB0A0F" w:rsidRPr="001205DB" w:rsidRDefault="00FB0A0F" w:rsidP="00FB0A0F">
      <w:pPr>
        <w:rPr>
          <w:noProof/>
        </w:rPr>
        <w:sectPr w:rsidR="00FB0A0F" w:rsidRPr="001205DB" w:rsidSect="00FE5A09">
          <w:pgSz w:w="11907" w:h="16840" w:code="1"/>
          <w:pgMar w:top="1134" w:right="1418" w:bottom="1134" w:left="1418" w:header="709" w:footer="709" w:gutter="0"/>
          <w:cols w:space="708"/>
          <w:docGrid w:linePitch="360"/>
        </w:sectPr>
      </w:pPr>
    </w:p>
    <w:p w:rsidR="00FB0A0F" w:rsidRPr="001205DB" w:rsidRDefault="00FB0A0F" w:rsidP="00FB0A0F">
      <w:pPr>
        <w:pStyle w:val="Heading2"/>
        <w:rPr>
          <w:bCs w:val="0"/>
          <w:noProof/>
          <w:szCs w:val="24"/>
        </w:rPr>
      </w:pPr>
      <w:r w:rsidRPr="001205DB">
        <w:lastRenderedPageBreak/>
        <w:t xml:space="preserve">Paredzamā ietekme uz izdevumiem </w:t>
      </w:r>
    </w:p>
    <w:p w:rsidR="00FB0A0F" w:rsidRPr="001205DB" w:rsidRDefault="00FB0A0F" w:rsidP="00FB0A0F">
      <w:pPr>
        <w:pStyle w:val="Heading3"/>
        <w:rPr>
          <w:noProof/>
          <w:u w:val="single"/>
        </w:rPr>
      </w:pPr>
      <w:r w:rsidRPr="001205DB">
        <w:t>Kopsavilkums par paredzamo ietekmi uz izdevumiem</w:t>
      </w:r>
      <w:r w:rsidRPr="001205DB">
        <w:rPr>
          <w:rStyle w:val="FootnoteReference"/>
        </w:rPr>
        <w:footnoteReference w:id="47"/>
      </w:r>
    </w:p>
    <w:p w:rsidR="00FB0A0F" w:rsidRPr="001205DB" w:rsidRDefault="00FB0A0F" w:rsidP="00FB0A0F">
      <w:pPr>
        <w:jc w:val="right"/>
        <w:rPr>
          <w:noProof/>
          <w:sz w:val="20"/>
        </w:rPr>
      </w:pPr>
      <w:r w:rsidRPr="001205DB">
        <w:rPr>
          <w:noProof/>
          <w:sz w:val="20"/>
        </w:rPr>
        <w:t>miljonos EUR (trīs zīmes aiz komata)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B0A0F" w:rsidRPr="001205DB" w:rsidTr="00704716">
        <w:trPr>
          <w:jc w:val="center"/>
        </w:trPr>
        <w:tc>
          <w:tcPr>
            <w:tcW w:w="4744" w:type="dxa"/>
            <w:shd w:val="thinDiagStripe" w:color="C0C0C0" w:fill="auto"/>
            <w:vAlign w:val="center"/>
          </w:tcPr>
          <w:p w:rsidR="00FB0A0F" w:rsidRPr="001205DB" w:rsidRDefault="00FB0A0F" w:rsidP="00704716">
            <w:pPr>
              <w:spacing w:before="60" w:after="60"/>
              <w:jc w:val="center"/>
              <w:rPr>
                <w:b/>
                <w:noProof/>
              </w:rPr>
            </w:pPr>
            <w:r w:rsidRPr="001205DB">
              <w:rPr>
                <w:b/>
              </w:rPr>
              <w:t>Daudzgadu finanšu shēmas</w:t>
            </w:r>
            <w:r w:rsidRPr="001205DB">
              <w:rPr>
                <w:noProof/>
                <w:sz w:val="22"/>
              </w:rPr>
              <w:br/>
            </w:r>
            <w:r w:rsidRPr="001205DB">
              <w:rPr>
                <w:b/>
                <w:noProof/>
                <w:sz w:val="22"/>
              </w:rPr>
              <w:t xml:space="preserve">izdevumu kategorija </w:t>
            </w:r>
          </w:p>
        </w:tc>
        <w:tc>
          <w:tcPr>
            <w:tcW w:w="1080" w:type="dxa"/>
            <w:vAlign w:val="center"/>
          </w:tcPr>
          <w:p w:rsidR="00FB0A0F" w:rsidRPr="001205DB" w:rsidRDefault="00FB0A0F" w:rsidP="00704716">
            <w:pPr>
              <w:spacing w:before="60" w:after="60"/>
              <w:jc w:val="center"/>
              <w:rPr>
                <w:noProof/>
              </w:rPr>
            </w:pPr>
            <w:r w:rsidRPr="001205DB">
              <w:t>3</w:t>
            </w:r>
          </w:p>
        </w:tc>
        <w:tc>
          <w:tcPr>
            <w:tcW w:w="7817" w:type="dxa"/>
            <w:vAlign w:val="center"/>
          </w:tcPr>
          <w:p w:rsidR="00FB0A0F" w:rsidRPr="001205DB" w:rsidRDefault="00FB0A0F" w:rsidP="00704716">
            <w:pPr>
              <w:spacing w:before="60" w:after="60"/>
              <w:rPr>
                <w:noProof/>
              </w:rPr>
            </w:pPr>
            <w:r w:rsidRPr="001205DB">
              <w:rPr>
                <w:sz w:val="20"/>
              </w:rPr>
              <w:t>Dabas resursi un vide</w:t>
            </w:r>
          </w:p>
        </w:tc>
      </w:tr>
    </w:tbl>
    <w:p w:rsidR="00FB0A0F" w:rsidRPr="001205DB" w:rsidRDefault="00FB0A0F" w:rsidP="00FB0A0F">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320"/>
        <w:gridCol w:w="480"/>
        <w:gridCol w:w="1003"/>
        <w:gridCol w:w="1004"/>
        <w:gridCol w:w="1003"/>
        <w:gridCol w:w="1004"/>
        <w:gridCol w:w="1003"/>
        <w:gridCol w:w="1004"/>
        <w:gridCol w:w="1003"/>
        <w:gridCol w:w="1097"/>
        <w:gridCol w:w="1196"/>
      </w:tblGrid>
      <w:tr w:rsidR="00FB0A0F" w:rsidRPr="001205DB" w:rsidTr="00704716">
        <w:trPr>
          <w:jc w:val="center"/>
        </w:trPr>
        <w:tc>
          <w:tcPr>
            <w:tcW w:w="5154" w:type="dxa"/>
            <w:gridSpan w:val="3"/>
            <w:tcBorders>
              <w:top w:val="nil"/>
              <w:left w:val="nil"/>
              <w:bottom w:val="nil"/>
              <w:right w:val="single" w:sz="4" w:space="0" w:color="auto"/>
            </w:tcBorders>
            <w:vAlign w:val="center"/>
          </w:tcPr>
          <w:p w:rsidR="00FB0A0F" w:rsidRPr="001205DB" w:rsidRDefault="00FB0A0F" w:rsidP="00704716">
            <w:pPr>
              <w:jc w:val="center"/>
              <w:rPr>
                <w:b/>
                <w:noProof/>
                <w:sz w:val="20"/>
              </w:rPr>
            </w:pPr>
          </w:p>
        </w:tc>
        <w:tc>
          <w:tcPr>
            <w:tcW w:w="1003" w:type="dxa"/>
            <w:tcBorders>
              <w:left w:val="single" w:sz="4" w:space="0" w:color="auto"/>
            </w:tcBorders>
            <w:vAlign w:val="center"/>
          </w:tcPr>
          <w:p w:rsidR="00FB0A0F" w:rsidRPr="001205DB" w:rsidRDefault="00FB0A0F" w:rsidP="00704716">
            <w:pPr>
              <w:jc w:val="center"/>
              <w:rPr>
                <w:b/>
                <w:noProof/>
                <w:sz w:val="20"/>
              </w:rPr>
            </w:pPr>
            <w:r w:rsidRPr="001205DB">
              <w:rPr>
                <w:b/>
                <w:noProof/>
                <w:sz w:val="20"/>
              </w:rPr>
              <w:t>2021</w:t>
            </w:r>
          </w:p>
        </w:tc>
        <w:tc>
          <w:tcPr>
            <w:tcW w:w="1004" w:type="dxa"/>
            <w:vAlign w:val="center"/>
          </w:tcPr>
          <w:p w:rsidR="00FB0A0F" w:rsidRPr="001205DB" w:rsidRDefault="00FB0A0F" w:rsidP="00704716">
            <w:pPr>
              <w:jc w:val="center"/>
              <w:rPr>
                <w:b/>
                <w:noProof/>
                <w:sz w:val="20"/>
              </w:rPr>
            </w:pPr>
            <w:r w:rsidRPr="001205DB">
              <w:rPr>
                <w:b/>
                <w:noProof/>
                <w:sz w:val="20"/>
              </w:rPr>
              <w:t>2022</w:t>
            </w:r>
          </w:p>
        </w:tc>
        <w:tc>
          <w:tcPr>
            <w:tcW w:w="1003" w:type="dxa"/>
            <w:vAlign w:val="center"/>
          </w:tcPr>
          <w:p w:rsidR="00FB0A0F" w:rsidRPr="001205DB" w:rsidRDefault="00FB0A0F" w:rsidP="00704716">
            <w:pPr>
              <w:jc w:val="center"/>
              <w:rPr>
                <w:b/>
                <w:noProof/>
                <w:sz w:val="20"/>
              </w:rPr>
            </w:pPr>
            <w:r w:rsidRPr="001205DB">
              <w:rPr>
                <w:b/>
                <w:noProof/>
                <w:sz w:val="20"/>
              </w:rPr>
              <w:t>2023</w:t>
            </w:r>
          </w:p>
        </w:tc>
        <w:tc>
          <w:tcPr>
            <w:tcW w:w="1004" w:type="dxa"/>
            <w:vAlign w:val="center"/>
          </w:tcPr>
          <w:p w:rsidR="00FB0A0F" w:rsidRPr="001205DB" w:rsidRDefault="00FB0A0F" w:rsidP="00704716">
            <w:pPr>
              <w:jc w:val="center"/>
              <w:rPr>
                <w:b/>
                <w:noProof/>
                <w:sz w:val="20"/>
              </w:rPr>
            </w:pPr>
            <w:r w:rsidRPr="001205DB">
              <w:rPr>
                <w:b/>
                <w:noProof/>
                <w:sz w:val="20"/>
              </w:rPr>
              <w:t>2024</w:t>
            </w:r>
          </w:p>
        </w:tc>
        <w:tc>
          <w:tcPr>
            <w:tcW w:w="1003" w:type="dxa"/>
            <w:vAlign w:val="center"/>
          </w:tcPr>
          <w:p w:rsidR="00FB0A0F" w:rsidRPr="001205DB" w:rsidRDefault="00FB0A0F" w:rsidP="00704716">
            <w:pPr>
              <w:jc w:val="center"/>
              <w:rPr>
                <w:b/>
                <w:noProof/>
                <w:sz w:val="18"/>
              </w:rPr>
            </w:pPr>
            <w:r w:rsidRPr="001205DB">
              <w:rPr>
                <w:b/>
                <w:noProof/>
                <w:sz w:val="18"/>
              </w:rPr>
              <w:t>2025</w:t>
            </w:r>
          </w:p>
        </w:tc>
        <w:tc>
          <w:tcPr>
            <w:tcW w:w="1004" w:type="dxa"/>
            <w:vAlign w:val="center"/>
          </w:tcPr>
          <w:p w:rsidR="00FB0A0F" w:rsidRPr="001205DB" w:rsidRDefault="00FB0A0F" w:rsidP="00704716">
            <w:pPr>
              <w:jc w:val="center"/>
              <w:rPr>
                <w:b/>
                <w:noProof/>
                <w:sz w:val="18"/>
              </w:rPr>
            </w:pPr>
            <w:r w:rsidRPr="001205DB">
              <w:rPr>
                <w:b/>
                <w:noProof/>
                <w:sz w:val="18"/>
              </w:rPr>
              <w:t>2026</w:t>
            </w:r>
          </w:p>
        </w:tc>
        <w:tc>
          <w:tcPr>
            <w:tcW w:w="1003" w:type="dxa"/>
            <w:vAlign w:val="center"/>
          </w:tcPr>
          <w:p w:rsidR="00FB0A0F" w:rsidRPr="001205DB" w:rsidRDefault="00FB0A0F" w:rsidP="00704716">
            <w:pPr>
              <w:jc w:val="center"/>
              <w:rPr>
                <w:b/>
                <w:noProof/>
                <w:sz w:val="18"/>
              </w:rPr>
            </w:pPr>
            <w:r w:rsidRPr="001205DB">
              <w:rPr>
                <w:b/>
                <w:noProof/>
                <w:sz w:val="18"/>
              </w:rPr>
              <w:t>2027</w:t>
            </w:r>
          </w:p>
        </w:tc>
        <w:tc>
          <w:tcPr>
            <w:tcW w:w="1097" w:type="dxa"/>
          </w:tcPr>
          <w:p w:rsidR="00FB0A0F" w:rsidRPr="001205DB" w:rsidRDefault="00FB0A0F" w:rsidP="00704716">
            <w:pPr>
              <w:jc w:val="center"/>
              <w:rPr>
                <w:b/>
                <w:i/>
                <w:noProof/>
                <w:sz w:val="20"/>
              </w:rPr>
            </w:pPr>
            <w:r w:rsidRPr="001205DB">
              <w:rPr>
                <w:b/>
                <w:i/>
                <w:noProof/>
                <w:sz w:val="20"/>
              </w:rPr>
              <w:t>Pēc 2027. gada</w:t>
            </w:r>
          </w:p>
        </w:tc>
        <w:tc>
          <w:tcPr>
            <w:tcW w:w="1196" w:type="dxa"/>
            <w:vAlign w:val="center"/>
          </w:tcPr>
          <w:p w:rsidR="00FB0A0F" w:rsidRPr="001205DB" w:rsidRDefault="00FB0A0F" w:rsidP="00704716">
            <w:pPr>
              <w:jc w:val="center"/>
              <w:rPr>
                <w:b/>
                <w:noProof/>
                <w:sz w:val="20"/>
              </w:rPr>
            </w:pPr>
            <w:r w:rsidRPr="001205DB">
              <w:rPr>
                <w:b/>
                <w:noProof/>
                <w:sz w:val="20"/>
              </w:rPr>
              <w:t>KOPĀ</w:t>
            </w:r>
          </w:p>
        </w:tc>
      </w:tr>
      <w:tr w:rsidR="005900D0" w:rsidRPr="001205DB" w:rsidTr="00704716">
        <w:trPr>
          <w:trHeight w:val="433"/>
          <w:jc w:val="center"/>
        </w:trPr>
        <w:tc>
          <w:tcPr>
            <w:tcW w:w="3354" w:type="dxa"/>
            <w:vMerge w:val="restart"/>
            <w:vAlign w:val="center"/>
          </w:tcPr>
          <w:p w:rsidR="005900D0" w:rsidRPr="001205DB" w:rsidRDefault="005900D0" w:rsidP="00704716">
            <w:pPr>
              <w:rPr>
                <w:noProof/>
              </w:rPr>
            </w:pPr>
            <w:r w:rsidRPr="001205DB">
              <w:rPr>
                <w:noProof/>
                <w:sz w:val="20"/>
              </w:rPr>
              <w:t>09 02 XX XX Daba un biodaudzveidība</w:t>
            </w:r>
          </w:p>
        </w:tc>
        <w:tc>
          <w:tcPr>
            <w:tcW w:w="1320" w:type="dxa"/>
            <w:vAlign w:val="center"/>
          </w:tcPr>
          <w:p w:rsidR="005900D0" w:rsidRPr="001205DB" w:rsidRDefault="005900D0" w:rsidP="00704716">
            <w:pPr>
              <w:spacing w:before="20" w:after="20"/>
              <w:jc w:val="left"/>
              <w:rPr>
                <w:noProof/>
                <w:sz w:val="18"/>
              </w:rPr>
            </w:pPr>
            <w:r w:rsidRPr="001205DB">
              <w:rPr>
                <w:noProof/>
                <w:sz w:val="18"/>
              </w:rPr>
              <w:t>Saistības</w:t>
            </w:r>
          </w:p>
        </w:tc>
        <w:tc>
          <w:tcPr>
            <w:tcW w:w="480" w:type="dxa"/>
            <w:vAlign w:val="center"/>
          </w:tcPr>
          <w:p w:rsidR="005900D0" w:rsidRPr="001205DB" w:rsidRDefault="005900D0" w:rsidP="00704716">
            <w:pPr>
              <w:spacing w:before="20" w:after="20"/>
              <w:jc w:val="center"/>
              <w:rPr>
                <w:noProof/>
                <w:sz w:val="14"/>
              </w:rPr>
            </w:pPr>
            <w:r w:rsidRPr="001205DB">
              <w:rPr>
                <w:noProof/>
                <w:sz w:val="14"/>
              </w:rPr>
              <w:t>(1)</w:t>
            </w:r>
          </w:p>
        </w:tc>
        <w:tc>
          <w:tcPr>
            <w:tcW w:w="1003" w:type="dxa"/>
            <w:vAlign w:val="center"/>
          </w:tcPr>
          <w:p w:rsidR="005900D0" w:rsidRPr="001205DB" w:rsidRDefault="005900D0" w:rsidP="00704716">
            <w:pPr>
              <w:jc w:val="right"/>
              <w:rPr>
                <w:bCs/>
                <w:color w:val="000000"/>
                <w:sz w:val="20"/>
                <w:szCs w:val="20"/>
              </w:rPr>
            </w:pPr>
            <w:r w:rsidRPr="001205DB">
              <w:rPr>
                <w:b/>
                <w:color w:val="000000"/>
                <w:sz w:val="20"/>
              </w:rPr>
              <w:t>261,992</w:t>
            </w:r>
          </w:p>
        </w:tc>
        <w:tc>
          <w:tcPr>
            <w:tcW w:w="1004" w:type="dxa"/>
            <w:vAlign w:val="center"/>
          </w:tcPr>
          <w:p w:rsidR="005900D0" w:rsidRPr="001205DB" w:rsidRDefault="005900D0" w:rsidP="00704716">
            <w:pPr>
              <w:jc w:val="right"/>
              <w:rPr>
                <w:bCs/>
                <w:color w:val="000000"/>
                <w:sz w:val="20"/>
                <w:szCs w:val="20"/>
              </w:rPr>
            </w:pPr>
            <w:r w:rsidRPr="001205DB">
              <w:rPr>
                <w:b/>
                <w:color w:val="000000"/>
                <w:sz w:val="20"/>
              </w:rPr>
              <w:t>268,057</w:t>
            </w:r>
          </w:p>
        </w:tc>
        <w:tc>
          <w:tcPr>
            <w:tcW w:w="1003" w:type="dxa"/>
            <w:vAlign w:val="center"/>
          </w:tcPr>
          <w:p w:rsidR="005900D0" w:rsidRPr="001205DB" w:rsidRDefault="005900D0" w:rsidP="00704716">
            <w:pPr>
              <w:jc w:val="right"/>
              <w:rPr>
                <w:bCs/>
                <w:color w:val="000000"/>
                <w:sz w:val="20"/>
                <w:szCs w:val="20"/>
              </w:rPr>
            </w:pPr>
            <w:r w:rsidRPr="001205DB">
              <w:rPr>
                <w:b/>
                <w:color w:val="000000"/>
                <w:sz w:val="20"/>
              </w:rPr>
              <w:t>277,446</w:t>
            </w:r>
          </w:p>
        </w:tc>
        <w:tc>
          <w:tcPr>
            <w:tcW w:w="1004" w:type="dxa"/>
            <w:vAlign w:val="center"/>
          </w:tcPr>
          <w:p w:rsidR="005900D0" w:rsidRPr="001205DB" w:rsidRDefault="005900D0" w:rsidP="00704716">
            <w:pPr>
              <w:jc w:val="right"/>
              <w:rPr>
                <w:bCs/>
                <w:color w:val="000000"/>
                <w:sz w:val="20"/>
                <w:szCs w:val="20"/>
              </w:rPr>
            </w:pPr>
            <w:r w:rsidRPr="001205DB">
              <w:rPr>
                <w:b/>
                <w:color w:val="000000"/>
                <w:sz w:val="20"/>
              </w:rPr>
              <w:t>290,490</w:t>
            </w:r>
          </w:p>
        </w:tc>
        <w:tc>
          <w:tcPr>
            <w:tcW w:w="1003" w:type="dxa"/>
            <w:vAlign w:val="center"/>
          </w:tcPr>
          <w:p w:rsidR="005900D0" w:rsidRPr="001205DB" w:rsidRDefault="005900D0" w:rsidP="00704716">
            <w:pPr>
              <w:jc w:val="right"/>
              <w:rPr>
                <w:bCs/>
                <w:color w:val="000000"/>
                <w:sz w:val="20"/>
                <w:szCs w:val="20"/>
              </w:rPr>
            </w:pPr>
            <w:r w:rsidRPr="001205DB">
              <w:rPr>
                <w:b/>
                <w:color w:val="000000"/>
                <w:sz w:val="20"/>
              </w:rPr>
              <w:t>307,658</w:t>
            </w:r>
          </w:p>
        </w:tc>
        <w:tc>
          <w:tcPr>
            <w:tcW w:w="1004" w:type="dxa"/>
            <w:vAlign w:val="center"/>
          </w:tcPr>
          <w:p w:rsidR="005900D0" w:rsidRPr="001205DB" w:rsidRDefault="005900D0" w:rsidP="00704716">
            <w:pPr>
              <w:jc w:val="right"/>
              <w:rPr>
                <w:bCs/>
                <w:color w:val="000000"/>
                <w:sz w:val="20"/>
                <w:szCs w:val="20"/>
              </w:rPr>
            </w:pPr>
            <w:r w:rsidRPr="001205DB">
              <w:rPr>
                <w:b/>
                <w:color w:val="000000"/>
                <w:sz w:val="20"/>
              </w:rPr>
              <w:t>329,587</w:t>
            </w:r>
          </w:p>
        </w:tc>
        <w:tc>
          <w:tcPr>
            <w:tcW w:w="1003" w:type="dxa"/>
            <w:vAlign w:val="center"/>
          </w:tcPr>
          <w:p w:rsidR="005900D0" w:rsidRPr="001205DB" w:rsidRDefault="005900D0" w:rsidP="00704716">
            <w:pPr>
              <w:jc w:val="right"/>
              <w:rPr>
                <w:bCs/>
                <w:color w:val="000000"/>
                <w:sz w:val="20"/>
                <w:szCs w:val="20"/>
              </w:rPr>
            </w:pPr>
            <w:r w:rsidRPr="001205DB">
              <w:rPr>
                <w:b/>
                <w:color w:val="000000"/>
                <w:sz w:val="20"/>
              </w:rPr>
              <w:t>355,431</w:t>
            </w:r>
          </w:p>
        </w:tc>
        <w:tc>
          <w:tcPr>
            <w:tcW w:w="1097" w:type="dxa"/>
            <w:shd w:val="clear" w:color="auto" w:fill="A6A6A6" w:themeFill="background1" w:themeFillShade="A6"/>
            <w:vAlign w:val="center"/>
          </w:tcPr>
          <w:p w:rsidR="005900D0" w:rsidRPr="001205DB" w:rsidRDefault="005900D0" w:rsidP="00704716">
            <w:pPr>
              <w:jc w:val="right"/>
              <w:rPr>
                <w:bCs/>
                <w:color w:val="FFFFFF"/>
                <w:sz w:val="20"/>
                <w:szCs w:val="20"/>
              </w:rPr>
            </w:pPr>
            <w:r w:rsidRPr="001205DB">
              <w:rPr>
                <w:rFonts w:ascii="Calibri" w:hAnsi="Calibri"/>
                <w:color w:val="FFFFFF"/>
                <w:sz w:val="22"/>
              </w:rPr>
              <w:t>0,000</w:t>
            </w:r>
          </w:p>
        </w:tc>
        <w:tc>
          <w:tcPr>
            <w:tcW w:w="1196" w:type="dxa"/>
            <w:vAlign w:val="center"/>
          </w:tcPr>
          <w:p w:rsidR="005900D0" w:rsidRPr="001205DB" w:rsidRDefault="005900D0" w:rsidP="00704716">
            <w:pPr>
              <w:jc w:val="right"/>
              <w:rPr>
                <w:bCs/>
                <w:color w:val="000000"/>
                <w:sz w:val="20"/>
                <w:szCs w:val="20"/>
              </w:rPr>
            </w:pPr>
            <w:r w:rsidRPr="001205DB">
              <w:rPr>
                <w:b/>
                <w:color w:val="000000"/>
                <w:sz w:val="20"/>
              </w:rPr>
              <w:t>2090,660</w:t>
            </w:r>
          </w:p>
        </w:tc>
      </w:tr>
      <w:tr w:rsidR="00FB0A0F" w:rsidRPr="001205DB" w:rsidTr="00704716">
        <w:trPr>
          <w:trHeight w:val="433"/>
          <w:jc w:val="center"/>
        </w:trPr>
        <w:tc>
          <w:tcPr>
            <w:tcW w:w="3354" w:type="dxa"/>
            <w:vMerge/>
          </w:tcPr>
          <w:p w:rsidR="00FB0A0F" w:rsidRPr="001205DB" w:rsidRDefault="00FB0A0F" w:rsidP="00704716">
            <w:pPr>
              <w:rPr>
                <w:noProof/>
                <w:sz w:val="20"/>
              </w:rPr>
            </w:pPr>
          </w:p>
        </w:tc>
        <w:tc>
          <w:tcPr>
            <w:tcW w:w="1320" w:type="dxa"/>
            <w:vAlign w:val="center"/>
          </w:tcPr>
          <w:p w:rsidR="00FB0A0F" w:rsidRPr="001205DB" w:rsidRDefault="00FB0A0F" w:rsidP="00704716">
            <w:pPr>
              <w:spacing w:before="20" w:after="20"/>
              <w:jc w:val="left"/>
              <w:rPr>
                <w:noProof/>
                <w:sz w:val="18"/>
              </w:rPr>
            </w:pPr>
            <w:r w:rsidRPr="001205DB">
              <w:rPr>
                <w:noProof/>
                <w:sz w:val="18"/>
              </w:rPr>
              <w:t>Maksājumi</w:t>
            </w:r>
          </w:p>
        </w:tc>
        <w:tc>
          <w:tcPr>
            <w:tcW w:w="480" w:type="dxa"/>
            <w:vAlign w:val="center"/>
          </w:tcPr>
          <w:p w:rsidR="00FB0A0F" w:rsidRPr="001205DB" w:rsidRDefault="00FB0A0F" w:rsidP="00704716">
            <w:pPr>
              <w:spacing w:before="20" w:after="20"/>
              <w:jc w:val="center"/>
              <w:rPr>
                <w:noProof/>
                <w:sz w:val="14"/>
              </w:rPr>
            </w:pPr>
            <w:r w:rsidRPr="001205DB">
              <w:rPr>
                <w:noProof/>
                <w:sz w:val="14"/>
              </w:rPr>
              <w:t>(2)</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9,268</w:t>
            </w:r>
          </w:p>
        </w:tc>
        <w:tc>
          <w:tcPr>
            <w:tcW w:w="1004" w:type="dxa"/>
            <w:vAlign w:val="center"/>
          </w:tcPr>
          <w:p w:rsidR="00FB0A0F" w:rsidRPr="001205DB" w:rsidRDefault="00FB0A0F" w:rsidP="00704716">
            <w:pPr>
              <w:jc w:val="right"/>
              <w:rPr>
                <w:bCs/>
                <w:color w:val="000000"/>
                <w:sz w:val="20"/>
                <w:szCs w:val="20"/>
              </w:rPr>
            </w:pPr>
            <w:r w:rsidRPr="001205DB">
              <w:rPr>
                <w:color w:val="000000"/>
                <w:sz w:val="20"/>
              </w:rPr>
              <w:t>102,459</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127,137</w:t>
            </w:r>
          </w:p>
        </w:tc>
        <w:tc>
          <w:tcPr>
            <w:tcW w:w="1004" w:type="dxa"/>
            <w:vAlign w:val="center"/>
          </w:tcPr>
          <w:p w:rsidR="00FB0A0F" w:rsidRPr="001205DB" w:rsidRDefault="00FB0A0F" w:rsidP="00704716">
            <w:pPr>
              <w:jc w:val="right"/>
              <w:rPr>
                <w:bCs/>
                <w:color w:val="000000"/>
                <w:sz w:val="20"/>
                <w:szCs w:val="20"/>
              </w:rPr>
            </w:pPr>
            <w:r w:rsidRPr="001205DB">
              <w:rPr>
                <w:color w:val="000000"/>
                <w:sz w:val="20"/>
              </w:rPr>
              <w:t>156,468</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191,813</w:t>
            </w:r>
          </w:p>
        </w:tc>
        <w:tc>
          <w:tcPr>
            <w:tcW w:w="1004" w:type="dxa"/>
            <w:vAlign w:val="center"/>
          </w:tcPr>
          <w:p w:rsidR="00FB0A0F" w:rsidRPr="001205DB" w:rsidRDefault="00FB0A0F" w:rsidP="00704716">
            <w:pPr>
              <w:jc w:val="right"/>
              <w:rPr>
                <w:bCs/>
                <w:color w:val="000000"/>
                <w:sz w:val="20"/>
                <w:szCs w:val="20"/>
              </w:rPr>
            </w:pPr>
            <w:r w:rsidRPr="001205DB">
              <w:rPr>
                <w:color w:val="000000"/>
                <w:sz w:val="20"/>
              </w:rPr>
              <w:t>228,469</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258,373</w:t>
            </w:r>
          </w:p>
        </w:tc>
        <w:tc>
          <w:tcPr>
            <w:tcW w:w="1097" w:type="dxa"/>
            <w:shd w:val="clear" w:color="auto" w:fill="FFFFFF" w:themeFill="background1"/>
            <w:vAlign w:val="center"/>
          </w:tcPr>
          <w:p w:rsidR="00FB0A0F" w:rsidRPr="001205DB" w:rsidRDefault="00FB0A0F" w:rsidP="00704716">
            <w:pPr>
              <w:jc w:val="right"/>
              <w:rPr>
                <w:bCs/>
                <w:color w:val="000000"/>
                <w:sz w:val="20"/>
                <w:szCs w:val="20"/>
              </w:rPr>
            </w:pPr>
            <w:r w:rsidRPr="001205DB">
              <w:rPr>
                <w:color w:val="000000"/>
                <w:sz w:val="20"/>
              </w:rPr>
              <w:t>1016,672</w:t>
            </w:r>
          </w:p>
        </w:tc>
        <w:tc>
          <w:tcPr>
            <w:tcW w:w="1196" w:type="dxa"/>
            <w:vAlign w:val="center"/>
          </w:tcPr>
          <w:p w:rsidR="00FB0A0F" w:rsidRPr="001205DB" w:rsidRDefault="00FB0A0F" w:rsidP="00704716">
            <w:pPr>
              <w:jc w:val="right"/>
              <w:rPr>
                <w:bCs/>
                <w:color w:val="000000"/>
                <w:sz w:val="20"/>
                <w:szCs w:val="20"/>
              </w:rPr>
            </w:pPr>
            <w:r w:rsidRPr="001205DB">
              <w:rPr>
                <w:b/>
                <w:color w:val="000000"/>
                <w:sz w:val="20"/>
              </w:rPr>
              <w:t>2090,660</w:t>
            </w:r>
          </w:p>
        </w:tc>
      </w:tr>
      <w:tr w:rsidR="005900D0" w:rsidRPr="001205DB" w:rsidTr="00704716">
        <w:trPr>
          <w:trHeight w:val="433"/>
          <w:jc w:val="center"/>
        </w:trPr>
        <w:tc>
          <w:tcPr>
            <w:tcW w:w="3354" w:type="dxa"/>
            <w:vMerge w:val="restart"/>
            <w:vAlign w:val="center"/>
          </w:tcPr>
          <w:p w:rsidR="005900D0" w:rsidRPr="001205DB" w:rsidRDefault="005900D0" w:rsidP="00704716">
            <w:pPr>
              <w:rPr>
                <w:noProof/>
                <w:sz w:val="20"/>
              </w:rPr>
            </w:pPr>
            <w:r w:rsidRPr="001205DB">
              <w:rPr>
                <w:noProof/>
                <w:sz w:val="20"/>
              </w:rPr>
              <w:t>09 02 XX XX Aprites ekonomika un dzīves kvalitāte</w:t>
            </w:r>
          </w:p>
        </w:tc>
        <w:tc>
          <w:tcPr>
            <w:tcW w:w="1320" w:type="dxa"/>
            <w:vAlign w:val="center"/>
          </w:tcPr>
          <w:p w:rsidR="005900D0" w:rsidRPr="001205DB" w:rsidRDefault="005900D0" w:rsidP="00704716">
            <w:pPr>
              <w:spacing w:before="20" w:after="20"/>
              <w:jc w:val="left"/>
              <w:rPr>
                <w:noProof/>
                <w:sz w:val="18"/>
              </w:rPr>
            </w:pPr>
            <w:r w:rsidRPr="001205DB">
              <w:rPr>
                <w:noProof/>
                <w:sz w:val="18"/>
              </w:rPr>
              <w:t>Saistības</w:t>
            </w:r>
          </w:p>
        </w:tc>
        <w:tc>
          <w:tcPr>
            <w:tcW w:w="480" w:type="dxa"/>
            <w:vAlign w:val="center"/>
          </w:tcPr>
          <w:p w:rsidR="005900D0" w:rsidRPr="001205DB" w:rsidRDefault="005900D0" w:rsidP="00704716">
            <w:pPr>
              <w:spacing w:before="20" w:after="20"/>
              <w:jc w:val="center"/>
              <w:rPr>
                <w:noProof/>
                <w:sz w:val="14"/>
              </w:rPr>
            </w:pPr>
            <w:r w:rsidRPr="001205DB">
              <w:rPr>
                <w:noProof/>
                <w:sz w:val="14"/>
              </w:rPr>
              <w:t>(1)</w:t>
            </w:r>
          </w:p>
        </w:tc>
        <w:tc>
          <w:tcPr>
            <w:tcW w:w="1003" w:type="dxa"/>
            <w:vAlign w:val="center"/>
          </w:tcPr>
          <w:p w:rsidR="005900D0" w:rsidRPr="001205DB" w:rsidRDefault="005900D0" w:rsidP="00704716">
            <w:pPr>
              <w:jc w:val="right"/>
              <w:rPr>
                <w:bCs/>
                <w:color w:val="000000"/>
                <w:sz w:val="20"/>
                <w:szCs w:val="20"/>
              </w:rPr>
            </w:pPr>
            <w:r w:rsidRPr="001205DB">
              <w:rPr>
                <w:b/>
                <w:color w:val="000000"/>
                <w:sz w:val="20"/>
              </w:rPr>
              <w:t>164,507</w:t>
            </w:r>
          </w:p>
        </w:tc>
        <w:tc>
          <w:tcPr>
            <w:tcW w:w="1004" w:type="dxa"/>
            <w:vAlign w:val="center"/>
          </w:tcPr>
          <w:p w:rsidR="005900D0" w:rsidRPr="001205DB" w:rsidRDefault="005900D0" w:rsidP="00704716">
            <w:pPr>
              <w:jc w:val="right"/>
              <w:rPr>
                <w:bCs/>
                <w:color w:val="000000"/>
                <w:sz w:val="20"/>
                <w:szCs w:val="20"/>
              </w:rPr>
            </w:pPr>
            <w:r w:rsidRPr="001205DB">
              <w:rPr>
                <w:b/>
                <w:color w:val="000000"/>
                <w:sz w:val="20"/>
              </w:rPr>
              <w:t>168,315</w:t>
            </w:r>
          </w:p>
        </w:tc>
        <w:tc>
          <w:tcPr>
            <w:tcW w:w="1003" w:type="dxa"/>
            <w:vAlign w:val="center"/>
          </w:tcPr>
          <w:p w:rsidR="005900D0" w:rsidRPr="001205DB" w:rsidRDefault="005900D0" w:rsidP="00704716">
            <w:pPr>
              <w:jc w:val="right"/>
              <w:rPr>
                <w:bCs/>
                <w:color w:val="000000"/>
                <w:sz w:val="20"/>
                <w:szCs w:val="20"/>
              </w:rPr>
            </w:pPr>
            <w:r w:rsidRPr="001205DB">
              <w:rPr>
                <w:b/>
                <w:color w:val="000000"/>
                <w:sz w:val="20"/>
              </w:rPr>
              <w:t>174,210</w:t>
            </w:r>
          </w:p>
        </w:tc>
        <w:tc>
          <w:tcPr>
            <w:tcW w:w="1004" w:type="dxa"/>
            <w:vAlign w:val="center"/>
          </w:tcPr>
          <w:p w:rsidR="005900D0" w:rsidRPr="001205DB" w:rsidRDefault="005900D0" w:rsidP="00704716">
            <w:pPr>
              <w:jc w:val="right"/>
              <w:rPr>
                <w:bCs/>
                <w:color w:val="000000"/>
                <w:sz w:val="20"/>
                <w:szCs w:val="20"/>
              </w:rPr>
            </w:pPr>
            <w:r w:rsidRPr="001205DB">
              <w:rPr>
                <w:b/>
                <w:color w:val="000000"/>
                <w:sz w:val="20"/>
              </w:rPr>
              <w:t>182,400</w:t>
            </w:r>
          </w:p>
        </w:tc>
        <w:tc>
          <w:tcPr>
            <w:tcW w:w="1003" w:type="dxa"/>
            <w:vAlign w:val="center"/>
          </w:tcPr>
          <w:p w:rsidR="005900D0" w:rsidRPr="001205DB" w:rsidRDefault="005900D0" w:rsidP="00704716">
            <w:pPr>
              <w:jc w:val="right"/>
              <w:rPr>
                <w:bCs/>
                <w:color w:val="000000"/>
                <w:sz w:val="20"/>
                <w:szCs w:val="20"/>
              </w:rPr>
            </w:pPr>
            <w:r w:rsidRPr="001205DB">
              <w:rPr>
                <w:b/>
                <w:color w:val="000000"/>
                <w:sz w:val="20"/>
              </w:rPr>
              <w:t>193,180</w:t>
            </w:r>
          </w:p>
        </w:tc>
        <w:tc>
          <w:tcPr>
            <w:tcW w:w="1004" w:type="dxa"/>
            <w:vAlign w:val="center"/>
          </w:tcPr>
          <w:p w:rsidR="005900D0" w:rsidRPr="001205DB" w:rsidRDefault="005900D0" w:rsidP="00704716">
            <w:pPr>
              <w:jc w:val="right"/>
              <w:rPr>
                <w:bCs/>
                <w:color w:val="000000"/>
                <w:sz w:val="20"/>
                <w:szCs w:val="20"/>
              </w:rPr>
            </w:pPr>
            <w:r w:rsidRPr="001205DB">
              <w:rPr>
                <w:b/>
                <w:color w:val="000000"/>
                <w:sz w:val="20"/>
              </w:rPr>
              <w:t>206,950</w:t>
            </w:r>
          </w:p>
        </w:tc>
        <w:tc>
          <w:tcPr>
            <w:tcW w:w="1003" w:type="dxa"/>
            <w:vAlign w:val="center"/>
          </w:tcPr>
          <w:p w:rsidR="005900D0" w:rsidRPr="001205DB" w:rsidRDefault="005900D0" w:rsidP="00704716">
            <w:pPr>
              <w:jc w:val="right"/>
              <w:rPr>
                <w:bCs/>
                <w:color w:val="000000"/>
                <w:sz w:val="20"/>
                <w:szCs w:val="20"/>
              </w:rPr>
            </w:pPr>
            <w:r w:rsidRPr="001205DB">
              <w:rPr>
                <w:b/>
                <w:color w:val="000000"/>
                <w:sz w:val="20"/>
              </w:rPr>
              <w:t>223,177</w:t>
            </w:r>
          </w:p>
        </w:tc>
        <w:tc>
          <w:tcPr>
            <w:tcW w:w="1097" w:type="dxa"/>
            <w:shd w:val="clear" w:color="auto" w:fill="A6A6A6" w:themeFill="background1" w:themeFillShade="A6"/>
            <w:vAlign w:val="center"/>
          </w:tcPr>
          <w:p w:rsidR="005900D0" w:rsidRPr="001205DB" w:rsidRDefault="005900D0" w:rsidP="00704716">
            <w:pPr>
              <w:jc w:val="right"/>
              <w:rPr>
                <w:bCs/>
                <w:color w:val="FFFFFF"/>
                <w:sz w:val="20"/>
                <w:szCs w:val="20"/>
              </w:rPr>
            </w:pPr>
            <w:r w:rsidRPr="001205DB">
              <w:rPr>
                <w:rFonts w:ascii="Calibri" w:hAnsi="Calibri"/>
                <w:color w:val="FFFFFF"/>
                <w:sz w:val="22"/>
              </w:rPr>
              <w:t>0,000</w:t>
            </w:r>
          </w:p>
        </w:tc>
        <w:tc>
          <w:tcPr>
            <w:tcW w:w="1196" w:type="dxa"/>
            <w:vAlign w:val="center"/>
          </w:tcPr>
          <w:p w:rsidR="005900D0" w:rsidRPr="001205DB" w:rsidRDefault="005900D0" w:rsidP="00704716">
            <w:pPr>
              <w:jc w:val="right"/>
              <w:rPr>
                <w:bCs/>
                <w:color w:val="000000"/>
                <w:sz w:val="20"/>
                <w:szCs w:val="20"/>
              </w:rPr>
            </w:pPr>
            <w:r w:rsidRPr="001205DB">
              <w:rPr>
                <w:b/>
                <w:color w:val="000000"/>
                <w:sz w:val="20"/>
              </w:rPr>
              <w:t>1312,740</w:t>
            </w:r>
          </w:p>
        </w:tc>
      </w:tr>
      <w:tr w:rsidR="00FB0A0F" w:rsidRPr="001205DB" w:rsidTr="00704716">
        <w:trPr>
          <w:trHeight w:val="433"/>
          <w:jc w:val="center"/>
        </w:trPr>
        <w:tc>
          <w:tcPr>
            <w:tcW w:w="3354" w:type="dxa"/>
            <w:vMerge/>
            <w:vAlign w:val="center"/>
          </w:tcPr>
          <w:p w:rsidR="00FB0A0F" w:rsidRPr="001205DB" w:rsidRDefault="00FB0A0F" w:rsidP="00704716">
            <w:pPr>
              <w:rPr>
                <w:noProof/>
                <w:sz w:val="20"/>
              </w:rPr>
            </w:pPr>
          </w:p>
        </w:tc>
        <w:tc>
          <w:tcPr>
            <w:tcW w:w="1320" w:type="dxa"/>
            <w:vAlign w:val="center"/>
          </w:tcPr>
          <w:p w:rsidR="00FB0A0F" w:rsidRPr="001205DB" w:rsidRDefault="00FB0A0F" w:rsidP="00704716">
            <w:pPr>
              <w:spacing w:before="20" w:after="20"/>
              <w:jc w:val="left"/>
              <w:rPr>
                <w:noProof/>
                <w:sz w:val="18"/>
              </w:rPr>
            </w:pPr>
            <w:r w:rsidRPr="001205DB">
              <w:rPr>
                <w:noProof/>
                <w:sz w:val="18"/>
              </w:rPr>
              <w:t>Maksājumi</w:t>
            </w:r>
          </w:p>
        </w:tc>
        <w:tc>
          <w:tcPr>
            <w:tcW w:w="480" w:type="dxa"/>
            <w:vAlign w:val="center"/>
          </w:tcPr>
          <w:p w:rsidR="00FB0A0F" w:rsidRPr="001205DB" w:rsidRDefault="00FB0A0F" w:rsidP="00704716">
            <w:pPr>
              <w:spacing w:before="20" w:after="20"/>
              <w:jc w:val="center"/>
              <w:rPr>
                <w:noProof/>
                <w:sz w:val="14"/>
              </w:rPr>
            </w:pPr>
            <w:r w:rsidRPr="001205DB">
              <w:rPr>
                <w:noProof/>
                <w:sz w:val="14"/>
              </w:rPr>
              <w:t>(2)</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5,820</w:t>
            </w:r>
          </w:p>
        </w:tc>
        <w:tc>
          <w:tcPr>
            <w:tcW w:w="1004" w:type="dxa"/>
            <w:vAlign w:val="center"/>
          </w:tcPr>
          <w:p w:rsidR="00FB0A0F" w:rsidRPr="001205DB" w:rsidRDefault="00FB0A0F" w:rsidP="00704716">
            <w:pPr>
              <w:jc w:val="right"/>
              <w:rPr>
                <w:bCs/>
                <w:color w:val="000000"/>
                <w:sz w:val="20"/>
                <w:szCs w:val="20"/>
              </w:rPr>
            </w:pPr>
            <w:r w:rsidRPr="001205DB">
              <w:rPr>
                <w:color w:val="000000"/>
                <w:sz w:val="20"/>
              </w:rPr>
              <w:t>64,335</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79,831</w:t>
            </w:r>
          </w:p>
        </w:tc>
        <w:tc>
          <w:tcPr>
            <w:tcW w:w="1004" w:type="dxa"/>
            <w:vAlign w:val="center"/>
          </w:tcPr>
          <w:p w:rsidR="00FB0A0F" w:rsidRPr="001205DB" w:rsidRDefault="00FB0A0F" w:rsidP="00704716">
            <w:pPr>
              <w:jc w:val="right"/>
              <w:rPr>
                <w:bCs/>
                <w:color w:val="000000"/>
                <w:sz w:val="20"/>
                <w:szCs w:val="20"/>
              </w:rPr>
            </w:pPr>
            <w:r w:rsidRPr="001205DB">
              <w:rPr>
                <w:color w:val="000000"/>
                <w:sz w:val="20"/>
              </w:rPr>
              <w:t>98,248</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120,440</w:t>
            </w:r>
          </w:p>
        </w:tc>
        <w:tc>
          <w:tcPr>
            <w:tcW w:w="1004" w:type="dxa"/>
            <w:vAlign w:val="center"/>
          </w:tcPr>
          <w:p w:rsidR="00FB0A0F" w:rsidRPr="001205DB" w:rsidRDefault="00FB0A0F" w:rsidP="00704716">
            <w:pPr>
              <w:jc w:val="right"/>
              <w:rPr>
                <w:bCs/>
                <w:color w:val="000000"/>
                <w:sz w:val="20"/>
                <w:szCs w:val="20"/>
              </w:rPr>
            </w:pPr>
            <w:r w:rsidRPr="001205DB">
              <w:rPr>
                <w:color w:val="000000"/>
                <w:sz w:val="20"/>
              </w:rPr>
              <w:t>143,458</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162,234</w:t>
            </w:r>
          </w:p>
        </w:tc>
        <w:tc>
          <w:tcPr>
            <w:tcW w:w="1097" w:type="dxa"/>
            <w:shd w:val="clear" w:color="auto" w:fill="FFFFFF" w:themeFill="background1"/>
            <w:vAlign w:val="center"/>
          </w:tcPr>
          <w:p w:rsidR="00FB0A0F" w:rsidRPr="001205DB" w:rsidRDefault="00FB0A0F" w:rsidP="00704716">
            <w:pPr>
              <w:jc w:val="right"/>
              <w:rPr>
                <w:bCs/>
                <w:color w:val="000000"/>
                <w:sz w:val="20"/>
                <w:szCs w:val="20"/>
              </w:rPr>
            </w:pPr>
            <w:r w:rsidRPr="001205DB">
              <w:rPr>
                <w:color w:val="000000"/>
                <w:sz w:val="20"/>
              </w:rPr>
              <w:t>638,376</w:t>
            </w:r>
          </w:p>
        </w:tc>
        <w:tc>
          <w:tcPr>
            <w:tcW w:w="1196" w:type="dxa"/>
            <w:vAlign w:val="center"/>
          </w:tcPr>
          <w:p w:rsidR="00FB0A0F" w:rsidRPr="001205DB" w:rsidRDefault="00FB0A0F" w:rsidP="00704716">
            <w:pPr>
              <w:jc w:val="right"/>
              <w:rPr>
                <w:bCs/>
                <w:color w:val="000000"/>
                <w:sz w:val="20"/>
                <w:szCs w:val="20"/>
              </w:rPr>
            </w:pPr>
            <w:r w:rsidRPr="001205DB">
              <w:rPr>
                <w:b/>
                <w:color w:val="000000"/>
                <w:sz w:val="20"/>
              </w:rPr>
              <w:t>1312,740</w:t>
            </w:r>
          </w:p>
        </w:tc>
      </w:tr>
      <w:tr w:rsidR="00FB0A0F" w:rsidRPr="001205DB" w:rsidTr="00704716">
        <w:trPr>
          <w:trHeight w:val="433"/>
          <w:jc w:val="center"/>
        </w:trPr>
        <w:tc>
          <w:tcPr>
            <w:tcW w:w="3354" w:type="dxa"/>
            <w:vMerge w:val="restart"/>
            <w:vAlign w:val="center"/>
          </w:tcPr>
          <w:p w:rsidR="00FB0A0F" w:rsidRPr="001205DB" w:rsidRDefault="00FB0A0F" w:rsidP="00704716">
            <w:pPr>
              <w:rPr>
                <w:noProof/>
              </w:rPr>
            </w:pPr>
            <w:r w:rsidRPr="001205DB">
              <w:rPr>
                <w:noProof/>
                <w:sz w:val="20"/>
              </w:rPr>
              <w:t>09 02 XX Klimata pārmaiņu mazināšana un pielāgošanās tām</w:t>
            </w:r>
          </w:p>
        </w:tc>
        <w:tc>
          <w:tcPr>
            <w:tcW w:w="1320" w:type="dxa"/>
            <w:vAlign w:val="center"/>
          </w:tcPr>
          <w:p w:rsidR="00FB0A0F" w:rsidRPr="001205DB" w:rsidRDefault="00FB0A0F" w:rsidP="00704716">
            <w:pPr>
              <w:spacing w:before="20" w:after="20"/>
              <w:jc w:val="left"/>
              <w:rPr>
                <w:noProof/>
                <w:sz w:val="18"/>
              </w:rPr>
            </w:pPr>
            <w:r w:rsidRPr="001205DB">
              <w:rPr>
                <w:noProof/>
                <w:sz w:val="18"/>
              </w:rPr>
              <w:t>Saistības</w:t>
            </w:r>
          </w:p>
        </w:tc>
        <w:tc>
          <w:tcPr>
            <w:tcW w:w="480" w:type="dxa"/>
            <w:vAlign w:val="center"/>
          </w:tcPr>
          <w:p w:rsidR="00FB0A0F" w:rsidRPr="001205DB" w:rsidRDefault="00FB0A0F" w:rsidP="00704716">
            <w:pPr>
              <w:spacing w:before="20" w:after="20"/>
              <w:jc w:val="center"/>
              <w:rPr>
                <w:noProof/>
                <w:sz w:val="14"/>
              </w:rPr>
            </w:pPr>
            <w:r w:rsidRPr="001205DB">
              <w:rPr>
                <w:noProof/>
                <w:sz w:val="14"/>
              </w:rPr>
              <w:t>(1)</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122,203</w:t>
            </w:r>
          </w:p>
        </w:tc>
        <w:tc>
          <w:tcPr>
            <w:tcW w:w="1004" w:type="dxa"/>
            <w:vAlign w:val="center"/>
          </w:tcPr>
          <w:p w:rsidR="00FB0A0F" w:rsidRPr="001205DB" w:rsidRDefault="00FB0A0F" w:rsidP="00704716">
            <w:pPr>
              <w:jc w:val="right"/>
              <w:rPr>
                <w:bCs/>
                <w:color w:val="000000"/>
                <w:sz w:val="20"/>
                <w:szCs w:val="20"/>
              </w:rPr>
            </w:pPr>
            <w:r w:rsidRPr="001205DB">
              <w:rPr>
                <w:color w:val="000000"/>
                <w:sz w:val="20"/>
              </w:rPr>
              <w:t>124,671</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127,128</w:t>
            </w:r>
          </w:p>
        </w:tc>
        <w:tc>
          <w:tcPr>
            <w:tcW w:w="1004" w:type="dxa"/>
            <w:vAlign w:val="center"/>
          </w:tcPr>
          <w:p w:rsidR="00FB0A0F" w:rsidRPr="001205DB" w:rsidRDefault="00FB0A0F" w:rsidP="00704716">
            <w:pPr>
              <w:jc w:val="right"/>
              <w:rPr>
                <w:bCs/>
                <w:color w:val="000000"/>
                <w:sz w:val="20"/>
                <w:szCs w:val="20"/>
              </w:rPr>
            </w:pPr>
            <w:r w:rsidRPr="001205DB">
              <w:rPr>
                <w:color w:val="000000"/>
                <w:sz w:val="20"/>
              </w:rPr>
              <w:t>129,937</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132,564</w:t>
            </w:r>
          </w:p>
        </w:tc>
        <w:tc>
          <w:tcPr>
            <w:tcW w:w="1004" w:type="dxa"/>
            <w:vAlign w:val="center"/>
          </w:tcPr>
          <w:p w:rsidR="00FB0A0F" w:rsidRPr="001205DB" w:rsidRDefault="00FB0A0F" w:rsidP="00704716">
            <w:pPr>
              <w:jc w:val="right"/>
              <w:rPr>
                <w:bCs/>
                <w:color w:val="000000"/>
                <w:sz w:val="20"/>
                <w:szCs w:val="20"/>
              </w:rPr>
            </w:pPr>
            <w:r w:rsidRPr="001205DB">
              <w:rPr>
                <w:color w:val="000000"/>
                <w:sz w:val="20"/>
              </w:rPr>
              <w:t>135,333</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137,190</w:t>
            </w:r>
          </w:p>
        </w:tc>
        <w:tc>
          <w:tcPr>
            <w:tcW w:w="1097" w:type="dxa"/>
            <w:shd w:val="clear" w:color="auto" w:fill="A6A6A6" w:themeFill="background1" w:themeFillShade="A6"/>
            <w:vAlign w:val="center"/>
          </w:tcPr>
          <w:p w:rsidR="00FB0A0F" w:rsidRPr="001205DB" w:rsidRDefault="00FB0A0F" w:rsidP="00704716">
            <w:pPr>
              <w:jc w:val="right"/>
              <w:rPr>
                <w:bCs/>
                <w:color w:val="FFFFFF"/>
                <w:sz w:val="20"/>
                <w:szCs w:val="20"/>
              </w:rPr>
            </w:pPr>
            <w:r w:rsidRPr="001205DB">
              <w:rPr>
                <w:color w:val="000000"/>
                <w:sz w:val="20"/>
              </w:rPr>
              <w:t>0,000</w:t>
            </w:r>
          </w:p>
        </w:tc>
        <w:tc>
          <w:tcPr>
            <w:tcW w:w="1196" w:type="dxa"/>
            <w:vAlign w:val="center"/>
          </w:tcPr>
          <w:p w:rsidR="00FB0A0F" w:rsidRPr="001205DB" w:rsidRDefault="00FB0A0F" w:rsidP="00704716">
            <w:pPr>
              <w:jc w:val="right"/>
              <w:rPr>
                <w:bCs/>
                <w:color w:val="000000"/>
                <w:sz w:val="20"/>
                <w:szCs w:val="20"/>
              </w:rPr>
            </w:pPr>
            <w:r w:rsidRPr="001205DB">
              <w:rPr>
                <w:b/>
                <w:color w:val="000000"/>
                <w:sz w:val="20"/>
              </w:rPr>
              <w:t>909,027</w:t>
            </w:r>
          </w:p>
        </w:tc>
      </w:tr>
      <w:tr w:rsidR="00FB0A0F" w:rsidRPr="001205DB" w:rsidTr="00704716">
        <w:trPr>
          <w:trHeight w:val="433"/>
          <w:jc w:val="center"/>
        </w:trPr>
        <w:tc>
          <w:tcPr>
            <w:tcW w:w="3354" w:type="dxa"/>
            <w:vMerge/>
          </w:tcPr>
          <w:p w:rsidR="00FB0A0F" w:rsidRPr="001205DB" w:rsidRDefault="00FB0A0F" w:rsidP="00704716">
            <w:pPr>
              <w:rPr>
                <w:noProof/>
                <w:sz w:val="20"/>
                <w:szCs w:val="20"/>
              </w:rPr>
            </w:pPr>
          </w:p>
        </w:tc>
        <w:tc>
          <w:tcPr>
            <w:tcW w:w="1320" w:type="dxa"/>
            <w:vAlign w:val="center"/>
          </w:tcPr>
          <w:p w:rsidR="00FB0A0F" w:rsidRPr="001205DB" w:rsidRDefault="00FB0A0F" w:rsidP="00704716">
            <w:pPr>
              <w:spacing w:before="20" w:after="20"/>
              <w:jc w:val="left"/>
              <w:rPr>
                <w:noProof/>
                <w:sz w:val="18"/>
              </w:rPr>
            </w:pPr>
            <w:r w:rsidRPr="001205DB">
              <w:rPr>
                <w:noProof/>
                <w:sz w:val="18"/>
              </w:rPr>
              <w:t>Maksājumi</w:t>
            </w:r>
          </w:p>
        </w:tc>
        <w:tc>
          <w:tcPr>
            <w:tcW w:w="480" w:type="dxa"/>
            <w:vAlign w:val="center"/>
          </w:tcPr>
          <w:p w:rsidR="00FB0A0F" w:rsidRPr="001205DB" w:rsidRDefault="00FB0A0F" w:rsidP="00704716">
            <w:pPr>
              <w:spacing w:before="20" w:after="20"/>
              <w:jc w:val="center"/>
              <w:rPr>
                <w:noProof/>
                <w:sz w:val="14"/>
              </w:rPr>
            </w:pPr>
            <w:r w:rsidRPr="001205DB">
              <w:rPr>
                <w:noProof/>
                <w:sz w:val="14"/>
              </w:rPr>
              <w:t>(2)</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2,625</w:t>
            </w:r>
          </w:p>
        </w:tc>
        <w:tc>
          <w:tcPr>
            <w:tcW w:w="1004" w:type="dxa"/>
            <w:vAlign w:val="center"/>
          </w:tcPr>
          <w:p w:rsidR="00FB0A0F" w:rsidRPr="001205DB" w:rsidRDefault="00FB0A0F" w:rsidP="00704716">
            <w:pPr>
              <w:jc w:val="right"/>
              <w:rPr>
                <w:bCs/>
                <w:color w:val="000000"/>
                <w:sz w:val="20"/>
                <w:szCs w:val="20"/>
              </w:rPr>
            </w:pPr>
            <w:r w:rsidRPr="001205DB">
              <w:rPr>
                <w:color w:val="000000"/>
                <w:sz w:val="20"/>
              </w:rPr>
              <w:t>46,522</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57,168</w:t>
            </w:r>
          </w:p>
        </w:tc>
        <w:tc>
          <w:tcPr>
            <w:tcW w:w="1004" w:type="dxa"/>
            <w:vAlign w:val="center"/>
          </w:tcPr>
          <w:p w:rsidR="00FB0A0F" w:rsidRPr="001205DB" w:rsidRDefault="00FB0A0F" w:rsidP="00704716">
            <w:pPr>
              <w:jc w:val="right"/>
              <w:rPr>
                <w:bCs/>
                <w:color w:val="000000"/>
                <w:sz w:val="20"/>
                <w:szCs w:val="20"/>
              </w:rPr>
            </w:pPr>
            <w:r w:rsidRPr="001205DB">
              <w:rPr>
                <w:color w:val="000000"/>
                <w:sz w:val="20"/>
              </w:rPr>
              <w:t>69,099</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81,848</w:t>
            </w:r>
          </w:p>
        </w:tc>
        <w:tc>
          <w:tcPr>
            <w:tcW w:w="1004" w:type="dxa"/>
            <w:vAlign w:val="center"/>
          </w:tcPr>
          <w:p w:rsidR="00FB0A0F" w:rsidRPr="001205DB" w:rsidRDefault="00FB0A0F" w:rsidP="00704716">
            <w:pPr>
              <w:jc w:val="right"/>
              <w:rPr>
                <w:bCs/>
                <w:color w:val="000000"/>
                <w:sz w:val="20"/>
                <w:szCs w:val="20"/>
              </w:rPr>
            </w:pPr>
            <w:r w:rsidRPr="001205DB">
              <w:rPr>
                <w:color w:val="000000"/>
                <w:sz w:val="20"/>
              </w:rPr>
              <w:t>93,115</w:t>
            </w:r>
          </w:p>
        </w:tc>
        <w:tc>
          <w:tcPr>
            <w:tcW w:w="1003" w:type="dxa"/>
            <w:vAlign w:val="center"/>
          </w:tcPr>
          <w:p w:rsidR="00FB0A0F" w:rsidRPr="001205DB" w:rsidRDefault="00FB0A0F" w:rsidP="00704716">
            <w:pPr>
              <w:jc w:val="right"/>
              <w:rPr>
                <w:bCs/>
                <w:color w:val="000000"/>
                <w:sz w:val="20"/>
                <w:szCs w:val="20"/>
              </w:rPr>
            </w:pPr>
            <w:r w:rsidRPr="001205DB">
              <w:rPr>
                <w:color w:val="000000"/>
                <w:sz w:val="20"/>
              </w:rPr>
              <w:t>98,996</w:t>
            </w:r>
          </w:p>
        </w:tc>
        <w:tc>
          <w:tcPr>
            <w:tcW w:w="1097" w:type="dxa"/>
            <w:shd w:val="clear" w:color="auto" w:fill="auto"/>
            <w:vAlign w:val="center"/>
          </w:tcPr>
          <w:p w:rsidR="00FB0A0F" w:rsidRPr="001205DB" w:rsidRDefault="00FB0A0F" w:rsidP="00704716">
            <w:pPr>
              <w:jc w:val="right"/>
              <w:rPr>
                <w:bCs/>
                <w:color w:val="000000"/>
                <w:sz w:val="20"/>
                <w:szCs w:val="20"/>
              </w:rPr>
            </w:pPr>
            <w:r w:rsidRPr="001205DB">
              <w:rPr>
                <w:color w:val="000000"/>
                <w:sz w:val="20"/>
              </w:rPr>
              <w:t>459,653</w:t>
            </w:r>
          </w:p>
        </w:tc>
        <w:tc>
          <w:tcPr>
            <w:tcW w:w="1196" w:type="dxa"/>
            <w:vAlign w:val="center"/>
          </w:tcPr>
          <w:p w:rsidR="00FB0A0F" w:rsidRPr="001205DB" w:rsidRDefault="00FB0A0F" w:rsidP="00704716">
            <w:pPr>
              <w:jc w:val="right"/>
              <w:rPr>
                <w:bCs/>
                <w:color w:val="000000"/>
                <w:sz w:val="20"/>
                <w:szCs w:val="20"/>
              </w:rPr>
            </w:pPr>
            <w:r w:rsidRPr="001205DB">
              <w:rPr>
                <w:b/>
                <w:color w:val="000000"/>
                <w:sz w:val="20"/>
              </w:rPr>
              <w:t>909,027</w:t>
            </w:r>
          </w:p>
        </w:tc>
      </w:tr>
      <w:tr w:rsidR="00FB0A0F" w:rsidRPr="001205DB" w:rsidTr="00704716">
        <w:trPr>
          <w:trHeight w:val="433"/>
          <w:jc w:val="center"/>
        </w:trPr>
        <w:tc>
          <w:tcPr>
            <w:tcW w:w="3354" w:type="dxa"/>
            <w:vMerge w:val="restart"/>
            <w:vAlign w:val="center"/>
          </w:tcPr>
          <w:p w:rsidR="00FB0A0F" w:rsidRPr="001205DB" w:rsidRDefault="00FB0A0F" w:rsidP="00704716">
            <w:pPr>
              <w:rPr>
                <w:noProof/>
              </w:rPr>
            </w:pPr>
            <w:r w:rsidRPr="001205DB">
              <w:rPr>
                <w:noProof/>
                <w:sz w:val="20"/>
              </w:rPr>
              <w:t>09 02 XX Pāreja uz tīru enerģiju</w:t>
            </w:r>
          </w:p>
        </w:tc>
        <w:tc>
          <w:tcPr>
            <w:tcW w:w="1320" w:type="dxa"/>
            <w:vAlign w:val="center"/>
          </w:tcPr>
          <w:p w:rsidR="00FB0A0F" w:rsidRPr="001205DB" w:rsidRDefault="00FB0A0F" w:rsidP="00704716">
            <w:pPr>
              <w:spacing w:before="20" w:after="20"/>
              <w:jc w:val="left"/>
              <w:rPr>
                <w:noProof/>
                <w:sz w:val="18"/>
              </w:rPr>
            </w:pPr>
            <w:r w:rsidRPr="001205DB">
              <w:rPr>
                <w:noProof/>
                <w:sz w:val="18"/>
              </w:rPr>
              <w:t>Saistības</w:t>
            </w:r>
          </w:p>
        </w:tc>
        <w:tc>
          <w:tcPr>
            <w:tcW w:w="480" w:type="dxa"/>
            <w:vAlign w:val="center"/>
          </w:tcPr>
          <w:p w:rsidR="00FB0A0F" w:rsidRPr="001205DB" w:rsidRDefault="00FB0A0F" w:rsidP="00704716">
            <w:pPr>
              <w:spacing w:before="20" w:after="20"/>
              <w:jc w:val="center"/>
              <w:rPr>
                <w:noProof/>
                <w:sz w:val="14"/>
              </w:rPr>
            </w:pPr>
            <w:r w:rsidRPr="001205DB">
              <w:rPr>
                <w:noProof/>
                <w:sz w:val="14"/>
              </w:rPr>
              <w:t>(1)</w:t>
            </w:r>
          </w:p>
        </w:tc>
        <w:tc>
          <w:tcPr>
            <w:tcW w:w="1003" w:type="dxa"/>
            <w:vAlign w:val="center"/>
          </w:tcPr>
          <w:p w:rsidR="00FB0A0F" w:rsidRPr="001205DB" w:rsidRDefault="00FB0A0F" w:rsidP="00704716">
            <w:pPr>
              <w:jc w:val="right"/>
              <w:rPr>
                <w:color w:val="000000"/>
                <w:sz w:val="20"/>
                <w:szCs w:val="20"/>
              </w:rPr>
            </w:pPr>
            <w:r w:rsidRPr="001205DB">
              <w:rPr>
                <w:color w:val="000000"/>
                <w:sz w:val="20"/>
              </w:rPr>
              <w:t>132,117</w:t>
            </w:r>
          </w:p>
        </w:tc>
        <w:tc>
          <w:tcPr>
            <w:tcW w:w="1004" w:type="dxa"/>
            <w:vAlign w:val="center"/>
          </w:tcPr>
          <w:p w:rsidR="00FB0A0F" w:rsidRPr="001205DB" w:rsidRDefault="00FB0A0F" w:rsidP="00704716">
            <w:pPr>
              <w:jc w:val="right"/>
              <w:rPr>
                <w:color w:val="000000"/>
                <w:sz w:val="20"/>
                <w:szCs w:val="20"/>
              </w:rPr>
            </w:pPr>
            <w:r w:rsidRPr="001205DB">
              <w:rPr>
                <w:color w:val="000000"/>
                <w:sz w:val="20"/>
              </w:rPr>
              <w:t>134,810</w:t>
            </w:r>
          </w:p>
        </w:tc>
        <w:tc>
          <w:tcPr>
            <w:tcW w:w="1003" w:type="dxa"/>
            <w:vAlign w:val="center"/>
          </w:tcPr>
          <w:p w:rsidR="00FB0A0F" w:rsidRPr="001205DB" w:rsidRDefault="00FB0A0F" w:rsidP="00704716">
            <w:pPr>
              <w:jc w:val="right"/>
              <w:rPr>
                <w:color w:val="000000"/>
                <w:sz w:val="20"/>
                <w:szCs w:val="20"/>
              </w:rPr>
            </w:pPr>
            <w:r w:rsidRPr="001205DB">
              <w:rPr>
                <w:color w:val="000000"/>
                <w:sz w:val="20"/>
              </w:rPr>
              <w:t>137,556</w:t>
            </w:r>
          </w:p>
        </w:tc>
        <w:tc>
          <w:tcPr>
            <w:tcW w:w="1004" w:type="dxa"/>
            <w:vAlign w:val="center"/>
          </w:tcPr>
          <w:p w:rsidR="00FB0A0F" w:rsidRPr="001205DB" w:rsidRDefault="00FB0A0F" w:rsidP="00704716">
            <w:pPr>
              <w:jc w:val="right"/>
              <w:rPr>
                <w:color w:val="000000"/>
                <w:sz w:val="20"/>
                <w:szCs w:val="20"/>
              </w:rPr>
            </w:pPr>
            <w:r w:rsidRPr="001205DB">
              <w:rPr>
                <w:color w:val="000000"/>
                <w:sz w:val="20"/>
              </w:rPr>
              <w:t>140,357</w:t>
            </w:r>
          </w:p>
        </w:tc>
        <w:tc>
          <w:tcPr>
            <w:tcW w:w="1003" w:type="dxa"/>
            <w:vAlign w:val="center"/>
          </w:tcPr>
          <w:p w:rsidR="00FB0A0F" w:rsidRPr="001205DB" w:rsidRDefault="00FB0A0F" w:rsidP="00704716">
            <w:pPr>
              <w:jc w:val="right"/>
              <w:rPr>
                <w:color w:val="000000"/>
                <w:sz w:val="20"/>
                <w:szCs w:val="20"/>
              </w:rPr>
            </w:pPr>
            <w:r w:rsidRPr="001205DB">
              <w:rPr>
                <w:color w:val="000000"/>
                <w:sz w:val="20"/>
              </w:rPr>
              <w:t>143,214</w:t>
            </w:r>
          </w:p>
        </w:tc>
        <w:tc>
          <w:tcPr>
            <w:tcW w:w="1004" w:type="dxa"/>
            <w:vAlign w:val="center"/>
          </w:tcPr>
          <w:p w:rsidR="00FB0A0F" w:rsidRPr="001205DB" w:rsidRDefault="00FB0A0F" w:rsidP="00704716">
            <w:pPr>
              <w:jc w:val="right"/>
              <w:rPr>
                <w:color w:val="000000"/>
                <w:sz w:val="20"/>
                <w:szCs w:val="20"/>
              </w:rPr>
            </w:pPr>
            <w:r w:rsidRPr="001205DB">
              <w:rPr>
                <w:color w:val="000000"/>
                <w:sz w:val="20"/>
              </w:rPr>
              <w:t>146,129</w:t>
            </w:r>
          </w:p>
        </w:tc>
        <w:tc>
          <w:tcPr>
            <w:tcW w:w="1003" w:type="dxa"/>
            <w:vAlign w:val="center"/>
          </w:tcPr>
          <w:p w:rsidR="00FB0A0F" w:rsidRPr="001205DB" w:rsidRDefault="00FB0A0F" w:rsidP="00704716">
            <w:pPr>
              <w:jc w:val="right"/>
              <w:rPr>
                <w:color w:val="000000"/>
                <w:sz w:val="20"/>
                <w:szCs w:val="20"/>
              </w:rPr>
            </w:pPr>
            <w:r w:rsidRPr="001205DB">
              <w:rPr>
                <w:color w:val="000000"/>
                <w:sz w:val="20"/>
              </w:rPr>
              <w:t>148,317</w:t>
            </w:r>
          </w:p>
        </w:tc>
        <w:tc>
          <w:tcPr>
            <w:tcW w:w="1097" w:type="dxa"/>
            <w:shd w:val="clear" w:color="auto" w:fill="A6A6A6" w:themeFill="background1" w:themeFillShade="A6"/>
            <w:vAlign w:val="center"/>
          </w:tcPr>
          <w:p w:rsidR="00FB0A0F" w:rsidRPr="001205DB" w:rsidRDefault="00FB0A0F" w:rsidP="00704716">
            <w:pPr>
              <w:jc w:val="right"/>
              <w:rPr>
                <w:bCs/>
                <w:color w:val="FFFFFF"/>
                <w:sz w:val="20"/>
                <w:szCs w:val="20"/>
              </w:rPr>
            </w:pPr>
            <w:r w:rsidRPr="001205DB">
              <w:rPr>
                <w:rFonts w:ascii="Calibri" w:hAnsi="Calibri"/>
                <w:b/>
                <w:color w:val="FFFFFF"/>
                <w:sz w:val="22"/>
              </w:rPr>
              <w:t>0,000</w:t>
            </w:r>
          </w:p>
        </w:tc>
        <w:tc>
          <w:tcPr>
            <w:tcW w:w="1196" w:type="dxa"/>
            <w:vAlign w:val="center"/>
          </w:tcPr>
          <w:p w:rsidR="00FB0A0F" w:rsidRPr="001205DB" w:rsidRDefault="00FB0A0F" w:rsidP="00704716">
            <w:pPr>
              <w:jc w:val="right"/>
              <w:rPr>
                <w:bCs/>
                <w:color w:val="000000"/>
                <w:sz w:val="20"/>
                <w:szCs w:val="20"/>
              </w:rPr>
            </w:pPr>
            <w:r w:rsidRPr="001205DB">
              <w:rPr>
                <w:b/>
                <w:color w:val="000000"/>
                <w:sz w:val="20"/>
              </w:rPr>
              <w:t>982,500</w:t>
            </w:r>
          </w:p>
        </w:tc>
      </w:tr>
      <w:tr w:rsidR="00FB0A0F" w:rsidRPr="001205DB" w:rsidTr="00704716">
        <w:trPr>
          <w:trHeight w:val="433"/>
          <w:jc w:val="center"/>
        </w:trPr>
        <w:tc>
          <w:tcPr>
            <w:tcW w:w="3354" w:type="dxa"/>
            <w:vMerge/>
          </w:tcPr>
          <w:p w:rsidR="00FB0A0F" w:rsidRPr="001205DB" w:rsidRDefault="00FB0A0F" w:rsidP="00704716">
            <w:pPr>
              <w:rPr>
                <w:noProof/>
                <w:sz w:val="20"/>
              </w:rPr>
            </w:pPr>
          </w:p>
        </w:tc>
        <w:tc>
          <w:tcPr>
            <w:tcW w:w="1320" w:type="dxa"/>
            <w:vAlign w:val="center"/>
          </w:tcPr>
          <w:p w:rsidR="00FB0A0F" w:rsidRPr="001205DB" w:rsidRDefault="00FB0A0F" w:rsidP="00704716">
            <w:pPr>
              <w:spacing w:before="20" w:after="20"/>
              <w:jc w:val="left"/>
              <w:rPr>
                <w:noProof/>
                <w:sz w:val="18"/>
              </w:rPr>
            </w:pPr>
            <w:r w:rsidRPr="001205DB">
              <w:rPr>
                <w:noProof/>
                <w:sz w:val="18"/>
              </w:rPr>
              <w:t>Maksājumi</w:t>
            </w:r>
          </w:p>
        </w:tc>
        <w:tc>
          <w:tcPr>
            <w:tcW w:w="480" w:type="dxa"/>
            <w:vAlign w:val="center"/>
          </w:tcPr>
          <w:p w:rsidR="00FB0A0F" w:rsidRPr="001205DB" w:rsidRDefault="00FB0A0F" w:rsidP="00704716">
            <w:pPr>
              <w:spacing w:before="20" w:after="20"/>
              <w:jc w:val="center"/>
              <w:rPr>
                <w:noProof/>
                <w:sz w:val="14"/>
              </w:rPr>
            </w:pPr>
            <w:r w:rsidRPr="001205DB">
              <w:rPr>
                <w:noProof/>
                <w:sz w:val="14"/>
              </w:rPr>
              <w:t>(2)</w:t>
            </w:r>
          </w:p>
        </w:tc>
        <w:tc>
          <w:tcPr>
            <w:tcW w:w="1003" w:type="dxa"/>
            <w:vAlign w:val="center"/>
          </w:tcPr>
          <w:p w:rsidR="00FB0A0F" w:rsidRPr="001205DB" w:rsidRDefault="00FB0A0F" w:rsidP="00704716">
            <w:pPr>
              <w:jc w:val="right"/>
              <w:rPr>
                <w:color w:val="000000"/>
                <w:sz w:val="20"/>
                <w:szCs w:val="20"/>
              </w:rPr>
            </w:pPr>
            <w:r w:rsidRPr="001205DB">
              <w:rPr>
                <w:color w:val="000000"/>
                <w:sz w:val="20"/>
              </w:rPr>
              <w:t>6,247</w:t>
            </w:r>
          </w:p>
        </w:tc>
        <w:tc>
          <w:tcPr>
            <w:tcW w:w="1004" w:type="dxa"/>
            <w:vAlign w:val="center"/>
          </w:tcPr>
          <w:p w:rsidR="00FB0A0F" w:rsidRPr="001205DB" w:rsidRDefault="00FB0A0F" w:rsidP="00704716">
            <w:pPr>
              <w:jc w:val="right"/>
              <w:rPr>
                <w:color w:val="000000"/>
                <w:sz w:val="20"/>
                <w:szCs w:val="20"/>
              </w:rPr>
            </w:pPr>
            <w:r w:rsidRPr="001205DB">
              <w:rPr>
                <w:color w:val="000000"/>
                <w:sz w:val="20"/>
              </w:rPr>
              <w:t>52,548</w:t>
            </w:r>
          </w:p>
        </w:tc>
        <w:tc>
          <w:tcPr>
            <w:tcW w:w="1003" w:type="dxa"/>
            <w:vAlign w:val="center"/>
          </w:tcPr>
          <w:p w:rsidR="00FB0A0F" w:rsidRPr="001205DB" w:rsidRDefault="00FB0A0F" w:rsidP="00704716">
            <w:pPr>
              <w:jc w:val="right"/>
              <w:rPr>
                <w:color w:val="000000"/>
                <w:sz w:val="20"/>
                <w:szCs w:val="20"/>
              </w:rPr>
            </w:pPr>
            <w:r w:rsidRPr="001205DB">
              <w:rPr>
                <w:color w:val="000000"/>
                <w:sz w:val="20"/>
              </w:rPr>
              <w:t>63,913</w:t>
            </w:r>
          </w:p>
        </w:tc>
        <w:tc>
          <w:tcPr>
            <w:tcW w:w="1004" w:type="dxa"/>
            <w:vAlign w:val="center"/>
          </w:tcPr>
          <w:p w:rsidR="00FB0A0F" w:rsidRPr="001205DB" w:rsidRDefault="00FB0A0F" w:rsidP="00704716">
            <w:pPr>
              <w:jc w:val="right"/>
              <w:rPr>
                <w:color w:val="000000"/>
                <w:sz w:val="20"/>
                <w:szCs w:val="20"/>
              </w:rPr>
            </w:pPr>
            <w:r w:rsidRPr="001205DB">
              <w:rPr>
                <w:color w:val="000000"/>
                <w:sz w:val="20"/>
              </w:rPr>
              <w:t>76,317</w:t>
            </w:r>
          </w:p>
        </w:tc>
        <w:tc>
          <w:tcPr>
            <w:tcW w:w="1003" w:type="dxa"/>
            <w:vAlign w:val="center"/>
          </w:tcPr>
          <w:p w:rsidR="00FB0A0F" w:rsidRPr="001205DB" w:rsidRDefault="00FB0A0F" w:rsidP="00704716">
            <w:pPr>
              <w:jc w:val="right"/>
              <w:rPr>
                <w:color w:val="000000"/>
                <w:sz w:val="20"/>
                <w:szCs w:val="20"/>
              </w:rPr>
            </w:pPr>
            <w:r w:rsidRPr="001205DB">
              <w:rPr>
                <w:color w:val="000000"/>
                <w:sz w:val="20"/>
              </w:rPr>
              <w:t>89,829</w:t>
            </w:r>
          </w:p>
        </w:tc>
        <w:tc>
          <w:tcPr>
            <w:tcW w:w="1004" w:type="dxa"/>
            <w:vAlign w:val="center"/>
          </w:tcPr>
          <w:p w:rsidR="00FB0A0F" w:rsidRPr="001205DB" w:rsidRDefault="00FB0A0F" w:rsidP="00704716">
            <w:pPr>
              <w:jc w:val="right"/>
              <w:rPr>
                <w:color w:val="000000"/>
                <w:sz w:val="20"/>
                <w:szCs w:val="20"/>
              </w:rPr>
            </w:pPr>
            <w:r w:rsidRPr="001205DB">
              <w:rPr>
                <w:color w:val="000000"/>
                <w:sz w:val="20"/>
              </w:rPr>
              <w:t>101,689</w:t>
            </w:r>
          </w:p>
        </w:tc>
        <w:tc>
          <w:tcPr>
            <w:tcW w:w="1003" w:type="dxa"/>
            <w:vAlign w:val="center"/>
          </w:tcPr>
          <w:p w:rsidR="00FB0A0F" w:rsidRPr="001205DB" w:rsidRDefault="00FB0A0F" w:rsidP="00704716">
            <w:pPr>
              <w:jc w:val="right"/>
              <w:rPr>
                <w:color w:val="000000"/>
                <w:sz w:val="20"/>
                <w:szCs w:val="20"/>
              </w:rPr>
            </w:pPr>
            <w:r w:rsidRPr="001205DB">
              <w:rPr>
                <w:color w:val="000000"/>
                <w:sz w:val="20"/>
              </w:rPr>
              <w:t>108,113</w:t>
            </w:r>
          </w:p>
        </w:tc>
        <w:tc>
          <w:tcPr>
            <w:tcW w:w="1097" w:type="dxa"/>
            <w:shd w:val="clear" w:color="auto" w:fill="FFFFFF" w:themeFill="background1"/>
            <w:vAlign w:val="center"/>
          </w:tcPr>
          <w:p w:rsidR="00FB0A0F" w:rsidRPr="001205DB" w:rsidRDefault="00FB0A0F" w:rsidP="00704716">
            <w:pPr>
              <w:jc w:val="right"/>
              <w:rPr>
                <w:color w:val="000000"/>
                <w:sz w:val="20"/>
                <w:szCs w:val="20"/>
              </w:rPr>
            </w:pPr>
            <w:r w:rsidRPr="001205DB">
              <w:rPr>
                <w:color w:val="000000"/>
                <w:sz w:val="20"/>
              </w:rPr>
              <w:t>483,846</w:t>
            </w:r>
          </w:p>
        </w:tc>
        <w:tc>
          <w:tcPr>
            <w:tcW w:w="1196" w:type="dxa"/>
            <w:vAlign w:val="center"/>
          </w:tcPr>
          <w:p w:rsidR="00FB0A0F" w:rsidRPr="001205DB" w:rsidRDefault="00FB0A0F" w:rsidP="00704716">
            <w:pPr>
              <w:jc w:val="right"/>
              <w:rPr>
                <w:bCs/>
                <w:color w:val="000000"/>
                <w:sz w:val="20"/>
                <w:szCs w:val="20"/>
              </w:rPr>
            </w:pPr>
            <w:r w:rsidRPr="001205DB">
              <w:rPr>
                <w:b/>
                <w:color w:val="000000"/>
                <w:sz w:val="20"/>
              </w:rPr>
              <w:t>982,500</w:t>
            </w:r>
          </w:p>
        </w:tc>
      </w:tr>
      <w:tr w:rsidR="00FB0A0F" w:rsidRPr="001205DB" w:rsidTr="00704716">
        <w:trPr>
          <w:trHeight w:val="319"/>
          <w:jc w:val="center"/>
        </w:trPr>
        <w:tc>
          <w:tcPr>
            <w:tcW w:w="3354" w:type="dxa"/>
            <w:vAlign w:val="center"/>
          </w:tcPr>
          <w:p w:rsidR="00FB0A0F" w:rsidRPr="001205DB" w:rsidRDefault="00FB0A0F" w:rsidP="00704716">
            <w:pPr>
              <w:spacing w:before="20" w:after="20"/>
              <w:jc w:val="left"/>
              <w:rPr>
                <w:noProof/>
              </w:rPr>
            </w:pPr>
            <w:r w:rsidRPr="001205DB">
              <w:rPr>
                <w:noProof/>
                <w:sz w:val="21"/>
              </w:rPr>
              <w:t xml:space="preserve">09 01 XX XX Vide — </w:t>
            </w:r>
            <w:r w:rsidRPr="001205DB">
              <w:rPr>
                <w:noProof/>
                <w:sz w:val="20"/>
              </w:rPr>
              <w:t>izdevumi par administratīvo vadību</w:t>
            </w:r>
            <w:r w:rsidRPr="001205DB">
              <w:rPr>
                <w:noProof/>
                <w:sz w:val="21"/>
              </w:rPr>
              <w:t xml:space="preserve"> </w:t>
            </w:r>
            <w:r w:rsidRPr="001205DB">
              <w:rPr>
                <w:rStyle w:val="FootnoteReference"/>
              </w:rPr>
              <w:footnoteReference w:id="48"/>
            </w:r>
            <w:r w:rsidRPr="001205DB">
              <w:rPr>
                <w:noProof/>
                <w:sz w:val="21"/>
              </w:rPr>
              <w:t xml:space="preserve"> </w:t>
            </w:r>
          </w:p>
        </w:tc>
        <w:tc>
          <w:tcPr>
            <w:tcW w:w="1320" w:type="dxa"/>
            <w:vAlign w:val="center"/>
          </w:tcPr>
          <w:p w:rsidR="00FB0A0F" w:rsidRPr="001205DB" w:rsidRDefault="00FB0A0F" w:rsidP="00704716">
            <w:pPr>
              <w:spacing w:before="40" w:after="40"/>
              <w:jc w:val="left"/>
              <w:rPr>
                <w:noProof/>
                <w:sz w:val="18"/>
              </w:rPr>
            </w:pPr>
            <w:r w:rsidRPr="001205DB">
              <w:rPr>
                <w:noProof/>
                <w:sz w:val="18"/>
              </w:rPr>
              <w:t>Saistības = Maksājumi</w:t>
            </w:r>
          </w:p>
        </w:tc>
        <w:tc>
          <w:tcPr>
            <w:tcW w:w="480" w:type="dxa"/>
            <w:vAlign w:val="center"/>
          </w:tcPr>
          <w:p w:rsidR="00FB0A0F" w:rsidRPr="001205DB" w:rsidRDefault="00FB0A0F" w:rsidP="00704716">
            <w:pPr>
              <w:spacing w:before="40" w:after="40"/>
              <w:jc w:val="center"/>
              <w:rPr>
                <w:noProof/>
                <w:sz w:val="14"/>
              </w:rPr>
            </w:pPr>
            <w:r w:rsidRPr="001205DB">
              <w:rPr>
                <w:noProof/>
                <w:sz w:val="14"/>
              </w:rPr>
              <w:t>(3)</w:t>
            </w:r>
          </w:p>
        </w:tc>
        <w:tc>
          <w:tcPr>
            <w:tcW w:w="1003" w:type="dxa"/>
            <w:vAlign w:val="center"/>
          </w:tcPr>
          <w:p w:rsidR="00FB0A0F" w:rsidRPr="001205DB" w:rsidRDefault="00FB0A0F" w:rsidP="00704716">
            <w:pPr>
              <w:jc w:val="right"/>
              <w:rPr>
                <w:color w:val="000000"/>
                <w:sz w:val="20"/>
                <w:szCs w:val="20"/>
              </w:rPr>
            </w:pPr>
            <w:r w:rsidRPr="001205DB">
              <w:rPr>
                <w:color w:val="000000"/>
                <w:sz w:val="20"/>
              </w:rPr>
              <w:t>13,500</w:t>
            </w:r>
          </w:p>
        </w:tc>
        <w:tc>
          <w:tcPr>
            <w:tcW w:w="1004" w:type="dxa"/>
            <w:vAlign w:val="center"/>
          </w:tcPr>
          <w:p w:rsidR="00FB0A0F" w:rsidRPr="001205DB" w:rsidRDefault="00FB0A0F" w:rsidP="00704716">
            <w:pPr>
              <w:jc w:val="right"/>
              <w:rPr>
                <w:color w:val="000000"/>
                <w:sz w:val="20"/>
                <w:szCs w:val="20"/>
              </w:rPr>
            </w:pPr>
            <w:r w:rsidRPr="001205DB">
              <w:rPr>
                <w:color w:val="000000"/>
                <w:sz w:val="20"/>
              </w:rPr>
              <w:t>13,600</w:t>
            </w:r>
          </w:p>
        </w:tc>
        <w:tc>
          <w:tcPr>
            <w:tcW w:w="1003" w:type="dxa"/>
            <w:vAlign w:val="center"/>
          </w:tcPr>
          <w:p w:rsidR="00FB0A0F" w:rsidRPr="001205DB" w:rsidRDefault="00FB0A0F" w:rsidP="00704716">
            <w:pPr>
              <w:jc w:val="right"/>
              <w:rPr>
                <w:color w:val="000000"/>
                <w:sz w:val="20"/>
                <w:szCs w:val="20"/>
              </w:rPr>
            </w:pPr>
            <w:r w:rsidRPr="001205DB">
              <w:rPr>
                <w:color w:val="000000"/>
                <w:sz w:val="20"/>
              </w:rPr>
              <w:t>13,700</w:t>
            </w:r>
          </w:p>
        </w:tc>
        <w:tc>
          <w:tcPr>
            <w:tcW w:w="1004" w:type="dxa"/>
            <w:vAlign w:val="center"/>
          </w:tcPr>
          <w:p w:rsidR="00FB0A0F" w:rsidRPr="001205DB" w:rsidRDefault="00FB0A0F" w:rsidP="00704716">
            <w:pPr>
              <w:jc w:val="right"/>
              <w:rPr>
                <w:color w:val="000000"/>
                <w:sz w:val="20"/>
                <w:szCs w:val="20"/>
              </w:rPr>
            </w:pPr>
            <w:r w:rsidRPr="001205DB">
              <w:rPr>
                <w:color w:val="000000"/>
                <w:sz w:val="20"/>
              </w:rPr>
              <w:t>13,800</w:t>
            </w:r>
          </w:p>
        </w:tc>
        <w:tc>
          <w:tcPr>
            <w:tcW w:w="1003" w:type="dxa"/>
            <w:vAlign w:val="center"/>
          </w:tcPr>
          <w:p w:rsidR="00FB0A0F" w:rsidRPr="001205DB" w:rsidRDefault="00FB0A0F" w:rsidP="00704716">
            <w:pPr>
              <w:jc w:val="right"/>
              <w:rPr>
                <w:color w:val="000000"/>
                <w:sz w:val="20"/>
                <w:szCs w:val="20"/>
              </w:rPr>
            </w:pPr>
            <w:r w:rsidRPr="001205DB">
              <w:rPr>
                <w:color w:val="000000"/>
                <w:sz w:val="20"/>
              </w:rPr>
              <w:t>13,900</w:t>
            </w:r>
          </w:p>
        </w:tc>
        <w:tc>
          <w:tcPr>
            <w:tcW w:w="1004" w:type="dxa"/>
            <w:vAlign w:val="center"/>
          </w:tcPr>
          <w:p w:rsidR="00FB0A0F" w:rsidRPr="001205DB" w:rsidRDefault="00FB0A0F" w:rsidP="00704716">
            <w:pPr>
              <w:jc w:val="right"/>
              <w:rPr>
                <w:color w:val="000000"/>
                <w:sz w:val="20"/>
                <w:szCs w:val="20"/>
              </w:rPr>
            </w:pPr>
            <w:r w:rsidRPr="001205DB">
              <w:rPr>
                <w:color w:val="000000"/>
                <w:sz w:val="20"/>
              </w:rPr>
              <w:t>14,000</w:t>
            </w:r>
          </w:p>
        </w:tc>
        <w:tc>
          <w:tcPr>
            <w:tcW w:w="1003" w:type="dxa"/>
            <w:vAlign w:val="center"/>
          </w:tcPr>
          <w:p w:rsidR="00FB0A0F" w:rsidRPr="001205DB" w:rsidRDefault="00FB0A0F" w:rsidP="00704716">
            <w:pPr>
              <w:jc w:val="right"/>
              <w:rPr>
                <w:color w:val="000000"/>
                <w:sz w:val="20"/>
                <w:szCs w:val="20"/>
              </w:rPr>
            </w:pPr>
            <w:r w:rsidRPr="001205DB">
              <w:rPr>
                <w:color w:val="000000"/>
                <w:sz w:val="20"/>
              </w:rPr>
              <w:t>14,100</w:t>
            </w:r>
          </w:p>
        </w:tc>
        <w:tc>
          <w:tcPr>
            <w:tcW w:w="1097" w:type="dxa"/>
            <w:shd w:val="clear" w:color="auto" w:fill="A6A6A6" w:themeFill="background1" w:themeFillShade="A6"/>
            <w:vAlign w:val="center"/>
          </w:tcPr>
          <w:p w:rsidR="00FB0A0F" w:rsidRPr="001205DB" w:rsidRDefault="00FB0A0F" w:rsidP="00704716">
            <w:pPr>
              <w:jc w:val="right"/>
              <w:rPr>
                <w:color w:val="000000"/>
                <w:sz w:val="20"/>
                <w:szCs w:val="20"/>
              </w:rPr>
            </w:pPr>
            <w:r w:rsidRPr="001205DB">
              <w:rPr>
                <w:color w:val="000000"/>
                <w:sz w:val="20"/>
              </w:rPr>
              <w:t>0,000</w:t>
            </w:r>
          </w:p>
        </w:tc>
        <w:tc>
          <w:tcPr>
            <w:tcW w:w="1196" w:type="dxa"/>
            <w:vAlign w:val="center"/>
          </w:tcPr>
          <w:p w:rsidR="00FB0A0F" w:rsidRPr="001205DB" w:rsidRDefault="00FB0A0F" w:rsidP="00704716">
            <w:pPr>
              <w:jc w:val="right"/>
              <w:rPr>
                <w:b/>
                <w:bCs/>
                <w:color w:val="000000"/>
                <w:sz w:val="20"/>
                <w:szCs w:val="20"/>
              </w:rPr>
            </w:pPr>
            <w:r w:rsidRPr="001205DB">
              <w:rPr>
                <w:b/>
                <w:color w:val="000000"/>
                <w:sz w:val="20"/>
              </w:rPr>
              <w:t>96,600</w:t>
            </w:r>
          </w:p>
        </w:tc>
      </w:tr>
      <w:tr w:rsidR="00FB0A0F" w:rsidRPr="001205DB" w:rsidTr="00704716">
        <w:trPr>
          <w:trHeight w:val="319"/>
          <w:jc w:val="center"/>
        </w:trPr>
        <w:tc>
          <w:tcPr>
            <w:tcW w:w="3354" w:type="dxa"/>
            <w:vAlign w:val="center"/>
          </w:tcPr>
          <w:p w:rsidR="00FB0A0F" w:rsidRPr="001205DB" w:rsidRDefault="00FB0A0F" w:rsidP="00704716">
            <w:pPr>
              <w:spacing w:before="20" w:after="20"/>
              <w:jc w:val="left"/>
              <w:rPr>
                <w:noProof/>
              </w:rPr>
            </w:pPr>
            <w:r w:rsidRPr="001205DB">
              <w:rPr>
                <w:noProof/>
                <w:sz w:val="21"/>
              </w:rPr>
              <w:lastRenderedPageBreak/>
              <w:t xml:space="preserve">09 01 XX XX Klimata pārmaiņu mazināšana un pielāgošanās tām — izdevumi par administratīvo vadību </w:t>
            </w:r>
          </w:p>
        </w:tc>
        <w:tc>
          <w:tcPr>
            <w:tcW w:w="1320" w:type="dxa"/>
            <w:vAlign w:val="center"/>
          </w:tcPr>
          <w:p w:rsidR="00FB0A0F" w:rsidRPr="001205DB" w:rsidRDefault="00FB0A0F" w:rsidP="00704716">
            <w:pPr>
              <w:spacing w:before="40" w:after="40"/>
              <w:jc w:val="left"/>
              <w:rPr>
                <w:noProof/>
                <w:sz w:val="18"/>
              </w:rPr>
            </w:pPr>
            <w:r w:rsidRPr="001205DB">
              <w:rPr>
                <w:noProof/>
                <w:sz w:val="18"/>
              </w:rPr>
              <w:t>Saistības = Maksājumi</w:t>
            </w:r>
          </w:p>
        </w:tc>
        <w:tc>
          <w:tcPr>
            <w:tcW w:w="480" w:type="dxa"/>
            <w:vAlign w:val="center"/>
          </w:tcPr>
          <w:p w:rsidR="00FB0A0F" w:rsidRPr="001205DB" w:rsidRDefault="00FB0A0F" w:rsidP="00704716">
            <w:pPr>
              <w:spacing w:before="40" w:after="40"/>
              <w:jc w:val="center"/>
              <w:rPr>
                <w:noProof/>
                <w:sz w:val="14"/>
              </w:rPr>
            </w:pPr>
            <w:r w:rsidRPr="001205DB">
              <w:rPr>
                <w:noProof/>
                <w:sz w:val="14"/>
              </w:rPr>
              <w:t>(3)</w:t>
            </w:r>
          </w:p>
        </w:tc>
        <w:tc>
          <w:tcPr>
            <w:tcW w:w="1003" w:type="dxa"/>
            <w:vAlign w:val="bottom"/>
          </w:tcPr>
          <w:p w:rsidR="00FB0A0F" w:rsidRPr="001205DB" w:rsidRDefault="00FB0A0F" w:rsidP="00704716">
            <w:pPr>
              <w:jc w:val="right"/>
              <w:rPr>
                <w:color w:val="000000"/>
                <w:sz w:val="20"/>
                <w:szCs w:val="20"/>
              </w:rPr>
            </w:pPr>
            <w:r w:rsidRPr="001205DB">
              <w:rPr>
                <w:color w:val="000000"/>
                <w:sz w:val="20"/>
              </w:rPr>
              <w:t>5,684</w:t>
            </w:r>
          </w:p>
        </w:tc>
        <w:tc>
          <w:tcPr>
            <w:tcW w:w="1004" w:type="dxa"/>
            <w:vAlign w:val="bottom"/>
          </w:tcPr>
          <w:p w:rsidR="00FB0A0F" w:rsidRPr="001205DB" w:rsidRDefault="00FB0A0F" w:rsidP="00704716">
            <w:pPr>
              <w:jc w:val="right"/>
              <w:rPr>
                <w:color w:val="000000"/>
                <w:sz w:val="20"/>
                <w:szCs w:val="20"/>
              </w:rPr>
            </w:pPr>
            <w:r w:rsidRPr="001205DB">
              <w:rPr>
                <w:color w:val="000000"/>
                <w:sz w:val="20"/>
              </w:rPr>
              <w:t>5,773</w:t>
            </w:r>
          </w:p>
        </w:tc>
        <w:tc>
          <w:tcPr>
            <w:tcW w:w="1003" w:type="dxa"/>
            <w:vAlign w:val="bottom"/>
          </w:tcPr>
          <w:p w:rsidR="00FB0A0F" w:rsidRPr="001205DB" w:rsidRDefault="00FB0A0F" w:rsidP="00704716">
            <w:pPr>
              <w:jc w:val="right"/>
              <w:rPr>
                <w:color w:val="000000"/>
                <w:sz w:val="20"/>
                <w:szCs w:val="20"/>
              </w:rPr>
            </w:pPr>
            <w:r w:rsidRPr="001205DB">
              <w:rPr>
                <w:color w:val="000000"/>
                <w:sz w:val="20"/>
              </w:rPr>
              <w:t>5,925</w:t>
            </w:r>
          </w:p>
        </w:tc>
        <w:tc>
          <w:tcPr>
            <w:tcW w:w="1004" w:type="dxa"/>
            <w:vAlign w:val="bottom"/>
          </w:tcPr>
          <w:p w:rsidR="00FB0A0F" w:rsidRPr="001205DB" w:rsidRDefault="00FB0A0F" w:rsidP="00704716">
            <w:pPr>
              <w:jc w:val="right"/>
              <w:rPr>
                <w:color w:val="000000"/>
                <w:sz w:val="20"/>
                <w:szCs w:val="20"/>
              </w:rPr>
            </w:pPr>
            <w:r w:rsidRPr="001205DB">
              <w:rPr>
                <w:color w:val="000000"/>
                <w:sz w:val="20"/>
              </w:rPr>
              <w:t>5,777</w:t>
            </w:r>
          </w:p>
        </w:tc>
        <w:tc>
          <w:tcPr>
            <w:tcW w:w="1003" w:type="dxa"/>
            <w:vAlign w:val="bottom"/>
          </w:tcPr>
          <w:p w:rsidR="00FB0A0F" w:rsidRPr="001205DB" w:rsidRDefault="00FB0A0F" w:rsidP="00704716">
            <w:pPr>
              <w:jc w:val="right"/>
              <w:rPr>
                <w:color w:val="000000"/>
                <w:sz w:val="20"/>
                <w:szCs w:val="20"/>
              </w:rPr>
            </w:pPr>
            <w:r w:rsidRPr="001205DB">
              <w:rPr>
                <w:color w:val="000000"/>
                <w:sz w:val="20"/>
              </w:rPr>
              <w:t>5,864</w:t>
            </w:r>
          </w:p>
        </w:tc>
        <w:tc>
          <w:tcPr>
            <w:tcW w:w="1004" w:type="dxa"/>
            <w:vAlign w:val="bottom"/>
          </w:tcPr>
          <w:p w:rsidR="00FB0A0F" w:rsidRPr="001205DB" w:rsidRDefault="00FB0A0F" w:rsidP="00704716">
            <w:pPr>
              <w:jc w:val="right"/>
              <w:rPr>
                <w:color w:val="000000"/>
                <w:sz w:val="20"/>
                <w:szCs w:val="20"/>
              </w:rPr>
            </w:pPr>
            <w:r w:rsidRPr="001205DB">
              <w:rPr>
                <w:color w:val="000000"/>
                <w:sz w:val="20"/>
              </w:rPr>
              <w:t>5,864</w:t>
            </w:r>
          </w:p>
        </w:tc>
        <w:tc>
          <w:tcPr>
            <w:tcW w:w="1003" w:type="dxa"/>
            <w:vAlign w:val="bottom"/>
          </w:tcPr>
          <w:p w:rsidR="00FB0A0F" w:rsidRPr="001205DB" w:rsidRDefault="00FB0A0F" w:rsidP="00704716">
            <w:pPr>
              <w:jc w:val="right"/>
              <w:rPr>
                <w:color w:val="000000"/>
                <w:sz w:val="20"/>
                <w:szCs w:val="20"/>
              </w:rPr>
            </w:pPr>
            <w:r w:rsidRPr="001205DB">
              <w:rPr>
                <w:color w:val="000000"/>
                <w:sz w:val="20"/>
              </w:rPr>
              <w:t>6,086</w:t>
            </w:r>
          </w:p>
        </w:tc>
        <w:tc>
          <w:tcPr>
            <w:tcW w:w="1097" w:type="dxa"/>
            <w:shd w:val="clear" w:color="auto" w:fill="A6A6A6" w:themeFill="background1" w:themeFillShade="A6"/>
            <w:vAlign w:val="bottom"/>
          </w:tcPr>
          <w:p w:rsidR="00FB0A0F" w:rsidRPr="001205DB" w:rsidRDefault="00FB0A0F" w:rsidP="00704716">
            <w:pPr>
              <w:jc w:val="right"/>
              <w:rPr>
                <w:color w:val="000000"/>
                <w:sz w:val="20"/>
                <w:szCs w:val="20"/>
              </w:rPr>
            </w:pPr>
            <w:r w:rsidRPr="001205DB">
              <w:rPr>
                <w:color w:val="000000"/>
                <w:sz w:val="20"/>
              </w:rPr>
              <w:t>0,000</w:t>
            </w:r>
          </w:p>
        </w:tc>
        <w:tc>
          <w:tcPr>
            <w:tcW w:w="1196" w:type="dxa"/>
            <w:vAlign w:val="center"/>
          </w:tcPr>
          <w:p w:rsidR="00FB0A0F" w:rsidRPr="001205DB" w:rsidRDefault="00FB0A0F" w:rsidP="00704716">
            <w:pPr>
              <w:jc w:val="right"/>
              <w:rPr>
                <w:b/>
                <w:bCs/>
                <w:color w:val="000000"/>
                <w:sz w:val="20"/>
                <w:szCs w:val="20"/>
              </w:rPr>
            </w:pPr>
            <w:r w:rsidRPr="001205DB">
              <w:rPr>
                <w:b/>
                <w:color w:val="000000"/>
                <w:sz w:val="20"/>
              </w:rPr>
              <w:t>40,973</w:t>
            </w:r>
          </w:p>
        </w:tc>
      </w:tr>
      <w:tr w:rsidR="00FB0A0F" w:rsidRPr="001205DB" w:rsidTr="00704716">
        <w:trPr>
          <w:trHeight w:val="319"/>
          <w:jc w:val="center"/>
        </w:trPr>
        <w:tc>
          <w:tcPr>
            <w:tcW w:w="3354" w:type="dxa"/>
            <w:vAlign w:val="center"/>
          </w:tcPr>
          <w:p w:rsidR="00FB0A0F" w:rsidRPr="001205DB" w:rsidRDefault="00FB0A0F" w:rsidP="00704716">
            <w:pPr>
              <w:spacing w:before="20" w:after="20"/>
              <w:jc w:val="left"/>
              <w:rPr>
                <w:noProof/>
              </w:rPr>
            </w:pPr>
            <w:r w:rsidRPr="001205DB">
              <w:rPr>
                <w:noProof/>
                <w:sz w:val="21"/>
              </w:rPr>
              <w:t>09 01 XX XX Pāreja uz tīru enerģiju —</w:t>
            </w:r>
            <w:r w:rsidRPr="001205DB">
              <w:rPr>
                <w:noProof/>
                <w:sz w:val="20"/>
              </w:rPr>
              <w:t xml:space="preserve"> izdevumi par administratīvo vadību</w:t>
            </w:r>
            <w:r w:rsidRPr="001205DB">
              <w:rPr>
                <w:noProof/>
                <w:sz w:val="21"/>
              </w:rPr>
              <w:t xml:space="preserve"> </w:t>
            </w:r>
            <w:r w:rsidRPr="001205DB">
              <w:rPr>
                <w:rStyle w:val="FootnoteReference"/>
              </w:rPr>
              <w:footnoteReference w:id="49"/>
            </w:r>
          </w:p>
        </w:tc>
        <w:tc>
          <w:tcPr>
            <w:tcW w:w="1320" w:type="dxa"/>
            <w:vAlign w:val="center"/>
          </w:tcPr>
          <w:p w:rsidR="00FB0A0F" w:rsidRPr="001205DB" w:rsidRDefault="00FB0A0F" w:rsidP="00704716">
            <w:pPr>
              <w:spacing w:before="40" w:after="40"/>
              <w:jc w:val="left"/>
              <w:rPr>
                <w:noProof/>
                <w:sz w:val="18"/>
              </w:rPr>
            </w:pPr>
            <w:r w:rsidRPr="001205DB">
              <w:rPr>
                <w:noProof/>
                <w:sz w:val="18"/>
              </w:rPr>
              <w:t>Saistības = Maksājumi</w:t>
            </w:r>
          </w:p>
        </w:tc>
        <w:tc>
          <w:tcPr>
            <w:tcW w:w="480" w:type="dxa"/>
            <w:vAlign w:val="center"/>
          </w:tcPr>
          <w:p w:rsidR="00FB0A0F" w:rsidRPr="001205DB" w:rsidRDefault="00FB0A0F" w:rsidP="00704716">
            <w:pPr>
              <w:spacing w:before="40" w:after="40"/>
              <w:jc w:val="center"/>
              <w:rPr>
                <w:noProof/>
                <w:sz w:val="14"/>
              </w:rPr>
            </w:pPr>
            <w:r w:rsidRPr="001205DB">
              <w:rPr>
                <w:noProof/>
                <w:sz w:val="14"/>
              </w:rPr>
              <w:t>(3)</w:t>
            </w:r>
          </w:p>
        </w:tc>
        <w:tc>
          <w:tcPr>
            <w:tcW w:w="1003" w:type="dxa"/>
            <w:vAlign w:val="center"/>
          </w:tcPr>
          <w:p w:rsidR="00FB0A0F" w:rsidRPr="001205DB" w:rsidRDefault="00FB0A0F" w:rsidP="00704716">
            <w:pPr>
              <w:jc w:val="right"/>
              <w:rPr>
                <w:color w:val="000000"/>
                <w:sz w:val="20"/>
                <w:szCs w:val="20"/>
              </w:rPr>
            </w:pPr>
            <w:r w:rsidRPr="001205DB">
              <w:rPr>
                <w:color w:val="000000"/>
                <w:sz w:val="20"/>
              </w:rPr>
              <w:t>2,500</w:t>
            </w:r>
          </w:p>
        </w:tc>
        <w:tc>
          <w:tcPr>
            <w:tcW w:w="1004" w:type="dxa"/>
            <w:vAlign w:val="center"/>
          </w:tcPr>
          <w:p w:rsidR="00FB0A0F" w:rsidRPr="001205DB" w:rsidRDefault="00FB0A0F" w:rsidP="00704716">
            <w:pPr>
              <w:jc w:val="right"/>
              <w:rPr>
                <w:color w:val="000000"/>
                <w:sz w:val="20"/>
                <w:szCs w:val="20"/>
              </w:rPr>
            </w:pPr>
            <w:r w:rsidRPr="001205DB">
              <w:rPr>
                <w:color w:val="000000"/>
                <w:sz w:val="20"/>
              </w:rPr>
              <w:t>2,500</w:t>
            </w:r>
          </w:p>
        </w:tc>
        <w:tc>
          <w:tcPr>
            <w:tcW w:w="1003" w:type="dxa"/>
            <w:vAlign w:val="center"/>
          </w:tcPr>
          <w:p w:rsidR="00FB0A0F" w:rsidRPr="001205DB" w:rsidRDefault="00FB0A0F" w:rsidP="00704716">
            <w:pPr>
              <w:jc w:val="right"/>
              <w:rPr>
                <w:color w:val="000000"/>
                <w:sz w:val="20"/>
                <w:szCs w:val="20"/>
              </w:rPr>
            </w:pPr>
            <w:r w:rsidRPr="001205DB">
              <w:rPr>
                <w:color w:val="000000"/>
                <w:sz w:val="20"/>
              </w:rPr>
              <w:t>2,500</w:t>
            </w:r>
          </w:p>
        </w:tc>
        <w:tc>
          <w:tcPr>
            <w:tcW w:w="1004" w:type="dxa"/>
            <w:vAlign w:val="center"/>
          </w:tcPr>
          <w:p w:rsidR="00FB0A0F" w:rsidRPr="001205DB" w:rsidRDefault="00FB0A0F" w:rsidP="00704716">
            <w:pPr>
              <w:jc w:val="right"/>
              <w:rPr>
                <w:color w:val="000000"/>
                <w:sz w:val="20"/>
                <w:szCs w:val="20"/>
              </w:rPr>
            </w:pPr>
            <w:r w:rsidRPr="001205DB">
              <w:rPr>
                <w:color w:val="000000"/>
                <w:sz w:val="20"/>
              </w:rPr>
              <w:t>2,500</w:t>
            </w:r>
          </w:p>
        </w:tc>
        <w:tc>
          <w:tcPr>
            <w:tcW w:w="1003" w:type="dxa"/>
            <w:vAlign w:val="center"/>
          </w:tcPr>
          <w:p w:rsidR="00FB0A0F" w:rsidRPr="001205DB" w:rsidRDefault="00FB0A0F" w:rsidP="00704716">
            <w:pPr>
              <w:jc w:val="right"/>
              <w:rPr>
                <w:color w:val="000000"/>
                <w:sz w:val="20"/>
                <w:szCs w:val="20"/>
              </w:rPr>
            </w:pPr>
            <w:r w:rsidRPr="001205DB">
              <w:rPr>
                <w:color w:val="000000"/>
                <w:sz w:val="20"/>
              </w:rPr>
              <w:t>2,500</w:t>
            </w:r>
          </w:p>
        </w:tc>
        <w:tc>
          <w:tcPr>
            <w:tcW w:w="1004" w:type="dxa"/>
            <w:vAlign w:val="center"/>
          </w:tcPr>
          <w:p w:rsidR="00FB0A0F" w:rsidRPr="001205DB" w:rsidRDefault="00FB0A0F" w:rsidP="00704716">
            <w:pPr>
              <w:jc w:val="right"/>
              <w:rPr>
                <w:color w:val="000000"/>
                <w:sz w:val="20"/>
                <w:szCs w:val="20"/>
              </w:rPr>
            </w:pPr>
            <w:r w:rsidRPr="001205DB">
              <w:rPr>
                <w:color w:val="000000"/>
                <w:sz w:val="20"/>
              </w:rPr>
              <w:t>2,500</w:t>
            </w:r>
          </w:p>
        </w:tc>
        <w:tc>
          <w:tcPr>
            <w:tcW w:w="1003" w:type="dxa"/>
            <w:vAlign w:val="center"/>
          </w:tcPr>
          <w:p w:rsidR="00FB0A0F" w:rsidRPr="001205DB" w:rsidRDefault="00FB0A0F" w:rsidP="00704716">
            <w:pPr>
              <w:jc w:val="right"/>
              <w:rPr>
                <w:color w:val="000000"/>
                <w:sz w:val="20"/>
                <w:szCs w:val="20"/>
              </w:rPr>
            </w:pPr>
            <w:r w:rsidRPr="001205DB">
              <w:rPr>
                <w:color w:val="000000"/>
                <w:sz w:val="20"/>
              </w:rPr>
              <w:t>2,500</w:t>
            </w:r>
          </w:p>
        </w:tc>
        <w:tc>
          <w:tcPr>
            <w:tcW w:w="1097" w:type="dxa"/>
            <w:shd w:val="clear" w:color="auto" w:fill="A6A6A6" w:themeFill="background1" w:themeFillShade="A6"/>
            <w:vAlign w:val="center"/>
          </w:tcPr>
          <w:p w:rsidR="00FB0A0F" w:rsidRPr="001205DB" w:rsidRDefault="00FB0A0F" w:rsidP="00704716">
            <w:pPr>
              <w:jc w:val="right"/>
              <w:rPr>
                <w:color w:val="000000"/>
                <w:sz w:val="20"/>
                <w:szCs w:val="20"/>
              </w:rPr>
            </w:pPr>
            <w:r w:rsidRPr="001205DB">
              <w:rPr>
                <w:color w:val="000000"/>
                <w:sz w:val="20"/>
              </w:rPr>
              <w:t>0,000</w:t>
            </w:r>
          </w:p>
        </w:tc>
        <w:tc>
          <w:tcPr>
            <w:tcW w:w="1196" w:type="dxa"/>
            <w:vAlign w:val="center"/>
          </w:tcPr>
          <w:p w:rsidR="00FB0A0F" w:rsidRPr="001205DB" w:rsidRDefault="00FB0A0F" w:rsidP="00704716">
            <w:pPr>
              <w:jc w:val="right"/>
              <w:rPr>
                <w:b/>
                <w:bCs/>
                <w:color w:val="000000"/>
                <w:sz w:val="20"/>
                <w:szCs w:val="20"/>
              </w:rPr>
            </w:pPr>
            <w:r w:rsidRPr="001205DB">
              <w:rPr>
                <w:b/>
                <w:color w:val="000000"/>
                <w:sz w:val="20"/>
              </w:rPr>
              <w:t>17,500</w:t>
            </w:r>
          </w:p>
        </w:tc>
      </w:tr>
      <w:tr w:rsidR="00FB0A0F" w:rsidRPr="001205DB" w:rsidTr="00704716">
        <w:trPr>
          <w:trHeight w:val="319"/>
          <w:jc w:val="center"/>
        </w:trPr>
        <w:tc>
          <w:tcPr>
            <w:tcW w:w="3354" w:type="dxa"/>
            <w:vMerge w:val="restart"/>
            <w:vAlign w:val="center"/>
          </w:tcPr>
          <w:p w:rsidR="00FB0A0F" w:rsidRPr="001205DB" w:rsidRDefault="00FB0A0F" w:rsidP="00704716">
            <w:pPr>
              <w:spacing w:before="20" w:after="20"/>
              <w:jc w:val="left"/>
              <w:rPr>
                <w:noProof/>
                <w:sz w:val="21"/>
              </w:rPr>
            </w:pPr>
            <w:r w:rsidRPr="001205DB">
              <w:rPr>
                <w:noProof/>
                <w:sz w:val="21"/>
              </w:rPr>
              <w:t xml:space="preserve">Vide </w:t>
            </w:r>
          </w:p>
          <w:p w:rsidR="00FB0A0F" w:rsidRPr="001205DB" w:rsidRDefault="00FB0A0F" w:rsidP="00704716">
            <w:pPr>
              <w:spacing w:before="20" w:after="20"/>
              <w:jc w:val="left"/>
              <w:rPr>
                <w:noProof/>
                <w:sz w:val="21"/>
              </w:rPr>
            </w:pPr>
          </w:p>
        </w:tc>
        <w:tc>
          <w:tcPr>
            <w:tcW w:w="1320" w:type="dxa"/>
            <w:vAlign w:val="center"/>
          </w:tcPr>
          <w:p w:rsidR="00FB0A0F" w:rsidRPr="001205DB" w:rsidRDefault="00FB0A0F" w:rsidP="00704716">
            <w:pPr>
              <w:spacing w:before="40" w:after="40"/>
              <w:jc w:val="left"/>
              <w:rPr>
                <w:noProof/>
                <w:sz w:val="18"/>
              </w:rPr>
            </w:pPr>
            <w:r w:rsidRPr="001205DB">
              <w:rPr>
                <w:noProof/>
                <w:sz w:val="18"/>
              </w:rPr>
              <w:t>Saistības</w:t>
            </w:r>
          </w:p>
        </w:tc>
        <w:tc>
          <w:tcPr>
            <w:tcW w:w="480" w:type="dxa"/>
            <w:vAlign w:val="center"/>
          </w:tcPr>
          <w:p w:rsidR="00FB0A0F" w:rsidRPr="001205DB" w:rsidRDefault="00FB0A0F" w:rsidP="00704716">
            <w:pPr>
              <w:spacing w:before="40" w:after="40"/>
              <w:jc w:val="center"/>
              <w:rPr>
                <w:noProof/>
                <w:sz w:val="14"/>
              </w:rPr>
            </w:pPr>
          </w:p>
        </w:tc>
        <w:tc>
          <w:tcPr>
            <w:tcW w:w="1003" w:type="dxa"/>
          </w:tcPr>
          <w:p w:rsidR="00FB0A0F" w:rsidRPr="001205DB" w:rsidRDefault="00FB0A0F" w:rsidP="00704716">
            <w:pPr>
              <w:jc w:val="right"/>
              <w:rPr>
                <w:color w:val="000000"/>
                <w:sz w:val="20"/>
                <w:szCs w:val="20"/>
              </w:rPr>
            </w:pPr>
            <w:r w:rsidRPr="001205DB">
              <w:rPr>
                <w:color w:val="000000"/>
                <w:sz w:val="20"/>
              </w:rPr>
              <w:t xml:space="preserve"> 439,999 </w:t>
            </w:r>
          </w:p>
        </w:tc>
        <w:tc>
          <w:tcPr>
            <w:tcW w:w="1004" w:type="dxa"/>
          </w:tcPr>
          <w:p w:rsidR="00FB0A0F" w:rsidRPr="001205DB" w:rsidRDefault="00FB0A0F" w:rsidP="00704716">
            <w:pPr>
              <w:jc w:val="right"/>
              <w:rPr>
                <w:color w:val="000000"/>
                <w:sz w:val="20"/>
                <w:szCs w:val="20"/>
              </w:rPr>
            </w:pPr>
            <w:r w:rsidRPr="001205DB">
              <w:rPr>
                <w:color w:val="000000"/>
                <w:sz w:val="20"/>
              </w:rPr>
              <w:t xml:space="preserve"> 449,972 </w:t>
            </w:r>
          </w:p>
        </w:tc>
        <w:tc>
          <w:tcPr>
            <w:tcW w:w="1003" w:type="dxa"/>
          </w:tcPr>
          <w:p w:rsidR="00FB0A0F" w:rsidRPr="001205DB" w:rsidRDefault="00FB0A0F" w:rsidP="00704716">
            <w:pPr>
              <w:jc w:val="right"/>
              <w:rPr>
                <w:color w:val="000000"/>
                <w:sz w:val="20"/>
                <w:szCs w:val="20"/>
              </w:rPr>
            </w:pPr>
            <w:r w:rsidRPr="001205DB">
              <w:rPr>
                <w:color w:val="000000"/>
                <w:sz w:val="20"/>
              </w:rPr>
              <w:t xml:space="preserve"> 465,356 </w:t>
            </w:r>
          </w:p>
        </w:tc>
        <w:tc>
          <w:tcPr>
            <w:tcW w:w="1004" w:type="dxa"/>
          </w:tcPr>
          <w:p w:rsidR="00FB0A0F" w:rsidRPr="001205DB" w:rsidRDefault="00FB0A0F" w:rsidP="00704716">
            <w:pPr>
              <w:jc w:val="right"/>
              <w:rPr>
                <w:color w:val="000000"/>
                <w:sz w:val="20"/>
                <w:szCs w:val="20"/>
              </w:rPr>
            </w:pPr>
            <w:r w:rsidRPr="001205DB">
              <w:rPr>
                <w:color w:val="000000"/>
                <w:sz w:val="20"/>
              </w:rPr>
              <w:t xml:space="preserve"> 486,690 </w:t>
            </w:r>
          </w:p>
        </w:tc>
        <w:tc>
          <w:tcPr>
            <w:tcW w:w="1003" w:type="dxa"/>
          </w:tcPr>
          <w:p w:rsidR="00FB0A0F" w:rsidRPr="001205DB" w:rsidRDefault="00FB0A0F" w:rsidP="00704716">
            <w:pPr>
              <w:jc w:val="right"/>
              <w:rPr>
                <w:color w:val="000000"/>
                <w:sz w:val="20"/>
                <w:szCs w:val="20"/>
              </w:rPr>
            </w:pPr>
            <w:r w:rsidRPr="001205DB">
              <w:rPr>
                <w:color w:val="000000"/>
                <w:sz w:val="20"/>
              </w:rPr>
              <w:t xml:space="preserve"> 514,738 </w:t>
            </w:r>
          </w:p>
        </w:tc>
        <w:tc>
          <w:tcPr>
            <w:tcW w:w="1004" w:type="dxa"/>
          </w:tcPr>
          <w:p w:rsidR="00FB0A0F" w:rsidRPr="001205DB" w:rsidRDefault="00FB0A0F" w:rsidP="00704716">
            <w:pPr>
              <w:jc w:val="right"/>
              <w:rPr>
                <w:color w:val="000000"/>
                <w:sz w:val="20"/>
                <w:szCs w:val="20"/>
              </w:rPr>
            </w:pPr>
            <w:r w:rsidRPr="001205DB">
              <w:rPr>
                <w:color w:val="000000"/>
                <w:sz w:val="20"/>
              </w:rPr>
              <w:t xml:space="preserve"> 550,537 </w:t>
            </w:r>
          </w:p>
        </w:tc>
        <w:tc>
          <w:tcPr>
            <w:tcW w:w="1003" w:type="dxa"/>
          </w:tcPr>
          <w:p w:rsidR="00FB0A0F" w:rsidRPr="001205DB" w:rsidRDefault="00FB0A0F" w:rsidP="00704716">
            <w:pPr>
              <w:jc w:val="right"/>
              <w:rPr>
                <w:color w:val="000000"/>
                <w:sz w:val="20"/>
                <w:szCs w:val="20"/>
              </w:rPr>
            </w:pPr>
            <w:r w:rsidRPr="001205DB">
              <w:rPr>
                <w:color w:val="000000"/>
                <w:sz w:val="20"/>
              </w:rPr>
              <w:t xml:space="preserve"> 592,708 </w:t>
            </w:r>
          </w:p>
        </w:tc>
        <w:tc>
          <w:tcPr>
            <w:tcW w:w="1097" w:type="dxa"/>
            <w:shd w:val="clear" w:color="auto" w:fill="A6A6A6" w:themeFill="background1" w:themeFillShade="A6"/>
            <w:vAlign w:val="center"/>
          </w:tcPr>
          <w:p w:rsidR="00FB0A0F" w:rsidRPr="001205DB" w:rsidRDefault="00FB0A0F" w:rsidP="00704716">
            <w:pPr>
              <w:jc w:val="right"/>
              <w:rPr>
                <w:color w:val="000000"/>
                <w:sz w:val="20"/>
                <w:szCs w:val="20"/>
              </w:rPr>
            </w:pPr>
            <w:r w:rsidRPr="001205DB">
              <w:rPr>
                <w:color w:val="000000"/>
                <w:sz w:val="20"/>
              </w:rPr>
              <w:t>0,000</w:t>
            </w:r>
          </w:p>
        </w:tc>
        <w:tc>
          <w:tcPr>
            <w:tcW w:w="1196" w:type="dxa"/>
            <w:vAlign w:val="center"/>
          </w:tcPr>
          <w:p w:rsidR="00FB0A0F" w:rsidRPr="001205DB" w:rsidRDefault="00FB0A0F" w:rsidP="00704716">
            <w:pPr>
              <w:jc w:val="right"/>
              <w:rPr>
                <w:b/>
                <w:bCs/>
                <w:color w:val="000000"/>
                <w:sz w:val="20"/>
                <w:szCs w:val="20"/>
              </w:rPr>
            </w:pPr>
            <w:r w:rsidRPr="001205DB">
              <w:rPr>
                <w:b/>
                <w:color w:val="000000"/>
                <w:sz w:val="20"/>
              </w:rPr>
              <w:t>3500,000</w:t>
            </w:r>
          </w:p>
        </w:tc>
      </w:tr>
      <w:tr w:rsidR="00FB0A0F" w:rsidRPr="001205DB" w:rsidTr="00704716">
        <w:trPr>
          <w:trHeight w:val="319"/>
          <w:jc w:val="center"/>
        </w:trPr>
        <w:tc>
          <w:tcPr>
            <w:tcW w:w="3354" w:type="dxa"/>
            <w:vMerge/>
            <w:vAlign w:val="center"/>
          </w:tcPr>
          <w:p w:rsidR="00FB0A0F" w:rsidRPr="001205DB" w:rsidRDefault="00FB0A0F" w:rsidP="00704716">
            <w:pPr>
              <w:spacing w:before="20" w:after="20"/>
              <w:jc w:val="left"/>
              <w:rPr>
                <w:noProof/>
                <w:sz w:val="21"/>
              </w:rPr>
            </w:pPr>
          </w:p>
        </w:tc>
        <w:tc>
          <w:tcPr>
            <w:tcW w:w="1320" w:type="dxa"/>
            <w:vAlign w:val="center"/>
          </w:tcPr>
          <w:p w:rsidR="00FB0A0F" w:rsidRPr="001205DB" w:rsidRDefault="00FB0A0F" w:rsidP="00704716">
            <w:pPr>
              <w:spacing w:before="40" w:after="40"/>
              <w:jc w:val="left"/>
              <w:rPr>
                <w:noProof/>
                <w:sz w:val="18"/>
              </w:rPr>
            </w:pPr>
            <w:r w:rsidRPr="001205DB">
              <w:rPr>
                <w:noProof/>
                <w:sz w:val="18"/>
              </w:rPr>
              <w:t>Maksājumi</w:t>
            </w:r>
          </w:p>
        </w:tc>
        <w:tc>
          <w:tcPr>
            <w:tcW w:w="480" w:type="dxa"/>
            <w:vAlign w:val="center"/>
          </w:tcPr>
          <w:p w:rsidR="00FB0A0F" w:rsidRPr="001205DB" w:rsidRDefault="00FB0A0F" w:rsidP="00704716">
            <w:pPr>
              <w:spacing w:before="40" w:after="40"/>
              <w:jc w:val="center"/>
              <w:rPr>
                <w:noProof/>
                <w:sz w:val="14"/>
              </w:rPr>
            </w:pPr>
          </w:p>
        </w:tc>
        <w:tc>
          <w:tcPr>
            <w:tcW w:w="1003" w:type="dxa"/>
          </w:tcPr>
          <w:p w:rsidR="00FB0A0F" w:rsidRPr="001205DB" w:rsidRDefault="00FB0A0F" w:rsidP="00704716">
            <w:pPr>
              <w:jc w:val="right"/>
              <w:rPr>
                <w:color w:val="000000"/>
                <w:sz w:val="20"/>
                <w:szCs w:val="20"/>
              </w:rPr>
            </w:pPr>
            <w:r w:rsidRPr="001205DB">
              <w:rPr>
                <w:color w:val="000000"/>
                <w:sz w:val="20"/>
              </w:rPr>
              <w:t xml:space="preserve"> 28,588 </w:t>
            </w:r>
          </w:p>
        </w:tc>
        <w:tc>
          <w:tcPr>
            <w:tcW w:w="1004" w:type="dxa"/>
          </w:tcPr>
          <w:p w:rsidR="00FB0A0F" w:rsidRPr="001205DB" w:rsidRDefault="00FB0A0F" w:rsidP="00704716">
            <w:pPr>
              <w:jc w:val="right"/>
              <w:rPr>
                <w:color w:val="000000"/>
                <w:sz w:val="20"/>
                <w:szCs w:val="20"/>
              </w:rPr>
            </w:pPr>
            <w:r w:rsidRPr="001205DB">
              <w:rPr>
                <w:color w:val="000000"/>
                <w:sz w:val="20"/>
              </w:rPr>
              <w:t xml:space="preserve"> 180,394 </w:t>
            </w:r>
          </w:p>
        </w:tc>
        <w:tc>
          <w:tcPr>
            <w:tcW w:w="1003" w:type="dxa"/>
          </w:tcPr>
          <w:p w:rsidR="00FB0A0F" w:rsidRPr="001205DB" w:rsidRDefault="00FB0A0F" w:rsidP="00704716">
            <w:pPr>
              <w:jc w:val="right"/>
              <w:rPr>
                <w:color w:val="000000"/>
                <w:sz w:val="20"/>
                <w:szCs w:val="20"/>
              </w:rPr>
            </w:pPr>
            <w:r w:rsidRPr="001205DB">
              <w:rPr>
                <w:color w:val="000000"/>
                <w:sz w:val="20"/>
              </w:rPr>
              <w:t xml:space="preserve"> 220,668 </w:t>
            </w:r>
          </w:p>
        </w:tc>
        <w:tc>
          <w:tcPr>
            <w:tcW w:w="1004" w:type="dxa"/>
          </w:tcPr>
          <w:p w:rsidR="00FB0A0F" w:rsidRPr="001205DB" w:rsidRDefault="00FB0A0F" w:rsidP="00704716">
            <w:pPr>
              <w:jc w:val="right"/>
              <w:rPr>
                <w:color w:val="000000"/>
                <w:sz w:val="20"/>
                <w:szCs w:val="20"/>
              </w:rPr>
            </w:pPr>
            <w:r w:rsidRPr="001205DB">
              <w:rPr>
                <w:color w:val="000000"/>
                <w:sz w:val="20"/>
              </w:rPr>
              <w:t xml:space="preserve"> 268,516 </w:t>
            </w:r>
          </w:p>
        </w:tc>
        <w:tc>
          <w:tcPr>
            <w:tcW w:w="1003" w:type="dxa"/>
          </w:tcPr>
          <w:p w:rsidR="00FB0A0F" w:rsidRPr="001205DB" w:rsidRDefault="00FB0A0F" w:rsidP="00704716">
            <w:pPr>
              <w:jc w:val="right"/>
              <w:rPr>
                <w:color w:val="000000"/>
                <w:sz w:val="20"/>
                <w:szCs w:val="20"/>
              </w:rPr>
            </w:pPr>
            <w:r w:rsidRPr="001205DB">
              <w:rPr>
                <w:color w:val="000000"/>
                <w:sz w:val="20"/>
              </w:rPr>
              <w:t xml:space="preserve"> 326,153 </w:t>
            </w:r>
          </w:p>
        </w:tc>
        <w:tc>
          <w:tcPr>
            <w:tcW w:w="1004" w:type="dxa"/>
          </w:tcPr>
          <w:p w:rsidR="00FB0A0F" w:rsidRPr="001205DB" w:rsidRDefault="00FB0A0F" w:rsidP="00704716">
            <w:pPr>
              <w:jc w:val="right"/>
              <w:rPr>
                <w:color w:val="000000"/>
                <w:sz w:val="20"/>
                <w:szCs w:val="20"/>
              </w:rPr>
            </w:pPr>
            <w:r w:rsidRPr="001205DB">
              <w:rPr>
                <w:color w:val="000000"/>
                <w:sz w:val="20"/>
              </w:rPr>
              <w:t xml:space="preserve"> 385,927 </w:t>
            </w:r>
          </w:p>
        </w:tc>
        <w:tc>
          <w:tcPr>
            <w:tcW w:w="1003" w:type="dxa"/>
          </w:tcPr>
          <w:p w:rsidR="00FB0A0F" w:rsidRPr="001205DB" w:rsidRDefault="00FB0A0F" w:rsidP="00704716">
            <w:pPr>
              <w:jc w:val="right"/>
              <w:rPr>
                <w:color w:val="000000"/>
                <w:sz w:val="20"/>
                <w:szCs w:val="20"/>
              </w:rPr>
            </w:pPr>
            <w:r w:rsidRPr="001205DB">
              <w:rPr>
                <w:color w:val="000000"/>
                <w:sz w:val="20"/>
              </w:rPr>
              <w:t xml:space="preserve"> 434,707 </w:t>
            </w:r>
          </w:p>
        </w:tc>
        <w:tc>
          <w:tcPr>
            <w:tcW w:w="1097" w:type="dxa"/>
            <w:shd w:val="clear" w:color="auto" w:fill="A6A6A6" w:themeFill="background1" w:themeFillShade="A6"/>
            <w:vAlign w:val="center"/>
          </w:tcPr>
          <w:p w:rsidR="00FB0A0F" w:rsidRPr="001205DB" w:rsidRDefault="00FB0A0F" w:rsidP="00704716">
            <w:pPr>
              <w:jc w:val="right"/>
              <w:rPr>
                <w:color w:val="000000"/>
                <w:sz w:val="20"/>
                <w:szCs w:val="20"/>
              </w:rPr>
            </w:pPr>
            <w:r w:rsidRPr="001205DB">
              <w:rPr>
                <w:color w:val="000000"/>
                <w:sz w:val="20"/>
              </w:rPr>
              <w:t>1655,048</w:t>
            </w:r>
          </w:p>
        </w:tc>
        <w:tc>
          <w:tcPr>
            <w:tcW w:w="1196" w:type="dxa"/>
            <w:vAlign w:val="center"/>
          </w:tcPr>
          <w:p w:rsidR="00FB0A0F" w:rsidRPr="001205DB" w:rsidRDefault="00FB0A0F" w:rsidP="00704716">
            <w:pPr>
              <w:jc w:val="right"/>
              <w:rPr>
                <w:b/>
                <w:bCs/>
                <w:color w:val="000000"/>
                <w:sz w:val="20"/>
                <w:szCs w:val="20"/>
              </w:rPr>
            </w:pPr>
            <w:r w:rsidRPr="001205DB">
              <w:rPr>
                <w:b/>
                <w:color w:val="000000"/>
                <w:sz w:val="20"/>
              </w:rPr>
              <w:t>3500,000</w:t>
            </w:r>
          </w:p>
        </w:tc>
      </w:tr>
      <w:tr w:rsidR="00FB0A0F" w:rsidRPr="001205DB" w:rsidTr="00704716">
        <w:trPr>
          <w:trHeight w:val="319"/>
          <w:jc w:val="center"/>
        </w:trPr>
        <w:tc>
          <w:tcPr>
            <w:tcW w:w="3354" w:type="dxa"/>
            <w:vMerge w:val="restart"/>
            <w:vAlign w:val="center"/>
          </w:tcPr>
          <w:p w:rsidR="00FB0A0F" w:rsidRPr="001205DB" w:rsidRDefault="00FB0A0F" w:rsidP="00704716">
            <w:pPr>
              <w:spacing w:before="20" w:after="20"/>
              <w:jc w:val="left"/>
              <w:rPr>
                <w:noProof/>
                <w:sz w:val="21"/>
              </w:rPr>
            </w:pPr>
          </w:p>
          <w:p w:rsidR="00FB0A0F" w:rsidRPr="001205DB" w:rsidRDefault="00FB0A0F" w:rsidP="00704716">
            <w:pPr>
              <w:spacing w:before="20" w:after="20"/>
              <w:jc w:val="left"/>
              <w:rPr>
                <w:noProof/>
                <w:sz w:val="21"/>
              </w:rPr>
            </w:pPr>
            <w:r w:rsidRPr="001205DB">
              <w:rPr>
                <w:noProof/>
                <w:sz w:val="21"/>
              </w:rPr>
              <w:t>Klimata politika</w:t>
            </w:r>
          </w:p>
        </w:tc>
        <w:tc>
          <w:tcPr>
            <w:tcW w:w="1320" w:type="dxa"/>
            <w:vAlign w:val="center"/>
          </w:tcPr>
          <w:p w:rsidR="00FB0A0F" w:rsidRPr="001205DB" w:rsidRDefault="00FB0A0F" w:rsidP="00704716">
            <w:pPr>
              <w:spacing w:before="40" w:after="40"/>
              <w:jc w:val="left"/>
              <w:rPr>
                <w:noProof/>
                <w:sz w:val="18"/>
              </w:rPr>
            </w:pPr>
            <w:r w:rsidRPr="001205DB">
              <w:rPr>
                <w:noProof/>
                <w:sz w:val="18"/>
              </w:rPr>
              <w:t>Saistības</w:t>
            </w:r>
          </w:p>
        </w:tc>
        <w:tc>
          <w:tcPr>
            <w:tcW w:w="480" w:type="dxa"/>
            <w:vAlign w:val="center"/>
          </w:tcPr>
          <w:p w:rsidR="00FB0A0F" w:rsidRPr="001205DB" w:rsidRDefault="00FB0A0F" w:rsidP="00704716">
            <w:pPr>
              <w:spacing w:before="40" w:after="40"/>
              <w:jc w:val="center"/>
              <w:rPr>
                <w:noProof/>
                <w:sz w:val="14"/>
              </w:rPr>
            </w:pPr>
          </w:p>
        </w:tc>
        <w:tc>
          <w:tcPr>
            <w:tcW w:w="1003" w:type="dxa"/>
          </w:tcPr>
          <w:p w:rsidR="00FB0A0F" w:rsidRPr="001205DB" w:rsidRDefault="00FB0A0F" w:rsidP="00704716">
            <w:pPr>
              <w:jc w:val="right"/>
              <w:rPr>
                <w:color w:val="000000"/>
                <w:sz w:val="20"/>
                <w:szCs w:val="20"/>
              </w:rPr>
            </w:pPr>
            <w:r w:rsidRPr="001205DB">
              <w:rPr>
                <w:color w:val="000000"/>
                <w:sz w:val="20"/>
              </w:rPr>
              <w:t xml:space="preserve"> 262,504 </w:t>
            </w:r>
          </w:p>
        </w:tc>
        <w:tc>
          <w:tcPr>
            <w:tcW w:w="1004" w:type="dxa"/>
          </w:tcPr>
          <w:p w:rsidR="00FB0A0F" w:rsidRPr="001205DB" w:rsidRDefault="00FB0A0F" w:rsidP="00704716">
            <w:pPr>
              <w:jc w:val="right"/>
              <w:rPr>
                <w:color w:val="000000"/>
                <w:sz w:val="20"/>
                <w:szCs w:val="20"/>
              </w:rPr>
            </w:pPr>
            <w:r w:rsidRPr="001205DB">
              <w:rPr>
                <w:color w:val="000000"/>
                <w:sz w:val="20"/>
              </w:rPr>
              <w:t xml:space="preserve"> 267,754 </w:t>
            </w:r>
          </w:p>
        </w:tc>
        <w:tc>
          <w:tcPr>
            <w:tcW w:w="1003" w:type="dxa"/>
          </w:tcPr>
          <w:p w:rsidR="00FB0A0F" w:rsidRPr="001205DB" w:rsidRDefault="00FB0A0F" w:rsidP="00704716">
            <w:pPr>
              <w:jc w:val="right"/>
              <w:rPr>
                <w:color w:val="000000"/>
                <w:sz w:val="20"/>
                <w:szCs w:val="20"/>
              </w:rPr>
            </w:pPr>
            <w:r w:rsidRPr="001205DB">
              <w:rPr>
                <w:color w:val="000000"/>
                <w:sz w:val="20"/>
              </w:rPr>
              <w:t xml:space="preserve"> 273,109 </w:t>
            </w:r>
          </w:p>
        </w:tc>
        <w:tc>
          <w:tcPr>
            <w:tcW w:w="1004" w:type="dxa"/>
          </w:tcPr>
          <w:p w:rsidR="00FB0A0F" w:rsidRPr="001205DB" w:rsidRDefault="00FB0A0F" w:rsidP="00704716">
            <w:pPr>
              <w:jc w:val="right"/>
              <w:rPr>
                <w:color w:val="000000"/>
                <w:sz w:val="20"/>
                <w:szCs w:val="20"/>
              </w:rPr>
            </w:pPr>
            <w:r w:rsidRPr="001205DB">
              <w:rPr>
                <w:color w:val="000000"/>
                <w:sz w:val="20"/>
              </w:rPr>
              <w:t xml:space="preserve"> 278,571 </w:t>
            </w:r>
          </w:p>
        </w:tc>
        <w:tc>
          <w:tcPr>
            <w:tcW w:w="1003" w:type="dxa"/>
          </w:tcPr>
          <w:p w:rsidR="00FB0A0F" w:rsidRPr="001205DB" w:rsidRDefault="00FB0A0F" w:rsidP="00704716">
            <w:pPr>
              <w:jc w:val="right"/>
              <w:rPr>
                <w:color w:val="000000"/>
                <w:sz w:val="20"/>
                <w:szCs w:val="20"/>
              </w:rPr>
            </w:pPr>
            <w:r w:rsidRPr="001205DB">
              <w:rPr>
                <w:color w:val="000000"/>
                <w:sz w:val="20"/>
              </w:rPr>
              <w:t xml:space="preserve"> 284,143 </w:t>
            </w:r>
          </w:p>
        </w:tc>
        <w:tc>
          <w:tcPr>
            <w:tcW w:w="1004" w:type="dxa"/>
          </w:tcPr>
          <w:p w:rsidR="00FB0A0F" w:rsidRPr="001205DB" w:rsidRDefault="00FB0A0F" w:rsidP="00704716">
            <w:pPr>
              <w:jc w:val="right"/>
              <w:rPr>
                <w:color w:val="000000"/>
                <w:sz w:val="20"/>
                <w:szCs w:val="20"/>
              </w:rPr>
            </w:pPr>
            <w:r w:rsidRPr="001205DB">
              <w:rPr>
                <w:color w:val="000000"/>
                <w:sz w:val="20"/>
              </w:rPr>
              <w:t xml:space="preserve"> 289,826 </w:t>
            </w:r>
          </w:p>
        </w:tc>
        <w:tc>
          <w:tcPr>
            <w:tcW w:w="1003" w:type="dxa"/>
          </w:tcPr>
          <w:p w:rsidR="00FB0A0F" w:rsidRPr="001205DB" w:rsidRDefault="00FB0A0F" w:rsidP="00704716">
            <w:pPr>
              <w:jc w:val="right"/>
              <w:rPr>
                <w:color w:val="000000"/>
                <w:sz w:val="20"/>
                <w:szCs w:val="20"/>
              </w:rPr>
            </w:pPr>
            <w:r w:rsidRPr="001205DB">
              <w:rPr>
                <w:color w:val="000000"/>
                <w:sz w:val="20"/>
              </w:rPr>
              <w:t xml:space="preserve"> 294,093 </w:t>
            </w:r>
          </w:p>
        </w:tc>
        <w:tc>
          <w:tcPr>
            <w:tcW w:w="1097" w:type="dxa"/>
            <w:shd w:val="clear" w:color="auto" w:fill="A6A6A6" w:themeFill="background1" w:themeFillShade="A6"/>
            <w:vAlign w:val="center"/>
          </w:tcPr>
          <w:p w:rsidR="00FB0A0F" w:rsidRPr="001205DB" w:rsidRDefault="00FB0A0F" w:rsidP="00704716">
            <w:pPr>
              <w:jc w:val="right"/>
              <w:rPr>
                <w:color w:val="000000"/>
                <w:sz w:val="20"/>
                <w:szCs w:val="20"/>
              </w:rPr>
            </w:pPr>
            <w:r w:rsidRPr="001205DB">
              <w:rPr>
                <w:color w:val="000000"/>
                <w:sz w:val="20"/>
              </w:rPr>
              <w:t>0,000</w:t>
            </w:r>
          </w:p>
        </w:tc>
        <w:tc>
          <w:tcPr>
            <w:tcW w:w="1196" w:type="dxa"/>
            <w:vAlign w:val="center"/>
          </w:tcPr>
          <w:p w:rsidR="00FB0A0F" w:rsidRPr="001205DB" w:rsidRDefault="00FB0A0F" w:rsidP="00704716">
            <w:pPr>
              <w:jc w:val="right"/>
              <w:rPr>
                <w:b/>
                <w:bCs/>
                <w:color w:val="000000"/>
                <w:sz w:val="20"/>
                <w:szCs w:val="20"/>
              </w:rPr>
            </w:pPr>
            <w:r w:rsidRPr="001205DB">
              <w:rPr>
                <w:b/>
                <w:color w:val="000000"/>
                <w:sz w:val="20"/>
              </w:rPr>
              <w:t>1950,000</w:t>
            </w:r>
          </w:p>
        </w:tc>
      </w:tr>
      <w:tr w:rsidR="00FB0A0F" w:rsidRPr="001205DB" w:rsidTr="00704716">
        <w:trPr>
          <w:trHeight w:val="319"/>
          <w:jc w:val="center"/>
        </w:trPr>
        <w:tc>
          <w:tcPr>
            <w:tcW w:w="3354" w:type="dxa"/>
            <w:vMerge/>
            <w:vAlign w:val="center"/>
          </w:tcPr>
          <w:p w:rsidR="00FB0A0F" w:rsidRPr="001205DB" w:rsidRDefault="00FB0A0F" w:rsidP="00704716">
            <w:pPr>
              <w:spacing w:before="20" w:after="20"/>
              <w:jc w:val="left"/>
              <w:rPr>
                <w:noProof/>
                <w:sz w:val="21"/>
              </w:rPr>
            </w:pPr>
          </w:p>
        </w:tc>
        <w:tc>
          <w:tcPr>
            <w:tcW w:w="1320" w:type="dxa"/>
            <w:vAlign w:val="center"/>
          </w:tcPr>
          <w:p w:rsidR="00FB0A0F" w:rsidRPr="001205DB" w:rsidRDefault="00FB0A0F" w:rsidP="00704716">
            <w:pPr>
              <w:spacing w:before="40" w:after="40"/>
              <w:jc w:val="left"/>
              <w:rPr>
                <w:noProof/>
                <w:sz w:val="18"/>
              </w:rPr>
            </w:pPr>
            <w:r w:rsidRPr="001205DB">
              <w:rPr>
                <w:noProof/>
                <w:sz w:val="18"/>
              </w:rPr>
              <w:t>Maksājumi</w:t>
            </w:r>
          </w:p>
        </w:tc>
        <w:tc>
          <w:tcPr>
            <w:tcW w:w="480" w:type="dxa"/>
            <w:vAlign w:val="center"/>
          </w:tcPr>
          <w:p w:rsidR="00FB0A0F" w:rsidRPr="001205DB" w:rsidRDefault="00FB0A0F" w:rsidP="00704716">
            <w:pPr>
              <w:spacing w:before="40" w:after="40"/>
              <w:jc w:val="center"/>
              <w:rPr>
                <w:noProof/>
                <w:sz w:val="14"/>
              </w:rPr>
            </w:pPr>
          </w:p>
        </w:tc>
        <w:tc>
          <w:tcPr>
            <w:tcW w:w="1003" w:type="dxa"/>
          </w:tcPr>
          <w:p w:rsidR="00FB0A0F" w:rsidRPr="001205DB" w:rsidRDefault="00FB0A0F" w:rsidP="00704716">
            <w:pPr>
              <w:jc w:val="right"/>
              <w:rPr>
                <w:color w:val="000000"/>
                <w:sz w:val="20"/>
                <w:szCs w:val="20"/>
              </w:rPr>
            </w:pPr>
            <w:r w:rsidRPr="001205DB">
              <w:rPr>
                <w:color w:val="000000"/>
                <w:sz w:val="20"/>
              </w:rPr>
              <w:t xml:space="preserve"> 17,056 </w:t>
            </w:r>
          </w:p>
        </w:tc>
        <w:tc>
          <w:tcPr>
            <w:tcW w:w="1004" w:type="dxa"/>
          </w:tcPr>
          <w:p w:rsidR="00FB0A0F" w:rsidRPr="001205DB" w:rsidRDefault="00FB0A0F" w:rsidP="00704716">
            <w:pPr>
              <w:jc w:val="right"/>
              <w:rPr>
                <w:color w:val="000000"/>
                <w:sz w:val="20"/>
                <w:szCs w:val="20"/>
              </w:rPr>
            </w:pPr>
            <w:r w:rsidRPr="001205DB">
              <w:rPr>
                <w:color w:val="000000"/>
                <w:sz w:val="20"/>
              </w:rPr>
              <w:t xml:space="preserve"> 107,343 </w:t>
            </w:r>
          </w:p>
        </w:tc>
        <w:tc>
          <w:tcPr>
            <w:tcW w:w="1003" w:type="dxa"/>
          </w:tcPr>
          <w:p w:rsidR="00FB0A0F" w:rsidRPr="001205DB" w:rsidRDefault="00FB0A0F" w:rsidP="00704716">
            <w:pPr>
              <w:jc w:val="right"/>
              <w:rPr>
                <w:color w:val="000000"/>
                <w:sz w:val="20"/>
                <w:szCs w:val="20"/>
              </w:rPr>
            </w:pPr>
            <w:r w:rsidRPr="001205DB">
              <w:rPr>
                <w:color w:val="000000"/>
                <w:sz w:val="20"/>
              </w:rPr>
              <w:t xml:space="preserve"> 129,506 </w:t>
            </w:r>
          </w:p>
        </w:tc>
        <w:tc>
          <w:tcPr>
            <w:tcW w:w="1004" w:type="dxa"/>
          </w:tcPr>
          <w:p w:rsidR="00FB0A0F" w:rsidRPr="001205DB" w:rsidRDefault="00FB0A0F" w:rsidP="00704716">
            <w:pPr>
              <w:jc w:val="right"/>
              <w:rPr>
                <w:color w:val="000000"/>
                <w:sz w:val="20"/>
                <w:szCs w:val="20"/>
              </w:rPr>
            </w:pPr>
            <w:r w:rsidRPr="001205DB">
              <w:rPr>
                <w:color w:val="000000"/>
                <w:sz w:val="20"/>
              </w:rPr>
              <w:t xml:space="preserve"> 153,693 </w:t>
            </w:r>
          </w:p>
        </w:tc>
        <w:tc>
          <w:tcPr>
            <w:tcW w:w="1003" w:type="dxa"/>
          </w:tcPr>
          <w:p w:rsidR="00FB0A0F" w:rsidRPr="001205DB" w:rsidRDefault="00FB0A0F" w:rsidP="00704716">
            <w:pPr>
              <w:jc w:val="right"/>
              <w:rPr>
                <w:color w:val="000000"/>
                <w:sz w:val="20"/>
                <w:szCs w:val="20"/>
              </w:rPr>
            </w:pPr>
            <w:r w:rsidRPr="001205DB">
              <w:rPr>
                <w:color w:val="000000"/>
                <w:sz w:val="20"/>
              </w:rPr>
              <w:t xml:space="preserve"> 180,041 </w:t>
            </w:r>
          </w:p>
        </w:tc>
        <w:tc>
          <w:tcPr>
            <w:tcW w:w="1004" w:type="dxa"/>
          </w:tcPr>
          <w:p w:rsidR="00FB0A0F" w:rsidRPr="001205DB" w:rsidRDefault="00FB0A0F" w:rsidP="00704716">
            <w:pPr>
              <w:jc w:val="right"/>
              <w:rPr>
                <w:color w:val="000000"/>
                <w:sz w:val="20"/>
                <w:szCs w:val="20"/>
              </w:rPr>
            </w:pPr>
            <w:r w:rsidRPr="001205DB">
              <w:rPr>
                <w:color w:val="000000"/>
                <w:sz w:val="20"/>
              </w:rPr>
              <w:t xml:space="preserve"> 203,168 </w:t>
            </w:r>
          </w:p>
        </w:tc>
        <w:tc>
          <w:tcPr>
            <w:tcW w:w="1003" w:type="dxa"/>
          </w:tcPr>
          <w:p w:rsidR="00FB0A0F" w:rsidRPr="001205DB" w:rsidRDefault="00FB0A0F" w:rsidP="00704716">
            <w:pPr>
              <w:jc w:val="right"/>
              <w:rPr>
                <w:color w:val="000000"/>
                <w:sz w:val="20"/>
                <w:szCs w:val="20"/>
              </w:rPr>
            </w:pPr>
            <w:r w:rsidRPr="001205DB">
              <w:rPr>
                <w:color w:val="000000"/>
                <w:sz w:val="20"/>
              </w:rPr>
              <w:t xml:space="preserve"> 215,695 </w:t>
            </w:r>
          </w:p>
        </w:tc>
        <w:tc>
          <w:tcPr>
            <w:tcW w:w="1097" w:type="dxa"/>
            <w:shd w:val="clear" w:color="auto" w:fill="A6A6A6" w:themeFill="background1" w:themeFillShade="A6"/>
            <w:vAlign w:val="center"/>
          </w:tcPr>
          <w:p w:rsidR="00FB0A0F" w:rsidRPr="001205DB" w:rsidRDefault="00FB0A0F" w:rsidP="00704716">
            <w:pPr>
              <w:jc w:val="right"/>
              <w:rPr>
                <w:color w:val="000000"/>
                <w:sz w:val="20"/>
                <w:szCs w:val="20"/>
              </w:rPr>
            </w:pPr>
            <w:r w:rsidRPr="001205DB">
              <w:rPr>
                <w:color w:val="000000"/>
                <w:sz w:val="20"/>
              </w:rPr>
              <w:t>943,499</w:t>
            </w:r>
          </w:p>
        </w:tc>
        <w:tc>
          <w:tcPr>
            <w:tcW w:w="1196" w:type="dxa"/>
            <w:vAlign w:val="center"/>
          </w:tcPr>
          <w:p w:rsidR="00FB0A0F" w:rsidRPr="001205DB" w:rsidRDefault="00FB0A0F" w:rsidP="00704716">
            <w:pPr>
              <w:jc w:val="right"/>
              <w:rPr>
                <w:b/>
                <w:bCs/>
                <w:color w:val="000000"/>
                <w:sz w:val="20"/>
                <w:szCs w:val="20"/>
              </w:rPr>
            </w:pPr>
            <w:r w:rsidRPr="001205DB">
              <w:rPr>
                <w:b/>
                <w:color w:val="000000"/>
                <w:sz w:val="20"/>
              </w:rPr>
              <w:t>1950,000</w:t>
            </w:r>
          </w:p>
        </w:tc>
      </w:tr>
      <w:tr w:rsidR="00FB0A0F" w:rsidRPr="001205DB" w:rsidTr="00FF2B13">
        <w:trPr>
          <w:jc w:val="center"/>
        </w:trPr>
        <w:tc>
          <w:tcPr>
            <w:tcW w:w="3354" w:type="dxa"/>
            <w:vMerge w:val="restart"/>
            <w:vAlign w:val="center"/>
          </w:tcPr>
          <w:p w:rsidR="00FB0A0F" w:rsidRPr="001205DB" w:rsidRDefault="00FB0A0F" w:rsidP="00704716">
            <w:pPr>
              <w:jc w:val="left"/>
              <w:rPr>
                <w:b/>
                <w:noProof/>
              </w:rPr>
            </w:pPr>
            <w:r w:rsidRPr="001205DB">
              <w:rPr>
                <w:b/>
                <w:noProof/>
                <w:sz w:val="22"/>
              </w:rPr>
              <w:t>KOPĀ apropriācijas — programmas piešķīrums</w:t>
            </w:r>
          </w:p>
        </w:tc>
        <w:tc>
          <w:tcPr>
            <w:tcW w:w="1320" w:type="dxa"/>
            <w:vAlign w:val="center"/>
          </w:tcPr>
          <w:p w:rsidR="00FB0A0F" w:rsidRPr="001205DB" w:rsidRDefault="00FB0A0F" w:rsidP="00704716">
            <w:pPr>
              <w:jc w:val="left"/>
              <w:rPr>
                <w:noProof/>
                <w:sz w:val="18"/>
              </w:rPr>
            </w:pPr>
            <w:r w:rsidRPr="001205DB">
              <w:rPr>
                <w:noProof/>
                <w:sz w:val="18"/>
              </w:rPr>
              <w:t>Saistības</w:t>
            </w:r>
          </w:p>
        </w:tc>
        <w:tc>
          <w:tcPr>
            <w:tcW w:w="480" w:type="dxa"/>
            <w:vAlign w:val="center"/>
          </w:tcPr>
          <w:p w:rsidR="00FB0A0F" w:rsidRPr="001205DB" w:rsidRDefault="00FB0A0F" w:rsidP="00704716">
            <w:pPr>
              <w:jc w:val="center"/>
              <w:rPr>
                <w:noProof/>
                <w:sz w:val="14"/>
              </w:rPr>
            </w:pPr>
            <w:r w:rsidRPr="001205DB">
              <w:rPr>
                <w:noProof/>
                <w:sz w:val="14"/>
              </w:rPr>
              <w:t>=1+3</w:t>
            </w:r>
          </w:p>
        </w:tc>
        <w:tc>
          <w:tcPr>
            <w:tcW w:w="1003"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702,503 </w:t>
            </w:r>
          </w:p>
        </w:tc>
        <w:tc>
          <w:tcPr>
            <w:tcW w:w="1004"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717,726 </w:t>
            </w:r>
          </w:p>
        </w:tc>
        <w:tc>
          <w:tcPr>
            <w:tcW w:w="1003"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738,465 </w:t>
            </w:r>
          </w:p>
        </w:tc>
        <w:tc>
          <w:tcPr>
            <w:tcW w:w="1004"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765,261 </w:t>
            </w:r>
          </w:p>
        </w:tc>
        <w:tc>
          <w:tcPr>
            <w:tcW w:w="1003"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798,881 </w:t>
            </w:r>
          </w:p>
        </w:tc>
        <w:tc>
          <w:tcPr>
            <w:tcW w:w="1004"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840,363 </w:t>
            </w:r>
          </w:p>
        </w:tc>
        <w:tc>
          <w:tcPr>
            <w:tcW w:w="1003"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886,801 </w:t>
            </w:r>
          </w:p>
        </w:tc>
        <w:tc>
          <w:tcPr>
            <w:tcW w:w="1097" w:type="dxa"/>
            <w:shd w:val="clear" w:color="auto" w:fill="A6A6A6" w:themeFill="background1" w:themeFillShade="A6"/>
            <w:vAlign w:val="bottom"/>
          </w:tcPr>
          <w:p w:rsidR="00FB0A0F" w:rsidRPr="001205DB" w:rsidRDefault="00FB0A0F" w:rsidP="00704716">
            <w:pPr>
              <w:jc w:val="right"/>
              <w:rPr>
                <w:rFonts w:ascii="Calibri" w:hAnsi="Calibri" w:cs="Calibri"/>
                <w:b/>
                <w:bCs/>
                <w:color w:val="FFFFFF"/>
              </w:rPr>
            </w:pPr>
          </w:p>
        </w:tc>
        <w:tc>
          <w:tcPr>
            <w:tcW w:w="1196" w:type="dxa"/>
            <w:vAlign w:val="bottom"/>
          </w:tcPr>
          <w:p w:rsidR="00FB0A0F" w:rsidRPr="001205DB" w:rsidRDefault="00FF2B13" w:rsidP="00704716">
            <w:pPr>
              <w:jc w:val="right"/>
              <w:rPr>
                <w:b/>
                <w:bCs/>
                <w:color w:val="000000"/>
                <w:sz w:val="20"/>
                <w:szCs w:val="20"/>
              </w:rPr>
            </w:pPr>
            <w:r w:rsidRPr="001205DB">
              <w:rPr>
                <w:rFonts w:ascii="Arial" w:hAnsi="Arial"/>
                <w:b/>
                <w:color w:val="000000"/>
                <w:sz w:val="20"/>
              </w:rPr>
              <w:t>5450,000</w:t>
            </w:r>
          </w:p>
        </w:tc>
      </w:tr>
      <w:tr w:rsidR="00FB0A0F" w:rsidRPr="001205DB" w:rsidTr="00FF2B13">
        <w:trPr>
          <w:jc w:val="center"/>
        </w:trPr>
        <w:tc>
          <w:tcPr>
            <w:tcW w:w="3354" w:type="dxa"/>
            <w:vMerge/>
          </w:tcPr>
          <w:p w:rsidR="00FB0A0F" w:rsidRPr="001205DB" w:rsidRDefault="00FB0A0F" w:rsidP="00704716">
            <w:pPr>
              <w:rPr>
                <w:noProof/>
                <w:sz w:val="20"/>
              </w:rPr>
            </w:pPr>
          </w:p>
        </w:tc>
        <w:tc>
          <w:tcPr>
            <w:tcW w:w="1320" w:type="dxa"/>
            <w:vAlign w:val="center"/>
          </w:tcPr>
          <w:p w:rsidR="00FB0A0F" w:rsidRPr="001205DB" w:rsidRDefault="00FB0A0F" w:rsidP="00704716">
            <w:pPr>
              <w:jc w:val="left"/>
              <w:rPr>
                <w:noProof/>
                <w:sz w:val="18"/>
              </w:rPr>
            </w:pPr>
            <w:r w:rsidRPr="001205DB">
              <w:rPr>
                <w:noProof/>
                <w:sz w:val="18"/>
              </w:rPr>
              <w:t>Maksājumi</w:t>
            </w:r>
          </w:p>
        </w:tc>
        <w:tc>
          <w:tcPr>
            <w:tcW w:w="480" w:type="dxa"/>
            <w:vAlign w:val="center"/>
          </w:tcPr>
          <w:p w:rsidR="00FB0A0F" w:rsidRPr="001205DB" w:rsidRDefault="00FB0A0F" w:rsidP="00704716">
            <w:pPr>
              <w:jc w:val="center"/>
              <w:rPr>
                <w:noProof/>
                <w:sz w:val="14"/>
              </w:rPr>
            </w:pPr>
            <w:r w:rsidRPr="001205DB">
              <w:rPr>
                <w:noProof/>
                <w:sz w:val="14"/>
              </w:rPr>
              <w:t>=2+3</w:t>
            </w:r>
          </w:p>
        </w:tc>
        <w:tc>
          <w:tcPr>
            <w:tcW w:w="1003"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45,643 </w:t>
            </w:r>
          </w:p>
        </w:tc>
        <w:tc>
          <w:tcPr>
            <w:tcW w:w="1004"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287,736 </w:t>
            </w:r>
          </w:p>
        </w:tc>
        <w:tc>
          <w:tcPr>
            <w:tcW w:w="1003"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350,174 </w:t>
            </w:r>
          </w:p>
        </w:tc>
        <w:tc>
          <w:tcPr>
            <w:tcW w:w="1004"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422,208 </w:t>
            </w:r>
          </w:p>
        </w:tc>
        <w:tc>
          <w:tcPr>
            <w:tcW w:w="1003"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506,194 </w:t>
            </w:r>
          </w:p>
        </w:tc>
        <w:tc>
          <w:tcPr>
            <w:tcW w:w="1004"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589,095 </w:t>
            </w:r>
          </w:p>
        </w:tc>
        <w:tc>
          <w:tcPr>
            <w:tcW w:w="1003" w:type="dxa"/>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650,402 </w:t>
            </w:r>
          </w:p>
        </w:tc>
        <w:tc>
          <w:tcPr>
            <w:tcW w:w="1097" w:type="dxa"/>
            <w:shd w:val="clear" w:color="auto" w:fill="FFFFFF" w:themeFill="background1"/>
            <w:vAlign w:val="bottom"/>
          </w:tcPr>
          <w:p w:rsidR="00FB0A0F" w:rsidRPr="001205DB" w:rsidRDefault="00FB0A0F" w:rsidP="00704716">
            <w:pPr>
              <w:jc w:val="right"/>
              <w:rPr>
                <w:color w:val="000000"/>
                <w:sz w:val="20"/>
                <w:szCs w:val="20"/>
              </w:rPr>
            </w:pPr>
            <w:r w:rsidRPr="001205DB">
              <w:rPr>
                <w:rFonts w:ascii="Arial" w:hAnsi="Arial"/>
                <w:color w:val="000000"/>
                <w:sz w:val="20"/>
              </w:rPr>
              <w:t xml:space="preserve">    2598,547 </w:t>
            </w:r>
          </w:p>
        </w:tc>
        <w:tc>
          <w:tcPr>
            <w:tcW w:w="1196" w:type="dxa"/>
            <w:vAlign w:val="bottom"/>
          </w:tcPr>
          <w:p w:rsidR="00FB0A0F" w:rsidRPr="001205DB" w:rsidRDefault="00FF2B13" w:rsidP="00704716">
            <w:pPr>
              <w:jc w:val="right"/>
              <w:rPr>
                <w:b/>
                <w:bCs/>
                <w:color w:val="000000"/>
                <w:sz w:val="20"/>
                <w:szCs w:val="20"/>
              </w:rPr>
            </w:pPr>
            <w:r w:rsidRPr="001205DB">
              <w:rPr>
                <w:rFonts w:ascii="Arial" w:hAnsi="Arial"/>
                <w:b/>
                <w:color w:val="000000"/>
                <w:sz w:val="20"/>
              </w:rPr>
              <w:t>5450,000</w:t>
            </w:r>
          </w:p>
        </w:tc>
      </w:tr>
    </w:tbl>
    <w:p w:rsidR="00FB0A0F" w:rsidRPr="001205DB" w:rsidRDefault="00FB0A0F" w:rsidP="00FB0A0F">
      <w:pPr>
        <w:rPr>
          <w:noProof/>
        </w:rPr>
      </w:pPr>
    </w:p>
    <w:p w:rsidR="00FB0A0F" w:rsidRPr="001205DB" w:rsidRDefault="00FB0A0F" w:rsidP="00FB0A0F">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8312"/>
      </w:tblGrid>
      <w:tr w:rsidR="00FB0A0F" w:rsidRPr="001205DB" w:rsidTr="00704716">
        <w:trPr>
          <w:jc w:val="center"/>
        </w:trPr>
        <w:tc>
          <w:tcPr>
            <w:tcW w:w="4744" w:type="dxa"/>
            <w:shd w:val="thinDiagStripe" w:color="C0C0C0" w:fill="auto"/>
            <w:vAlign w:val="center"/>
          </w:tcPr>
          <w:p w:rsidR="00FB0A0F" w:rsidRPr="001205DB" w:rsidRDefault="00FB0A0F" w:rsidP="00704716">
            <w:pPr>
              <w:spacing w:before="60" w:after="60"/>
              <w:jc w:val="center"/>
              <w:rPr>
                <w:b/>
                <w:noProof/>
              </w:rPr>
            </w:pPr>
            <w:r w:rsidRPr="001205DB">
              <w:br w:type="page"/>
            </w:r>
            <w:r w:rsidRPr="001205DB">
              <w:rPr>
                <w:b/>
              </w:rPr>
              <w:t xml:space="preserve">Daudzgadu finanšu shēmas izdevumu </w:t>
            </w:r>
            <w:r w:rsidRPr="001205DB">
              <w:rPr>
                <w:noProof/>
                <w:sz w:val="22"/>
              </w:rPr>
              <w:br/>
            </w:r>
            <w:r w:rsidRPr="001205DB">
              <w:rPr>
                <w:b/>
                <w:noProof/>
                <w:sz w:val="22"/>
              </w:rPr>
              <w:t xml:space="preserve">kategorija </w:t>
            </w:r>
          </w:p>
        </w:tc>
        <w:tc>
          <w:tcPr>
            <w:tcW w:w="1080" w:type="dxa"/>
            <w:shd w:val="thinDiagStripe" w:color="C0C0C0" w:fill="auto"/>
            <w:vAlign w:val="center"/>
          </w:tcPr>
          <w:p w:rsidR="00FB0A0F" w:rsidRPr="001205DB" w:rsidRDefault="00FB0A0F" w:rsidP="00704716">
            <w:pPr>
              <w:spacing w:before="60" w:after="60"/>
              <w:jc w:val="center"/>
              <w:rPr>
                <w:noProof/>
              </w:rPr>
            </w:pPr>
            <w:r w:rsidRPr="001205DB">
              <w:t>7</w:t>
            </w:r>
          </w:p>
        </w:tc>
        <w:tc>
          <w:tcPr>
            <w:tcW w:w="8312" w:type="dxa"/>
            <w:vAlign w:val="center"/>
          </w:tcPr>
          <w:p w:rsidR="00FB0A0F" w:rsidRPr="001205DB" w:rsidRDefault="00FB0A0F" w:rsidP="00704716">
            <w:pPr>
              <w:spacing w:before="60" w:after="60"/>
              <w:rPr>
                <w:noProof/>
              </w:rPr>
            </w:pPr>
            <w:r w:rsidRPr="001205DB">
              <w:rPr>
                <w:noProof/>
                <w:sz w:val="22"/>
              </w:rPr>
              <w:t>“Administratīvie izdevumi”</w:t>
            </w:r>
          </w:p>
        </w:tc>
      </w:tr>
    </w:tbl>
    <w:p w:rsidR="00FB0A0F" w:rsidRPr="001205DB" w:rsidRDefault="00FB0A0F" w:rsidP="00FB0A0F">
      <w:pPr>
        <w:jc w:val="right"/>
        <w:rPr>
          <w:noProof/>
          <w:sz w:val="20"/>
        </w:rPr>
      </w:pPr>
      <w:r w:rsidRPr="001205DB">
        <w:rPr>
          <w:noProof/>
          <w:sz w:val="20"/>
        </w:rPr>
        <w:t>miljonos EUR (trīs zīmes aiz komata)</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1985"/>
        <w:gridCol w:w="1047"/>
        <w:gridCol w:w="1048"/>
        <w:gridCol w:w="1048"/>
        <w:gridCol w:w="1048"/>
        <w:gridCol w:w="1048"/>
        <w:gridCol w:w="1048"/>
        <w:gridCol w:w="1048"/>
        <w:gridCol w:w="1048"/>
        <w:gridCol w:w="1048"/>
      </w:tblGrid>
      <w:tr w:rsidR="00FB0A0F" w:rsidRPr="001205DB" w:rsidTr="00704716">
        <w:trPr>
          <w:jc w:val="center"/>
        </w:trPr>
        <w:tc>
          <w:tcPr>
            <w:tcW w:w="5068" w:type="dxa"/>
            <w:gridSpan w:val="2"/>
            <w:tcBorders>
              <w:top w:val="nil"/>
              <w:left w:val="nil"/>
            </w:tcBorders>
            <w:vAlign w:val="center"/>
          </w:tcPr>
          <w:p w:rsidR="00FB0A0F" w:rsidRPr="001205DB" w:rsidRDefault="00FB0A0F" w:rsidP="00704716">
            <w:pPr>
              <w:jc w:val="center"/>
              <w:rPr>
                <w:noProof/>
                <w:sz w:val="20"/>
              </w:rPr>
            </w:pPr>
          </w:p>
        </w:tc>
        <w:tc>
          <w:tcPr>
            <w:tcW w:w="1047" w:type="dxa"/>
            <w:vAlign w:val="center"/>
          </w:tcPr>
          <w:p w:rsidR="00FB0A0F" w:rsidRPr="001205DB" w:rsidRDefault="00FB0A0F" w:rsidP="00704716">
            <w:pPr>
              <w:jc w:val="center"/>
              <w:rPr>
                <w:b/>
                <w:noProof/>
                <w:sz w:val="20"/>
              </w:rPr>
            </w:pPr>
            <w:r w:rsidRPr="001205DB">
              <w:rPr>
                <w:b/>
                <w:noProof/>
                <w:sz w:val="20"/>
              </w:rPr>
              <w:t>2021</w:t>
            </w:r>
          </w:p>
        </w:tc>
        <w:tc>
          <w:tcPr>
            <w:tcW w:w="1048" w:type="dxa"/>
            <w:vAlign w:val="center"/>
          </w:tcPr>
          <w:p w:rsidR="00FB0A0F" w:rsidRPr="001205DB" w:rsidRDefault="00FB0A0F" w:rsidP="00704716">
            <w:pPr>
              <w:jc w:val="center"/>
              <w:rPr>
                <w:b/>
                <w:noProof/>
                <w:sz w:val="20"/>
              </w:rPr>
            </w:pPr>
            <w:r w:rsidRPr="001205DB">
              <w:rPr>
                <w:b/>
                <w:noProof/>
                <w:sz w:val="20"/>
              </w:rPr>
              <w:t>2022</w:t>
            </w:r>
          </w:p>
        </w:tc>
        <w:tc>
          <w:tcPr>
            <w:tcW w:w="1048" w:type="dxa"/>
            <w:vAlign w:val="center"/>
          </w:tcPr>
          <w:p w:rsidR="00FB0A0F" w:rsidRPr="001205DB" w:rsidRDefault="00FB0A0F" w:rsidP="00704716">
            <w:pPr>
              <w:jc w:val="center"/>
              <w:rPr>
                <w:b/>
                <w:noProof/>
                <w:sz w:val="20"/>
              </w:rPr>
            </w:pPr>
            <w:r w:rsidRPr="001205DB">
              <w:rPr>
                <w:b/>
                <w:noProof/>
                <w:sz w:val="20"/>
              </w:rPr>
              <w:t>2023</w:t>
            </w:r>
          </w:p>
        </w:tc>
        <w:tc>
          <w:tcPr>
            <w:tcW w:w="1048" w:type="dxa"/>
            <w:vAlign w:val="center"/>
          </w:tcPr>
          <w:p w:rsidR="00FB0A0F" w:rsidRPr="001205DB" w:rsidRDefault="00FB0A0F" w:rsidP="00704716">
            <w:pPr>
              <w:jc w:val="center"/>
              <w:rPr>
                <w:b/>
                <w:noProof/>
                <w:sz w:val="20"/>
              </w:rPr>
            </w:pPr>
            <w:r w:rsidRPr="001205DB">
              <w:rPr>
                <w:b/>
                <w:noProof/>
                <w:sz w:val="20"/>
              </w:rPr>
              <w:t>2024</w:t>
            </w:r>
          </w:p>
        </w:tc>
        <w:tc>
          <w:tcPr>
            <w:tcW w:w="1048" w:type="dxa"/>
            <w:vAlign w:val="center"/>
          </w:tcPr>
          <w:p w:rsidR="00FB0A0F" w:rsidRPr="001205DB" w:rsidRDefault="00FB0A0F" w:rsidP="00704716">
            <w:pPr>
              <w:jc w:val="center"/>
              <w:rPr>
                <w:b/>
                <w:noProof/>
                <w:sz w:val="18"/>
              </w:rPr>
            </w:pPr>
            <w:r w:rsidRPr="001205DB">
              <w:rPr>
                <w:b/>
                <w:noProof/>
                <w:sz w:val="18"/>
              </w:rPr>
              <w:t>2025</w:t>
            </w:r>
          </w:p>
        </w:tc>
        <w:tc>
          <w:tcPr>
            <w:tcW w:w="1048" w:type="dxa"/>
            <w:vAlign w:val="center"/>
          </w:tcPr>
          <w:p w:rsidR="00FB0A0F" w:rsidRPr="001205DB" w:rsidRDefault="00FB0A0F" w:rsidP="00704716">
            <w:pPr>
              <w:jc w:val="center"/>
              <w:rPr>
                <w:b/>
                <w:noProof/>
                <w:sz w:val="18"/>
              </w:rPr>
            </w:pPr>
            <w:r w:rsidRPr="001205DB">
              <w:rPr>
                <w:b/>
                <w:noProof/>
                <w:sz w:val="18"/>
              </w:rPr>
              <w:t>2026</w:t>
            </w:r>
          </w:p>
        </w:tc>
        <w:tc>
          <w:tcPr>
            <w:tcW w:w="1048" w:type="dxa"/>
            <w:vAlign w:val="center"/>
          </w:tcPr>
          <w:p w:rsidR="00FB0A0F" w:rsidRPr="001205DB" w:rsidRDefault="00FB0A0F" w:rsidP="00704716">
            <w:pPr>
              <w:jc w:val="center"/>
              <w:rPr>
                <w:b/>
                <w:noProof/>
                <w:sz w:val="18"/>
              </w:rPr>
            </w:pPr>
            <w:r w:rsidRPr="001205DB">
              <w:rPr>
                <w:b/>
                <w:noProof/>
                <w:sz w:val="18"/>
              </w:rPr>
              <w:t>2027</w:t>
            </w:r>
          </w:p>
        </w:tc>
        <w:tc>
          <w:tcPr>
            <w:tcW w:w="1048" w:type="dxa"/>
          </w:tcPr>
          <w:p w:rsidR="00FB0A0F" w:rsidRPr="001205DB" w:rsidRDefault="00FB0A0F" w:rsidP="00704716">
            <w:pPr>
              <w:jc w:val="center"/>
              <w:rPr>
                <w:b/>
                <w:noProof/>
                <w:sz w:val="20"/>
              </w:rPr>
            </w:pPr>
            <w:r w:rsidRPr="001205DB">
              <w:rPr>
                <w:b/>
                <w:i/>
                <w:noProof/>
                <w:sz w:val="20"/>
              </w:rPr>
              <w:t>Pēc 2027. gad</w:t>
            </w:r>
            <w:r w:rsidRPr="001205DB">
              <w:rPr>
                <w:b/>
                <w:i/>
                <w:noProof/>
                <w:sz w:val="20"/>
              </w:rPr>
              <w:lastRenderedPageBreak/>
              <w:t>a</w:t>
            </w:r>
          </w:p>
        </w:tc>
        <w:tc>
          <w:tcPr>
            <w:tcW w:w="1048" w:type="dxa"/>
            <w:vAlign w:val="center"/>
          </w:tcPr>
          <w:p w:rsidR="00FB0A0F" w:rsidRPr="001205DB" w:rsidRDefault="00FB0A0F" w:rsidP="00704716">
            <w:pPr>
              <w:jc w:val="center"/>
              <w:rPr>
                <w:b/>
                <w:noProof/>
                <w:sz w:val="20"/>
              </w:rPr>
            </w:pPr>
            <w:r w:rsidRPr="001205DB">
              <w:rPr>
                <w:b/>
                <w:noProof/>
                <w:sz w:val="20"/>
              </w:rPr>
              <w:lastRenderedPageBreak/>
              <w:t>KOPĀ</w:t>
            </w:r>
          </w:p>
        </w:tc>
      </w:tr>
      <w:tr w:rsidR="00FB0A0F" w:rsidRPr="001205DB" w:rsidTr="00704716">
        <w:trPr>
          <w:trHeight w:val="313"/>
          <w:jc w:val="center"/>
        </w:trPr>
        <w:tc>
          <w:tcPr>
            <w:tcW w:w="5068" w:type="dxa"/>
            <w:gridSpan w:val="2"/>
            <w:vAlign w:val="center"/>
          </w:tcPr>
          <w:p w:rsidR="00FB0A0F" w:rsidRPr="001205DB" w:rsidRDefault="00FB0A0F" w:rsidP="00704716">
            <w:pPr>
              <w:spacing w:before="20" w:after="20"/>
              <w:rPr>
                <w:noProof/>
              </w:rPr>
            </w:pPr>
            <w:r w:rsidRPr="001205DB">
              <w:rPr>
                <w:noProof/>
                <w:sz w:val="22"/>
              </w:rPr>
              <w:lastRenderedPageBreak/>
              <w:t>Cilvēkresursi</w:t>
            </w:r>
            <w:r w:rsidRPr="001205DB">
              <w:rPr>
                <w:rStyle w:val="FootnoteReference"/>
              </w:rPr>
              <w:footnoteReference w:id="50"/>
            </w:r>
            <w:r w:rsidRPr="001205DB">
              <w:rPr>
                <w:noProof/>
                <w:sz w:val="22"/>
              </w:rPr>
              <w:t xml:space="preserve"> </w:t>
            </w:r>
          </w:p>
        </w:tc>
        <w:tc>
          <w:tcPr>
            <w:tcW w:w="1047" w:type="dxa"/>
            <w:vAlign w:val="center"/>
          </w:tcPr>
          <w:p w:rsidR="00FB0A0F" w:rsidRPr="001205DB" w:rsidRDefault="00FB0A0F" w:rsidP="00704716">
            <w:pPr>
              <w:jc w:val="right"/>
              <w:rPr>
                <w:color w:val="000000"/>
                <w:sz w:val="20"/>
                <w:szCs w:val="20"/>
              </w:rPr>
            </w:pPr>
            <w:r w:rsidRPr="001205DB">
              <w:rPr>
                <w:color w:val="000000"/>
                <w:sz w:val="20"/>
              </w:rPr>
              <w:t>17,017</w:t>
            </w:r>
          </w:p>
        </w:tc>
        <w:tc>
          <w:tcPr>
            <w:tcW w:w="1048" w:type="dxa"/>
            <w:vAlign w:val="center"/>
          </w:tcPr>
          <w:p w:rsidR="00FB0A0F" w:rsidRPr="001205DB" w:rsidRDefault="00FB0A0F" w:rsidP="00704716">
            <w:pPr>
              <w:jc w:val="right"/>
              <w:rPr>
                <w:color w:val="000000"/>
                <w:sz w:val="20"/>
                <w:szCs w:val="20"/>
              </w:rPr>
            </w:pPr>
            <w:r w:rsidRPr="001205DB">
              <w:rPr>
                <w:color w:val="000000"/>
                <w:sz w:val="20"/>
              </w:rPr>
              <w:t>21,879</w:t>
            </w:r>
          </w:p>
        </w:tc>
        <w:tc>
          <w:tcPr>
            <w:tcW w:w="1048" w:type="dxa"/>
            <w:vAlign w:val="center"/>
          </w:tcPr>
          <w:p w:rsidR="00FB0A0F" w:rsidRPr="001205DB" w:rsidRDefault="00FB0A0F" w:rsidP="00704716">
            <w:pPr>
              <w:jc w:val="right"/>
              <w:rPr>
                <w:color w:val="000000"/>
                <w:sz w:val="20"/>
                <w:szCs w:val="20"/>
              </w:rPr>
            </w:pPr>
            <w:r w:rsidRPr="001205DB">
              <w:rPr>
                <w:color w:val="000000"/>
                <w:sz w:val="20"/>
              </w:rPr>
              <w:t>28,314</w:t>
            </w:r>
          </w:p>
        </w:tc>
        <w:tc>
          <w:tcPr>
            <w:tcW w:w="1048" w:type="dxa"/>
            <w:vAlign w:val="center"/>
          </w:tcPr>
          <w:p w:rsidR="00FB0A0F" w:rsidRPr="001205DB" w:rsidRDefault="00FB0A0F" w:rsidP="00704716">
            <w:pPr>
              <w:jc w:val="right"/>
              <w:rPr>
                <w:color w:val="000000"/>
                <w:sz w:val="20"/>
                <w:szCs w:val="20"/>
              </w:rPr>
            </w:pPr>
            <w:r w:rsidRPr="001205DB">
              <w:rPr>
                <w:color w:val="000000"/>
                <w:sz w:val="20"/>
              </w:rPr>
              <w:t>30,602</w:t>
            </w:r>
          </w:p>
        </w:tc>
        <w:tc>
          <w:tcPr>
            <w:tcW w:w="1048" w:type="dxa"/>
            <w:vAlign w:val="center"/>
          </w:tcPr>
          <w:p w:rsidR="00FB0A0F" w:rsidRPr="001205DB" w:rsidRDefault="00FB0A0F" w:rsidP="00704716">
            <w:pPr>
              <w:jc w:val="right"/>
              <w:rPr>
                <w:color w:val="000000"/>
                <w:sz w:val="20"/>
                <w:szCs w:val="20"/>
              </w:rPr>
            </w:pPr>
            <w:r w:rsidRPr="001205DB">
              <w:rPr>
                <w:color w:val="000000"/>
                <w:sz w:val="20"/>
              </w:rPr>
              <w:t>35,464</w:t>
            </w:r>
          </w:p>
        </w:tc>
        <w:tc>
          <w:tcPr>
            <w:tcW w:w="1048" w:type="dxa"/>
            <w:vAlign w:val="center"/>
          </w:tcPr>
          <w:p w:rsidR="00FB0A0F" w:rsidRPr="001205DB" w:rsidRDefault="00FB0A0F" w:rsidP="00704716">
            <w:pPr>
              <w:jc w:val="right"/>
              <w:rPr>
                <w:color w:val="000000"/>
                <w:sz w:val="20"/>
                <w:szCs w:val="20"/>
              </w:rPr>
            </w:pPr>
            <w:r w:rsidRPr="001205DB">
              <w:rPr>
                <w:color w:val="000000"/>
                <w:sz w:val="20"/>
              </w:rPr>
              <w:t>38,038</w:t>
            </w:r>
          </w:p>
        </w:tc>
        <w:tc>
          <w:tcPr>
            <w:tcW w:w="1048" w:type="dxa"/>
            <w:vAlign w:val="center"/>
          </w:tcPr>
          <w:p w:rsidR="00FB0A0F" w:rsidRPr="001205DB" w:rsidRDefault="00FB0A0F" w:rsidP="00704716">
            <w:pPr>
              <w:jc w:val="right"/>
              <w:rPr>
                <w:color w:val="000000"/>
                <w:sz w:val="20"/>
                <w:szCs w:val="20"/>
              </w:rPr>
            </w:pPr>
            <w:r w:rsidRPr="001205DB">
              <w:rPr>
                <w:color w:val="000000"/>
                <w:sz w:val="20"/>
              </w:rPr>
              <w:t>40,755</w:t>
            </w:r>
          </w:p>
        </w:tc>
        <w:tc>
          <w:tcPr>
            <w:tcW w:w="1048" w:type="dxa"/>
            <w:shd w:val="clear" w:color="auto" w:fill="A6A6A6" w:themeFill="background1" w:themeFillShade="A6"/>
            <w:vAlign w:val="center"/>
          </w:tcPr>
          <w:p w:rsidR="00FB0A0F" w:rsidRPr="001205DB" w:rsidRDefault="00FB0A0F" w:rsidP="00704716">
            <w:pPr>
              <w:jc w:val="right"/>
              <w:rPr>
                <w:color w:val="000000"/>
                <w:sz w:val="20"/>
                <w:szCs w:val="20"/>
              </w:rPr>
            </w:pPr>
          </w:p>
        </w:tc>
        <w:tc>
          <w:tcPr>
            <w:tcW w:w="1048" w:type="dxa"/>
            <w:vAlign w:val="center"/>
          </w:tcPr>
          <w:p w:rsidR="00FB0A0F" w:rsidRPr="001205DB" w:rsidRDefault="00FB0A0F" w:rsidP="00704716">
            <w:pPr>
              <w:jc w:val="right"/>
              <w:rPr>
                <w:b/>
                <w:bCs/>
                <w:color w:val="000000"/>
                <w:sz w:val="20"/>
                <w:szCs w:val="20"/>
              </w:rPr>
            </w:pPr>
            <w:r w:rsidRPr="001205DB">
              <w:rPr>
                <w:b/>
                <w:color w:val="000000"/>
                <w:sz w:val="20"/>
              </w:rPr>
              <w:t>212,069</w:t>
            </w:r>
          </w:p>
        </w:tc>
      </w:tr>
      <w:tr w:rsidR="00FB0A0F" w:rsidRPr="001205DB" w:rsidTr="00704716">
        <w:trPr>
          <w:trHeight w:val="351"/>
          <w:jc w:val="center"/>
        </w:trPr>
        <w:tc>
          <w:tcPr>
            <w:tcW w:w="5068" w:type="dxa"/>
            <w:gridSpan w:val="2"/>
            <w:vAlign w:val="center"/>
          </w:tcPr>
          <w:p w:rsidR="00FB0A0F" w:rsidRPr="001205DB" w:rsidRDefault="00FB0A0F" w:rsidP="00704716">
            <w:pPr>
              <w:spacing w:before="20" w:after="20"/>
              <w:rPr>
                <w:noProof/>
              </w:rPr>
            </w:pPr>
            <w:r w:rsidRPr="001205DB">
              <w:rPr>
                <w:noProof/>
                <w:sz w:val="22"/>
              </w:rPr>
              <w:t xml:space="preserve">Citi administratīvie izdevumi </w:t>
            </w:r>
          </w:p>
        </w:tc>
        <w:tc>
          <w:tcPr>
            <w:tcW w:w="1047" w:type="dxa"/>
            <w:vAlign w:val="center"/>
          </w:tcPr>
          <w:p w:rsidR="00FB0A0F" w:rsidRPr="001205DB" w:rsidRDefault="00FB0A0F" w:rsidP="00704716">
            <w:pPr>
              <w:jc w:val="right"/>
              <w:rPr>
                <w:color w:val="000000"/>
                <w:sz w:val="20"/>
                <w:szCs w:val="20"/>
              </w:rPr>
            </w:pPr>
            <w:r w:rsidRPr="001205DB">
              <w:rPr>
                <w:color w:val="000000"/>
                <w:sz w:val="20"/>
              </w:rPr>
              <w:t>1,061</w:t>
            </w:r>
          </w:p>
        </w:tc>
        <w:tc>
          <w:tcPr>
            <w:tcW w:w="1048" w:type="dxa"/>
            <w:vAlign w:val="center"/>
          </w:tcPr>
          <w:p w:rsidR="00FB0A0F" w:rsidRPr="001205DB" w:rsidRDefault="00FB0A0F" w:rsidP="00704716">
            <w:pPr>
              <w:jc w:val="right"/>
              <w:rPr>
                <w:color w:val="000000"/>
                <w:sz w:val="20"/>
                <w:szCs w:val="20"/>
              </w:rPr>
            </w:pPr>
            <w:r w:rsidRPr="001205DB">
              <w:rPr>
                <w:color w:val="000000"/>
                <w:sz w:val="20"/>
              </w:rPr>
              <w:t>1,312</w:t>
            </w:r>
          </w:p>
        </w:tc>
        <w:tc>
          <w:tcPr>
            <w:tcW w:w="1048" w:type="dxa"/>
            <w:vAlign w:val="center"/>
          </w:tcPr>
          <w:p w:rsidR="00FB0A0F" w:rsidRPr="001205DB" w:rsidRDefault="00FB0A0F" w:rsidP="00704716">
            <w:pPr>
              <w:jc w:val="right"/>
              <w:rPr>
                <w:color w:val="000000"/>
                <w:sz w:val="20"/>
                <w:szCs w:val="20"/>
              </w:rPr>
            </w:pPr>
            <w:r w:rsidRPr="001205DB">
              <w:rPr>
                <w:color w:val="000000"/>
                <w:sz w:val="20"/>
              </w:rPr>
              <w:t>1,920</w:t>
            </w:r>
          </w:p>
        </w:tc>
        <w:tc>
          <w:tcPr>
            <w:tcW w:w="1048" w:type="dxa"/>
            <w:vAlign w:val="center"/>
          </w:tcPr>
          <w:p w:rsidR="00FB0A0F" w:rsidRPr="001205DB" w:rsidRDefault="00FB0A0F" w:rsidP="00704716">
            <w:pPr>
              <w:jc w:val="right"/>
              <w:rPr>
                <w:color w:val="000000"/>
                <w:sz w:val="20"/>
                <w:szCs w:val="20"/>
              </w:rPr>
            </w:pPr>
            <w:r w:rsidRPr="001205DB">
              <w:rPr>
                <w:color w:val="000000"/>
                <w:sz w:val="20"/>
              </w:rPr>
              <w:t>1,620</w:t>
            </w:r>
          </w:p>
        </w:tc>
        <w:tc>
          <w:tcPr>
            <w:tcW w:w="1048" w:type="dxa"/>
            <w:vAlign w:val="center"/>
          </w:tcPr>
          <w:p w:rsidR="00FB0A0F" w:rsidRPr="001205DB" w:rsidRDefault="00FB0A0F" w:rsidP="00704716">
            <w:pPr>
              <w:jc w:val="right"/>
              <w:rPr>
                <w:color w:val="000000"/>
                <w:sz w:val="20"/>
                <w:szCs w:val="20"/>
              </w:rPr>
            </w:pPr>
            <w:r w:rsidRPr="001205DB">
              <w:rPr>
                <w:color w:val="000000"/>
                <w:sz w:val="20"/>
              </w:rPr>
              <w:t>1,646</w:t>
            </w:r>
          </w:p>
        </w:tc>
        <w:tc>
          <w:tcPr>
            <w:tcW w:w="1048" w:type="dxa"/>
            <w:vAlign w:val="center"/>
          </w:tcPr>
          <w:p w:rsidR="00FB0A0F" w:rsidRPr="001205DB" w:rsidRDefault="00FB0A0F" w:rsidP="00704716">
            <w:pPr>
              <w:jc w:val="right"/>
              <w:rPr>
                <w:color w:val="000000"/>
                <w:sz w:val="20"/>
                <w:szCs w:val="20"/>
              </w:rPr>
            </w:pPr>
            <w:r w:rsidRPr="001205DB">
              <w:rPr>
                <w:color w:val="000000"/>
                <w:sz w:val="20"/>
              </w:rPr>
              <w:t>1,746</w:t>
            </w:r>
          </w:p>
        </w:tc>
        <w:tc>
          <w:tcPr>
            <w:tcW w:w="1048" w:type="dxa"/>
            <w:vAlign w:val="center"/>
          </w:tcPr>
          <w:p w:rsidR="00FB0A0F" w:rsidRPr="001205DB" w:rsidRDefault="00FB0A0F" w:rsidP="00704716">
            <w:pPr>
              <w:jc w:val="right"/>
              <w:rPr>
                <w:color w:val="000000"/>
                <w:sz w:val="20"/>
                <w:szCs w:val="20"/>
              </w:rPr>
            </w:pPr>
            <w:r w:rsidRPr="001205DB">
              <w:rPr>
                <w:color w:val="000000"/>
                <w:sz w:val="20"/>
              </w:rPr>
              <w:t>2,396</w:t>
            </w:r>
          </w:p>
        </w:tc>
        <w:tc>
          <w:tcPr>
            <w:tcW w:w="1048" w:type="dxa"/>
            <w:shd w:val="clear" w:color="auto" w:fill="A6A6A6" w:themeFill="background1" w:themeFillShade="A6"/>
            <w:vAlign w:val="center"/>
          </w:tcPr>
          <w:p w:rsidR="00FB0A0F" w:rsidRPr="001205DB" w:rsidRDefault="00FB0A0F" w:rsidP="00704716">
            <w:pPr>
              <w:jc w:val="right"/>
              <w:rPr>
                <w:color w:val="000000"/>
                <w:sz w:val="20"/>
                <w:szCs w:val="20"/>
              </w:rPr>
            </w:pPr>
          </w:p>
        </w:tc>
        <w:tc>
          <w:tcPr>
            <w:tcW w:w="1048" w:type="dxa"/>
            <w:vAlign w:val="center"/>
          </w:tcPr>
          <w:p w:rsidR="00FB0A0F" w:rsidRPr="001205DB" w:rsidRDefault="00FB0A0F" w:rsidP="00704716">
            <w:pPr>
              <w:jc w:val="right"/>
              <w:rPr>
                <w:b/>
                <w:bCs/>
                <w:color w:val="000000"/>
                <w:sz w:val="20"/>
                <w:szCs w:val="20"/>
              </w:rPr>
            </w:pPr>
            <w:r w:rsidRPr="001205DB">
              <w:rPr>
                <w:b/>
                <w:color w:val="000000"/>
                <w:sz w:val="20"/>
              </w:rPr>
              <w:t>11,702</w:t>
            </w:r>
          </w:p>
        </w:tc>
      </w:tr>
      <w:tr w:rsidR="00FB0A0F" w:rsidRPr="001205DB" w:rsidTr="00704716">
        <w:trPr>
          <w:trHeight w:val="351"/>
          <w:jc w:val="center"/>
        </w:trPr>
        <w:tc>
          <w:tcPr>
            <w:tcW w:w="3083" w:type="dxa"/>
            <w:vAlign w:val="center"/>
          </w:tcPr>
          <w:p w:rsidR="00FB0A0F" w:rsidRPr="001205DB" w:rsidDel="00704F41" w:rsidRDefault="00FB0A0F" w:rsidP="00704716">
            <w:pPr>
              <w:spacing w:before="20" w:after="20"/>
              <w:jc w:val="left"/>
              <w:rPr>
                <w:b/>
                <w:noProof/>
              </w:rPr>
            </w:pPr>
            <w:r w:rsidRPr="001205DB">
              <w:rPr>
                <w:b/>
                <w:noProof/>
                <w:sz w:val="22"/>
              </w:rPr>
              <w:t>KOPĀ daudzgadu finanšu shēmas 7. IZDEVUMU KATEGORIJAS apropriācijas</w:t>
            </w:r>
          </w:p>
        </w:tc>
        <w:tc>
          <w:tcPr>
            <w:tcW w:w="1985" w:type="dxa"/>
            <w:vAlign w:val="center"/>
          </w:tcPr>
          <w:p w:rsidR="00FB0A0F" w:rsidRPr="001205DB" w:rsidDel="00704F41" w:rsidRDefault="00FB0A0F" w:rsidP="00704716">
            <w:pPr>
              <w:spacing w:before="20" w:after="20"/>
              <w:rPr>
                <w:noProof/>
              </w:rPr>
            </w:pPr>
            <w:r w:rsidRPr="001205DB">
              <w:rPr>
                <w:b/>
                <w:color w:val="000000"/>
                <w:sz w:val="20"/>
              </w:rPr>
              <w:t>18,078</w:t>
            </w:r>
          </w:p>
        </w:tc>
        <w:tc>
          <w:tcPr>
            <w:tcW w:w="1047" w:type="dxa"/>
            <w:vAlign w:val="center"/>
          </w:tcPr>
          <w:p w:rsidR="00FB0A0F" w:rsidRPr="001205DB" w:rsidRDefault="00FB0A0F" w:rsidP="00704716">
            <w:pPr>
              <w:jc w:val="right"/>
              <w:rPr>
                <w:b/>
                <w:bCs/>
                <w:color w:val="000000"/>
                <w:sz w:val="20"/>
                <w:szCs w:val="20"/>
              </w:rPr>
            </w:pPr>
            <w:r w:rsidRPr="001205DB">
              <w:rPr>
                <w:b/>
                <w:color w:val="000000"/>
                <w:sz w:val="20"/>
              </w:rPr>
              <w:t>18,078</w:t>
            </w:r>
          </w:p>
        </w:tc>
        <w:tc>
          <w:tcPr>
            <w:tcW w:w="1048" w:type="dxa"/>
            <w:vAlign w:val="center"/>
          </w:tcPr>
          <w:p w:rsidR="00FB0A0F" w:rsidRPr="001205DB" w:rsidRDefault="00FB0A0F" w:rsidP="00704716">
            <w:pPr>
              <w:jc w:val="right"/>
              <w:rPr>
                <w:b/>
                <w:bCs/>
                <w:color w:val="000000"/>
                <w:sz w:val="20"/>
                <w:szCs w:val="20"/>
              </w:rPr>
            </w:pPr>
            <w:r w:rsidRPr="001205DB">
              <w:rPr>
                <w:b/>
                <w:color w:val="000000"/>
                <w:sz w:val="20"/>
              </w:rPr>
              <w:t>23,191</w:t>
            </w:r>
          </w:p>
        </w:tc>
        <w:tc>
          <w:tcPr>
            <w:tcW w:w="1048" w:type="dxa"/>
            <w:vAlign w:val="center"/>
          </w:tcPr>
          <w:p w:rsidR="00FB0A0F" w:rsidRPr="001205DB" w:rsidRDefault="00FB0A0F" w:rsidP="00704716">
            <w:pPr>
              <w:jc w:val="right"/>
              <w:rPr>
                <w:b/>
                <w:bCs/>
                <w:color w:val="000000"/>
                <w:sz w:val="20"/>
                <w:szCs w:val="20"/>
              </w:rPr>
            </w:pPr>
            <w:r w:rsidRPr="001205DB">
              <w:rPr>
                <w:b/>
                <w:color w:val="000000"/>
                <w:sz w:val="20"/>
              </w:rPr>
              <w:t>30,234</w:t>
            </w:r>
          </w:p>
        </w:tc>
        <w:tc>
          <w:tcPr>
            <w:tcW w:w="1048" w:type="dxa"/>
            <w:vAlign w:val="center"/>
          </w:tcPr>
          <w:p w:rsidR="00FB0A0F" w:rsidRPr="001205DB" w:rsidRDefault="00FB0A0F" w:rsidP="00704716">
            <w:pPr>
              <w:jc w:val="right"/>
              <w:rPr>
                <w:b/>
                <w:bCs/>
                <w:color w:val="000000"/>
                <w:sz w:val="20"/>
                <w:szCs w:val="20"/>
              </w:rPr>
            </w:pPr>
            <w:r w:rsidRPr="001205DB">
              <w:rPr>
                <w:b/>
                <w:color w:val="000000"/>
                <w:sz w:val="20"/>
              </w:rPr>
              <w:t>32,222</w:t>
            </w:r>
          </w:p>
        </w:tc>
        <w:tc>
          <w:tcPr>
            <w:tcW w:w="1048" w:type="dxa"/>
            <w:vAlign w:val="center"/>
          </w:tcPr>
          <w:p w:rsidR="00FB0A0F" w:rsidRPr="001205DB" w:rsidRDefault="00FB0A0F" w:rsidP="00704716">
            <w:pPr>
              <w:jc w:val="right"/>
              <w:rPr>
                <w:b/>
                <w:bCs/>
                <w:color w:val="000000"/>
                <w:sz w:val="20"/>
                <w:szCs w:val="20"/>
              </w:rPr>
            </w:pPr>
            <w:r w:rsidRPr="001205DB">
              <w:rPr>
                <w:b/>
                <w:color w:val="000000"/>
                <w:sz w:val="20"/>
              </w:rPr>
              <w:t>37,110</w:t>
            </w:r>
          </w:p>
        </w:tc>
        <w:tc>
          <w:tcPr>
            <w:tcW w:w="1048" w:type="dxa"/>
            <w:vAlign w:val="center"/>
          </w:tcPr>
          <w:p w:rsidR="00FB0A0F" w:rsidRPr="001205DB" w:rsidRDefault="00FB0A0F" w:rsidP="00704716">
            <w:pPr>
              <w:jc w:val="right"/>
              <w:rPr>
                <w:b/>
                <w:bCs/>
                <w:color w:val="000000"/>
                <w:sz w:val="20"/>
                <w:szCs w:val="20"/>
              </w:rPr>
            </w:pPr>
            <w:r w:rsidRPr="001205DB">
              <w:rPr>
                <w:b/>
                <w:color w:val="000000"/>
                <w:sz w:val="20"/>
              </w:rPr>
              <w:t>39,784</w:t>
            </w:r>
          </w:p>
        </w:tc>
        <w:tc>
          <w:tcPr>
            <w:tcW w:w="1048" w:type="dxa"/>
            <w:vAlign w:val="center"/>
          </w:tcPr>
          <w:p w:rsidR="00FB0A0F" w:rsidRPr="001205DB" w:rsidRDefault="00FB0A0F" w:rsidP="00704716">
            <w:pPr>
              <w:jc w:val="right"/>
              <w:rPr>
                <w:b/>
                <w:bCs/>
                <w:color w:val="000000"/>
                <w:sz w:val="20"/>
                <w:szCs w:val="20"/>
              </w:rPr>
            </w:pPr>
            <w:r w:rsidRPr="001205DB">
              <w:rPr>
                <w:b/>
                <w:color w:val="000000"/>
                <w:sz w:val="20"/>
              </w:rPr>
              <w:t>43,151</w:t>
            </w:r>
          </w:p>
        </w:tc>
        <w:tc>
          <w:tcPr>
            <w:tcW w:w="1048" w:type="dxa"/>
            <w:shd w:val="clear" w:color="auto" w:fill="A6A6A6" w:themeFill="background1" w:themeFillShade="A6"/>
            <w:vAlign w:val="center"/>
          </w:tcPr>
          <w:p w:rsidR="00FB0A0F" w:rsidRPr="001205DB" w:rsidRDefault="00FB0A0F" w:rsidP="00704716">
            <w:pPr>
              <w:jc w:val="right"/>
              <w:rPr>
                <w:b/>
                <w:bCs/>
                <w:color w:val="000000"/>
                <w:sz w:val="20"/>
                <w:szCs w:val="20"/>
              </w:rPr>
            </w:pPr>
          </w:p>
        </w:tc>
        <w:tc>
          <w:tcPr>
            <w:tcW w:w="1048" w:type="dxa"/>
            <w:vAlign w:val="center"/>
          </w:tcPr>
          <w:p w:rsidR="00FB0A0F" w:rsidRPr="001205DB" w:rsidRDefault="00FB0A0F" w:rsidP="00704716">
            <w:pPr>
              <w:jc w:val="right"/>
              <w:rPr>
                <w:b/>
                <w:bCs/>
                <w:color w:val="000000"/>
                <w:sz w:val="20"/>
                <w:szCs w:val="20"/>
              </w:rPr>
            </w:pPr>
            <w:r w:rsidRPr="001205DB">
              <w:rPr>
                <w:b/>
                <w:color w:val="000000"/>
                <w:sz w:val="20"/>
              </w:rPr>
              <w:t>223,771</w:t>
            </w:r>
          </w:p>
        </w:tc>
      </w:tr>
    </w:tbl>
    <w:p w:rsidR="00FB0A0F" w:rsidRPr="001205DB" w:rsidRDefault="00FB0A0F" w:rsidP="00FB0A0F">
      <w:pPr>
        <w:jc w:val="right"/>
        <w:rPr>
          <w:noProof/>
          <w:sz w:val="20"/>
        </w:rPr>
      </w:pPr>
      <w:r w:rsidRPr="001205DB">
        <w:rPr>
          <w:noProof/>
          <w:sz w:val="20"/>
        </w:rPr>
        <w:t>miljonos EUR (trīs zīmes aiz komata)</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1134"/>
        <w:gridCol w:w="1043"/>
        <w:gridCol w:w="1044"/>
        <w:gridCol w:w="1043"/>
        <w:gridCol w:w="1044"/>
        <w:gridCol w:w="1043"/>
        <w:gridCol w:w="1044"/>
        <w:gridCol w:w="1043"/>
        <w:gridCol w:w="1044"/>
        <w:gridCol w:w="1537"/>
        <w:gridCol w:w="6"/>
      </w:tblGrid>
      <w:tr w:rsidR="00FB0A0F" w:rsidRPr="001205DB" w:rsidTr="00704716">
        <w:trPr>
          <w:gridAfter w:val="1"/>
          <w:wAfter w:w="6" w:type="dxa"/>
          <w:jc w:val="center"/>
        </w:trPr>
        <w:tc>
          <w:tcPr>
            <w:tcW w:w="4179" w:type="dxa"/>
            <w:gridSpan w:val="2"/>
            <w:tcBorders>
              <w:top w:val="nil"/>
              <w:left w:val="nil"/>
            </w:tcBorders>
            <w:shd w:val="clear" w:color="auto" w:fill="FFFFFF" w:themeFill="background1"/>
            <w:vAlign w:val="center"/>
          </w:tcPr>
          <w:p w:rsidR="00FB0A0F" w:rsidRPr="001205DB" w:rsidRDefault="00FB0A0F" w:rsidP="00704716">
            <w:pPr>
              <w:rPr>
                <w:noProof/>
                <w:sz w:val="18"/>
              </w:rPr>
            </w:pPr>
          </w:p>
        </w:tc>
        <w:tc>
          <w:tcPr>
            <w:tcW w:w="1043" w:type="dxa"/>
            <w:vAlign w:val="center"/>
          </w:tcPr>
          <w:p w:rsidR="00FB0A0F" w:rsidRPr="001205DB" w:rsidRDefault="00FB0A0F" w:rsidP="00704716">
            <w:pPr>
              <w:jc w:val="center"/>
              <w:rPr>
                <w:noProof/>
                <w:sz w:val="20"/>
              </w:rPr>
            </w:pPr>
            <w:r w:rsidRPr="001205DB">
              <w:rPr>
                <w:b/>
                <w:noProof/>
                <w:sz w:val="20"/>
              </w:rPr>
              <w:t>2021</w:t>
            </w:r>
          </w:p>
        </w:tc>
        <w:tc>
          <w:tcPr>
            <w:tcW w:w="1044" w:type="dxa"/>
            <w:vAlign w:val="center"/>
          </w:tcPr>
          <w:p w:rsidR="00FB0A0F" w:rsidRPr="001205DB" w:rsidRDefault="00FB0A0F" w:rsidP="00704716">
            <w:pPr>
              <w:jc w:val="center"/>
              <w:rPr>
                <w:noProof/>
                <w:sz w:val="20"/>
              </w:rPr>
            </w:pPr>
            <w:r w:rsidRPr="001205DB">
              <w:rPr>
                <w:b/>
                <w:noProof/>
                <w:sz w:val="20"/>
              </w:rPr>
              <w:t>2022</w:t>
            </w:r>
          </w:p>
        </w:tc>
        <w:tc>
          <w:tcPr>
            <w:tcW w:w="1043" w:type="dxa"/>
            <w:vAlign w:val="center"/>
          </w:tcPr>
          <w:p w:rsidR="00FB0A0F" w:rsidRPr="001205DB" w:rsidRDefault="00FB0A0F" w:rsidP="00704716">
            <w:pPr>
              <w:jc w:val="center"/>
              <w:rPr>
                <w:noProof/>
                <w:sz w:val="20"/>
              </w:rPr>
            </w:pPr>
            <w:r w:rsidRPr="001205DB">
              <w:rPr>
                <w:b/>
                <w:noProof/>
                <w:sz w:val="20"/>
              </w:rPr>
              <w:t>2023</w:t>
            </w:r>
          </w:p>
        </w:tc>
        <w:tc>
          <w:tcPr>
            <w:tcW w:w="1044" w:type="dxa"/>
            <w:vAlign w:val="center"/>
          </w:tcPr>
          <w:p w:rsidR="00FB0A0F" w:rsidRPr="001205DB" w:rsidRDefault="00FB0A0F" w:rsidP="00704716">
            <w:pPr>
              <w:jc w:val="center"/>
              <w:rPr>
                <w:noProof/>
                <w:sz w:val="20"/>
              </w:rPr>
            </w:pPr>
            <w:r w:rsidRPr="001205DB">
              <w:rPr>
                <w:b/>
                <w:noProof/>
                <w:sz w:val="20"/>
              </w:rPr>
              <w:t>2024</w:t>
            </w:r>
          </w:p>
        </w:tc>
        <w:tc>
          <w:tcPr>
            <w:tcW w:w="1043" w:type="dxa"/>
            <w:vAlign w:val="center"/>
          </w:tcPr>
          <w:p w:rsidR="00FB0A0F" w:rsidRPr="001205DB" w:rsidRDefault="00FB0A0F" w:rsidP="00704716">
            <w:pPr>
              <w:jc w:val="center"/>
              <w:rPr>
                <w:b/>
                <w:noProof/>
                <w:sz w:val="18"/>
              </w:rPr>
            </w:pPr>
            <w:r w:rsidRPr="001205DB">
              <w:rPr>
                <w:b/>
                <w:noProof/>
                <w:sz w:val="18"/>
              </w:rPr>
              <w:t>2025</w:t>
            </w:r>
          </w:p>
        </w:tc>
        <w:tc>
          <w:tcPr>
            <w:tcW w:w="1044" w:type="dxa"/>
            <w:vAlign w:val="center"/>
          </w:tcPr>
          <w:p w:rsidR="00FB0A0F" w:rsidRPr="001205DB" w:rsidRDefault="00FB0A0F" w:rsidP="00704716">
            <w:pPr>
              <w:jc w:val="center"/>
              <w:rPr>
                <w:b/>
                <w:noProof/>
                <w:sz w:val="18"/>
              </w:rPr>
            </w:pPr>
            <w:r w:rsidRPr="001205DB">
              <w:rPr>
                <w:b/>
                <w:noProof/>
                <w:sz w:val="18"/>
              </w:rPr>
              <w:t>2026</w:t>
            </w:r>
          </w:p>
        </w:tc>
        <w:tc>
          <w:tcPr>
            <w:tcW w:w="1043" w:type="dxa"/>
            <w:vAlign w:val="center"/>
          </w:tcPr>
          <w:p w:rsidR="00FB0A0F" w:rsidRPr="001205DB" w:rsidRDefault="00FB0A0F" w:rsidP="00704716">
            <w:pPr>
              <w:jc w:val="center"/>
              <w:rPr>
                <w:b/>
                <w:noProof/>
                <w:sz w:val="18"/>
              </w:rPr>
            </w:pPr>
            <w:r w:rsidRPr="001205DB">
              <w:rPr>
                <w:b/>
                <w:noProof/>
                <w:sz w:val="18"/>
              </w:rPr>
              <w:t>2027</w:t>
            </w:r>
          </w:p>
        </w:tc>
        <w:tc>
          <w:tcPr>
            <w:tcW w:w="1044" w:type="dxa"/>
            <w:shd w:val="clear" w:color="auto" w:fill="A6A6A6" w:themeFill="background1" w:themeFillShade="A6"/>
          </w:tcPr>
          <w:p w:rsidR="00FB0A0F" w:rsidRPr="001205DB" w:rsidRDefault="00FB0A0F" w:rsidP="00704716">
            <w:pPr>
              <w:jc w:val="center"/>
              <w:rPr>
                <w:b/>
                <w:noProof/>
                <w:sz w:val="20"/>
              </w:rPr>
            </w:pPr>
            <w:r w:rsidRPr="001205DB">
              <w:rPr>
                <w:b/>
                <w:i/>
                <w:noProof/>
                <w:sz w:val="20"/>
              </w:rPr>
              <w:t>Pēc 2027. gada</w:t>
            </w:r>
          </w:p>
        </w:tc>
        <w:tc>
          <w:tcPr>
            <w:tcW w:w="1537" w:type="dxa"/>
            <w:vAlign w:val="center"/>
          </w:tcPr>
          <w:p w:rsidR="00FB0A0F" w:rsidRPr="001205DB" w:rsidRDefault="00FB0A0F" w:rsidP="00704716">
            <w:pPr>
              <w:jc w:val="center"/>
              <w:rPr>
                <w:b/>
                <w:noProof/>
                <w:sz w:val="20"/>
              </w:rPr>
            </w:pPr>
            <w:r w:rsidRPr="001205DB">
              <w:rPr>
                <w:b/>
                <w:noProof/>
                <w:sz w:val="20"/>
              </w:rPr>
              <w:t>KOPĀ</w:t>
            </w:r>
          </w:p>
        </w:tc>
      </w:tr>
      <w:tr w:rsidR="00FB0A0F" w:rsidRPr="001205DB" w:rsidTr="00704716">
        <w:trPr>
          <w:gridAfter w:val="1"/>
          <w:wAfter w:w="6" w:type="dxa"/>
          <w:jc w:val="center"/>
        </w:trPr>
        <w:tc>
          <w:tcPr>
            <w:tcW w:w="3045" w:type="dxa"/>
            <w:vMerge w:val="restart"/>
            <w:shd w:val="clear" w:color="auto" w:fill="C0C0C0"/>
            <w:vAlign w:val="center"/>
          </w:tcPr>
          <w:p w:rsidR="00FB0A0F" w:rsidRPr="001205DB" w:rsidRDefault="00FB0A0F" w:rsidP="00704716">
            <w:pPr>
              <w:jc w:val="center"/>
              <w:rPr>
                <w:b/>
                <w:noProof/>
              </w:rPr>
            </w:pPr>
            <w:r w:rsidRPr="001205DB">
              <w:rPr>
                <w:b/>
              </w:rPr>
              <w:t xml:space="preserve">KOPĀ </w:t>
            </w:r>
            <w:r w:rsidRPr="001205DB">
              <w:t>daudzgadu finanšu shēmas</w:t>
            </w:r>
            <w:r w:rsidRPr="001205DB">
              <w:rPr>
                <w:noProof/>
                <w:sz w:val="22"/>
              </w:rPr>
              <w:br/>
            </w:r>
            <w:r w:rsidRPr="001205DB">
              <w:rPr>
                <w:b/>
                <w:noProof/>
                <w:sz w:val="22"/>
              </w:rPr>
              <w:t xml:space="preserve">visu IZDEVUMU KATEGORIJU </w:t>
            </w:r>
            <w:r w:rsidRPr="001205DB">
              <w:rPr>
                <w:noProof/>
                <w:sz w:val="22"/>
              </w:rPr>
              <w:br/>
            </w:r>
            <w:r w:rsidRPr="001205DB">
              <w:rPr>
                <w:b/>
                <w:noProof/>
                <w:sz w:val="22"/>
              </w:rPr>
              <w:t xml:space="preserve">apropriācijas </w:t>
            </w:r>
          </w:p>
        </w:tc>
        <w:tc>
          <w:tcPr>
            <w:tcW w:w="1134" w:type="dxa"/>
            <w:vAlign w:val="center"/>
          </w:tcPr>
          <w:p w:rsidR="00FB0A0F" w:rsidRPr="001205DB" w:rsidRDefault="00FB0A0F" w:rsidP="00704716">
            <w:pPr>
              <w:rPr>
                <w:noProof/>
                <w:sz w:val="14"/>
              </w:rPr>
            </w:pPr>
            <w:r w:rsidRPr="001205DB">
              <w:rPr>
                <w:noProof/>
                <w:sz w:val="18"/>
              </w:rPr>
              <w:t>Saistības</w:t>
            </w:r>
          </w:p>
        </w:tc>
        <w:tc>
          <w:tcPr>
            <w:tcW w:w="1043" w:type="dxa"/>
            <w:vAlign w:val="center"/>
          </w:tcPr>
          <w:p w:rsidR="00FB0A0F" w:rsidRPr="001205DB" w:rsidRDefault="00FB0A0F" w:rsidP="00704716">
            <w:pPr>
              <w:ind w:left="130"/>
              <w:jc w:val="center"/>
              <w:rPr>
                <w:color w:val="000000"/>
                <w:sz w:val="20"/>
                <w:szCs w:val="20"/>
              </w:rPr>
            </w:pPr>
            <w:r w:rsidRPr="001205DB">
              <w:rPr>
                <w:color w:val="000000"/>
                <w:sz w:val="20"/>
              </w:rPr>
              <w:t>720,580</w:t>
            </w:r>
          </w:p>
        </w:tc>
        <w:tc>
          <w:tcPr>
            <w:tcW w:w="1044" w:type="dxa"/>
            <w:vAlign w:val="center"/>
          </w:tcPr>
          <w:p w:rsidR="00FB0A0F" w:rsidRPr="001205DB" w:rsidRDefault="00FB0A0F" w:rsidP="00704716">
            <w:pPr>
              <w:jc w:val="center"/>
              <w:rPr>
                <w:color w:val="000000"/>
                <w:sz w:val="20"/>
                <w:szCs w:val="20"/>
              </w:rPr>
            </w:pPr>
            <w:r w:rsidRPr="001205DB">
              <w:rPr>
                <w:color w:val="000000"/>
                <w:sz w:val="20"/>
              </w:rPr>
              <w:t>740,917</w:t>
            </w:r>
          </w:p>
        </w:tc>
        <w:tc>
          <w:tcPr>
            <w:tcW w:w="1043" w:type="dxa"/>
            <w:vAlign w:val="center"/>
          </w:tcPr>
          <w:p w:rsidR="00FB0A0F" w:rsidRPr="001205DB" w:rsidRDefault="00FB0A0F" w:rsidP="00704716">
            <w:pPr>
              <w:jc w:val="center"/>
              <w:rPr>
                <w:color w:val="000000"/>
                <w:sz w:val="20"/>
                <w:szCs w:val="20"/>
              </w:rPr>
            </w:pPr>
            <w:r w:rsidRPr="001205DB">
              <w:rPr>
                <w:color w:val="000000"/>
                <w:sz w:val="20"/>
              </w:rPr>
              <w:t>768,699</w:t>
            </w:r>
          </w:p>
        </w:tc>
        <w:tc>
          <w:tcPr>
            <w:tcW w:w="1044" w:type="dxa"/>
            <w:vAlign w:val="center"/>
          </w:tcPr>
          <w:p w:rsidR="00FB0A0F" w:rsidRPr="001205DB" w:rsidRDefault="00FB0A0F" w:rsidP="00704716">
            <w:pPr>
              <w:jc w:val="center"/>
              <w:rPr>
                <w:color w:val="000000"/>
                <w:sz w:val="20"/>
                <w:szCs w:val="20"/>
              </w:rPr>
            </w:pPr>
            <w:r w:rsidRPr="001205DB">
              <w:rPr>
                <w:color w:val="000000"/>
                <w:sz w:val="20"/>
              </w:rPr>
              <w:t>797,483</w:t>
            </w:r>
          </w:p>
        </w:tc>
        <w:tc>
          <w:tcPr>
            <w:tcW w:w="1043" w:type="dxa"/>
            <w:vAlign w:val="center"/>
          </w:tcPr>
          <w:p w:rsidR="00FB0A0F" w:rsidRPr="001205DB" w:rsidRDefault="00FB0A0F" w:rsidP="00704716">
            <w:pPr>
              <w:jc w:val="center"/>
              <w:rPr>
                <w:color w:val="000000"/>
                <w:sz w:val="20"/>
                <w:szCs w:val="20"/>
              </w:rPr>
            </w:pPr>
            <w:r w:rsidRPr="001205DB">
              <w:rPr>
                <w:color w:val="000000"/>
                <w:sz w:val="20"/>
              </w:rPr>
              <w:t>835,991</w:t>
            </w:r>
          </w:p>
        </w:tc>
        <w:tc>
          <w:tcPr>
            <w:tcW w:w="1044" w:type="dxa"/>
            <w:vAlign w:val="center"/>
          </w:tcPr>
          <w:p w:rsidR="00FB0A0F" w:rsidRPr="001205DB" w:rsidRDefault="00FB0A0F" w:rsidP="00704716">
            <w:pPr>
              <w:jc w:val="center"/>
              <w:rPr>
                <w:color w:val="000000"/>
                <w:sz w:val="20"/>
                <w:szCs w:val="20"/>
              </w:rPr>
            </w:pPr>
            <w:r w:rsidRPr="001205DB">
              <w:rPr>
                <w:color w:val="000000"/>
                <w:sz w:val="20"/>
              </w:rPr>
              <w:t>880,148</w:t>
            </w:r>
          </w:p>
        </w:tc>
        <w:tc>
          <w:tcPr>
            <w:tcW w:w="1043" w:type="dxa"/>
            <w:vAlign w:val="center"/>
          </w:tcPr>
          <w:p w:rsidR="00FB0A0F" w:rsidRPr="001205DB" w:rsidRDefault="00FB0A0F" w:rsidP="00704716">
            <w:pPr>
              <w:jc w:val="center"/>
              <w:rPr>
                <w:color w:val="000000"/>
                <w:sz w:val="20"/>
                <w:szCs w:val="20"/>
              </w:rPr>
            </w:pPr>
            <w:r w:rsidRPr="001205DB">
              <w:rPr>
                <w:color w:val="000000"/>
                <w:sz w:val="20"/>
              </w:rPr>
              <w:t>929,952</w:t>
            </w:r>
          </w:p>
        </w:tc>
        <w:tc>
          <w:tcPr>
            <w:tcW w:w="1044" w:type="dxa"/>
            <w:shd w:val="clear" w:color="auto" w:fill="A6A6A6" w:themeFill="background1" w:themeFillShade="A6"/>
            <w:vAlign w:val="center"/>
          </w:tcPr>
          <w:p w:rsidR="00FB0A0F" w:rsidRPr="001205DB" w:rsidRDefault="00FB0A0F" w:rsidP="00704716">
            <w:pPr>
              <w:jc w:val="right"/>
              <w:rPr>
                <w:b/>
                <w:bCs/>
                <w:color w:val="000000"/>
                <w:sz w:val="20"/>
                <w:szCs w:val="20"/>
              </w:rPr>
            </w:pPr>
            <w:r w:rsidRPr="001205DB">
              <w:rPr>
                <w:b/>
                <w:color w:val="000000"/>
                <w:sz w:val="20"/>
              </w:rPr>
              <w:t>0</w:t>
            </w:r>
          </w:p>
        </w:tc>
        <w:tc>
          <w:tcPr>
            <w:tcW w:w="1537" w:type="dxa"/>
            <w:vAlign w:val="center"/>
          </w:tcPr>
          <w:p w:rsidR="00FB0A0F" w:rsidRPr="001205DB" w:rsidRDefault="00FB0A0F" w:rsidP="00704716">
            <w:pPr>
              <w:jc w:val="right"/>
              <w:rPr>
                <w:b/>
                <w:bCs/>
                <w:color w:val="000000"/>
                <w:sz w:val="20"/>
                <w:szCs w:val="20"/>
              </w:rPr>
            </w:pPr>
            <w:r w:rsidRPr="001205DB">
              <w:rPr>
                <w:b/>
                <w:color w:val="000000"/>
                <w:sz w:val="20"/>
              </w:rPr>
              <w:t>5673,771</w:t>
            </w:r>
          </w:p>
        </w:tc>
      </w:tr>
      <w:tr w:rsidR="00FB0A0F" w:rsidRPr="001205DB" w:rsidTr="00704716">
        <w:trPr>
          <w:jc w:val="center"/>
        </w:trPr>
        <w:tc>
          <w:tcPr>
            <w:tcW w:w="3045" w:type="dxa"/>
            <w:vMerge/>
            <w:shd w:val="clear" w:color="auto" w:fill="C0C0C0"/>
          </w:tcPr>
          <w:p w:rsidR="00FB0A0F" w:rsidRPr="001205DB" w:rsidRDefault="00FB0A0F" w:rsidP="00704716">
            <w:pPr>
              <w:rPr>
                <w:noProof/>
                <w:sz w:val="20"/>
              </w:rPr>
            </w:pPr>
          </w:p>
        </w:tc>
        <w:tc>
          <w:tcPr>
            <w:tcW w:w="1134" w:type="dxa"/>
            <w:vAlign w:val="center"/>
          </w:tcPr>
          <w:p w:rsidR="00FB0A0F" w:rsidRPr="001205DB" w:rsidRDefault="00FB0A0F" w:rsidP="00704716">
            <w:pPr>
              <w:rPr>
                <w:noProof/>
                <w:sz w:val="14"/>
              </w:rPr>
            </w:pPr>
            <w:r w:rsidRPr="001205DB">
              <w:rPr>
                <w:noProof/>
                <w:sz w:val="18"/>
              </w:rPr>
              <w:t>Maksājumi</w:t>
            </w:r>
          </w:p>
        </w:tc>
        <w:tc>
          <w:tcPr>
            <w:tcW w:w="1043" w:type="dxa"/>
            <w:vAlign w:val="center"/>
          </w:tcPr>
          <w:p w:rsidR="00FB0A0F" w:rsidRPr="001205DB" w:rsidRDefault="00FB0A0F" w:rsidP="00704716">
            <w:pPr>
              <w:jc w:val="right"/>
              <w:rPr>
                <w:color w:val="000000"/>
                <w:sz w:val="20"/>
                <w:szCs w:val="20"/>
              </w:rPr>
            </w:pPr>
            <w:r w:rsidRPr="001205DB">
              <w:rPr>
                <w:color w:val="000000"/>
                <w:sz w:val="20"/>
              </w:rPr>
              <w:t>63,721</w:t>
            </w:r>
          </w:p>
        </w:tc>
        <w:tc>
          <w:tcPr>
            <w:tcW w:w="1044" w:type="dxa"/>
            <w:vAlign w:val="center"/>
          </w:tcPr>
          <w:p w:rsidR="00FB0A0F" w:rsidRPr="001205DB" w:rsidRDefault="00FB0A0F" w:rsidP="00704716">
            <w:pPr>
              <w:jc w:val="right"/>
              <w:rPr>
                <w:color w:val="000000"/>
                <w:sz w:val="20"/>
                <w:szCs w:val="20"/>
              </w:rPr>
            </w:pPr>
            <w:r w:rsidRPr="001205DB">
              <w:rPr>
                <w:color w:val="000000"/>
                <w:sz w:val="20"/>
              </w:rPr>
              <w:t>310,927</w:t>
            </w:r>
          </w:p>
        </w:tc>
        <w:tc>
          <w:tcPr>
            <w:tcW w:w="1043" w:type="dxa"/>
            <w:vAlign w:val="center"/>
          </w:tcPr>
          <w:p w:rsidR="00FB0A0F" w:rsidRPr="001205DB" w:rsidRDefault="00FB0A0F" w:rsidP="00704716">
            <w:pPr>
              <w:jc w:val="right"/>
              <w:rPr>
                <w:color w:val="000000"/>
                <w:sz w:val="20"/>
                <w:szCs w:val="20"/>
              </w:rPr>
            </w:pPr>
            <w:r w:rsidRPr="001205DB">
              <w:rPr>
                <w:color w:val="000000"/>
                <w:sz w:val="20"/>
              </w:rPr>
              <w:t>380,408</w:t>
            </w:r>
          </w:p>
        </w:tc>
        <w:tc>
          <w:tcPr>
            <w:tcW w:w="1044" w:type="dxa"/>
            <w:vAlign w:val="center"/>
          </w:tcPr>
          <w:p w:rsidR="00FB0A0F" w:rsidRPr="001205DB" w:rsidRDefault="00FB0A0F" w:rsidP="00704716">
            <w:pPr>
              <w:jc w:val="right"/>
              <w:rPr>
                <w:color w:val="000000"/>
                <w:sz w:val="20"/>
                <w:szCs w:val="20"/>
              </w:rPr>
            </w:pPr>
            <w:r w:rsidRPr="001205DB">
              <w:rPr>
                <w:color w:val="000000"/>
                <w:sz w:val="20"/>
              </w:rPr>
              <w:t>454,431</w:t>
            </w:r>
          </w:p>
        </w:tc>
        <w:tc>
          <w:tcPr>
            <w:tcW w:w="1043" w:type="dxa"/>
            <w:vAlign w:val="center"/>
          </w:tcPr>
          <w:p w:rsidR="00FB0A0F" w:rsidRPr="001205DB" w:rsidRDefault="00FB0A0F" w:rsidP="00704716">
            <w:pPr>
              <w:jc w:val="right"/>
              <w:rPr>
                <w:color w:val="000000"/>
                <w:sz w:val="20"/>
                <w:szCs w:val="20"/>
              </w:rPr>
            </w:pPr>
            <w:r w:rsidRPr="001205DB">
              <w:rPr>
                <w:color w:val="000000"/>
                <w:sz w:val="20"/>
              </w:rPr>
              <w:t>543,304</w:t>
            </w:r>
          </w:p>
        </w:tc>
        <w:tc>
          <w:tcPr>
            <w:tcW w:w="1044" w:type="dxa"/>
            <w:vAlign w:val="center"/>
          </w:tcPr>
          <w:p w:rsidR="00FB0A0F" w:rsidRPr="001205DB" w:rsidRDefault="00FB0A0F" w:rsidP="00704716">
            <w:pPr>
              <w:jc w:val="right"/>
              <w:rPr>
                <w:color w:val="000000"/>
                <w:sz w:val="20"/>
                <w:szCs w:val="20"/>
              </w:rPr>
            </w:pPr>
            <w:r w:rsidRPr="001205DB">
              <w:rPr>
                <w:color w:val="000000"/>
                <w:sz w:val="20"/>
              </w:rPr>
              <w:t>628,879</w:t>
            </w:r>
          </w:p>
        </w:tc>
        <w:tc>
          <w:tcPr>
            <w:tcW w:w="1043" w:type="dxa"/>
            <w:vAlign w:val="center"/>
          </w:tcPr>
          <w:p w:rsidR="00FB0A0F" w:rsidRPr="001205DB" w:rsidRDefault="00FB0A0F" w:rsidP="00704716">
            <w:pPr>
              <w:jc w:val="right"/>
              <w:rPr>
                <w:color w:val="000000"/>
                <w:sz w:val="20"/>
                <w:szCs w:val="20"/>
              </w:rPr>
            </w:pPr>
            <w:r w:rsidRPr="001205DB">
              <w:rPr>
                <w:color w:val="000000"/>
                <w:sz w:val="20"/>
              </w:rPr>
              <w:t>693,553</w:t>
            </w:r>
          </w:p>
        </w:tc>
        <w:tc>
          <w:tcPr>
            <w:tcW w:w="1044" w:type="dxa"/>
            <w:vAlign w:val="center"/>
          </w:tcPr>
          <w:p w:rsidR="00FB0A0F" w:rsidRPr="001205DB" w:rsidRDefault="00FB0A0F" w:rsidP="00704716">
            <w:pPr>
              <w:jc w:val="right"/>
              <w:rPr>
                <w:color w:val="000000"/>
                <w:sz w:val="20"/>
                <w:szCs w:val="20"/>
              </w:rPr>
            </w:pPr>
            <w:r w:rsidRPr="001205DB">
              <w:rPr>
                <w:color w:val="000000"/>
                <w:sz w:val="20"/>
              </w:rPr>
              <w:t>2598,547</w:t>
            </w:r>
          </w:p>
        </w:tc>
        <w:tc>
          <w:tcPr>
            <w:tcW w:w="1543" w:type="dxa"/>
            <w:gridSpan w:val="2"/>
            <w:vAlign w:val="center"/>
          </w:tcPr>
          <w:p w:rsidR="00FB0A0F" w:rsidRPr="001205DB" w:rsidRDefault="00FB0A0F" w:rsidP="00704716">
            <w:pPr>
              <w:jc w:val="right"/>
              <w:rPr>
                <w:b/>
                <w:bCs/>
                <w:color w:val="000000"/>
                <w:sz w:val="20"/>
                <w:szCs w:val="20"/>
              </w:rPr>
            </w:pPr>
            <w:r w:rsidRPr="001205DB">
              <w:rPr>
                <w:b/>
                <w:color w:val="000000"/>
                <w:sz w:val="20"/>
              </w:rPr>
              <w:t>5673,771</w:t>
            </w:r>
          </w:p>
        </w:tc>
      </w:tr>
    </w:tbl>
    <w:p w:rsidR="00FB0A0F" w:rsidRPr="001205DB" w:rsidRDefault="00FB0A0F" w:rsidP="00FB0A0F">
      <w:pPr>
        <w:rPr>
          <w:noProof/>
        </w:rPr>
        <w:sectPr w:rsidR="00FB0A0F" w:rsidRPr="001205DB" w:rsidSect="00FE5A09">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rsidR="00FB0A0F" w:rsidRPr="001205DB" w:rsidRDefault="00FB0A0F" w:rsidP="00FB0A0F">
      <w:pPr>
        <w:pStyle w:val="Heading3"/>
        <w:rPr>
          <w:bCs w:val="0"/>
          <w:noProof/>
          <w:szCs w:val="24"/>
        </w:rPr>
      </w:pPr>
      <w:r w:rsidRPr="001205DB">
        <w:lastRenderedPageBreak/>
        <w:t>Paredzamā ietekme uz administratīvajām apropriācijām</w:t>
      </w:r>
    </w:p>
    <w:p w:rsidR="00FB0A0F" w:rsidRPr="001205DB" w:rsidRDefault="00FB0A0F" w:rsidP="00FB0A0F">
      <w:pPr>
        <w:pStyle w:val="ListDash1"/>
        <w:rPr>
          <w:noProof/>
        </w:rPr>
      </w:pPr>
      <w:r w:rsidRPr="001205DB">
        <w:rPr>
          <w:noProof/>
        </w:rPr>
        <w:sym w:font="Wingdings" w:char="F0A8"/>
      </w:r>
      <w:r w:rsidRPr="001205DB">
        <w:tab/>
        <w:t xml:space="preserve">Priekšlikums/iniciatīva neparedz izmantot administratīvās apropriācijas. </w:t>
      </w:r>
    </w:p>
    <w:p w:rsidR="00FB0A0F" w:rsidRPr="001205DB" w:rsidRDefault="00FB0A0F" w:rsidP="00FB0A0F">
      <w:pPr>
        <w:pStyle w:val="ListDash1"/>
        <w:rPr>
          <w:noProof/>
        </w:rPr>
      </w:pPr>
      <w:r w:rsidRPr="001205DB">
        <w:rPr>
          <w:noProof/>
        </w:rPr>
        <w:sym w:font="Wingdings" w:char="F0FE"/>
      </w:r>
      <w:r w:rsidRPr="001205DB">
        <w:tab/>
        <w:t>Priekšlikums/iniciatīva paredz izmantot administratīvās apropriācijas šādā veidā:</w:t>
      </w:r>
    </w:p>
    <w:p w:rsidR="00FB0A0F" w:rsidRPr="001205DB" w:rsidRDefault="00FB0A0F" w:rsidP="00FB0A0F">
      <w:pPr>
        <w:rPr>
          <w:noProof/>
          <w:sz w:val="20"/>
        </w:rPr>
      </w:pPr>
      <w:r w:rsidRPr="001205DB">
        <w:rPr>
          <w:noProof/>
          <w:sz w:val="20"/>
        </w:rPr>
        <w:t>miljonos EUR (trīs zīmes aiz komata)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B0A0F" w:rsidRPr="001205DB" w:rsidTr="00704716">
        <w:trPr>
          <w:trHeight w:val="585"/>
        </w:trPr>
        <w:tc>
          <w:tcPr>
            <w:tcW w:w="1980" w:type="dxa"/>
            <w:vAlign w:val="center"/>
          </w:tcPr>
          <w:p w:rsidR="00FB0A0F" w:rsidRPr="001205DB" w:rsidRDefault="00FB0A0F" w:rsidP="00704716">
            <w:pPr>
              <w:spacing w:before="60" w:after="60" w:line="200" w:lineRule="exact"/>
              <w:jc w:val="center"/>
              <w:rPr>
                <w:b/>
                <w:noProof/>
                <w:sz w:val="16"/>
                <w:szCs w:val="16"/>
              </w:rPr>
            </w:pPr>
            <w:r w:rsidRPr="001205DB">
              <w:rPr>
                <w:b/>
                <w:noProof/>
                <w:sz w:val="16"/>
              </w:rPr>
              <w:t>Gads</w:t>
            </w:r>
          </w:p>
        </w:tc>
        <w:tc>
          <w:tcPr>
            <w:tcW w:w="1080" w:type="dxa"/>
            <w:vAlign w:val="center"/>
          </w:tcPr>
          <w:p w:rsidR="00FB0A0F" w:rsidRPr="001205DB" w:rsidRDefault="00FB0A0F" w:rsidP="00704716">
            <w:pPr>
              <w:spacing w:before="60" w:after="60" w:line="200" w:lineRule="exact"/>
              <w:jc w:val="center"/>
              <w:rPr>
                <w:noProof/>
                <w:sz w:val="16"/>
                <w:szCs w:val="16"/>
              </w:rPr>
            </w:pPr>
            <w:r w:rsidRPr="001205DB">
              <w:rPr>
                <w:b/>
                <w:noProof/>
                <w:sz w:val="20"/>
              </w:rPr>
              <w:t>2021</w:t>
            </w:r>
          </w:p>
        </w:tc>
        <w:tc>
          <w:tcPr>
            <w:tcW w:w="1080" w:type="dxa"/>
            <w:vAlign w:val="center"/>
          </w:tcPr>
          <w:p w:rsidR="00FB0A0F" w:rsidRPr="001205DB" w:rsidRDefault="00FB0A0F" w:rsidP="00704716">
            <w:pPr>
              <w:spacing w:before="60" w:after="60" w:line="200" w:lineRule="exact"/>
              <w:jc w:val="center"/>
              <w:rPr>
                <w:noProof/>
                <w:sz w:val="16"/>
                <w:szCs w:val="16"/>
              </w:rPr>
            </w:pPr>
            <w:r w:rsidRPr="001205DB">
              <w:rPr>
                <w:b/>
                <w:noProof/>
                <w:sz w:val="20"/>
              </w:rPr>
              <w:t>2022</w:t>
            </w:r>
          </w:p>
        </w:tc>
        <w:tc>
          <w:tcPr>
            <w:tcW w:w="1080" w:type="dxa"/>
            <w:vAlign w:val="center"/>
          </w:tcPr>
          <w:p w:rsidR="00FB0A0F" w:rsidRPr="001205DB" w:rsidRDefault="00FB0A0F" w:rsidP="00704716">
            <w:pPr>
              <w:spacing w:before="60" w:after="60" w:line="200" w:lineRule="exact"/>
              <w:jc w:val="center"/>
              <w:rPr>
                <w:noProof/>
                <w:sz w:val="16"/>
                <w:szCs w:val="16"/>
              </w:rPr>
            </w:pPr>
            <w:r w:rsidRPr="001205DB">
              <w:rPr>
                <w:b/>
                <w:noProof/>
                <w:sz w:val="20"/>
              </w:rPr>
              <w:t>2023</w:t>
            </w:r>
          </w:p>
        </w:tc>
        <w:tc>
          <w:tcPr>
            <w:tcW w:w="1080" w:type="dxa"/>
            <w:vAlign w:val="center"/>
          </w:tcPr>
          <w:p w:rsidR="00FB0A0F" w:rsidRPr="001205DB" w:rsidRDefault="00FB0A0F" w:rsidP="00704716">
            <w:pPr>
              <w:spacing w:before="60" w:after="60" w:line="200" w:lineRule="exact"/>
              <w:jc w:val="center"/>
              <w:rPr>
                <w:noProof/>
                <w:sz w:val="16"/>
                <w:szCs w:val="16"/>
              </w:rPr>
            </w:pPr>
            <w:r w:rsidRPr="001205DB">
              <w:rPr>
                <w:b/>
                <w:noProof/>
                <w:sz w:val="20"/>
              </w:rPr>
              <w:t>2024</w:t>
            </w:r>
          </w:p>
        </w:tc>
        <w:tc>
          <w:tcPr>
            <w:tcW w:w="1080" w:type="dxa"/>
            <w:vAlign w:val="center"/>
          </w:tcPr>
          <w:p w:rsidR="00FB0A0F" w:rsidRPr="001205DB" w:rsidRDefault="00FB0A0F" w:rsidP="00704716">
            <w:pPr>
              <w:spacing w:line="200" w:lineRule="exact"/>
              <w:jc w:val="center"/>
              <w:rPr>
                <w:b/>
                <w:noProof/>
                <w:sz w:val="16"/>
                <w:szCs w:val="16"/>
              </w:rPr>
            </w:pPr>
            <w:r w:rsidRPr="001205DB">
              <w:rPr>
                <w:b/>
                <w:noProof/>
                <w:sz w:val="18"/>
              </w:rPr>
              <w:t>2025</w:t>
            </w:r>
          </w:p>
        </w:tc>
        <w:tc>
          <w:tcPr>
            <w:tcW w:w="1080" w:type="dxa"/>
            <w:vAlign w:val="center"/>
          </w:tcPr>
          <w:p w:rsidR="00FB0A0F" w:rsidRPr="001205DB" w:rsidRDefault="00FB0A0F" w:rsidP="00704716">
            <w:pPr>
              <w:spacing w:line="200" w:lineRule="exact"/>
              <w:jc w:val="center"/>
              <w:rPr>
                <w:b/>
                <w:noProof/>
                <w:sz w:val="16"/>
                <w:szCs w:val="16"/>
              </w:rPr>
            </w:pPr>
            <w:r w:rsidRPr="001205DB">
              <w:rPr>
                <w:b/>
                <w:noProof/>
                <w:sz w:val="18"/>
              </w:rPr>
              <w:t>2026</w:t>
            </w:r>
          </w:p>
        </w:tc>
        <w:tc>
          <w:tcPr>
            <w:tcW w:w="1080" w:type="dxa"/>
            <w:vAlign w:val="center"/>
          </w:tcPr>
          <w:p w:rsidR="00FB0A0F" w:rsidRPr="001205DB" w:rsidRDefault="00FB0A0F" w:rsidP="00704716">
            <w:pPr>
              <w:spacing w:line="200" w:lineRule="exact"/>
              <w:jc w:val="center"/>
              <w:rPr>
                <w:b/>
                <w:noProof/>
                <w:sz w:val="16"/>
                <w:szCs w:val="16"/>
              </w:rPr>
            </w:pPr>
            <w:r w:rsidRPr="001205DB">
              <w:rPr>
                <w:b/>
                <w:noProof/>
                <w:sz w:val="18"/>
              </w:rPr>
              <w:t>2027</w:t>
            </w:r>
          </w:p>
        </w:tc>
        <w:tc>
          <w:tcPr>
            <w:tcW w:w="1080" w:type="dxa"/>
            <w:vAlign w:val="center"/>
          </w:tcPr>
          <w:p w:rsidR="00FB0A0F" w:rsidRPr="001205DB" w:rsidRDefault="00FB0A0F" w:rsidP="00704716">
            <w:pPr>
              <w:spacing w:before="60" w:after="60" w:line="200" w:lineRule="exact"/>
              <w:jc w:val="center"/>
              <w:rPr>
                <w:b/>
                <w:noProof/>
                <w:sz w:val="16"/>
                <w:szCs w:val="16"/>
              </w:rPr>
            </w:pPr>
            <w:r w:rsidRPr="001205DB">
              <w:rPr>
                <w:b/>
                <w:noProof/>
                <w:sz w:val="16"/>
              </w:rPr>
              <w:t>KOPĀ</w:t>
            </w:r>
          </w:p>
        </w:tc>
      </w:tr>
    </w:tbl>
    <w:p w:rsidR="00FB0A0F" w:rsidRPr="001205DB" w:rsidRDefault="00FB0A0F" w:rsidP="00FB0A0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B0A0F" w:rsidRPr="001205DB" w:rsidTr="00704716">
        <w:trPr>
          <w:trHeight w:val="585"/>
        </w:trPr>
        <w:tc>
          <w:tcPr>
            <w:tcW w:w="1980" w:type="dxa"/>
            <w:shd w:val="clear" w:color="auto" w:fill="CCCCCC"/>
            <w:vAlign w:val="center"/>
          </w:tcPr>
          <w:p w:rsidR="00FB0A0F" w:rsidRPr="001205DB" w:rsidRDefault="00FB0A0F" w:rsidP="00704716">
            <w:pPr>
              <w:spacing w:before="60" w:after="60" w:line="200" w:lineRule="exact"/>
              <w:jc w:val="center"/>
              <w:rPr>
                <w:b/>
                <w:noProof/>
                <w:sz w:val="16"/>
                <w:szCs w:val="16"/>
              </w:rPr>
            </w:pPr>
            <w:r w:rsidRPr="001205DB">
              <w:rPr>
                <w:b/>
                <w:noProof/>
                <w:sz w:val="16"/>
              </w:rPr>
              <w:t>Daudzgadu finanšu shēmas</w:t>
            </w:r>
            <w:r w:rsidRPr="001205DB">
              <w:br/>
            </w:r>
            <w:r w:rsidRPr="001205DB">
              <w:rPr>
                <w:b/>
                <w:noProof/>
                <w:sz w:val="16"/>
              </w:rPr>
              <w:t>7. IZDEVUMU KATEGORIJA</w:t>
            </w:r>
          </w:p>
        </w:tc>
        <w:tc>
          <w:tcPr>
            <w:tcW w:w="1080" w:type="dxa"/>
            <w:vAlign w:val="center"/>
          </w:tcPr>
          <w:p w:rsidR="00FB0A0F" w:rsidRPr="001205DB" w:rsidRDefault="00FB0A0F" w:rsidP="00704716">
            <w:pPr>
              <w:spacing w:before="20" w:after="20"/>
              <w:jc w:val="right"/>
              <w:rPr>
                <w:noProof/>
                <w:sz w:val="20"/>
              </w:rPr>
            </w:pPr>
          </w:p>
        </w:tc>
        <w:tc>
          <w:tcPr>
            <w:tcW w:w="1080" w:type="dxa"/>
            <w:vAlign w:val="center"/>
          </w:tcPr>
          <w:p w:rsidR="00FB0A0F" w:rsidRPr="001205DB" w:rsidRDefault="00FB0A0F" w:rsidP="00704716">
            <w:pPr>
              <w:spacing w:before="60" w:after="60" w:line="200" w:lineRule="exact"/>
              <w:jc w:val="right"/>
              <w:rPr>
                <w:noProof/>
                <w:sz w:val="16"/>
                <w:szCs w:val="16"/>
              </w:rPr>
            </w:pPr>
          </w:p>
        </w:tc>
        <w:tc>
          <w:tcPr>
            <w:tcW w:w="1080" w:type="dxa"/>
            <w:vAlign w:val="center"/>
          </w:tcPr>
          <w:p w:rsidR="00FB0A0F" w:rsidRPr="001205DB" w:rsidRDefault="00FB0A0F" w:rsidP="00704716">
            <w:pPr>
              <w:spacing w:before="60" w:after="60" w:line="200" w:lineRule="exact"/>
              <w:jc w:val="right"/>
              <w:rPr>
                <w:noProof/>
                <w:sz w:val="16"/>
                <w:szCs w:val="16"/>
              </w:rPr>
            </w:pPr>
          </w:p>
        </w:tc>
        <w:tc>
          <w:tcPr>
            <w:tcW w:w="1080" w:type="dxa"/>
            <w:vAlign w:val="center"/>
          </w:tcPr>
          <w:p w:rsidR="00FB0A0F" w:rsidRPr="001205DB" w:rsidRDefault="00FB0A0F" w:rsidP="00704716">
            <w:pPr>
              <w:spacing w:before="60" w:after="60" w:line="200" w:lineRule="exact"/>
              <w:jc w:val="right"/>
              <w:rPr>
                <w:noProof/>
                <w:sz w:val="16"/>
                <w:szCs w:val="16"/>
              </w:rPr>
            </w:pPr>
          </w:p>
        </w:tc>
        <w:tc>
          <w:tcPr>
            <w:tcW w:w="1080" w:type="dxa"/>
            <w:vAlign w:val="center"/>
          </w:tcPr>
          <w:p w:rsidR="00FB0A0F" w:rsidRPr="001205DB" w:rsidRDefault="00FB0A0F" w:rsidP="00704716">
            <w:pPr>
              <w:spacing w:before="60" w:after="60" w:line="200" w:lineRule="exact"/>
              <w:jc w:val="right"/>
              <w:rPr>
                <w:noProof/>
                <w:sz w:val="16"/>
                <w:szCs w:val="16"/>
              </w:rPr>
            </w:pPr>
          </w:p>
        </w:tc>
        <w:tc>
          <w:tcPr>
            <w:tcW w:w="1080" w:type="dxa"/>
            <w:vAlign w:val="center"/>
          </w:tcPr>
          <w:p w:rsidR="00FB0A0F" w:rsidRPr="001205DB" w:rsidRDefault="00FB0A0F" w:rsidP="00704716">
            <w:pPr>
              <w:spacing w:before="60" w:after="60" w:line="200" w:lineRule="exact"/>
              <w:jc w:val="right"/>
              <w:rPr>
                <w:noProof/>
                <w:sz w:val="16"/>
                <w:szCs w:val="16"/>
              </w:rPr>
            </w:pPr>
          </w:p>
        </w:tc>
        <w:tc>
          <w:tcPr>
            <w:tcW w:w="1080" w:type="dxa"/>
            <w:vAlign w:val="center"/>
          </w:tcPr>
          <w:p w:rsidR="00FB0A0F" w:rsidRPr="001205DB" w:rsidRDefault="00FB0A0F" w:rsidP="00704716">
            <w:pPr>
              <w:spacing w:before="60" w:after="60" w:line="200" w:lineRule="exact"/>
              <w:jc w:val="right"/>
              <w:rPr>
                <w:b/>
                <w:noProof/>
                <w:sz w:val="16"/>
                <w:szCs w:val="16"/>
              </w:rPr>
            </w:pPr>
          </w:p>
        </w:tc>
        <w:tc>
          <w:tcPr>
            <w:tcW w:w="1080" w:type="dxa"/>
            <w:vAlign w:val="center"/>
          </w:tcPr>
          <w:p w:rsidR="00FB0A0F" w:rsidRPr="001205DB" w:rsidRDefault="00FB0A0F" w:rsidP="00704716">
            <w:pPr>
              <w:spacing w:before="60" w:after="60" w:line="200" w:lineRule="exact"/>
              <w:jc w:val="right"/>
              <w:rPr>
                <w:b/>
                <w:noProof/>
                <w:sz w:val="16"/>
                <w:szCs w:val="16"/>
              </w:rPr>
            </w:pPr>
          </w:p>
        </w:tc>
      </w:tr>
      <w:tr w:rsidR="00FB0A0F" w:rsidRPr="001205DB" w:rsidTr="00704716">
        <w:trPr>
          <w:trHeight w:val="585"/>
        </w:trPr>
        <w:tc>
          <w:tcPr>
            <w:tcW w:w="1980" w:type="dxa"/>
            <w:vAlign w:val="center"/>
          </w:tcPr>
          <w:p w:rsidR="00FB0A0F" w:rsidRPr="001205DB" w:rsidRDefault="00FB0A0F" w:rsidP="00704716">
            <w:pPr>
              <w:spacing w:before="60" w:after="60" w:line="200" w:lineRule="exact"/>
              <w:ind w:left="72"/>
              <w:jc w:val="left"/>
              <w:rPr>
                <w:noProof/>
                <w:sz w:val="16"/>
                <w:szCs w:val="16"/>
              </w:rPr>
            </w:pPr>
            <w:r w:rsidRPr="001205DB">
              <w:rPr>
                <w:noProof/>
                <w:sz w:val="16"/>
              </w:rPr>
              <w:t>Cilvēkresursi</w:t>
            </w:r>
            <w:r w:rsidRPr="001205DB">
              <w:rPr>
                <w:rStyle w:val="FootnoteReference"/>
                <w:noProof/>
                <w:sz w:val="16"/>
              </w:rPr>
              <w:footnoteReference w:id="51"/>
            </w:r>
          </w:p>
        </w:tc>
        <w:tc>
          <w:tcPr>
            <w:tcW w:w="1080" w:type="dxa"/>
            <w:vAlign w:val="center"/>
          </w:tcPr>
          <w:p w:rsidR="00FB0A0F" w:rsidRPr="001205DB" w:rsidRDefault="00FB0A0F" w:rsidP="00704716">
            <w:pPr>
              <w:jc w:val="right"/>
              <w:rPr>
                <w:color w:val="000000"/>
                <w:sz w:val="20"/>
                <w:szCs w:val="20"/>
              </w:rPr>
            </w:pPr>
            <w:r w:rsidRPr="001205DB">
              <w:rPr>
                <w:color w:val="000000"/>
                <w:sz w:val="20"/>
              </w:rPr>
              <w:t>17,017</w:t>
            </w:r>
          </w:p>
        </w:tc>
        <w:tc>
          <w:tcPr>
            <w:tcW w:w="1080" w:type="dxa"/>
            <w:vAlign w:val="center"/>
          </w:tcPr>
          <w:p w:rsidR="00FB0A0F" w:rsidRPr="001205DB" w:rsidRDefault="00FB0A0F" w:rsidP="00704716">
            <w:pPr>
              <w:jc w:val="right"/>
              <w:rPr>
                <w:color w:val="000000"/>
                <w:sz w:val="20"/>
                <w:szCs w:val="20"/>
              </w:rPr>
            </w:pPr>
            <w:r w:rsidRPr="001205DB">
              <w:rPr>
                <w:color w:val="000000"/>
                <w:sz w:val="20"/>
              </w:rPr>
              <w:t>21,879</w:t>
            </w:r>
          </w:p>
        </w:tc>
        <w:tc>
          <w:tcPr>
            <w:tcW w:w="1080" w:type="dxa"/>
            <w:vAlign w:val="center"/>
          </w:tcPr>
          <w:p w:rsidR="00FB0A0F" w:rsidRPr="001205DB" w:rsidRDefault="00FB0A0F" w:rsidP="00704716">
            <w:pPr>
              <w:jc w:val="right"/>
              <w:rPr>
                <w:color w:val="000000"/>
                <w:sz w:val="20"/>
                <w:szCs w:val="20"/>
              </w:rPr>
            </w:pPr>
            <w:r w:rsidRPr="001205DB">
              <w:rPr>
                <w:color w:val="000000"/>
                <w:sz w:val="20"/>
              </w:rPr>
              <w:t>28,314</w:t>
            </w:r>
          </w:p>
        </w:tc>
        <w:tc>
          <w:tcPr>
            <w:tcW w:w="1080" w:type="dxa"/>
            <w:vAlign w:val="center"/>
          </w:tcPr>
          <w:p w:rsidR="00FB0A0F" w:rsidRPr="001205DB" w:rsidRDefault="00FB0A0F" w:rsidP="00704716">
            <w:pPr>
              <w:jc w:val="right"/>
              <w:rPr>
                <w:color w:val="000000"/>
                <w:sz w:val="20"/>
                <w:szCs w:val="20"/>
              </w:rPr>
            </w:pPr>
            <w:r w:rsidRPr="001205DB">
              <w:rPr>
                <w:color w:val="000000"/>
                <w:sz w:val="20"/>
              </w:rPr>
              <w:t>30,602</w:t>
            </w:r>
          </w:p>
        </w:tc>
        <w:tc>
          <w:tcPr>
            <w:tcW w:w="1080" w:type="dxa"/>
            <w:vAlign w:val="center"/>
          </w:tcPr>
          <w:p w:rsidR="00FB0A0F" w:rsidRPr="001205DB" w:rsidRDefault="00FB0A0F" w:rsidP="00704716">
            <w:pPr>
              <w:jc w:val="right"/>
              <w:rPr>
                <w:color w:val="000000"/>
                <w:sz w:val="20"/>
                <w:szCs w:val="20"/>
              </w:rPr>
            </w:pPr>
            <w:r w:rsidRPr="001205DB">
              <w:rPr>
                <w:color w:val="000000"/>
                <w:sz w:val="20"/>
              </w:rPr>
              <w:t>35,464</w:t>
            </w:r>
          </w:p>
        </w:tc>
        <w:tc>
          <w:tcPr>
            <w:tcW w:w="1080" w:type="dxa"/>
            <w:vAlign w:val="center"/>
          </w:tcPr>
          <w:p w:rsidR="00FB0A0F" w:rsidRPr="001205DB" w:rsidRDefault="00FB0A0F" w:rsidP="00704716">
            <w:pPr>
              <w:jc w:val="right"/>
              <w:rPr>
                <w:color w:val="000000"/>
                <w:sz w:val="20"/>
                <w:szCs w:val="20"/>
              </w:rPr>
            </w:pPr>
            <w:r w:rsidRPr="001205DB">
              <w:rPr>
                <w:color w:val="000000"/>
                <w:sz w:val="20"/>
              </w:rPr>
              <w:t>38,038</w:t>
            </w:r>
          </w:p>
        </w:tc>
        <w:tc>
          <w:tcPr>
            <w:tcW w:w="1080" w:type="dxa"/>
            <w:vAlign w:val="center"/>
          </w:tcPr>
          <w:p w:rsidR="00FB0A0F" w:rsidRPr="001205DB" w:rsidRDefault="00FB0A0F" w:rsidP="00704716">
            <w:pPr>
              <w:jc w:val="right"/>
              <w:rPr>
                <w:color w:val="000000"/>
                <w:sz w:val="20"/>
                <w:szCs w:val="20"/>
              </w:rPr>
            </w:pPr>
            <w:r w:rsidRPr="001205DB">
              <w:rPr>
                <w:color w:val="000000"/>
                <w:sz w:val="20"/>
              </w:rPr>
              <w:t>40,755</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212,069</w:t>
            </w:r>
          </w:p>
        </w:tc>
      </w:tr>
      <w:tr w:rsidR="00FB0A0F" w:rsidRPr="001205DB" w:rsidTr="00704716">
        <w:trPr>
          <w:trHeight w:val="585"/>
        </w:trPr>
        <w:tc>
          <w:tcPr>
            <w:tcW w:w="1980" w:type="dxa"/>
            <w:vAlign w:val="center"/>
          </w:tcPr>
          <w:p w:rsidR="00FB0A0F" w:rsidRPr="001205DB" w:rsidRDefault="00FB0A0F" w:rsidP="00704716">
            <w:pPr>
              <w:spacing w:before="60" w:after="60" w:line="200" w:lineRule="exact"/>
              <w:ind w:left="72"/>
              <w:jc w:val="left"/>
              <w:rPr>
                <w:noProof/>
                <w:sz w:val="16"/>
                <w:szCs w:val="16"/>
              </w:rPr>
            </w:pPr>
            <w:r w:rsidRPr="001205DB">
              <w:rPr>
                <w:noProof/>
                <w:sz w:val="16"/>
              </w:rPr>
              <w:t xml:space="preserve">Citi administratīvie izdevumi </w:t>
            </w:r>
          </w:p>
        </w:tc>
        <w:tc>
          <w:tcPr>
            <w:tcW w:w="1080" w:type="dxa"/>
            <w:vAlign w:val="center"/>
          </w:tcPr>
          <w:p w:rsidR="00FB0A0F" w:rsidRPr="001205DB" w:rsidRDefault="00FB0A0F" w:rsidP="00704716">
            <w:pPr>
              <w:jc w:val="right"/>
              <w:rPr>
                <w:color w:val="000000"/>
                <w:sz w:val="20"/>
                <w:szCs w:val="20"/>
              </w:rPr>
            </w:pPr>
            <w:r w:rsidRPr="001205DB">
              <w:rPr>
                <w:color w:val="000000"/>
                <w:sz w:val="20"/>
              </w:rPr>
              <w:t>1,061</w:t>
            </w:r>
          </w:p>
        </w:tc>
        <w:tc>
          <w:tcPr>
            <w:tcW w:w="1080" w:type="dxa"/>
            <w:vAlign w:val="center"/>
          </w:tcPr>
          <w:p w:rsidR="00FB0A0F" w:rsidRPr="001205DB" w:rsidRDefault="00FB0A0F" w:rsidP="00704716">
            <w:pPr>
              <w:jc w:val="right"/>
              <w:rPr>
                <w:color w:val="000000"/>
                <w:sz w:val="20"/>
                <w:szCs w:val="20"/>
              </w:rPr>
            </w:pPr>
            <w:r w:rsidRPr="001205DB">
              <w:rPr>
                <w:color w:val="000000"/>
                <w:sz w:val="20"/>
              </w:rPr>
              <w:t>1,312</w:t>
            </w:r>
          </w:p>
        </w:tc>
        <w:tc>
          <w:tcPr>
            <w:tcW w:w="1080" w:type="dxa"/>
            <w:vAlign w:val="center"/>
          </w:tcPr>
          <w:p w:rsidR="00FB0A0F" w:rsidRPr="001205DB" w:rsidRDefault="00FB0A0F" w:rsidP="00704716">
            <w:pPr>
              <w:jc w:val="right"/>
              <w:rPr>
                <w:color w:val="000000"/>
                <w:sz w:val="20"/>
                <w:szCs w:val="20"/>
              </w:rPr>
            </w:pPr>
            <w:r w:rsidRPr="001205DB">
              <w:rPr>
                <w:color w:val="000000"/>
                <w:sz w:val="20"/>
              </w:rPr>
              <w:t>1,920</w:t>
            </w:r>
          </w:p>
        </w:tc>
        <w:tc>
          <w:tcPr>
            <w:tcW w:w="1080" w:type="dxa"/>
            <w:vAlign w:val="center"/>
          </w:tcPr>
          <w:p w:rsidR="00FB0A0F" w:rsidRPr="001205DB" w:rsidRDefault="00FB0A0F" w:rsidP="00704716">
            <w:pPr>
              <w:jc w:val="right"/>
              <w:rPr>
                <w:color w:val="000000"/>
                <w:sz w:val="20"/>
                <w:szCs w:val="20"/>
              </w:rPr>
            </w:pPr>
            <w:r w:rsidRPr="001205DB">
              <w:rPr>
                <w:color w:val="000000"/>
                <w:sz w:val="20"/>
              </w:rPr>
              <w:t>1,620</w:t>
            </w:r>
          </w:p>
        </w:tc>
        <w:tc>
          <w:tcPr>
            <w:tcW w:w="1080" w:type="dxa"/>
            <w:vAlign w:val="center"/>
          </w:tcPr>
          <w:p w:rsidR="00FB0A0F" w:rsidRPr="001205DB" w:rsidRDefault="00FB0A0F" w:rsidP="00704716">
            <w:pPr>
              <w:jc w:val="right"/>
              <w:rPr>
                <w:color w:val="000000"/>
                <w:sz w:val="20"/>
                <w:szCs w:val="20"/>
              </w:rPr>
            </w:pPr>
            <w:r w:rsidRPr="001205DB">
              <w:rPr>
                <w:color w:val="000000"/>
                <w:sz w:val="20"/>
              </w:rPr>
              <w:t>1,646</w:t>
            </w:r>
          </w:p>
        </w:tc>
        <w:tc>
          <w:tcPr>
            <w:tcW w:w="1080" w:type="dxa"/>
            <w:vAlign w:val="center"/>
          </w:tcPr>
          <w:p w:rsidR="00FB0A0F" w:rsidRPr="001205DB" w:rsidRDefault="00FB0A0F" w:rsidP="00704716">
            <w:pPr>
              <w:jc w:val="right"/>
              <w:rPr>
                <w:color w:val="000000"/>
                <w:sz w:val="20"/>
                <w:szCs w:val="20"/>
              </w:rPr>
            </w:pPr>
            <w:r w:rsidRPr="001205DB">
              <w:rPr>
                <w:color w:val="000000"/>
                <w:sz w:val="20"/>
              </w:rPr>
              <w:t>1,746</w:t>
            </w:r>
          </w:p>
        </w:tc>
        <w:tc>
          <w:tcPr>
            <w:tcW w:w="1080" w:type="dxa"/>
            <w:vAlign w:val="center"/>
          </w:tcPr>
          <w:p w:rsidR="00FB0A0F" w:rsidRPr="001205DB" w:rsidRDefault="00FB0A0F" w:rsidP="00704716">
            <w:pPr>
              <w:jc w:val="right"/>
              <w:rPr>
                <w:color w:val="000000"/>
                <w:sz w:val="20"/>
                <w:szCs w:val="20"/>
              </w:rPr>
            </w:pPr>
            <w:r w:rsidRPr="001205DB">
              <w:rPr>
                <w:color w:val="000000"/>
                <w:sz w:val="20"/>
              </w:rPr>
              <w:t>2,396</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11,702</w:t>
            </w:r>
          </w:p>
        </w:tc>
      </w:tr>
      <w:tr w:rsidR="00FB0A0F" w:rsidRPr="001205DB" w:rsidTr="00704716">
        <w:trPr>
          <w:trHeight w:val="585"/>
        </w:trPr>
        <w:tc>
          <w:tcPr>
            <w:tcW w:w="1980" w:type="dxa"/>
            <w:shd w:val="clear" w:color="auto" w:fill="CCCCCC"/>
            <w:vAlign w:val="center"/>
          </w:tcPr>
          <w:p w:rsidR="00FB0A0F" w:rsidRPr="001205DB" w:rsidRDefault="00FB0A0F" w:rsidP="00704716">
            <w:pPr>
              <w:spacing w:before="60" w:after="60" w:line="200" w:lineRule="exact"/>
              <w:jc w:val="center"/>
              <w:rPr>
                <w:b/>
                <w:noProof/>
                <w:sz w:val="16"/>
                <w:szCs w:val="16"/>
              </w:rPr>
            </w:pPr>
            <w:r w:rsidRPr="001205DB">
              <w:rPr>
                <w:b/>
                <w:noProof/>
                <w:sz w:val="16"/>
              </w:rPr>
              <w:t>Starpsumma — daudzgadu finanšu shēmas</w:t>
            </w:r>
            <w:r w:rsidRPr="001205DB">
              <w:br/>
            </w:r>
            <w:r w:rsidRPr="001205DB">
              <w:rPr>
                <w:b/>
                <w:noProof/>
                <w:sz w:val="16"/>
              </w:rPr>
              <w:t xml:space="preserve">7. IZDEVUMU KATEGORIJA </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18,078</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23,191</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30,234</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32,222</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37,110</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39,784</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43,151</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223,771</w:t>
            </w:r>
          </w:p>
        </w:tc>
      </w:tr>
    </w:tbl>
    <w:p w:rsidR="00FB0A0F" w:rsidRPr="001205DB" w:rsidRDefault="00FB0A0F" w:rsidP="00FB0A0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B0A0F" w:rsidRPr="001205DB" w:rsidTr="00704716">
        <w:trPr>
          <w:trHeight w:val="585"/>
        </w:trPr>
        <w:tc>
          <w:tcPr>
            <w:tcW w:w="1980" w:type="dxa"/>
            <w:shd w:val="clear" w:color="auto" w:fill="CCCCCC"/>
            <w:vAlign w:val="center"/>
          </w:tcPr>
          <w:p w:rsidR="00FB0A0F" w:rsidRPr="001205DB" w:rsidRDefault="00FB0A0F" w:rsidP="00704716">
            <w:pPr>
              <w:spacing w:before="60" w:after="60" w:line="200" w:lineRule="exact"/>
              <w:jc w:val="center"/>
              <w:rPr>
                <w:noProof/>
                <w:sz w:val="16"/>
                <w:szCs w:val="16"/>
              </w:rPr>
            </w:pPr>
            <w:r w:rsidRPr="001205DB">
              <w:rPr>
                <w:b/>
                <w:noProof/>
                <w:sz w:val="16"/>
              </w:rPr>
              <w:t>Ārpus daudzgadu finanšu shēmas</w:t>
            </w:r>
            <w:r w:rsidRPr="001205DB">
              <w:br/>
            </w:r>
            <w:r w:rsidRPr="001205DB">
              <w:rPr>
                <w:b/>
                <w:noProof/>
                <w:sz w:val="16"/>
              </w:rPr>
              <w:t>7. IZDEVUMU KATEGORIJAS</w:t>
            </w:r>
            <w:r w:rsidRPr="001205DB">
              <w:rPr>
                <w:rStyle w:val="FootnoteReference"/>
              </w:rPr>
              <w:footnoteReference w:id="52"/>
            </w:r>
            <w:r w:rsidRPr="001205DB">
              <w:rPr>
                <w:b/>
                <w:noProof/>
                <w:sz w:val="16"/>
              </w:rPr>
              <w:t xml:space="preserve"> </w:t>
            </w:r>
          </w:p>
          <w:p w:rsidR="00FB0A0F" w:rsidRPr="001205DB" w:rsidRDefault="00FB0A0F" w:rsidP="00704716">
            <w:pPr>
              <w:spacing w:before="0" w:after="0" w:line="200" w:lineRule="exact"/>
              <w:jc w:val="center"/>
              <w:rPr>
                <w:b/>
                <w:noProof/>
                <w:sz w:val="16"/>
                <w:szCs w:val="16"/>
              </w:rPr>
            </w:pPr>
          </w:p>
        </w:tc>
        <w:tc>
          <w:tcPr>
            <w:tcW w:w="1080" w:type="dxa"/>
            <w:vAlign w:val="center"/>
          </w:tcPr>
          <w:p w:rsidR="00FB0A0F" w:rsidRPr="001205DB" w:rsidRDefault="00FB0A0F" w:rsidP="00704716">
            <w:pPr>
              <w:spacing w:before="60" w:after="60" w:line="200" w:lineRule="exact"/>
              <w:jc w:val="right"/>
              <w:rPr>
                <w:noProof/>
                <w:sz w:val="16"/>
                <w:szCs w:val="16"/>
              </w:rPr>
            </w:pPr>
          </w:p>
        </w:tc>
        <w:tc>
          <w:tcPr>
            <w:tcW w:w="1080" w:type="dxa"/>
            <w:vAlign w:val="center"/>
          </w:tcPr>
          <w:p w:rsidR="00FB0A0F" w:rsidRPr="001205DB" w:rsidRDefault="00FB0A0F" w:rsidP="00704716">
            <w:pPr>
              <w:spacing w:before="60" w:after="60" w:line="200" w:lineRule="exact"/>
              <w:jc w:val="right"/>
              <w:rPr>
                <w:noProof/>
                <w:sz w:val="16"/>
                <w:szCs w:val="16"/>
              </w:rPr>
            </w:pPr>
          </w:p>
        </w:tc>
        <w:tc>
          <w:tcPr>
            <w:tcW w:w="1080" w:type="dxa"/>
            <w:vAlign w:val="center"/>
          </w:tcPr>
          <w:p w:rsidR="00FB0A0F" w:rsidRPr="001205DB" w:rsidRDefault="00FB0A0F" w:rsidP="00704716">
            <w:pPr>
              <w:spacing w:before="60" w:after="60" w:line="200" w:lineRule="exact"/>
              <w:jc w:val="right"/>
              <w:rPr>
                <w:noProof/>
                <w:sz w:val="16"/>
                <w:szCs w:val="16"/>
              </w:rPr>
            </w:pPr>
          </w:p>
        </w:tc>
        <w:tc>
          <w:tcPr>
            <w:tcW w:w="1080" w:type="dxa"/>
            <w:vAlign w:val="center"/>
          </w:tcPr>
          <w:p w:rsidR="00FB0A0F" w:rsidRPr="001205DB" w:rsidRDefault="00FB0A0F" w:rsidP="00704716">
            <w:pPr>
              <w:spacing w:before="60" w:after="60" w:line="200" w:lineRule="exact"/>
              <w:jc w:val="right"/>
              <w:rPr>
                <w:noProof/>
                <w:sz w:val="16"/>
                <w:szCs w:val="16"/>
              </w:rPr>
            </w:pPr>
          </w:p>
        </w:tc>
        <w:tc>
          <w:tcPr>
            <w:tcW w:w="1080" w:type="dxa"/>
            <w:vAlign w:val="center"/>
          </w:tcPr>
          <w:p w:rsidR="00FB0A0F" w:rsidRPr="001205DB" w:rsidRDefault="00FB0A0F" w:rsidP="00704716">
            <w:pPr>
              <w:spacing w:before="60" w:after="60" w:line="200" w:lineRule="exact"/>
              <w:jc w:val="right"/>
              <w:rPr>
                <w:noProof/>
                <w:sz w:val="16"/>
                <w:szCs w:val="16"/>
              </w:rPr>
            </w:pPr>
          </w:p>
        </w:tc>
        <w:tc>
          <w:tcPr>
            <w:tcW w:w="1080" w:type="dxa"/>
            <w:vAlign w:val="center"/>
          </w:tcPr>
          <w:p w:rsidR="00FB0A0F" w:rsidRPr="001205DB" w:rsidRDefault="00FB0A0F" w:rsidP="00704716">
            <w:pPr>
              <w:spacing w:before="60" w:after="60" w:line="200" w:lineRule="exact"/>
              <w:jc w:val="right"/>
              <w:rPr>
                <w:noProof/>
                <w:sz w:val="16"/>
                <w:szCs w:val="16"/>
              </w:rPr>
            </w:pPr>
          </w:p>
        </w:tc>
        <w:tc>
          <w:tcPr>
            <w:tcW w:w="1080" w:type="dxa"/>
            <w:vAlign w:val="center"/>
          </w:tcPr>
          <w:p w:rsidR="00FB0A0F" w:rsidRPr="001205DB" w:rsidRDefault="00FB0A0F" w:rsidP="00704716">
            <w:pPr>
              <w:spacing w:before="60" w:after="60" w:line="200" w:lineRule="exact"/>
              <w:jc w:val="right"/>
              <w:rPr>
                <w:b/>
                <w:noProof/>
                <w:sz w:val="16"/>
                <w:szCs w:val="16"/>
              </w:rPr>
            </w:pPr>
          </w:p>
        </w:tc>
        <w:tc>
          <w:tcPr>
            <w:tcW w:w="1080" w:type="dxa"/>
            <w:vAlign w:val="center"/>
          </w:tcPr>
          <w:p w:rsidR="00FB0A0F" w:rsidRPr="001205DB" w:rsidRDefault="00FB0A0F" w:rsidP="00704716">
            <w:pPr>
              <w:spacing w:before="60" w:after="60" w:line="200" w:lineRule="exact"/>
              <w:jc w:val="right"/>
              <w:rPr>
                <w:b/>
                <w:noProof/>
                <w:sz w:val="16"/>
                <w:szCs w:val="16"/>
              </w:rPr>
            </w:pPr>
          </w:p>
        </w:tc>
      </w:tr>
      <w:tr w:rsidR="00FB0A0F" w:rsidRPr="001205DB" w:rsidTr="00704716">
        <w:trPr>
          <w:trHeight w:val="585"/>
        </w:trPr>
        <w:tc>
          <w:tcPr>
            <w:tcW w:w="1980" w:type="dxa"/>
            <w:vAlign w:val="center"/>
          </w:tcPr>
          <w:p w:rsidR="00FB0A0F" w:rsidRPr="001205DB" w:rsidRDefault="00FB0A0F" w:rsidP="00704716">
            <w:pPr>
              <w:spacing w:before="60" w:after="60" w:line="200" w:lineRule="exact"/>
              <w:ind w:left="72"/>
              <w:jc w:val="left"/>
              <w:rPr>
                <w:noProof/>
                <w:sz w:val="16"/>
                <w:szCs w:val="16"/>
              </w:rPr>
            </w:pPr>
            <w:r w:rsidRPr="001205DB">
              <w:rPr>
                <w:noProof/>
                <w:sz w:val="16"/>
              </w:rPr>
              <w:t xml:space="preserve">Cilvēkresursi </w:t>
            </w:r>
          </w:p>
        </w:tc>
        <w:tc>
          <w:tcPr>
            <w:tcW w:w="1080" w:type="dxa"/>
            <w:vAlign w:val="center"/>
          </w:tcPr>
          <w:p w:rsidR="00FB0A0F" w:rsidRPr="001205DB" w:rsidRDefault="00FB0A0F" w:rsidP="00704716">
            <w:pPr>
              <w:jc w:val="right"/>
              <w:rPr>
                <w:color w:val="000000"/>
                <w:sz w:val="20"/>
                <w:szCs w:val="20"/>
              </w:rPr>
            </w:pPr>
            <w:r w:rsidRPr="001205DB">
              <w:rPr>
                <w:color w:val="000000"/>
                <w:sz w:val="20"/>
              </w:rPr>
              <w:t>0,000</w:t>
            </w:r>
          </w:p>
        </w:tc>
        <w:tc>
          <w:tcPr>
            <w:tcW w:w="1080" w:type="dxa"/>
            <w:vAlign w:val="center"/>
          </w:tcPr>
          <w:p w:rsidR="00FB0A0F" w:rsidRPr="001205DB" w:rsidRDefault="00FB0A0F" w:rsidP="00704716">
            <w:pPr>
              <w:jc w:val="right"/>
              <w:rPr>
                <w:color w:val="000000"/>
                <w:sz w:val="20"/>
                <w:szCs w:val="20"/>
              </w:rPr>
            </w:pPr>
            <w:r w:rsidRPr="001205DB">
              <w:rPr>
                <w:color w:val="000000"/>
                <w:sz w:val="20"/>
              </w:rPr>
              <w:t>0,000</w:t>
            </w:r>
          </w:p>
        </w:tc>
        <w:tc>
          <w:tcPr>
            <w:tcW w:w="1080" w:type="dxa"/>
            <w:vAlign w:val="center"/>
          </w:tcPr>
          <w:p w:rsidR="00FB0A0F" w:rsidRPr="001205DB" w:rsidRDefault="00FB0A0F" w:rsidP="00704716">
            <w:pPr>
              <w:jc w:val="right"/>
              <w:rPr>
                <w:color w:val="000000"/>
                <w:sz w:val="20"/>
                <w:szCs w:val="20"/>
              </w:rPr>
            </w:pPr>
            <w:r w:rsidRPr="001205DB">
              <w:rPr>
                <w:color w:val="000000"/>
                <w:sz w:val="20"/>
              </w:rPr>
              <w:t>0,000</w:t>
            </w:r>
          </w:p>
        </w:tc>
        <w:tc>
          <w:tcPr>
            <w:tcW w:w="1080" w:type="dxa"/>
            <w:vAlign w:val="center"/>
          </w:tcPr>
          <w:p w:rsidR="00FB0A0F" w:rsidRPr="001205DB" w:rsidRDefault="00FB0A0F" w:rsidP="00704716">
            <w:pPr>
              <w:jc w:val="right"/>
              <w:rPr>
                <w:color w:val="000000"/>
                <w:sz w:val="20"/>
                <w:szCs w:val="20"/>
              </w:rPr>
            </w:pPr>
            <w:r w:rsidRPr="001205DB">
              <w:rPr>
                <w:color w:val="000000"/>
                <w:sz w:val="20"/>
              </w:rPr>
              <w:t>0,000</w:t>
            </w:r>
          </w:p>
        </w:tc>
        <w:tc>
          <w:tcPr>
            <w:tcW w:w="1080" w:type="dxa"/>
            <w:vAlign w:val="center"/>
          </w:tcPr>
          <w:p w:rsidR="00FB0A0F" w:rsidRPr="001205DB" w:rsidRDefault="00FB0A0F" w:rsidP="00704716">
            <w:pPr>
              <w:jc w:val="right"/>
              <w:rPr>
                <w:color w:val="000000"/>
                <w:sz w:val="20"/>
                <w:szCs w:val="20"/>
              </w:rPr>
            </w:pPr>
            <w:r w:rsidRPr="001205DB">
              <w:rPr>
                <w:color w:val="000000"/>
                <w:sz w:val="20"/>
              </w:rPr>
              <w:t>0,000</w:t>
            </w:r>
          </w:p>
        </w:tc>
        <w:tc>
          <w:tcPr>
            <w:tcW w:w="1080" w:type="dxa"/>
            <w:vAlign w:val="center"/>
          </w:tcPr>
          <w:p w:rsidR="00FB0A0F" w:rsidRPr="001205DB" w:rsidRDefault="00FB0A0F" w:rsidP="00704716">
            <w:pPr>
              <w:jc w:val="right"/>
              <w:rPr>
                <w:color w:val="000000"/>
                <w:sz w:val="20"/>
                <w:szCs w:val="20"/>
              </w:rPr>
            </w:pPr>
            <w:r w:rsidRPr="001205DB">
              <w:rPr>
                <w:color w:val="000000"/>
                <w:sz w:val="20"/>
              </w:rPr>
              <w:t>0,000</w:t>
            </w:r>
          </w:p>
        </w:tc>
        <w:tc>
          <w:tcPr>
            <w:tcW w:w="1080" w:type="dxa"/>
            <w:vAlign w:val="center"/>
          </w:tcPr>
          <w:p w:rsidR="00FB0A0F" w:rsidRPr="001205DB" w:rsidRDefault="00FB0A0F" w:rsidP="00704716">
            <w:pPr>
              <w:jc w:val="right"/>
              <w:rPr>
                <w:color w:val="000000"/>
                <w:sz w:val="20"/>
                <w:szCs w:val="20"/>
              </w:rPr>
            </w:pPr>
            <w:r w:rsidRPr="001205DB">
              <w:rPr>
                <w:color w:val="000000"/>
                <w:sz w:val="20"/>
              </w:rPr>
              <w:t>0,000</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0,000</w:t>
            </w:r>
          </w:p>
        </w:tc>
      </w:tr>
      <w:tr w:rsidR="00FB0A0F" w:rsidRPr="001205DB" w:rsidTr="00704716">
        <w:trPr>
          <w:trHeight w:val="585"/>
        </w:trPr>
        <w:tc>
          <w:tcPr>
            <w:tcW w:w="1980" w:type="dxa"/>
            <w:vAlign w:val="center"/>
          </w:tcPr>
          <w:p w:rsidR="00FB0A0F" w:rsidRPr="001205DB" w:rsidRDefault="00FB0A0F" w:rsidP="00704716">
            <w:pPr>
              <w:spacing w:before="60" w:after="60" w:line="200" w:lineRule="exact"/>
              <w:ind w:left="72"/>
              <w:jc w:val="left"/>
              <w:rPr>
                <w:noProof/>
                <w:sz w:val="16"/>
                <w:szCs w:val="16"/>
              </w:rPr>
            </w:pPr>
            <w:r w:rsidRPr="001205DB">
              <w:rPr>
                <w:noProof/>
                <w:sz w:val="16"/>
              </w:rPr>
              <w:t xml:space="preserve">Citi administratīvie </w:t>
            </w:r>
            <w:r w:rsidRPr="001205DB">
              <w:rPr>
                <w:noProof/>
                <w:sz w:val="22"/>
              </w:rPr>
              <w:br/>
            </w:r>
            <w:r w:rsidRPr="001205DB">
              <w:rPr>
                <w:noProof/>
                <w:sz w:val="16"/>
              </w:rPr>
              <w:t>izdevumi</w:t>
            </w:r>
          </w:p>
        </w:tc>
        <w:tc>
          <w:tcPr>
            <w:tcW w:w="1080" w:type="dxa"/>
            <w:vAlign w:val="center"/>
          </w:tcPr>
          <w:p w:rsidR="00FB0A0F" w:rsidRPr="001205DB" w:rsidRDefault="00FB0A0F" w:rsidP="00704716">
            <w:pPr>
              <w:jc w:val="right"/>
              <w:rPr>
                <w:color w:val="000000"/>
                <w:sz w:val="20"/>
                <w:szCs w:val="20"/>
              </w:rPr>
            </w:pPr>
            <w:r w:rsidRPr="001205DB">
              <w:rPr>
                <w:color w:val="000000"/>
                <w:sz w:val="20"/>
              </w:rPr>
              <w:t>21,684</w:t>
            </w:r>
          </w:p>
        </w:tc>
        <w:tc>
          <w:tcPr>
            <w:tcW w:w="1080" w:type="dxa"/>
            <w:vAlign w:val="center"/>
          </w:tcPr>
          <w:p w:rsidR="00FB0A0F" w:rsidRPr="001205DB" w:rsidRDefault="00FB0A0F" w:rsidP="00704716">
            <w:pPr>
              <w:jc w:val="right"/>
              <w:rPr>
                <w:color w:val="000000"/>
                <w:sz w:val="20"/>
                <w:szCs w:val="20"/>
              </w:rPr>
            </w:pPr>
            <w:r w:rsidRPr="001205DB">
              <w:rPr>
                <w:color w:val="000000"/>
                <w:sz w:val="20"/>
              </w:rPr>
              <w:t>21,873</w:t>
            </w:r>
          </w:p>
        </w:tc>
        <w:tc>
          <w:tcPr>
            <w:tcW w:w="1080" w:type="dxa"/>
            <w:vAlign w:val="center"/>
          </w:tcPr>
          <w:p w:rsidR="00FB0A0F" w:rsidRPr="001205DB" w:rsidRDefault="00FB0A0F" w:rsidP="00704716">
            <w:pPr>
              <w:jc w:val="right"/>
              <w:rPr>
                <w:color w:val="000000"/>
                <w:sz w:val="20"/>
                <w:szCs w:val="20"/>
              </w:rPr>
            </w:pPr>
            <w:r w:rsidRPr="001205DB">
              <w:rPr>
                <w:color w:val="000000"/>
                <w:sz w:val="20"/>
              </w:rPr>
              <w:t>22,125</w:t>
            </w:r>
          </w:p>
        </w:tc>
        <w:tc>
          <w:tcPr>
            <w:tcW w:w="1080" w:type="dxa"/>
            <w:vAlign w:val="center"/>
          </w:tcPr>
          <w:p w:rsidR="00FB0A0F" w:rsidRPr="001205DB" w:rsidRDefault="00FB0A0F" w:rsidP="00704716">
            <w:pPr>
              <w:jc w:val="right"/>
              <w:rPr>
                <w:color w:val="000000"/>
                <w:sz w:val="20"/>
                <w:szCs w:val="20"/>
              </w:rPr>
            </w:pPr>
            <w:r w:rsidRPr="001205DB">
              <w:rPr>
                <w:color w:val="000000"/>
                <w:sz w:val="20"/>
              </w:rPr>
              <w:t>22,077</w:t>
            </w:r>
          </w:p>
        </w:tc>
        <w:tc>
          <w:tcPr>
            <w:tcW w:w="1080" w:type="dxa"/>
            <w:vAlign w:val="center"/>
          </w:tcPr>
          <w:p w:rsidR="00FB0A0F" w:rsidRPr="001205DB" w:rsidRDefault="00FB0A0F" w:rsidP="00704716">
            <w:pPr>
              <w:jc w:val="right"/>
              <w:rPr>
                <w:color w:val="000000"/>
                <w:sz w:val="20"/>
                <w:szCs w:val="20"/>
              </w:rPr>
            </w:pPr>
            <w:r w:rsidRPr="001205DB">
              <w:rPr>
                <w:color w:val="000000"/>
                <w:sz w:val="20"/>
              </w:rPr>
              <w:t>22,264</w:t>
            </w:r>
          </w:p>
        </w:tc>
        <w:tc>
          <w:tcPr>
            <w:tcW w:w="1080" w:type="dxa"/>
            <w:vAlign w:val="center"/>
          </w:tcPr>
          <w:p w:rsidR="00FB0A0F" w:rsidRPr="001205DB" w:rsidRDefault="00FB0A0F" w:rsidP="00704716">
            <w:pPr>
              <w:jc w:val="right"/>
              <w:rPr>
                <w:color w:val="000000"/>
                <w:sz w:val="20"/>
                <w:szCs w:val="20"/>
              </w:rPr>
            </w:pPr>
            <w:r w:rsidRPr="001205DB">
              <w:rPr>
                <w:color w:val="000000"/>
                <w:sz w:val="20"/>
              </w:rPr>
              <w:t>22,364</w:t>
            </w:r>
          </w:p>
        </w:tc>
        <w:tc>
          <w:tcPr>
            <w:tcW w:w="1080" w:type="dxa"/>
            <w:vAlign w:val="center"/>
          </w:tcPr>
          <w:p w:rsidR="00FB0A0F" w:rsidRPr="001205DB" w:rsidRDefault="00FB0A0F" w:rsidP="00704716">
            <w:pPr>
              <w:jc w:val="right"/>
              <w:rPr>
                <w:color w:val="000000"/>
                <w:sz w:val="20"/>
                <w:szCs w:val="20"/>
              </w:rPr>
            </w:pPr>
            <w:r w:rsidRPr="001205DB">
              <w:rPr>
                <w:color w:val="000000"/>
                <w:sz w:val="20"/>
              </w:rPr>
              <w:t>22,686</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155,073</w:t>
            </w:r>
          </w:p>
        </w:tc>
      </w:tr>
      <w:tr w:rsidR="00FB0A0F" w:rsidRPr="001205DB" w:rsidTr="00704716">
        <w:trPr>
          <w:trHeight w:val="585"/>
        </w:trPr>
        <w:tc>
          <w:tcPr>
            <w:tcW w:w="1980" w:type="dxa"/>
            <w:shd w:val="clear" w:color="auto" w:fill="CCCCCC"/>
            <w:vAlign w:val="center"/>
          </w:tcPr>
          <w:p w:rsidR="00FB0A0F" w:rsidRPr="001205DB" w:rsidRDefault="00FB0A0F" w:rsidP="00704716">
            <w:pPr>
              <w:spacing w:before="60" w:after="60" w:line="200" w:lineRule="exact"/>
              <w:jc w:val="center"/>
              <w:rPr>
                <w:b/>
                <w:noProof/>
                <w:sz w:val="16"/>
                <w:szCs w:val="16"/>
              </w:rPr>
            </w:pPr>
            <w:r w:rsidRPr="001205DB">
              <w:rPr>
                <w:b/>
                <w:noProof/>
                <w:sz w:val="16"/>
              </w:rPr>
              <w:t>Starpsumma —</w:t>
            </w:r>
            <w:r w:rsidRPr="001205DB">
              <w:br/>
            </w:r>
            <w:r w:rsidRPr="001205DB">
              <w:rPr>
                <w:b/>
                <w:noProof/>
                <w:sz w:val="16"/>
              </w:rPr>
              <w:t>ārpus daudzgadu finanšu shēmas</w:t>
            </w:r>
            <w:r w:rsidRPr="001205DB">
              <w:br/>
            </w:r>
            <w:r w:rsidRPr="001205DB">
              <w:rPr>
                <w:b/>
                <w:noProof/>
                <w:sz w:val="16"/>
              </w:rPr>
              <w:t xml:space="preserve">7. IZDEVUMU KATEGORIJAS </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21,684</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21,873</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22,125</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22,077</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22,264</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22,364</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22,686</w:t>
            </w:r>
          </w:p>
        </w:tc>
        <w:tc>
          <w:tcPr>
            <w:tcW w:w="1080" w:type="dxa"/>
            <w:vAlign w:val="center"/>
          </w:tcPr>
          <w:p w:rsidR="00FB0A0F" w:rsidRPr="001205DB" w:rsidRDefault="00FB0A0F" w:rsidP="00704716">
            <w:pPr>
              <w:jc w:val="right"/>
              <w:rPr>
                <w:b/>
                <w:bCs/>
                <w:color w:val="000000"/>
                <w:sz w:val="20"/>
                <w:szCs w:val="20"/>
              </w:rPr>
            </w:pPr>
            <w:r w:rsidRPr="001205DB">
              <w:rPr>
                <w:b/>
                <w:color w:val="000000"/>
                <w:sz w:val="20"/>
              </w:rPr>
              <w:t>155,073</w:t>
            </w:r>
          </w:p>
        </w:tc>
      </w:tr>
    </w:tbl>
    <w:p w:rsidR="00FB0A0F" w:rsidRPr="001205DB" w:rsidRDefault="00FB0A0F" w:rsidP="00FB0A0F">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B0A0F" w:rsidRPr="001205DB" w:rsidTr="00704716">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FB0A0F" w:rsidRPr="001205DB" w:rsidRDefault="00FB0A0F" w:rsidP="00704716">
            <w:pPr>
              <w:spacing w:before="60" w:after="60" w:line="200" w:lineRule="exact"/>
              <w:jc w:val="center"/>
              <w:rPr>
                <w:noProof/>
                <w:sz w:val="16"/>
                <w:szCs w:val="16"/>
              </w:rPr>
            </w:pPr>
            <w:r w:rsidRPr="001205DB">
              <w:rPr>
                <w:b/>
                <w:noProof/>
                <w:sz w:val="16"/>
              </w:rPr>
              <w:t>KOPĀ</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1205DB" w:rsidRDefault="00FB0A0F" w:rsidP="00704716">
            <w:pPr>
              <w:jc w:val="right"/>
              <w:rPr>
                <w:b/>
                <w:bCs/>
                <w:color w:val="000000"/>
                <w:sz w:val="16"/>
                <w:szCs w:val="16"/>
              </w:rPr>
            </w:pPr>
            <w:r w:rsidRPr="001205DB">
              <w:rPr>
                <w:b/>
                <w:color w:val="000000"/>
                <w:sz w:val="16"/>
              </w:rPr>
              <w:t>39,761856</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1205DB" w:rsidRDefault="00FB0A0F" w:rsidP="00704716">
            <w:pPr>
              <w:jc w:val="right"/>
              <w:rPr>
                <w:b/>
                <w:bCs/>
                <w:color w:val="000000"/>
                <w:sz w:val="16"/>
                <w:szCs w:val="16"/>
              </w:rPr>
            </w:pPr>
            <w:r w:rsidRPr="001205DB">
              <w:rPr>
                <w:b/>
                <w:color w:val="000000"/>
                <w:sz w:val="16"/>
              </w:rPr>
              <w:t>45,064144</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1205DB" w:rsidRDefault="00FB0A0F" w:rsidP="00704716">
            <w:pPr>
              <w:jc w:val="right"/>
              <w:rPr>
                <w:b/>
                <w:bCs/>
                <w:color w:val="000000"/>
                <w:sz w:val="16"/>
                <w:szCs w:val="16"/>
              </w:rPr>
            </w:pPr>
            <w:r w:rsidRPr="001205DB">
              <w:rPr>
                <w:b/>
                <w:color w:val="000000"/>
                <w:sz w:val="16"/>
              </w:rPr>
              <w:t>52,358484</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1205DB" w:rsidRDefault="00FB0A0F" w:rsidP="00704716">
            <w:pPr>
              <w:jc w:val="right"/>
              <w:rPr>
                <w:b/>
                <w:bCs/>
                <w:color w:val="000000"/>
                <w:sz w:val="16"/>
                <w:szCs w:val="16"/>
              </w:rPr>
            </w:pPr>
            <w:r w:rsidRPr="001205DB">
              <w:rPr>
                <w:b/>
                <w:color w:val="000000"/>
                <w:sz w:val="16"/>
              </w:rPr>
              <w:t>54,298484</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1205DB" w:rsidRDefault="00FB0A0F" w:rsidP="00704716">
            <w:pPr>
              <w:jc w:val="right"/>
              <w:rPr>
                <w:b/>
                <w:bCs/>
                <w:color w:val="000000"/>
                <w:sz w:val="16"/>
                <w:szCs w:val="16"/>
              </w:rPr>
            </w:pPr>
            <w:r w:rsidRPr="001205DB">
              <w:rPr>
                <w:b/>
                <w:color w:val="000000"/>
                <w:sz w:val="16"/>
              </w:rPr>
              <w:t>59,374624</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1205DB" w:rsidRDefault="00FB0A0F" w:rsidP="00704716">
            <w:pPr>
              <w:jc w:val="right"/>
              <w:rPr>
                <w:b/>
                <w:bCs/>
                <w:color w:val="000000"/>
                <w:sz w:val="16"/>
                <w:szCs w:val="16"/>
              </w:rPr>
            </w:pPr>
            <w:r w:rsidRPr="001205DB">
              <w:rPr>
                <w:b/>
                <w:color w:val="000000"/>
                <w:sz w:val="16"/>
              </w:rPr>
              <w:t>62,148624</w:t>
            </w:r>
          </w:p>
        </w:tc>
        <w:tc>
          <w:tcPr>
            <w:tcW w:w="1080" w:type="dxa"/>
            <w:tcBorders>
              <w:top w:val="single" w:sz="12" w:space="0" w:color="auto"/>
              <w:left w:val="single" w:sz="2" w:space="0" w:color="auto"/>
              <w:bottom w:val="single" w:sz="12" w:space="0" w:color="auto"/>
              <w:right w:val="single" w:sz="2" w:space="0" w:color="auto"/>
            </w:tcBorders>
            <w:vAlign w:val="center"/>
          </w:tcPr>
          <w:p w:rsidR="00FB0A0F" w:rsidRPr="001205DB" w:rsidRDefault="00FB0A0F" w:rsidP="00704716">
            <w:pPr>
              <w:jc w:val="right"/>
              <w:rPr>
                <w:b/>
                <w:bCs/>
                <w:color w:val="000000"/>
                <w:sz w:val="16"/>
                <w:szCs w:val="16"/>
              </w:rPr>
            </w:pPr>
            <w:r w:rsidRPr="001205DB">
              <w:rPr>
                <w:b/>
                <w:color w:val="000000"/>
                <w:sz w:val="16"/>
              </w:rPr>
              <w:t>65,837624</w:t>
            </w:r>
          </w:p>
        </w:tc>
        <w:tc>
          <w:tcPr>
            <w:tcW w:w="1080" w:type="dxa"/>
            <w:tcBorders>
              <w:top w:val="single" w:sz="12" w:space="0" w:color="auto"/>
              <w:left w:val="single" w:sz="2" w:space="0" w:color="auto"/>
              <w:bottom w:val="single" w:sz="12" w:space="0" w:color="auto"/>
              <w:right w:val="single" w:sz="12" w:space="0" w:color="auto"/>
            </w:tcBorders>
            <w:vAlign w:val="center"/>
          </w:tcPr>
          <w:p w:rsidR="00FB0A0F" w:rsidRPr="001205DB" w:rsidRDefault="00FB0A0F" w:rsidP="00704716">
            <w:pPr>
              <w:jc w:val="right"/>
              <w:rPr>
                <w:b/>
                <w:bCs/>
                <w:color w:val="000000"/>
                <w:sz w:val="16"/>
                <w:szCs w:val="16"/>
              </w:rPr>
            </w:pPr>
            <w:r w:rsidRPr="001205DB">
              <w:rPr>
                <w:b/>
                <w:color w:val="000000"/>
                <w:sz w:val="16"/>
              </w:rPr>
              <w:t>378,84384</w:t>
            </w:r>
          </w:p>
        </w:tc>
      </w:tr>
    </w:tbl>
    <w:p w:rsidR="00FB0A0F" w:rsidRPr="001205DB" w:rsidRDefault="00FB0A0F" w:rsidP="00FB0A0F">
      <w:pPr>
        <w:rPr>
          <w:noProof/>
          <w:sz w:val="18"/>
        </w:rPr>
      </w:pPr>
      <w:r w:rsidRPr="001205DB">
        <w:rPr>
          <w:noProof/>
          <w:sz w:val="18"/>
        </w:rPr>
        <w:t xml:space="preserve">Vajadzīgās cilvēkresursu un citu administratīvu izdevumu apropriācijas tiks nodrošinātas no ģenerāldirektorāta apropriācijām, kas jau ir piešķirtas darbības pārvaldībai un/vai ir pārdalītas attiecīgajā ģenerāldirektorātā, vajadzības </w:t>
      </w:r>
      <w:r w:rsidRPr="001205DB">
        <w:rPr>
          <w:noProof/>
          <w:sz w:val="18"/>
        </w:rPr>
        <w:lastRenderedPageBreak/>
        <w:t>gadījumā izmantojot arī vadošajam ģenerāldirektorātam gada budžeta sadales procedūrā piešķirtus papildu resursus un ņemot vērā budžeta ierobežojumus.</w:t>
      </w:r>
    </w:p>
    <w:p w:rsidR="00FB0A0F" w:rsidRPr="001205DB" w:rsidRDefault="00FB0A0F" w:rsidP="00FB0A0F">
      <w:pPr>
        <w:rPr>
          <w:noProof/>
          <w:sz w:val="18"/>
        </w:rPr>
      </w:pPr>
    </w:p>
    <w:p w:rsidR="00FB0A0F" w:rsidRPr="001205DB" w:rsidRDefault="00FB0A0F" w:rsidP="00FB0A0F">
      <w:pPr>
        <w:pStyle w:val="Heading4"/>
        <w:rPr>
          <w:bCs w:val="0"/>
          <w:noProof/>
          <w:szCs w:val="24"/>
        </w:rPr>
      </w:pPr>
      <w:r w:rsidRPr="001205DB">
        <w:t>Paredzamās vajadzības pēc cilvēkresursiem</w:t>
      </w:r>
    </w:p>
    <w:p w:rsidR="00FB0A0F" w:rsidRPr="001205DB" w:rsidRDefault="00FB0A0F" w:rsidP="00FB0A0F">
      <w:pPr>
        <w:pStyle w:val="ListDash1"/>
        <w:rPr>
          <w:noProof/>
        </w:rPr>
      </w:pPr>
      <w:r w:rsidRPr="001205DB">
        <w:rPr>
          <w:noProof/>
        </w:rPr>
        <w:sym w:font="Wingdings" w:char="F0A8"/>
      </w:r>
      <w:r w:rsidRPr="001205DB">
        <w:tab/>
        <w:t xml:space="preserve">Priekšlikums/iniciatīva neparedz cilvēkresursu izmantošanu. </w:t>
      </w:r>
    </w:p>
    <w:p w:rsidR="00FB0A0F" w:rsidRPr="001205DB" w:rsidRDefault="00FB0A0F" w:rsidP="00FB0A0F">
      <w:pPr>
        <w:pStyle w:val="ListDash1"/>
        <w:rPr>
          <w:noProof/>
        </w:rPr>
      </w:pPr>
      <w:r w:rsidRPr="001205DB">
        <w:rPr>
          <w:noProof/>
        </w:rPr>
        <w:sym w:font="Wingdings" w:char="F0FE"/>
      </w:r>
      <w:r w:rsidRPr="001205DB">
        <w:tab/>
        <w:t>Priekšlikums/iniciatīva paredz cilvēkresursu izmantošanu šādā veidā:</w:t>
      </w:r>
    </w:p>
    <w:p w:rsidR="00FB0A0F" w:rsidRPr="001205DB" w:rsidRDefault="00FB0A0F" w:rsidP="00FB0A0F">
      <w:pPr>
        <w:pStyle w:val="ListDash1"/>
        <w:rPr>
          <w:noProof/>
        </w:rPr>
      </w:pPr>
    </w:p>
    <w:p w:rsidR="00FB0A0F" w:rsidRPr="001205DB" w:rsidRDefault="00FB0A0F" w:rsidP="00FB0A0F">
      <w:pPr>
        <w:spacing w:after="60"/>
        <w:jc w:val="right"/>
        <w:rPr>
          <w:i/>
          <w:noProof/>
          <w:sz w:val="20"/>
        </w:rPr>
      </w:pPr>
      <w:r w:rsidRPr="001205DB">
        <w:rPr>
          <w:i/>
          <w:noProof/>
          <w:sz w:val="20"/>
        </w:rPr>
        <w:t>Aplēse izsakāma ar pilnslodzes ekvivalentu</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FB0A0F" w:rsidRPr="001205DB" w:rsidTr="00704716">
        <w:trPr>
          <w:trHeight w:val="289"/>
        </w:trPr>
        <w:tc>
          <w:tcPr>
            <w:tcW w:w="1472" w:type="pct"/>
            <w:gridSpan w:val="2"/>
            <w:vAlign w:val="center"/>
          </w:tcPr>
          <w:p w:rsidR="00FB0A0F" w:rsidRPr="001205DB" w:rsidRDefault="00FB0A0F" w:rsidP="00704716">
            <w:pPr>
              <w:pStyle w:val="Text1"/>
              <w:spacing w:before="40" w:after="40"/>
              <w:ind w:left="0"/>
              <w:jc w:val="center"/>
              <w:rPr>
                <w:i/>
                <w:noProof/>
                <w:sz w:val="16"/>
                <w:szCs w:val="16"/>
              </w:rPr>
            </w:pPr>
            <w:r w:rsidRPr="001205DB">
              <w:rPr>
                <w:b/>
                <w:noProof/>
                <w:sz w:val="16"/>
              </w:rPr>
              <w:t>Gads</w:t>
            </w:r>
          </w:p>
        </w:tc>
        <w:tc>
          <w:tcPr>
            <w:tcW w:w="466" w:type="pct"/>
            <w:shd w:val="clear" w:color="auto" w:fill="auto"/>
            <w:vAlign w:val="center"/>
          </w:tcPr>
          <w:p w:rsidR="00FB0A0F" w:rsidRPr="001205DB" w:rsidRDefault="00FB0A0F" w:rsidP="00704716">
            <w:pPr>
              <w:spacing w:before="20" w:after="20"/>
              <w:jc w:val="center"/>
              <w:rPr>
                <w:b/>
                <w:noProof/>
                <w:sz w:val="16"/>
                <w:szCs w:val="16"/>
              </w:rPr>
            </w:pPr>
            <w:r w:rsidRPr="001205DB">
              <w:rPr>
                <w:b/>
                <w:noProof/>
                <w:sz w:val="20"/>
              </w:rPr>
              <w:t>2021</w:t>
            </w:r>
          </w:p>
        </w:tc>
        <w:tc>
          <w:tcPr>
            <w:tcW w:w="534" w:type="pct"/>
            <w:shd w:val="clear" w:color="auto" w:fill="auto"/>
            <w:vAlign w:val="center"/>
          </w:tcPr>
          <w:p w:rsidR="00FB0A0F" w:rsidRPr="001205DB" w:rsidRDefault="00FB0A0F" w:rsidP="00704716">
            <w:pPr>
              <w:spacing w:before="20" w:after="20"/>
              <w:jc w:val="center"/>
              <w:rPr>
                <w:b/>
                <w:noProof/>
                <w:sz w:val="20"/>
              </w:rPr>
            </w:pPr>
            <w:r w:rsidRPr="001205DB">
              <w:rPr>
                <w:b/>
                <w:noProof/>
                <w:sz w:val="20"/>
              </w:rPr>
              <w:t>2022</w:t>
            </w:r>
          </w:p>
        </w:tc>
        <w:tc>
          <w:tcPr>
            <w:tcW w:w="466" w:type="pct"/>
            <w:shd w:val="clear" w:color="auto" w:fill="auto"/>
            <w:vAlign w:val="center"/>
          </w:tcPr>
          <w:p w:rsidR="00FB0A0F" w:rsidRPr="001205DB" w:rsidRDefault="00FB0A0F" w:rsidP="00704716">
            <w:pPr>
              <w:spacing w:before="20" w:after="20"/>
              <w:jc w:val="center"/>
              <w:rPr>
                <w:b/>
                <w:noProof/>
                <w:sz w:val="20"/>
              </w:rPr>
            </w:pPr>
            <w:r w:rsidRPr="001205DB">
              <w:rPr>
                <w:b/>
                <w:noProof/>
                <w:sz w:val="20"/>
              </w:rPr>
              <w:t>2023</w:t>
            </w:r>
          </w:p>
        </w:tc>
        <w:tc>
          <w:tcPr>
            <w:tcW w:w="534" w:type="pct"/>
            <w:shd w:val="clear" w:color="auto" w:fill="auto"/>
            <w:vAlign w:val="center"/>
          </w:tcPr>
          <w:p w:rsidR="00FB0A0F" w:rsidRPr="001205DB" w:rsidRDefault="00FB0A0F" w:rsidP="00704716">
            <w:pPr>
              <w:spacing w:before="20" w:after="20"/>
              <w:jc w:val="center"/>
              <w:rPr>
                <w:b/>
                <w:noProof/>
                <w:sz w:val="20"/>
              </w:rPr>
            </w:pPr>
            <w:r w:rsidRPr="001205DB">
              <w:rPr>
                <w:b/>
                <w:noProof/>
                <w:sz w:val="20"/>
              </w:rPr>
              <w:t>2024</w:t>
            </w:r>
          </w:p>
        </w:tc>
        <w:tc>
          <w:tcPr>
            <w:tcW w:w="533" w:type="pct"/>
            <w:shd w:val="clear" w:color="auto" w:fill="auto"/>
            <w:vAlign w:val="center"/>
          </w:tcPr>
          <w:p w:rsidR="00FB0A0F" w:rsidRPr="001205DB" w:rsidRDefault="00FB0A0F" w:rsidP="00704716">
            <w:pPr>
              <w:jc w:val="center"/>
              <w:rPr>
                <w:b/>
                <w:noProof/>
                <w:sz w:val="20"/>
              </w:rPr>
            </w:pPr>
            <w:r w:rsidRPr="001205DB">
              <w:rPr>
                <w:b/>
                <w:noProof/>
                <w:sz w:val="20"/>
              </w:rPr>
              <w:t>2025</w:t>
            </w:r>
          </w:p>
        </w:tc>
        <w:tc>
          <w:tcPr>
            <w:tcW w:w="468" w:type="pct"/>
            <w:shd w:val="clear" w:color="auto" w:fill="auto"/>
            <w:vAlign w:val="center"/>
          </w:tcPr>
          <w:p w:rsidR="00FB0A0F" w:rsidRPr="001205DB" w:rsidRDefault="00FB0A0F" w:rsidP="00704716">
            <w:pPr>
              <w:jc w:val="center"/>
              <w:rPr>
                <w:b/>
                <w:noProof/>
                <w:sz w:val="20"/>
              </w:rPr>
            </w:pPr>
            <w:r w:rsidRPr="001205DB">
              <w:rPr>
                <w:b/>
                <w:noProof/>
                <w:sz w:val="20"/>
              </w:rPr>
              <w:t>2026</w:t>
            </w:r>
          </w:p>
        </w:tc>
        <w:tc>
          <w:tcPr>
            <w:tcW w:w="527" w:type="pct"/>
            <w:shd w:val="clear" w:color="auto" w:fill="auto"/>
            <w:vAlign w:val="center"/>
          </w:tcPr>
          <w:p w:rsidR="00FB0A0F" w:rsidRPr="001205DB" w:rsidRDefault="00FB0A0F" w:rsidP="00704716">
            <w:pPr>
              <w:jc w:val="center"/>
              <w:rPr>
                <w:b/>
                <w:noProof/>
                <w:sz w:val="20"/>
              </w:rPr>
            </w:pPr>
            <w:r w:rsidRPr="001205DB">
              <w:rPr>
                <w:b/>
                <w:noProof/>
                <w:sz w:val="20"/>
              </w:rPr>
              <w:t>2027</w:t>
            </w:r>
          </w:p>
        </w:tc>
      </w:tr>
      <w:tr w:rsidR="00FB0A0F" w:rsidRPr="001205DB" w:rsidTr="00704716">
        <w:trPr>
          <w:trHeight w:val="289"/>
        </w:trPr>
        <w:tc>
          <w:tcPr>
            <w:tcW w:w="5000" w:type="pct"/>
            <w:gridSpan w:val="9"/>
          </w:tcPr>
          <w:p w:rsidR="00FB0A0F" w:rsidRPr="001205DB" w:rsidRDefault="00FB0A0F" w:rsidP="00704716">
            <w:pPr>
              <w:jc w:val="left"/>
              <w:rPr>
                <w:noProof/>
                <w:sz w:val="16"/>
                <w:szCs w:val="16"/>
              </w:rPr>
            </w:pPr>
            <w:r w:rsidRPr="001205DB">
              <w:rPr>
                <w:b/>
                <w:noProof/>
                <w:sz w:val="16"/>
              </w:rPr>
              <w:sym w:font="Wingdings" w:char="F09F"/>
            </w:r>
            <w:r w:rsidRPr="001205DB">
              <w:rPr>
                <w:b/>
                <w:noProof/>
                <w:sz w:val="16"/>
              </w:rPr>
              <w:t xml:space="preserve"> Štatu sarakstā ietvertās amata vietas (ierēdņi un pagaidu darbinieki)</w:t>
            </w:r>
          </w:p>
        </w:tc>
      </w:tr>
      <w:tr w:rsidR="00FB0A0F" w:rsidRPr="001205DB" w:rsidTr="00704716">
        <w:trPr>
          <w:trHeight w:val="289"/>
        </w:trPr>
        <w:tc>
          <w:tcPr>
            <w:tcW w:w="1472" w:type="pct"/>
            <w:gridSpan w:val="2"/>
          </w:tcPr>
          <w:p w:rsidR="00FB0A0F" w:rsidRPr="001205DB" w:rsidRDefault="00FB0A0F" w:rsidP="00704716">
            <w:pPr>
              <w:pStyle w:val="Text1"/>
              <w:spacing w:beforeLines="20" w:before="48" w:afterLines="20" w:after="48"/>
              <w:ind w:left="134"/>
              <w:jc w:val="left"/>
              <w:rPr>
                <w:b/>
                <w:noProof/>
                <w:sz w:val="16"/>
                <w:szCs w:val="16"/>
              </w:rPr>
            </w:pPr>
            <w:r w:rsidRPr="001205DB">
              <w:rPr>
                <w:noProof/>
                <w:sz w:val="16"/>
              </w:rPr>
              <w:t>Galvenā mītne un Komisijas pārstāvniecības</w:t>
            </w:r>
            <w:r w:rsidRPr="001205DB">
              <w:rPr>
                <w:rStyle w:val="FootnoteReference"/>
              </w:rPr>
              <w:footnoteReference w:id="53"/>
            </w:r>
          </w:p>
        </w:tc>
        <w:tc>
          <w:tcPr>
            <w:tcW w:w="466" w:type="pct"/>
            <w:shd w:val="clear" w:color="auto" w:fill="auto"/>
            <w:vAlign w:val="center"/>
          </w:tcPr>
          <w:p w:rsidR="00FB0A0F" w:rsidRPr="001205DB" w:rsidRDefault="00FB0A0F" w:rsidP="00704716">
            <w:pPr>
              <w:jc w:val="center"/>
              <w:rPr>
                <w:color w:val="000000"/>
                <w:sz w:val="16"/>
                <w:szCs w:val="16"/>
              </w:rPr>
            </w:pPr>
            <w:r w:rsidRPr="001205DB">
              <w:rPr>
                <w:color w:val="000000"/>
                <w:sz w:val="16"/>
              </w:rPr>
              <w:t>119</w:t>
            </w:r>
          </w:p>
        </w:tc>
        <w:tc>
          <w:tcPr>
            <w:tcW w:w="534" w:type="pct"/>
            <w:shd w:val="clear" w:color="auto" w:fill="auto"/>
            <w:vAlign w:val="center"/>
          </w:tcPr>
          <w:p w:rsidR="00FB0A0F" w:rsidRPr="001205DB" w:rsidRDefault="00FB0A0F" w:rsidP="00704716">
            <w:pPr>
              <w:jc w:val="center"/>
              <w:rPr>
                <w:color w:val="000000"/>
                <w:sz w:val="16"/>
                <w:szCs w:val="16"/>
              </w:rPr>
            </w:pPr>
            <w:r w:rsidRPr="001205DB">
              <w:rPr>
                <w:color w:val="000000"/>
                <w:sz w:val="16"/>
              </w:rPr>
              <w:t>153</w:t>
            </w:r>
          </w:p>
        </w:tc>
        <w:tc>
          <w:tcPr>
            <w:tcW w:w="466" w:type="pct"/>
            <w:shd w:val="clear" w:color="auto" w:fill="auto"/>
            <w:vAlign w:val="center"/>
          </w:tcPr>
          <w:p w:rsidR="00FB0A0F" w:rsidRPr="001205DB" w:rsidRDefault="00FB0A0F" w:rsidP="00704716">
            <w:pPr>
              <w:jc w:val="center"/>
              <w:rPr>
                <w:color w:val="000000"/>
                <w:sz w:val="16"/>
                <w:szCs w:val="16"/>
              </w:rPr>
            </w:pPr>
            <w:r w:rsidRPr="001205DB">
              <w:rPr>
                <w:color w:val="000000"/>
                <w:sz w:val="16"/>
              </w:rPr>
              <w:t>198</w:t>
            </w:r>
          </w:p>
        </w:tc>
        <w:tc>
          <w:tcPr>
            <w:tcW w:w="534" w:type="pct"/>
            <w:shd w:val="clear" w:color="auto" w:fill="auto"/>
            <w:vAlign w:val="center"/>
          </w:tcPr>
          <w:p w:rsidR="00FB0A0F" w:rsidRPr="001205DB" w:rsidRDefault="00FB0A0F" w:rsidP="00704716">
            <w:pPr>
              <w:jc w:val="center"/>
              <w:rPr>
                <w:color w:val="000000"/>
                <w:sz w:val="16"/>
                <w:szCs w:val="16"/>
              </w:rPr>
            </w:pPr>
            <w:r w:rsidRPr="001205DB">
              <w:rPr>
                <w:color w:val="000000"/>
                <w:sz w:val="16"/>
              </w:rPr>
              <w:t>214</w:t>
            </w:r>
          </w:p>
        </w:tc>
        <w:tc>
          <w:tcPr>
            <w:tcW w:w="533" w:type="pct"/>
            <w:shd w:val="clear" w:color="auto" w:fill="auto"/>
            <w:vAlign w:val="center"/>
          </w:tcPr>
          <w:p w:rsidR="00FB0A0F" w:rsidRPr="001205DB" w:rsidRDefault="00FB0A0F" w:rsidP="00704716">
            <w:pPr>
              <w:jc w:val="center"/>
              <w:rPr>
                <w:color w:val="000000"/>
                <w:sz w:val="16"/>
                <w:szCs w:val="16"/>
              </w:rPr>
            </w:pPr>
            <w:r w:rsidRPr="001205DB">
              <w:rPr>
                <w:color w:val="000000"/>
                <w:sz w:val="16"/>
              </w:rPr>
              <w:t>248</w:t>
            </w:r>
          </w:p>
        </w:tc>
        <w:tc>
          <w:tcPr>
            <w:tcW w:w="468" w:type="pct"/>
            <w:shd w:val="clear" w:color="auto" w:fill="auto"/>
            <w:vAlign w:val="center"/>
          </w:tcPr>
          <w:p w:rsidR="00FB0A0F" w:rsidRPr="001205DB" w:rsidRDefault="00FB0A0F" w:rsidP="00704716">
            <w:pPr>
              <w:jc w:val="center"/>
              <w:rPr>
                <w:color w:val="000000"/>
                <w:sz w:val="16"/>
                <w:szCs w:val="16"/>
              </w:rPr>
            </w:pPr>
            <w:r w:rsidRPr="001205DB">
              <w:rPr>
                <w:color w:val="000000"/>
                <w:sz w:val="16"/>
              </w:rPr>
              <w:t>266</w:t>
            </w:r>
          </w:p>
        </w:tc>
        <w:tc>
          <w:tcPr>
            <w:tcW w:w="527" w:type="pct"/>
            <w:shd w:val="clear" w:color="auto" w:fill="auto"/>
            <w:vAlign w:val="center"/>
          </w:tcPr>
          <w:p w:rsidR="00FB0A0F" w:rsidRPr="001205DB" w:rsidRDefault="00FB0A0F" w:rsidP="00704716">
            <w:pPr>
              <w:jc w:val="center"/>
              <w:rPr>
                <w:color w:val="000000"/>
                <w:sz w:val="16"/>
                <w:szCs w:val="16"/>
              </w:rPr>
            </w:pPr>
            <w:r w:rsidRPr="001205DB">
              <w:rPr>
                <w:color w:val="000000"/>
                <w:sz w:val="16"/>
              </w:rPr>
              <w:t>285</w:t>
            </w:r>
          </w:p>
        </w:tc>
      </w:tr>
      <w:tr w:rsidR="00FB0A0F" w:rsidRPr="001205DB" w:rsidTr="00704716">
        <w:trPr>
          <w:trHeight w:val="289"/>
        </w:trPr>
        <w:tc>
          <w:tcPr>
            <w:tcW w:w="1472" w:type="pct"/>
            <w:gridSpan w:val="2"/>
          </w:tcPr>
          <w:p w:rsidR="00FB0A0F" w:rsidRPr="001205DB" w:rsidRDefault="00FB0A0F" w:rsidP="00704716">
            <w:pPr>
              <w:pStyle w:val="Text1"/>
              <w:spacing w:beforeLines="20" w:before="48" w:afterLines="20" w:after="48"/>
              <w:ind w:left="134"/>
              <w:jc w:val="left"/>
              <w:rPr>
                <w:noProof/>
                <w:sz w:val="16"/>
                <w:szCs w:val="16"/>
              </w:rPr>
            </w:pPr>
            <w:r w:rsidRPr="001205DB">
              <w:rPr>
                <w:noProof/>
                <w:sz w:val="16"/>
              </w:rPr>
              <w:t>Delegācijas</w:t>
            </w:r>
          </w:p>
        </w:tc>
        <w:tc>
          <w:tcPr>
            <w:tcW w:w="466"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466"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3"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468"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27" w:type="pct"/>
            <w:shd w:val="clear" w:color="auto" w:fill="auto"/>
            <w:vAlign w:val="center"/>
          </w:tcPr>
          <w:p w:rsidR="00FB0A0F" w:rsidRPr="001205DB" w:rsidRDefault="00FB0A0F" w:rsidP="00704716">
            <w:pPr>
              <w:spacing w:beforeLines="20" w:before="48" w:afterLines="20" w:after="48"/>
              <w:jc w:val="center"/>
              <w:rPr>
                <w:noProof/>
                <w:sz w:val="16"/>
                <w:szCs w:val="16"/>
              </w:rPr>
            </w:pPr>
          </w:p>
        </w:tc>
      </w:tr>
      <w:tr w:rsidR="00FB0A0F" w:rsidRPr="001205DB" w:rsidTr="00704716">
        <w:trPr>
          <w:trHeight w:val="289"/>
        </w:trPr>
        <w:tc>
          <w:tcPr>
            <w:tcW w:w="1472" w:type="pct"/>
            <w:gridSpan w:val="2"/>
          </w:tcPr>
          <w:p w:rsidR="00FB0A0F" w:rsidRPr="001205DB" w:rsidRDefault="00FB0A0F" w:rsidP="00704716">
            <w:pPr>
              <w:pStyle w:val="Text1"/>
              <w:spacing w:beforeLines="20" w:before="48" w:afterLines="20" w:after="48"/>
              <w:ind w:left="134"/>
              <w:jc w:val="left"/>
              <w:rPr>
                <w:noProof/>
                <w:sz w:val="16"/>
                <w:szCs w:val="16"/>
              </w:rPr>
            </w:pPr>
            <w:r w:rsidRPr="001205DB">
              <w:rPr>
                <w:noProof/>
                <w:sz w:val="16"/>
              </w:rPr>
              <w:t>Pētniecība</w:t>
            </w:r>
          </w:p>
        </w:tc>
        <w:tc>
          <w:tcPr>
            <w:tcW w:w="466"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466"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3"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468"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27" w:type="pct"/>
            <w:shd w:val="clear" w:color="auto" w:fill="auto"/>
            <w:vAlign w:val="center"/>
          </w:tcPr>
          <w:p w:rsidR="00FB0A0F" w:rsidRPr="001205DB" w:rsidRDefault="00FB0A0F" w:rsidP="00704716">
            <w:pPr>
              <w:spacing w:beforeLines="20" w:before="48" w:afterLines="20" w:after="48"/>
              <w:jc w:val="center"/>
              <w:rPr>
                <w:noProof/>
                <w:sz w:val="16"/>
                <w:szCs w:val="16"/>
              </w:rPr>
            </w:pPr>
          </w:p>
        </w:tc>
      </w:tr>
      <w:tr w:rsidR="00FB0A0F" w:rsidRPr="001205DB" w:rsidTr="00704716">
        <w:trPr>
          <w:trHeight w:val="293"/>
        </w:trPr>
        <w:tc>
          <w:tcPr>
            <w:tcW w:w="5000" w:type="pct"/>
            <w:gridSpan w:val="9"/>
          </w:tcPr>
          <w:p w:rsidR="00FB0A0F" w:rsidRPr="001205DB" w:rsidRDefault="00FB0A0F" w:rsidP="00704716">
            <w:pPr>
              <w:pStyle w:val="Text1"/>
              <w:spacing w:before="60" w:after="60"/>
              <w:ind w:left="0"/>
              <w:jc w:val="left"/>
              <w:rPr>
                <w:b/>
                <w:noProof/>
                <w:sz w:val="16"/>
                <w:szCs w:val="16"/>
              </w:rPr>
            </w:pPr>
            <w:r w:rsidRPr="001205DB">
              <w:rPr>
                <w:b/>
                <w:noProof/>
                <w:sz w:val="16"/>
              </w:rPr>
              <w:sym w:font="Wingdings" w:char="F09F"/>
            </w:r>
            <w:r w:rsidRPr="001205DB">
              <w:rPr>
                <w:b/>
                <w:noProof/>
                <w:sz w:val="16"/>
              </w:rPr>
              <w:t xml:space="preserve"> Ārštata darbinieki (izsakot ar pilnslodzes ekvivalentu —  </w:t>
            </w:r>
            <w:r w:rsidRPr="001205DB">
              <w:rPr>
                <w:b/>
                <w:i/>
                <w:noProof/>
                <w:sz w:val="16"/>
              </w:rPr>
              <w:t>FTE</w:t>
            </w:r>
            <w:r w:rsidRPr="001205DB">
              <w:rPr>
                <w:b/>
                <w:noProof/>
                <w:sz w:val="16"/>
              </w:rPr>
              <w:t xml:space="preserve">) — </w:t>
            </w:r>
            <w:r w:rsidRPr="001205DB">
              <w:rPr>
                <w:b/>
                <w:i/>
                <w:noProof/>
                <w:sz w:val="16"/>
              </w:rPr>
              <w:t>AC</w:t>
            </w:r>
            <w:r w:rsidRPr="001205DB">
              <w:rPr>
                <w:b/>
                <w:noProof/>
                <w:sz w:val="16"/>
              </w:rPr>
              <w:t xml:space="preserve">, </w:t>
            </w:r>
            <w:r w:rsidRPr="001205DB">
              <w:rPr>
                <w:b/>
                <w:i/>
                <w:noProof/>
                <w:sz w:val="16"/>
              </w:rPr>
              <w:t>AL</w:t>
            </w:r>
            <w:r w:rsidRPr="001205DB">
              <w:rPr>
                <w:b/>
                <w:noProof/>
                <w:sz w:val="16"/>
              </w:rPr>
              <w:t xml:space="preserve">, </w:t>
            </w:r>
            <w:r w:rsidRPr="001205DB">
              <w:rPr>
                <w:b/>
                <w:i/>
                <w:noProof/>
                <w:sz w:val="16"/>
              </w:rPr>
              <w:t>END</w:t>
            </w:r>
            <w:r w:rsidRPr="001205DB">
              <w:rPr>
                <w:b/>
                <w:noProof/>
                <w:sz w:val="16"/>
              </w:rPr>
              <w:t xml:space="preserve">, </w:t>
            </w:r>
            <w:r w:rsidRPr="001205DB">
              <w:rPr>
                <w:b/>
                <w:i/>
                <w:noProof/>
                <w:sz w:val="16"/>
              </w:rPr>
              <w:t>INT</w:t>
            </w:r>
            <w:r w:rsidRPr="001205DB">
              <w:rPr>
                <w:b/>
                <w:noProof/>
                <w:sz w:val="16"/>
              </w:rPr>
              <w:t xml:space="preserve"> un </w:t>
            </w:r>
            <w:r w:rsidRPr="001205DB">
              <w:rPr>
                <w:b/>
                <w:i/>
                <w:noProof/>
                <w:sz w:val="16"/>
              </w:rPr>
              <w:t>JED</w:t>
            </w:r>
            <w:r w:rsidRPr="001205DB">
              <w:rPr>
                <w:noProof/>
                <w:sz w:val="16"/>
              </w:rPr>
              <w:t xml:space="preserve"> </w:t>
            </w:r>
            <w:r w:rsidRPr="001205DB">
              <w:rPr>
                <w:rStyle w:val="FootnoteReference"/>
              </w:rPr>
              <w:footnoteReference w:id="54"/>
            </w:r>
          </w:p>
          <w:p w:rsidR="00FB0A0F" w:rsidRPr="001205DB" w:rsidRDefault="00FB0A0F" w:rsidP="00704716">
            <w:pPr>
              <w:pStyle w:val="Text1"/>
              <w:spacing w:before="0" w:after="0"/>
              <w:ind w:left="0"/>
              <w:jc w:val="left"/>
              <w:rPr>
                <w:noProof/>
                <w:sz w:val="16"/>
                <w:szCs w:val="16"/>
              </w:rPr>
            </w:pPr>
            <w:r w:rsidRPr="001205DB">
              <w:rPr>
                <w:noProof/>
                <w:sz w:val="16"/>
              </w:rPr>
              <w:t>7. izdevumu kategorija</w:t>
            </w:r>
          </w:p>
        </w:tc>
      </w:tr>
      <w:tr w:rsidR="00FB0A0F" w:rsidRPr="001205DB" w:rsidTr="00704716">
        <w:trPr>
          <w:trHeight w:val="485"/>
        </w:trPr>
        <w:tc>
          <w:tcPr>
            <w:tcW w:w="735" w:type="pct"/>
            <w:vMerge w:val="restart"/>
            <w:vAlign w:val="center"/>
          </w:tcPr>
          <w:p w:rsidR="00FB0A0F" w:rsidRPr="001205DB" w:rsidRDefault="00FB0A0F" w:rsidP="00704716">
            <w:pPr>
              <w:pStyle w:val="Text1"/>
              <w:spacing w:beforeLines="20" w:before="48" w:afterLines="20" w:after="48"/>
              <w:ind w:left="136"/>
              <w:jc w:val="left"/>
              <w:rPr>
                <w:b/>
                <w:noProof/>
                <w:sz w:val="16"/>
                <w:szCs w:val="16"/>
              </w:rPr>
            </w:pPr>
            <w:r w:rsidRPr="001205DB">
              <w:rPr>
                <w:noProof/>
                <w:sz w:val="16"/>
              </w:rPr>
              <w:t>Finansēts no daudzgadu finanšu shēmas 7. IZDEVUMU KATEGORIJAS</w:t>
            </w:r>
            <w:r w:rsidRPr="001205DB">
              <w:rPr>
                <w:b/>
                <w:noProof/>
                <w:sz w:val="16"/>
              </w:rPr>
              <w:t xml:space="preserve"> </w:t>
            </w:r>
          </w:p>
        </w:tc>
        <w:tc>
          <w:tcPr>
            <w:tcW w:w="737" w:type="pct"/>
            <w:vAlign w:val="center"/>
          </w:tcPr>
          <w:p w:rsidR="00FB0A0F" w:rsidRPr="001205DB" w:rsidRDefault="00FB0A0F" w:rsidP="00704716">
            <w:pPr>
              <w:pStyle w:val="Text1"/>
              <w:spacing w:beforeLines="20" w:before="48" w:afterLines="20" w:after="48"/>
              <w:ind w:left="136"/>
              <w:jc w:val="left"/>
              <w:rPr>
                <w:b/>
                <w:noProof/>
                <w:sz w:val="16"/>
                <w:szCs w:val="16"/>
              </w:rPr>
            </w:pPr>
            <w:r w:rsidRPr="001205DB">
              <w:rPr>
                <w:noProof/>
                <w:sz w:val="16"/>
              </w:rPr>
              <w:t>— galvenajā mītnē</w:t>
            </w:r>
          </w:p>
        </w:tc>
        <w:tc>
          <w:tcPr>
            <w:tcW w:w="466"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466"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3"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468"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27" w:type="pct"/>
            <w:shd w:val="clear" w:color="auto" w:fill="auto"/>
            <w:vAlign w:val="center"/>
          </w:tcPr>
          <w:p w:rsidR="00FB0A0F" w:rsidRPr="001205DB" w:rsidRDefault="00FB0A0F" w:rsidP="00704716">
            <w:pPr>
              <w:spacing w:beforeLines="20" w:before="48" w:afterLines="20" w:after="48"/>
              <w:jc w:val="center"/>
              <w:rPr>
                <w:noProof/>
                <w:sz w:val="16"/>
                <w:szCs w:val="16"/>
              </w:rPr>
            </w:pPr>
          </w:p>
        </w:tc>
      </w:tr>
      <w:tr w:rsidR="00FB0A0F" w:rsidRPr="001205DB" w:rsidTr="00704716">
        <w:trPr>
          <w:trHeight w:val="289"/>
        </w:trPr>
        <w:tc>
          <w:tcPr>
            <w:tcW w:w="735" w:type="pct"/>
            <w:vMerge/>
            <w:vAlign w:val="center"/>
          </w:tcPr>
          <w:p w:rsidR="00FB0A0F" w:rsidRPr="001205DB" w:rsidRDefault="00FB0A0F" w:rsidP="00704716">
            <w:pPr>
              <w:pStyle w:val="Text1"/>
              <w:spacing w:beforeLines="20" w:before="48" w:afterLines="20" w:after="48"/>
              <w:ind w:left="136"/>
              <w:jc w:val="left"/>
              <w:rPr>
                <w:noProof/>
                <w:sz w:val="16"/>
                <w:szCs w:val="16"/>
              </w:rPr>
            </w:pPr>
          </w:p>
        </w:tc>
        <w:tc>
          <w:tcPr>
            <w:tcW w:w="737" w:type="pct"/>
            <w:vAlign w:val="center"/>
          </w:tcPr>
          <w:p w:rsidR="00FB0A0F" w:rsidRPr="001205DB" w:rsidRDefault="00FB0A0F" w:rsidP="00704716">
            <w:pPr>
              <w:pStyle w:val="Text1"/>
              <w:spacing w:beforeLines="20" w:before="48" w:afterLines="20" w:after="48"/>
              <w:ind w:left="136"/>
              <w:jc w:val="left"/>
              <w:rPr>
                <w:noProof/>
                <w:sz w:val="16"/>
                <w:szCs w:val="16"/>
              </w:rPr>
            </w:pPr>
            <w:r w:rsidRPr="001205DB">
              <w:rPr>
                <w:noProof/>
                <w:sz w:val="16"/>
              </w:rPr>
              <w:t xml:space="preserve">— delegācijās </w:t>
            </w:r>
          </w:p>
        </w:tc>
        <w:tc>
          <w:tcPr>
            <w:tcW w:w="466"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466"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3"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468"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27" w:type="pct"/>
            <w:shd w:val="clear" w:color="auto" w:fill="auto"/>
            <w:vAlign w:val="center"/>
          </w:tcPr>
          <w:p w:rsidR="00FB0A0F" w:rsidRPr="001205DB" w:rsidRDefault="00FB0A0F" w:rsidP="00704716">
            <w:pPr>
              <w:spacing w:beforeLines="20" w:before="48" w:afterLines="20" w:after="48"/>
              <w:jc w:val="center"/>
              <w:rPr>
                <w:noProof/>
                <w:sz w:val="16"/>
                <w:szCs w:val="16"/>
              </w:rPr>
            </w:pPr>
          </w:p>
        </w:tc>
      </w:tr>
      <w:tr w:rsidR="00FB0A0F" w:rsidRPr="001205DB" w:rsidTr="00704716">
        <w:trPr>
          <w:trHeight w:val="370"/>
        </w:trPr>
        <w:tc>
          <w:tcPr>
            <w:tcW w:w="735" w:type="pct"/>
            <w:vMerge w:val="restart"/>
            <w:vAlign w:val="center"/>
          </w:tcPr>
          <w:p w:rsidR="00FB0A0F" w:rsidRPr="001205DB" w:rsidRDefault="00FB0A0F" w:rsidP="00704716">
            <w:pPr>
              <w:pStyle w:val="Text1"/>
              <w:spacing w:beforeLines="20" w:before="48" w:afterLines="20" w:after="48"/>
              <w:ind w:left="136"/>
              <w:jc w:val="left"/>
              <w:rPr>
                <w:b/>
                <w:noProof/>
                <w:sz w:val="16"/>
                <w:szCs w:val="16"/>
              </w:rPr>
            </w:pPr>
            <w:r w:rsidRPr="001205DB">
              <w:rPr>
                <w:sz w:val="16"/>
              </w:rPr>
              <w:t>Finansēts no daudzgadu finanšu shēmas 7. IZDEVUMU KATEGORIJAS</w:t>
            </w:r>
            <w:r w:rsidRPr="001205DB">
              <w:rPr>
                <w:b/>
                <w:sz w:val="16"/>
              </w:rPr>
              <w:t xml:space="preserve"> </w:t>
            </w:r>
          </w:p>
        </w:tc>
        <w:tc>
          <w:tcPr>
            <w:tcW w:w="737" w:type="pct"/>
            <w:shd w:val="clear" w:color="auto" w:fill="auto"/>
            <w:vAlign w:val="center"/>
          </w:tcPr>
          <w:p w:rsidR="00FB0A0F" w:rsidRPr="001205DB" w:rsidRDefault="00FB0A0F" w:rsidP="00704716">
            <w:pPr>
              <w:pStyle w:val="Text1"/>
              <w:spacing w:beforeLines="20" w:before="48" w:afterLines="20" w:after="48"/>
              <w:ind w:left="136"/>
              <w:jc w:val="left"/>
              <w:rPr>
                <w:b/>
                <w:noProof/>
                <w:sz w:val="16"/>
                <w:szCs w:val="16"/>
              </w:rPr>
            </w:pPr>
            <w:r w:rsidRPr="001205DB">
              <w:rPr>
                <w:sz w:val="16"/>
              </w:rPr>
              <w:t>— galvenajā mītnē</w:t>
            </w:r>
          </w:p>
        </w:tc>
        <w:tc>
          <w:tcPr>
            <w:tcW w:w="466" w:type="pct"/>
            <w:shd w:val="clear" w:color="auto" w:fill="auto"/>
            <w:vAlign w:val="center"/>
          </w:tcPr>
          <w:p w:rsidR="00FB0A0F" w:rsidRPr="001205DB" w:rsidRDefault="00FB0A0F" w:rsidP="00704716">
            <w:pPr>
              <w:jc w:val="right"/>
              <w:rPr>
                <w:color w:val="000000"/>
                <w:sz w:val="16"/>
                <w:szCs w:val="16"/>
              </w:rPr>
            </w:pPr>
          </w:p>
        </w:tc>
        <w:tc>
          <w:tcPr>
            <w:tcW w:w="534" w:type="pct"/>
            <w:shd w:val="clear" w:color="auto" w:fill="auto"/>
            <w:vAlign w:val="center"/>
          </w:tcPr>
          <w:p w:rsidR="00FB0A0F" w:rsidRPr="001205DB" w:rsidRDefault="00FB0A0F" w:rsidP="00704716">
            <w:pPr>
              <w:jc w:val="right"/>
              <w:rPr>
                <w:color w:val="000000"/>
                <w:sz w:val="16"/>
                <w:szCs w:val="16"/>
              </w:rPr>
            </w:pPr>
          </w:p>
        </w:tc>
        <w:tc>
          <w:tcPr>
            <w:tcW w:w="466" w:type="pct"/>
            <w:shd w:val="clear" w:color="auto" w:fill="auto"/>
            <w:vAlign w:val="center"/>
          </w:tcPr>
          <w:p w:rsidR="00FB0A0F" w:rsidRPr="001205DB" w:rsidRDefault="00FB0A0F" w:rsidP="00704716">
            <w:pPr>
              <w:jc w:val="right"/>
              <w:rPr>
                <w:color w:val="000000"/>
                <w:sz w:val="16"/>
                <w:szCs w:val="16"/>
              </w:rPr>
            </w:pPr>
          </w:p>
        </w:tc>
        <w:tc>
          <w:tcPr>
            <w:tcW w:w="534" w:type="pct"/>
            <w:shd w:val="clear" w:color="auto" w:fill="auto"/>
            <w:vAlign w:val="center"/>
          </w:tcPr>
          <w:p w:rsidR="00FB0A0F" w:rsidRPr="001205DB" w:rsidRDefault="00FB0A0F" w:rsidP="00704716">
            <w:pPr>
              <w:jc w:val="right"/>
              <w:rPr>
                <w:color w:val="000000"/>
                <w:sz w:val="16"/>
                <w:szCs w:val="16"/>
              </w:rPr>
            </w:pPr>
          </w:p>
        </w:tc>
        <w:tc>
          <w:tcPr>
            <w:tcW w:w="533" w:type="pct"/>
            <w:shd w:val="clear" w:color="auto" w:fill="auto"/>
            <w:vAlign w:val="center"/>
          </w:tcPr>
          <w:p w:rsidR="00FB0A0F" w:rsidRPr="001205DB" w:rsidRDefault="00FB0A0F" w:rsidP="00704716">
            <w:pPr>
              <w:jc w:val="right"/>
              <w:rPr>
                <w:color w:val="000000"/>
                <w:sz w:val="16"/>
                <w:szCs w:val="16"/>
              </w:rPr>
            </w:pPr>
          </w:p>
        </w:tc>
        <w:tc>
          <w:tcPr>
            <w:tcW w:w="468" w:type="pct"/>
            <w:shd w:val="clear" w:color="auto" w:fill="auto"/>
            <w:vAlign w:val="center"/>
          </w:tcPr>
          <w:p w:rsidR="00FB0A0F" w:rsidRPr="001205DB" w:rsidRDefault="00FB0A0F" w:rsidP="00704716">
            <w:pPr>
              <w:jc w:val="right"/>
              <w:rPr>
                <w:color w:val="000000"/>
                <w:sz w:val="16"/>
                <w:szCs w:val="16"/>
              </w:rPr>
            </w:pPr>
          </w:p>
        </w:tc>
        <w:tc>
          <w:tcPr>
            <w:tcW w:w="527" w:type="pct"/>
            <w:shd w:val="clear" w:color="auto" w:fill="auto"/>
            <w:vAlign w:val="center"/>
          </w:tcPr>
          <w:p w:rsidR="00FB0A0F" w:rsidRPr="001205DB" w:rsidRDefault="00FB0A0F" w:rsidP="00704716">
            <w:pPr>
              <w:jc w:val="right"/>
              <w:rPr>
                <w:color w:val="000000"/>
                <w:sz w:val="16"/>
                <w:szCs w:val="16"/>
              </w:rPr>
            </w:pPr>
          </w:p>
        </w:tc>
      </w:tr>
      <w:tr w:rsidR="00FB0A0F" w:rsidRPr="001205DB" w:rsidTr="00704716">
        <w:trPr>
          <w:trHeight w:val="289"/>
        </w:trPr>
        <w:tc>
          <w:tcPr>
            <w:tcW w:w="735" w:type="pct"/>
            <w:vMerge/>
            <w:vAlign w:val="center"/>
          </w:tcPr>
          <w:p w:rsidR="00FB0A0F" w:rsidRPr="001205DB" w:rsidRDefault="00FB0A0F" w:rsidP="00704716">
            <w:pPr>
              <w:pStyle w:val="Text1"/>
              <w:spacing w:beforeLines="20" w:before="48" w:afterLines="20" w:after="48"/>
              <w:ind w:left="136"/>
              <w:jc w:val="left"/>
              <w:rPr>
                <w:b/>
                <w:noProof/>
                <w:sz w:val="16"/>
                <w:szCs w:val="16"/>
              </w:rPr>
            </w:pPr>
          </w:p>
        </w:tc>
        <w:tc>
          <w:tcPr>
            <w:tcW w:w="737" w:type="pct"/>
            <w:shd w:val="clear" w:color="auto" w:fill="auto"/>
            <w:vAlign w:val="center"/>
          </w:tcPr>
          <w:p w:rsidR="00FB0A0F" w:rsidRPr="001205DB" w:rsidRDefault="00FB0A0F" w:rsidP="00704716">
            <w:pPr>
              <w:pStyle w:val="Text1"/>
              <w:spacing w:beforeLines="20" w:before="48" w:afterLines="20" w:after="48"/>
              <w:ind w:left="136"/>
              <w:jc w:val="left"/>
              <w:rPr>
                <w:b/>
                <w:noProof/>
                <w:sz w:val="16"/>
                <w:szCs w:val="16"/>
              </w:rPr>
            </w:pPr>
            <w:r w:rsidRPr="001205DB">
              <w:rPr>
                <w:sz w:val="16"/>
              </w:rPr>
              <w:t xml:space="preserve">— delegācijās </w:t>
            </w:r>
          </w:p>
        </w:tc>
        <w:tc>
          <w:tcPr>
            <w:tcW w:w="466" w:type="pct"/>
            <w:shd w:val="clear" w:color="auto" w:fill="auto"/>
            <w:vAlign w:val="center"/>
          </w:tcPr>
          <w:p w:rsidR="00FB0A0F" w:rsidRPr="001205DB" w:rsidRDefault="00FB0A0F" w:rsidP="00704716">
            <w:pPr>
              <w:jc w:val="right"/>
              <w:rPr>
                <w:color w:val="000000"/>
                <w:sz w:val="16"/>
                <w:szCs w:val="16"/>
              </w:rPr>
            </w:pPr>
          </w:p>
        </w:tc>
        <w:tc>
          <w:tcPr>
            <w:tcW w:w="534" w:type="pct"/>
            <w:shd w:val="clear" w:color="auto" w:fill="auto"/>
            <w:vAlign w:val="center"/>
          </w:tcPr>
          <w:p w:rsidR="00FB0A0F" w:rsidRPr="001205DB" w:rsidRDefault="00FB0A0F" w:rsidP="00704716">
            <w:pPr>
              <w:jc w:val="right"/>
              <w:rPr>
                <w:color w:val="000000"/>
                <w:sz w:val="16"/>
                <w:szCs w:val="16"/>
              </w:rPr>
            </w:pPr>
          </w:p>
        </w:tc>
        <w:tc>
          <w:tcPr>
            <w:tcW w:w="466" w:type="pct"/>
            <w:shd w:val="clear" w:color="auto" w:fill="auto"/>
            <w:vAlign w:val="center"/>
          </w:tcPr>
          <w:p w:rsidR="00FB0A0F" w:rsidRPr="001205DB" w:rsidRDefault="00FB0A0F" w:rsidP="00704716">
            <w:pPr>
              <w:jc w:val="right"/>
              <w:rPr>
                <w:color w:val="000000"/>
                <w:sz w:val="16"/>
                <w:szCs w:val="16"/>
              </w:rPr>
            </w:pPr>
          </w:p>
        </w:tc>
        <w:tc>
          <w:tcPr>
            <w:tcW w:w="534" w:type="pct"/>
            <w:shd w:val="clear" w:color="auto" w:fill="auto"/>
            <w:vAlign w:val="center"/>
          </w:tcPr>
          <w:p w:rsidR="00FB0A0F" w:rsidRPr="001205DB" w:rsidRDefault="00FB0A0F" w:rsidP="00704716">
            <w:pPr>
              <w:jc w:val="right"/>
              <w:rPr>
                <w:color w:val="000000"/>
                <w:sz w:val="16"/>
                <w:szCs w:val="16"/>
              </w:rPr>
            </w:pPr>
          </w:p>
        </w:tc>
        <w:tc>
          <w:tcPr>
            <w:tcW w:w="533" w:type="pct"/>
            <w:shd w:val="clear" w:color="auto" w:fill="auto"/>
            <w:vAlign w:val="center"/>
          </w:tcPr>
          <w:p w:rsidR="00FB0A0F" w:rsidRPr="001205DB" w:rsidRDefault="00FB0A0F" w:rsidP="00704716">
            <w:pPr>
              <w:jc w:val="right"/>
              <w:rPr>
                <w:color w:val="000000"/>
                <w:sz w:val="16"/>
                <w:szCs w:val="16"/>
              </w:rPr>
            </w:pPr>
          </w:p>
        </w:tc>
        <w:tc>
          <w:tcPr>
            <w:tcW w:w="468" w:type="pct"/>
            <w:shd w:val="clear" w:color="auto" w:fill="auto"/>
            <w:vAlign w:val="center"/>
          </w:tcPr>
          <w:p w:rsidR="00FB0A0F" w:rsidRPr="001205DB" w:rsidRDefault="00FB0A0F" w:rsidP="00704716">
            <w:pPr>
              <w:jc w:val="right"/>
              <w:rPr>
                <w:color w:val="000000"/>
                <w:sz w:val="16"/>
                <w:szCs w:val="16"/>
              </w:rPr>
            </w:pPr>
          </w:p>
        </w:tc>
        <w:tc>
          <w:tcPr>
            <w:tcW w:w="527" w:type="pct"/>
            <w:shd w:val="clear" w:color="auto" w:fill="auto"/>
            <w:vAlign w:val="center"/>
          </w:tcPr>
          <w:p w:rsidR="00FB0A0F" w:rsidRPr="001205DB" w:rsidRDefault="00FB0A0F" w:rsidP="00704716">
            <w:pPr>
              <w:jc w:val="right"/>
              <w:rPr>
                <w:color w:val="000000"/>
                <w:sz w:val="16"/>
                <w:szCs w:val="16"/>
              </w:rPr>
            </w:pPr>
          </w:p>
        </w:tc>
      </w:tr>
      <w:tr w:rsidR="00FB0A0F" w:rsidRPr="001205DB" w:rsidTr="00704716">
        <w:trPr>
          <w:trHeight w:val="289"/>
        </w:trPr>
        <w:tc>
          <w:tcPr>
            <w:tcW w:w="1472" w:type="pct"/>
            <w:gridSpan w:val="2"/>
          </w:tcPr>
          <w:p w:rsidR="00FB0A0F" w:rsidRPr="001205DB" w:rsidRDefault="00FB0A0F" w:rsidP="00704716">
            <w:pPr>
              <w:pStyle w:val="Text1"/>
              <w:spacing w:beforeLines="20" w:before="48" w:afterLines="20" w:after="48"/>
              <w:ind w:left="136"/>
              <w:jc w:val="left"/>
              <w:rPr>
                <w:noProof/>
                <w:sz w:val="16"/>
                <w:szCs w:val="16"/>
              </w:rPr>
            </w:pPr>
            <w:r w:rsidRPr="001205DB">
              <w:rPr>
                <w:noProof/>
                <w:sz w:val="16"/>
              </w:rPr>
              <w:t>Pētniecība</w:t>
            </w:r>
          </w:p>
        </w:tc>
        <w:tc>
          <w:tcPr>
            <w:tcW w:w="466"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466"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4"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3"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468" w:type="pct"/>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27" w:type="pct"/>
            <w:shd w:val="clear" w:color="auto" w:fill="auto"/>
            <w:vAlign w:val="center"/>
          </w:tcPr>
          <w:p w:rsidR="00FB0A0F" w:rsidRPr="001205DB" w:rsidRDefault="00FB0A0F" w:rsidP="00704716">
            <w:pPr>
              <w:spacing w:beforeLines="20" w:before="48" w:afterLines="20" w:after="48"/>
              <w:jc w:val="center"/>
              <w:rPr>
                <w:noProof/>
                <w:sz w:val="16"/>
                <w:szCs w:val="16"/>
              </w:rPr>
            </w:pPr>
          </w:p>
        </w:tc>
      </w:tr>
      <w:tr w:rsidR="00FB0A0F" w:rsidRPr="001205DB" w:rsidTr="00704716">
        <w:trPr>
          <w:trHeight w:val="289"/>
        </w:trPr>
        <w:tc>
          <w:tcPr>
            <w:tcW w:w="1472" w:type="pct"/>
            <w:gridSpan w:val="2"/>
            <w:tcBorders>
              <w:bottom w:val="double" w:sz="4" w:space="0" w:color="auto"/>
            </w:tcBorders>
          </w:tcPr>
          <w:p w:rsidR="00FB0A0F" w:rsidRPr="001205DB" w:rsidRDefault="00FB0A0F" w:rsidP="00704716">
            <w:pPr>
              <w:pStyle w:val="Text1"/>
              <w:spacing w:beforeLines="20" w:before="48" w:afterLines="20" w:after="48"/>
              <w:ind w:left="134"/>
              <w:jc w:val="left"/>
              <w:rPr>
                <w:noProof/>
                <w:sz w:val="16"/>
                <w:szCs w:val="16"/>
              </w:rPr>
            </w:pPr>
            <w:r w:rsidRPr="001205DB">
              <w:rPr>
                <w:noProof/>
                <w:sz w:val="16"/>
              </w:rPr>
              <w:t>Cits (konkretizēt)</w:t>
            </w:r>
          </w:p>
        </w:tc>
        <w:tc>
          <w:tcPr>
            <w:tcW w:w="466" w:type="pct"/>
            <w:tcBorders>
              <w:bottom w:val="double" w:sz="4" w:space="0" w:color="auto"/>
            </w:tcBorders>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FB0A0F" w:rsidRPr="001205DB" w:rsidRDefault="00FB0A0F" w:rsidP="00704716">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FB0A0F" w:rsidRPr="001205DB" w:rsidRDefault="00FB0A0F" w:rsidP="00704716">
            <w:pPr>
              <w:spacing w:beforeLines="20" w:before="48" w:afterLines="20" w:after="48"/>
              <w:jc w:val="center"/>
              <w:rPr>
                <w:noProof/>
                <w:sz w:val="16"/>
                <w:szCs w:val="16"/>
              </w:rPr>
            </w:pPr>
          </w:p>
        </w:tc>
      </w:tr>
      <w:tr w:rsidR="00FB0A0F" w:rsidRPr="001205DB" w:rsidTr="00704716">
        <w:trPr>
          <w:trHeight w:val="289"/>
        </w:trPr>
        <w:tc>
          <w:tcPr>
            <w:tcW w:w="1472" w:type="pct"/>
            <w:gridSpan w:val="2"/>
            <w:tcBorders>
              <w:top w:val="double" w:sz="4" w:space="0" w:color="auto"/>
            </w:tcBorders>
          </w:tcPr>
          <w:p w:rsidR="00FB0A0F" w:rsidRPr="001205DB" w:rsidRDefault="00FB0A0F" w:rsidP="00704716">
            <w:pPr>
              <w:pStyle w:val="Text1"/>
              <w:spacing w:beforeLines="20" w:before="48" w:afterLines="20" w:after="48"/>
              <w:ind w:left="136"/>
              <w:jc w:val="left"/>
              <w:rPr>
                <w:noProof/>
                <w:sz w:val="16"/>
                <w:szCs w:val="16"/>
              </w:rPr>
            </w:pPr>
            <w:r w:rsidRPr="001205DB">
              <w:rPr>
                <w:b/>
                <w:noProof/>
                <w:sz w:val="16"/>
              </w:rPr>
              <w:t>KOPĀ</w:t>
            </w:r>
          </w:p>
        </w:tc>
        <w:tc>
          <w:tcPr>
            <w:tcW w:w="466" w:type="pct"/>
            <w:tcBorders>
              <w:top w:val="double" w:sz="4" w:space="0" w:color="auto"/>
            </w:tcBorders>
            <w:shd w:val="clear" w:color="auto" w:fill="auto"/>
            <w:vAlign w:val="center"/>
          </w:tcPr>
          <w:p w:rsidR="00FB0A0F" w:rsidRPr="001205DB" w:rsidRDefault="00FB0A0F" w:rsidP="00704716">
            <w:pPr>
              <w:jc w:val="center"/>
              <w:rPr>
                <w:b/>
                <w:bCs/>
                <w:color w:val="000000"/>
                <w:sz w:val="16"/>
                <w:szCs w:val="16"/>
              </w:rPr>
            </w:pPr>
            <w:r w:rsidRPr="001205DB">
              <w:rPr>
                <w:color w:val="000000"/>
                <w:sz w:val="16"/>
              </w:rPr>
              <w:t>119</w:t>
            </w:r>
          </w:p>
        </w:tc>
        <w:tc>
          <w:tcPr>
            <w:tcW w:w="534" w:type="pct"/>
            <w:tcBorders>
              <w:top w:val="double" w:sz="4" w:space="0" w:color="auto"/>
            </w:tcBorders>
            <w:shd w:val="clear" w:color="auto" w:fill="auto"/>
            <w:vAlign w:val="center"/>
          </w:tcPr>
          <w:p w:rsidR="00FB0A0F" w:rsidRPr="001205DB" w:rsidRDefault="00FB0A0F" w:rsidP="00704716">
            <w:pPr>
              <w:jc w:val="center"/>
              <w:rPr>
                <w:b/>
                <w:bCs/>
                <w:color w:val="000000"/>
                <w:sz w:val="16"/>
                <w:szCs w:val="16"/>
              </w:rPr>
            </w:pPr>
            <w:r w:rsidRPr="001205DB">
              <w:rPr>
                <w:color w:val="000000"/>
                <w:sz w:val="16"/>
              </w:rPr>
              <w:t>153</w:t>
            </w:r>
          </w:p>
        </w:tc>
        <w:tc>
          <w:tcPr>
            <w:tcW w:w="466" w:type="pct"/>
            <w:tcBorders>
              <w:top w:val="double" w:sz="4" w:space="0" w:color="auto"/>
            </w:tcBorders>
            <w:shd w:val="clear" w:color="auto" w:fill="auto"/>
            <w:vAlign w:val="center"/>
          </w:tcPr>
          <w:p w:rsidR="00FB0A0F" w:rsidRPr="001205DB" w:rsidRDefault="00FB0A0F" w:rsidP="00704716">
            <w:pPr>
              <w:jc w:val="center"/>
              <w:rPr>
                <w:b/>
                <w:bCs/>
                <w:color w:val="000000"/>
                <w:sz w:val="16"/>
                <w:szCs w:val="16"/>
              </w:rPr>
            </w:pPr>
            <w:r w:rsidRPr="001205DB">
              <w:rPr>
                <w:color w:val="000000"/>
                <w:sz w:val="16"/>
              </w:rPr>
              <w:t>198</w:t>
            </w:r>
          </w:p>
        </w:tc>
        <w:tc>
          <w:tcPr>
            <w:tcW w:w="534" w:type="pct"/>
            <w:tcBorders>
              <w:top w:val="double" w:sz="4" w:space="0" w:color="auto"/>
            </w:tcBorders>
            <w:shd w:val="clear" w:color="auto" w:fill="auto"/>
            <w:vAlign w:val="center"/>
          </w:tcPr>
          <w:p w:rsidR="00FB0A0F" w:rsidRPr="001205DB" w:rsidRDefault="00FB0A0F" w:rsidP="00704716">
            <w:pPr>
              <w:jc w:val="center"/>
              <w:rPr>
                <w:b/>
                <w:bCs/>
                <w:color w:val="000000"/>
                <w:sz w:val="16"/>
                <w:szCs w:val="16"/>
              </w:rPr>
            </w:pPr>
            <w:r w:rsidRPr="001205DB">
              <w:rPr>
                <w:color w:val="000000"/>
                <w:sz w:val="16"/>
              </w:rPr>
              <w:t>214</w:t>
            </w:r>
          </w:p>
        </w:tc>
        <w:tc>
          <w:tcPr>
            <w:tcW w:w="533" w:type="pct"/>
            <w:tcBorders>
              <w:top w:val="double" w:sz="4" w:space="0" w:color="auto"/>
            </w:tcBorders>
            <w:shd w:val="clear" w:color="auto" w:fill="auto"/>
            <w:vAlign w:val="center"/>
          </w:tcPr>
          <w:p w:rsidR="00FB0A0F" w:rsidRPr="001205DB" w:rsidRDefault="00FB0A0F" w:rsidP="00704716">
            <w:pPr>
              <w:jc w:val="center"/>
              <w:rPr>
                <w:b/>
                <w:bCs/>
                <w:color w:val="000000"/>
                <w:sz w:val="16"/>
                <w:szCs w:val="16"/>
              </w:rPr>
            </w:pPr>
            <w:r w:rsidRPr="001205DB">
              <w:rPr>
                <w:color w:val="000000"/>
                <w:sz w:val="16"/>
              </w:rPr>
              <w:t>248</w:t>
            </w:r>
          </w:p>
        </w:tc>
        <w:tc>
          <w:tcPr>
            <w:tcW w:w="468" w:type="pct"/>
            <w:tcBorders>
              <w:top w:val="double" w:sz="4" w:space="0" w:color="auto"/>
            </w:tcBorders>
            <w:shd w:val="clear" w:color="auto" w:fill="auto"/>
            <w:vAlign w:val="center"/>
          </w:tcPr>
          <w:p w:rsidR="00FB0A0F" w:rsidRPr="001205DB" w:rsidRDefault="00FB0A0F" w:rsidP="00704716">
            <w:pPr>
              <w:jc w:val="center"/>
              <w:rPr>
                <w:b/>
                <w:bCs/>
                <w:color w:val="000000"/>
                <w:sz w:val="16"/>
                <w:szCs w:val="16"/>
              </w:rPr>
            </w:pPr>
            <w:r w:rsidRPr="001205DB">
              <w:rPr>
                <w:color w:val="000000"/>
                <w:sz w:val="16"/>
              </w:rPr>
              <w:t>266</w:t>
            </w:r>
          </w:p>
        </w:tc>
        <w:tc>
          <w:tcPr>
            <w:tcW w:w="527" w:type="pct"/>
            <w:tcBorders>
              <w:top w:val="double" w:sz="4" w:space="0" w:color="auto"/>
            </w:tcBorders>
            <w:shd w:val="clear" w:color="auto" w:fill="auto"/>
            <w:vAlign w:val="center"/>
          </w:tcPr>
          <w:p w:rsidR="00FB0A0F" w:rsidRPr="001205DB" w:rsidRDefault="00FB0A0F" w:rsidP="00704716">
            <w:pPr>
              <w:jc w:val="center"/>
              <w:rPr>
                <w:b/>
                <w:bCs/>
                <w:color w:val="000000"/>
                <w:sz w:val="16"/>
                <w:szCs w:val="16"/>
              </w:rPr>
            </w:pPr>
            <w:r w:rsidRPr="001205DB">
              <w:rPr>
                <w:color w:val="000000"/>
                <w:sz w:val="16"/>
              </w:rPr>
              <w:t>285</w:t>
            </w:r>
          </w:p>
        </w:tc>
      </w:tr>
    </w:tbl>
    <w:p w:rsidR="00FB0A0F" w:rsidRPr="001205DB" w:rsidRDefault="00FB0A0F" w:rsidP="00FB0A0F">
      <w:pPr>
        <w:pStyle w:val="Text1"/>
        <w:ind w:left="0"/>
        <w:rPr>
          <w:sz w:val="18"/>
          <w:szCs w:val="18"/>
        </w:rPr>
      </w:pPr>
      <w:r w:rsidRPr="001205DB">
        <w:rPr>
          <w:sz w:val="18"/>
        </w:rPr>
        <w:t>Vajadzības pēc cilvēkresursiem tiks nodrošinātas, izmantojot attiecīgā ģenerāldirektorāta darbiniekus, kuri jau ir iesaistīti konkrētās darbības pārvaldībā un/vai ir pārgrupēti attiecīgajā ģenerāldirektorātā, vajadzības gadījumā izmantojot arī vadošajam ģenerāldirektorātam gada budžeta sadales procedūrā piešķirtus papildu resursus un ņemot vērā budžeta ierobežojumus.</w:t>
      </w:r>
    </w:p>
    <w:p w:rsidR="00FB0A0F" w:rsidRPr="001205DB" w:rsidRDefault="00FB0A0F" w:rsidP="00FB0A0F">
      <w:pPr>
        <w:rPr>
          <w:noProof/>
          <w:sz w:val="20"/>
        </w:rPr>
      </w:pPr>
      <w:r w:rsidRPr="001205DB">
        <w:rPr>
          <w:noProof/>
          <w:sz w:val="20"/>
        </w:rPr>
        <w:t>Veicamo uzdevumu apraksts</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FB0A0F" w:rsidRPr="001205DB" w:rsidTr="00704716">
        <w:tc>
          <w:tcPr>
            <w:tcW w:w="3240" w:type="dxa"/>
          </w:tcPr>
          <w:p w:rsidR="00FB0A0F" w:rsidRPr="001205DB" w:rsidRDefault="00FB0A0F" w:rsidP="00704716">
            <w:pPr>
              <w:rPr>
                <w:noProof/>
                <w:sz w:val="20"/>
              </w:rPr>
            </w:pPr>
            <w:r w:rsidRPr="001205DB">
              <w:rPr>
                <w:noProof/>
                <w:sz w:val="20"/>
              </w:rPr>
              <w:t>Ierēdņi un pagaidu darbinieki</w:t>
            </w:r>
          </w:p>
        </w:tc>
        <w:tc>
          <w:tcPr>
            <w:tcW w:w="7392" w:type="dxa"/>
          </w:tcPr>
          <w:p w:rsidR="00FB0A0F" w:rsidRPr="001205DB" w:rsidRDefault="00FB0A0F" w:rsidP="00704716">
            <w:pPr>
              <w:rPr>
                <w:noProof/>
                <w:sz w:val="20"/>
              </w:rPr>
            </w:pPr>
            <w:r w:rsidRPr="001205DB">
              <w:rPr>
                <w:noProof/>
                <w:sz w:val="20"/>
              </w:rPr>
              <w:t>Visu programmas darbību (dotācijas, iepirkuma līgumi, godalgas utt.) operacionālā un finansiālā pārvaldība</w:t>
            </w:r>
          </w:p>
          <w:p w:rsidR="00FB0A0F" w:rsidRPr="001205DB" w:rsidRDefault="00FB0A0F" w:rsidP="00704716">
            <w:pPr>
              <w:rPr>
                <w:noProof/>
                <w:sz w:val="20"/>
              </w:rPr>
            </w:pPr>
            <w:r w:rsidRPr="001205DB">
              <w:rPr>
                <w:noProof/>
                <w:sz w:val="20"/>
              </w:rPr>
              <w:t>Sinerģijas radīšana un koordinācija ar citām programmām</w:t>
            </w:r>
          </w:p>
          <w:p w:rsidR="00FB0A0F" w:rsidRPr="001205DB" w:rsidRDefault="00FB0A0F" w:rsidP="00704716">
            <w:pPr>
              <w:rPr>
                <w:noProof/>
                <w:sz w:val="20"/>
              </w:rPr>
            </w:pPr>
            <w:r w:rsidRPr="001205DB">
              <w:rPr>
                <w:noProof/>
                <w:sz w:val="20"/>
              </w:rPr>
              <w:t>Uzraudzība un izvērtēšana</w:t>
            </w:r>
          </w:p>
        </w:tc>
      </w:tr>
      <w:tr w:rsidR="00FB0A0F" w:rsidRPr="001205DB" w:rsidTr="00704716">
        <w:tc>
          <w:tcPr>
            <w:tcW w:w="3240" w:type="dxa"/>
          </w:tcPr>
          <w:p w:rsidR="00FB0A0F" w:rsidRPr="001205DB" w:rsidRDefault="00FB0A0F" w:rsidP="00704716">
            <w:pPr>
              <w:spacing w:before="60" w:after="60"/>
              <w:rPr>
                <w:noProof/>
                <w:sz w:val="20"/>
              </w:rPr>
            </w:pPr>
          </w:p>
        </w:tc>
        <w:tc>
          <w:tcPr>
            <w:tcW w:w="7392" w:type="dxa"/>
          </w:tcPr>
          <w:p w:rsidR="00FB0A0F" w:rsidRPr="001205DB" w:rsidRDefault="00FB0A0F" w:rsidP="00704716">
            <w:pPr>
              <w:rPr>
                <w:noProof/>
                <w:sz w:val="20"/>
              </w:rPr>
            </w:pPr>
          </w:p>
        </w:tc>
      </w:tr>
    </w:tbl>
    <w:p w:rsidR="00FB0A0F" w:rsidRPr="001205DB" w:rsidRDefault="00FB0A0F" w:rsidP="00FB0A0F">
      <w:pPr>
        <w:rPr>
          <w:noProof/>
        </w:rPr>
        <w:sectPr w:rsidR="00FB0A0F" w:rsidRPr="001205DB" w:rsidSect="00FE5A09">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rsidR="00FB0A0F" w:rsidRPr="001205DB" w:rsidRDefault="00FB0A0F" w:rsidP="00FB0A0F">
      <w:pPr>
        <w:pStyle w:val="Heading3"/>
        <w:rPr>
          <w:bCs w:val="0"/>
          <w:noProof/>
          <w:szCs w:val="24"/>
        </w:rPr>
      </w:pPr>
      <w:r w:rsidRPr="001205DB">
        <w:lastRenderedPageBreak/>
        <w:t xml:space="preserve">Trešo personu iemaksas </w:t>
      </w:r>
    </w:p>
    <w:p w:rsidR="00FB0A0F" w:rsidRPr="001205DB" w:rsidRDefault="00FB0A0F" w:rsidP="00FB0A0F">
      <w:pPr>
        <w:pStyle w:val="Text1"/>
      </w:pPr>
      <w:r w:rsidRPr="001205DB">
        <w:t>Priekšlikums/iniciatīva:</w:t>
      </w:r>
    </w:p>
    <w:p w:rsidR="00FB0A0F" w:rsidRPr="001205DB" w:rsidRDefault="00FB0A0F" w:rsidP="00FB0A0F">
      <w:pPr>
        <w:pStyle w:val="ListDash1"/>
        <w:rPr>
          <w:noProof/>
        </w:rPr>
      </w:pPr>
      <w:r w:rsidRPr="001205DB">
        <w:rPr>
          <w:noProof/>
        </w:rPr>
        <w:sym w:font="Wingdings" w:char="F0FE"/>
      </w:r>
      <w:r w:rsidRPr="001205DB">
        <w:tab/>
        <w:t>neparedz trešo personu līdzfinansējumu</w:t>
      </w:r>
    </w:p>
    <w:p w:rsidR="00FB0A0F" w:rsidRPr="001205DB" w:rsidRDefault="00FB0A0F" w:rsidP="00FB0A0F">
      <w:pPr>
        <w:pStyle w:val="ListDash1"/>
        <w:rPr>
          <w:noProof/>
        </w:rPr>
      </w:pPr>
      <w:r w:rsidRPr="001205DB">
        <w:rPr>
          <w:noProof/>
        </w:rPr>
        <w:sym w:font="Wingdings" w:char="F0A8"/>
      </w:r>
      <w:r w:rsidRPr="001205DB">
        <w:tab/>
        <w:t>paredz trešo personu sniegtu līdzfinansējumu:</w:t>
      </w:r>
    </w:p>
    <w:p w:rsidR="00FB0A0F" w:rsidRPr="001205DB" w:rsidRDefault="00FB0A0F" w:rsidP="00FB0A0F">
      <w:pPr>
        <w:jc w:val="right"/>
        <w:rPr>
          <w:noProof/>
          <w:sz w:val="20"/>
        </w:rPr>
      </w:pPr>
      <w:r w:rsidRPr="001205DB">
        <w:rPr>
          <w:noProof/>
          <w:sz w:val="20"/>
        </w:rPr>
        <w:t>Apropriācijas miljonos EUR (trīs zīmes aiz komata)</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FB0A0F" w:rsidRPr="001205DB" w:rsidTr="00704716">
        <w:trPr>
          <w:cantSplit/>
          <w:jc w:val="center"/>
        </w:trPr>
        <w:tc>
          <w:tcPr>
            <w:tcW w:w="2340" w:type="dxa"/>
            <w:vAlign w:val="center"/>
          </w:tcPr>
          <w:p w:rsidR="00FB0A0F" w:rsidRPr="001205DB" w:rsidRDefault="00FB0A0F" w:rsidP="00704716">
            <w:pPr>
              <w:spacing w:before="60" w:after="60"/>
              <w:jc w:val="center"/>
              <w:rPr>
                <w:b/>
                <w:noProof/>
                <w:sz w:val="20"/>
              </w:rPr>
            </w:pPr>
            <w:r w:rsidRPr="001205DB">
              <w:rPr>
                <w:b/>
                <w:noProof/>
                <w:sz w:val="20"/>
              </w:rPr>
              <w:t>Gads</w:t>
            </w:r>
          </w:p>
        </w:tc>
        <w:tc>
          <w:tcPr>
            <w:tcW w:w="964" w:type="dxa"/>
            <w:vAlign w:val="center"/>
          </w:tcPr>
          <w:p w:rsidR="00FB0A0F" w:rsidRPr="001205DB" w:rsidRDefault="00FB0A0F" w:rsidP="00704716">
            <w:pPr>
              <w:jc w:val="center"/>
              <w:rPr>
                <w:noProof/>
                <w:sz w:val="20"/>
              </w:rPr>
            </w:pPr>
            <w:r w:rsidRPr="001205DB">
              <w:rPr>
                <w:b/>
                <w:noProof/>
                <w:sz w:val="20"/>
              </w:rPr>
              <w:t>2021</w:t>
            </w:r>
          </w:p>
        </w:tc>
        <w:tc>
          <w:tcPr>
            <w:tcW w:w="964" w:type="dxa"/>
            <w:vAlign w:val="center"/>
          </w:tcPr>
          <w:p w:rsidR="00FB0A0F" w:rsidRPr="001205DB" w:rsidRDefault="00FB0A0F" w:rsidP="00704716">
            <w:pPr>
              <w:jc w:val="center"/>
              <w:rPr>
                <w:b/>
                <w:noProof/>
                <w:sz w:val="20"/>
              </w:rPr>
            </w:pPr>
            <w:r w:rsidRPr="001205DB">
              <w:rPr>
                <w:b/>
                <w:noProof/>
                <w:sz w:val="20"/>
              </w:rPr>
              <w:t>2022</w:t>
            </w:r>
          </w:p>
        </w:tc>
        <w:tc>
          <w:tcPr>
            <w:tcW w:w="964" w:type="dxa"/>
            <w:vAlign w:val="center"/>
          </w:tcPr>
          <w:p w:rsidR="00FB0A0F" w:rsidRPr="001205DB" w:rsidRDefault="00FB0A0F" w:rsidP="00704716">
            <w:pPr>
              <w:jc w:val="center"/>
              <w:rPr>
                <w:b/>
                <w:noProof/>
                <w:sz w:val="20"/>
              </w:rPr>
            </w:pPr>
            <w:r w:rsidRPr="001205DB">
              <w:rPr>
                <w:b/>
                <w:noProof/>
                <w:sz w:val="20"/>
              </w:rPr>
              <w:t>2023</w:t>
            </w:r>
          </w:p>
        </w:tc>
        <w:tc>
          <w:tcPr>
            <w:tcW w:w="964" w:type="dxa"/>
            <w:vAlign w:val="center"/>
          </w:tcPr>
          <w:p w:rsidR="00FB0A0F" w:rsidRPr="001205DB" w:rsidRDefault="00FB0A0F" w:rsidP="00704716">
            <w:pPr>
              <w:jc w:val="center"/>
              <w:rPr>
                <w:b/>
                <w:noProof/>
                <w:sz w:val="20"/>
              </w:rPr>
            </w:pPr>
            <w:r w:rsidRPr="001205DB">
              <w:rPr>
                <w:b/>
                <w:noProof/>
                <w:sz w:val="20"/>
              </w:rPr>
              <w:t>2024</w:t>
            </w:r>
          </w:p>
        </w:tc>
        <w:tc>
          <w:tcPr>
            <w:tcW w:w="964" w:type="dxa"/>
            <w:vAlign w:val="center"/>
          </w:tcPr>
          <w:p w:rsidR="00FB0A0F" w:rsidRPr="001205DB" w:rsidRDefault="00FB0A0F" w:rsidP="00704716">
            <w:pPr>
              <w:jc w:val="center"/>
              <w:rPr>
                <w:b/>
                <w:noProof/>
                <w:sz w:val="20"/>
              </w:rPr>
            </w:pPr>
            <w:r w:rsidRPr="001205DB">
              <w:rPr>
                <w:b/>
                <w:noProof/>
                <w:sz w:val="20"/>
              </w:rPr>
              <w:t>2025</w:t>
            </w:r>
          </w:p>
        </w:tc>
        <w:tc>
          <w:tcPr>
            <w:tcW w:w="964" w:type="dxa"/>
            <w:vAlign w:val="center"/>
          </w:tcPr>
          <w:p w:rsidR="00FB0A0F" w:rsidRPr="001205DB" w:rsidRDefault="00FB0A0F" w:rsidP="00704716">
            <w:pPr>
              <w:jc w:val="center"/>
              <w:rPr>
                <w:b/>
                <w:noProof/>
                <w:sz w:val="20"/>
              </w:rPr>
            </w:pPr>
            <w:r w:rsidRPr="001205DB">
              <w:rPr>
                <w:b/>
                <w:noProof/>
                <w:sz w:val="20"/>
              </w:rPr>
              <w:t>2026</w:t>
            </w:r>
          </w:p>
        </w:tc>
        <w:tc>
          <w:tcPr>
            <w:tcW w:w="964" w:type="dxa"/>
            <w:vAlign w:val="center"/>
          </w:tcPr>
          <w:p w:rsidR="00FB0A0F" w:rsidRPr="001205DB" w:rsidRDefault="00FB0A0F" w:rsidP="00704716">
            <w:pPr>
              <w:jc w:val="center"/>
              <w:rPr>
                <w:b/>
                <w:noProof/>
                <w:sz w:val="20"/>
              </w:rPr>
            </w:pPr>
            <w:r w:rsidRPr="001205DB">
              <w:rPr>
                <w:b/>
                <w:noProof/>
                <w:sz w:val="20"/>
              </w:rPr>
              <w:t>2027</w:t>
            </w:r>
          </w:p>
        </w:tc>
        <w:tc>
          <w:tcPr>
            <w:tcW w:w="1158" w:type="dxa"/>
            <w:vAlign w:val="center"/>
          </w:tcPr>
          <w:p w:rsidR="00FB0A0F" w:rsidRPr="001205DB" w:rsidRDefault="00FB0A0F" w:rsidP="00704716">
            <w:pPr>
              <w:spacing w:before="60" w:after="60"/>
              <w:jc w:val="center"/>
              <w:rPr>
                <w:b/>
                <w:noProof/>
                <w:sz w:val="20"/>
              </w:rPr>
            </w:pPr>
            <w:r w:rsidRPr="001205DB">
              <w:rPr>
                <w:b/>
                <w:noProof/>
                <w:sz w:val="20"/>
              </w:rPr>
              <w:t>KOPĀ</w:t>
            </w:r>
          </w:p>
        </w:tc>
      </w:tr>
      <w:tr w:rsidR="00FB0A0F" w:rsidRPr="001205DB" w:rsidTr="00704716">
        <w:trPr>
          <w:cantSplit/>
          <w:jc w:val="center"/>
        </w:trPr>
        <w:tc>
          <w:tcPr>
            <w:tcW w:w="2340" w:type="dxa"/>
          </w:tcPr>
          <w:p w:rsidR="00FB0A0F" w:rsidRPr="001205DB" w:rsidRDefault="00FB0A0F" w:rsidP="00704716">
            <w:pPr>
              <w:rPr>
                <w:noProof/>
              </w:rPr>
            </w:pPr>
            <w:r w:rsidRPr="001205DB">
              <w:rPr>
                <w:noProof/>
                <w:sz w:val="20"/>
              </w:rPr>
              <w:t>Norādīt līdzfinansētāju struktūru</w:t>
            </w:r>
            <w:r w:rsidRPr="001205DB">
              <w:rPr>
                <w:i/>
                <w:noProof/>
                <w:sz w:val="20"/>
              </w:rPr>
              <w:t xml:space="preserve"> </w:t>
            </w:r>
          </w:p>
        </w:tc>
        <w:tc>
          <w:tcPr>
            <w:tcW w:w="964" w:type="dxa"/>
            <w:vAlign w:val="center"/>
          </w:tcPr>
          <w:p w:rsidR="00FB0A0F" w:rsidRPr="001205DB" w:rsidRDefault="00FB0A0F" w:rsidP="00704716">
            <w:pPr>
              <w:spacing w:before="60" w:after="60"/>
              <w:jc w:val="center"/>
              <w:rPr>
                <w:noProof/>
                <w:sz w:val="20"/>
              </w:rPr>
            </w:pPr>
          </w:p>
        </w:tc>
        <w:tc>
          <w:tcPr>
            <w:tcW w:w="964" w:type="dxa"/>
            <w:vAlign w:val="center"/>
          </w:tcPr>
          <w:p w:rsidR="00FB0A0F" w:rsidRPr="001205DB" w:rsidRDefault="00FB0A0F" w:rsidP="00704716">
            <w:pPr>
              <w:spacing w:before="60" w:after="60"/>
              <w:jc w:val="center"/>
              <w:rPr>
                <w:noProof/>
                <w:sz w:val="20"/>
              </w:rPr>
            </w:pPr>
          </w:p>
        </w:tc>
        <w:tc>
          <w:tcPr>
            <w:tcW w:w="964" w:type="dxa"/>
            <w:vAlign w:val="center"/>
          </w:tcPr>
          <w:p w:rsidR="00FB0A0F" w:rsidRPr="001205DB" w:rsidRDefault="00FB0A0F" w:rsidP="00704716">
            <w:pPr>
              <w:spacing w:before="60" w:after="60"/>
              <w:jc w:val="center"/>
              <w:rPr>
                <w:noProof/>
                <w:sz w:val="20"/>
              </w:rPr>
            </w:pPr>
          </w:p>
        </w:tc>
        <w:tc>
          <w:tcPr>
            <w:tcW w:w="964" w:type="dxa"/>
            <w:vAlign w:val="center"/>
          </w:tcPr>
          <w:p w:rsidR="00FB0A0F" w:rsidRPr="001205DB" w:rsidRDefault="00FB0A0F" w:rsidP="00704716">
            <w:pPr>
              <w:spacing w:before="60" w:after="60"/>
              <w:jc w:val="center"/>
              <w:rPr>
                <w:noProof/>
                <w:sz w:val="20"/>
              </w:rPr>
            </w:pPr>
          </w:p>
        </w:tc>
        <w:tc>
          <w:tcPr>
            <w:tcW w:w="964" w:type="dxa"/>
            <w:vAlign w:val="center"/>
          </w:tcPr>
          <w:p w:rsidR="00FB0A0F" w:rsidRPr="001205DB" w:rsidRDefault="00FB0A0F" w:rsidP="00704716">
            <w:pPr>
              <w:spacing w:before="60" w:after="60"/>
              <w:jc w:val="center"/>
              <w:rPr>
                <w:noProof/>
                <w:sz w:val="20"/>
              </w:rPr>
            </w:pPr>
          </w:p>
        </w:tc>
        <w:tc>
          <w:tcPr>
            <w:tcW w:w="964" w:type="dxa"/>
            <w:vAlign w:val="center"/>
          </w:tcPr>
          <w:p w:rsidR="00FB0A0F" w:rsidRPr="001205DB" w:rsidRDefault="00FB0A0F" w:rsidP="00704716">
            <w:pPr>
              <w:spacing w:before="60" w:after="60"/>
              <w:jc w:val="center"/>
              <w:rPr>
                <w:noProof/>
                <w:sz w:val="20"/>
              </w:rPr>
            </w:pPr>
          </w:p>
        </w:tc>
        <w:tc>
          <w:tcPr>
            <w:tcW w:w="964" w:type="dxa"/>
            <w:vAlign w:val="center"/>
          </w:tcPr>
          <w:p w:rsidR="00FB0A0F" w:rsidRPr="001205DB" w:rsidRDefault="00FB0A0F" w:rsidP="00704716">
            <w:pPr>
              <w:spacing w:before="60" w:after="60"/>
              <w:jc w:val="center"/>
              <w:rPr>
                <w:noProof/>
                <w:sz w:val="20"/>
              </w:rPr>
            </w:pPr>
          </w:p>
        </w:tc>
        <w:tc>
          <w:tcPr>
            <w:tcW w:w="1158" w:type="dxa"/>
            <w:vAlign w:val="center"/>
          </w:tcPr>
          <w:p w:rsidR="00FB0A0F" w:rsidRPr="001205DB" w:rsidRDefault="00FB0A0F" w:rsidP="00704716">
            <w:pPr>
              <w:spacing w:before="60" w:after="60"/>
              <w:jc w:val="center"/>
              <w:rPr>
                <w:noProof/>
                <w:sz w:val="20"/>
              </w:rPr>
            </w:pPr>
          </w:p>
        </w:tc>
      </w:tr>
      <w:tr w:rsidR="00FB0A0F" w:rsidRPr="001205DB" w:rsidTr="00704716">
        <w:trPr>
          <w:cantSplit/>
          <w:jc w:val="center"/>
        </w:trPr>
        <w:tc>
          <w:tcPr>
            <w:tcW w:w="2340" w:type="dxa"/>
          </w:tcPr>
          <w:p w:rsidR="00FB0A0F" w:rsidRPr="001205DB" w:rsidRDefault="00FB0A0F" w:rsidP="00704716">
            <w:pPr>
              <w:spacing w:before="60" w:after="60"/>
              <w:jc w:val="left"/>
              <w:rPr>
                <w:noProof/>
                <w:sz w:val="20"/>
              </w:rPr>
            </w:pPr>
            <w:r w:rsidRPr="001205DB">
              <w:rPr>
                <w:noProof/>
                <w:sz w:val="20"/>
              </w:rPr>
              <w:t xml:space="preserve">KOPĀ līdzfinansētās apropriācijas </w:t>
            </w:r>
          </w:p>
        </w:tc>
        <w:tc>
          <w:tcPr>
            <w:tcW w:w="964" w:type="dxa"/>
            <w:vAlign w:val="center"/>
          </w:tcPr>
          <w:p w:rsidR="00FB0A0F" w:rsidRPr="001205DB" w:rsidRDefault="00FB0A0F" w:rsidP="00704716">
            <w:pPr>
              <w:spacing w:before="60" w:after="60"/>
              <w:jc w:val="center"/>
              <w:rPr>
                <w:noProof/>
                <w:sz w:val="20"/>
              </w:rPr>
            </w:pPr>
          </w:p>
        </w:tc>
        <w:tc>
          <w:tcPr>
            <w:tcW w:w="964" w:type="dxa"/>
            <w:vAlign w:val="center"/>
          </w:tcPr>
          <w:p w:rsidR="00FB0A0F" w:rsidRPr="001205DB" w:rsidRDefault="00FB0A0F" w:rsidP="00704716">
            <w:pPr>
              <w:spacing w:before="60" w:after="60"/>
              <w:jc w:val="center"/>
              <w:rPr>
                <w:noProof/>
                <w:sz w:val="20"/>
              </w:rPr>
            </w:pPr>
          </w:p>
        </w:tc>
        <w:tc>
          <w:tcPr>
            <w:tcW w:w="964" w:type="dxa"/>
            <w:vAlign w:val="center"/>
          </w:tcPr>
          <w:p w:rsidR="00FB0A0F" w:rsidRPr="001205DB" w:rsidRDefault="00FB0A0F" w:rsidP="00704716">
            <w:pPr>
              <w:spacing w:before="60" w:after="60"/>
              <w:jc w:val="center"/>
              <w:rPr>
                <w:noProof/>
                <w:sz w:val="20"/>
              </w:rPr>
            </w:pPr>
          </w:p>
        </w:tc>
        <w:tc>
          <w:tcPr>
            <w:tcW w:w="964" w:type="dxa"/>
            <w:vAlign w:val="center"/>
          </w:tcPr>
          <w:p w:rsidR="00FB0A0F" w:rsidRPr="001205DB" w:rsidRDefault="00FB0A0F" w:rsidP="00704716">
            <w:pPr>
              <w:spacing w:before="60" w:after="60"/>
              <w:jc w:val="center"/>
              <w:rPr>
                <w:noProof/>
                <w:sz w:val="20"/>
              </w:rPr>
            </w:pPr>
          </w:p>
        </w:tc>
        <w:tc>
          <w:tcPr>
            <w:tcW w:w="964" w:type="dxa"/>
            <w:vAlign w:val="center"/>
          </w:tcPr>
          <w:p w:rsidR="00FB0A0F" w:rsidRPr="001205DB" w:rsidRDefault="00FB0A0F" w:rsidP="00704716">
            <w:pPr>
              <w:spacing w:before="60" w:after="60"/>
              <w:jc w:val="center"/>
              <w:rPr>
                <w:noProof/>
                <w:sz w:val="20"/>
              </w:rPr>
            </w:pPr>
          </w:p>
        </w:tc>
        <w:tc>
          <w:tcPr>
            <w:tcW w:w="964" w:type="dxa"/>
            <w:vAlign w:val="center"/>
          </w:tcPr>
          <w:p w:rsidR="00FB0A0F" w:rsidRPr="001205DB" w:rsidRDefault="00FB0A0F" w:rsidP="00704716">
            <w:pPr>
              <w:spacing w:before="60" w:after="60"/>
              <w:jc w:val="center"/>
              <w:rPr>
                <w:noProof/>
                <w:sz w:val="20"/>
              </w:rPr>
            </w:pPr>
          </w:p>
        </w:tc>
        <w:tc>
          <w:tcPr>
            <w:tcW w:w="964" w:type="dxa"/>
            <w:vAlign w:val="center"/>
          </w:tcPr>
          <w:p w:rsidR="00FB0A0F" w:rsidRPr="001205DB" w:rsidRDefault="00FB0A0F" w:rsidP="00704716">
            <w:pPr>
              <w:spacing w:before="60" w:after="60"/>
              <w:jc w:val="center"/>
              <w:rPr>
                <w:noProof/>
                <w:sz w:val="20"/>
              </w:rPr>
            </w:pPr>
          </w:p>
        </w:tc>
        <w:tc>
          <w:tcPr>
            <w:tcW w:w="1158" w:type="dxa"/>
            <w:vAlign w:val="center"/>
          </w:tcPr>
          <w:p w:rsidR="00FB0A0F" w:rsidRPr="001205DB" w:rsidRDefault="00FB0A0F" w:rsidP="00704716">
            <w:pPr>
              <w:spacing w:before="60" w:after="60"/>
              <w:jc w:val="center"/>
              <w:rPr>
                <w:noProof/>
                <w:sz w:val="20"/>
              </w:rPr>
            </w:pPr>
          </w:p>
        </w:tc>
      </w:tr>
    </w:tbl>
    <w:p w:rsidR="00FB0A0F" w:rsidRPr="001205DB" w:rsidRDefault="00FB0A0F" w:rsidP="00FB0A0F">
      <w:pPr>
        <w:rPr>
          <w:noProof/>
        </w:rPr>
      </w:pPr>
    </w:p>
    <w:p w:rsidR="00FB0A0F" w:rsidRPr="001205DB" w:rsidRDefault="00FB0A0F" w:rsidP="00FB0A0F">
      <w:pPr>
        <w:pStyle w:val="Heading2"/>
        <w:rPr>
          <w:bCs w:val="0"/>
          <w:noProof/>
          <w:szCs w:val="24"/>
        </w:rPr>
      </w:pPr>
      <w:r w:rsidRPr="001205DB">
        <w:t xml:space="preserve">Paredzamā ietekme uz ieņēmumiem </w:t>
      </w:r>
    </w:p>
    <w:p w:rsidR="00FB0A0F" w:rsidRPr="001205DB" w:rsidRDefault="00FB0A0F" w:rsidP="00FB0A0F">
      <w:pPr>
        <w:pStyle w:val="ListDash1"/>
        <w:rPr>
          <w:noProof/>
        </w:rPr>
      </w:pPr>
      <w:r w:rsidRPr="001205DB">
        <w:rPr>
          <w:noProof/>
        </w:rPr>
        <w:sym w:font="Wingdings" w:char="F0FE"/>
      </w:r>
      <w:r w:rsidRPr="001205DB">
        <w:tab/>
        <w:t>Priekšlikums/iniciatīva ieņēmumus finansiāli neietekmē.</w:t>
      </w:r>
    </w:p>
    <w:p w:rsidR="00FB0A0F" w:rsidRPr="001205DB" w:rsidRDefault="00FB0A0F" w:rsidP="00FB0A0F">
      <w:pPr>
        <w:pStyle w:val="ListDash1"/>
        <w:rPr>
          <w:noProof/>
        </w:rPr>
      </w:pPr>
      <w:r w:rsidRPr="001205DB">
        <w:rPr>
          <w:noProof/>
        </w:rPr>
        <w:sym w:font="Wingdings" w:char="F0A8"/>
      </w:r>
      <w:r w:rsidRPr="001205DB">
        <w:tab/>
        <w:t>Priekšlikums/iniciatīva finansiāli ietekmē:</w:t>
      </w:r>
    </w:p>
    <w:p w:rsidR="00FB0A0F" w:rsidRPr="001205DB" w:rsidRDefault="00FB0A0F" w:rsidP="00FB0A0F">
      <w:pPr>
        <w:pStyle w:val="ListNumberLevel3"/>
        <w:tabs>
          <w:tab w:val="clear" w:pos="2126"/>
          <w:tab w:val="num" w:pos="1843"/>
        </w:tabs>
        <w:rPr>
          <w:noProof/>
        </w:rPr>
      </w:pPr>
      <w:r w:rsidRPr="001205DB">
        <w:rPr>
          <w:noProof/>
        </w:rPr>
        <w:sym w:font="Wingdings" w:char="F0A8"/>
      </w:r>
      <w:r w:rsidRPr="001205DB">
        <w:tab/>
        <w:t xml:space="preserve">pašu resursus; </w:t>
      </w:r>
    </w:p>
    <w:p w:rsidR="00FB0A0F" w:rsidRPr="001205DB" w:rsidRDefault="00FB0A0F" w:rsidP="00FB0A0F">
      <w:pPr>
        <w:pStyle w:val="ListNumberLevel3"/>
        <w:tabs>
          <w:tab w:val="clear" w:pos="2126"/>
          <w:tab w:val="num" w:pos="1843"/>
        </w:tabs>
        <w:rPr>
          <w:noProof/>
        </w:rPr>
      </w:pPr>
      <w:r w:rsidRPr="001205DB">
        <w:rPr>
          <w:noProof/>
        </w:rPr>
        <w:sym w:font="Wingdings" w:char="F0A8"/>
      </w:r>
      <w:r w:rsidRPr="001205DB">
        <w:tab/>
        <w:t xml:space="preserve"> citus ieņēmumus.</w:t>
      </w:r>
    </w:p>
    <w:p w:rsidR="00FB0A0F" w:rsidRPr="001205DB" w:rsidRDefault="00FB0A0F" w:rsidP="00FB0A0F">
      <w:pPr>
        <w:jc w:val="right"/>
        <w:rPr>
          <w:noProof/>
        </w:rPr>
      </w:pPr>
      <w:r w:rsidRPr="001205DB">
        <w:t xml:space="preserve">      Norādiet, ja ieņēmumi ir piešķirti izdevumu pozīcijām </w:t>
      </w:r>
      <w:r w:rsidRPr="001205DB">
        <w:rPr>
          <w:noProof/>
        </w:rPr>
        <w:sym w:font="Wingdings" w:char="F0A8"/>
      </w:r>
      <w:r w:rsidRPr="001205DB">
        <w:tab/>
      </w:r>
    </w:p>
    <w:p w:rsidR="00FB0A0F" w:rsidRPr="001205DB" w:rsidRDefault="00FB0A0F" w:rsidP="00FB0A0F">
      <w:pPr>
        <w:jc w:val="right"/>
        <w:rPr>
          <w:i/>
          <w:noProof/>
          <w:sz w:val="20"/>
        </w:rPr>
      </w:pPr>
      <w:r w:rsidRPr="001205DB">
        <w:t>miljonos EUR (trīs zīmes aiz komata)</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FB0A0F" w:rsidRPr="001205DB" w:rsidTr="00704716">
        <w:trPr>
          <w:trHeight w:val="388"/>
          <w:jc w:val="center"/>
        </w:trPr>
        <w:tc>
          <w:tcPr>
            <w:tcW w:w="2144" w:type="dxa"/>
            <w:vMerge w:val="restart"/>
            <w:vAlign w:val="center"/>
          </w:tcPr>
          <w:p w:rsidR="00FB0A0F" w:rsidRPr="001205DB" w:rsidRDefault="00FB0A0F" w:rsidP="00704716">
            <w:pPr>
              <w:spacing w:before="40" w:after="40"/>
              <w:rPr>
                <w:noProof/>
                <w:sz w:val="18"/>
              </w:rPr>
            </w:pPr>
            <w:r w:rsidRPr="001205DB">
              <w:rPr>
                <w:noProof/>
                <w:sz w:val="18"/>
              </w:rPr>
              <w:t>Budžeta ieņēmumu pozīcija</w:t>
            </w:r>
          </w:p>
        </w:tc>
        <w:tc>
          <w:tcPr>
            <w:tcW w:w="7200" w:type="dxa"/>
            <w:gridSpan w:val="7"/>
            <w:vAlign w:val="center"/>
          </w:tcPr>
          <w:p w:rsidR="00FB0A0F" w:rsidRPr="001205DB" w:rsidRDefault="00FB0A0F" w:rsidP="00704716">
            <w:pPr>
              <w:jc w:val="center"/>
              <w:rPr>
                <w:noProof/>
                <w:sz w:val="18"/>
              </w:rPr>
            </w:pPr>
            <w:r w:rsidRPr="001205DB">
              <w:rPr>
                <w:noProof/>
                <w:sz w:val="18"/>
              </w:rPr>
              <w:t>Priekšlikuma/iniciatīvas ietekme</w:t>
            </w:r>
            <w:r w:rsidRPr="001205DB">
              <w:rPr>
                <w:rStyle w:val="FootnoteReference"/>
              </w:rPr>
              <w:footnoteReference w:id="55"/>
            </w:r>
          </w:p>
        </w:tc>
      </w:tr>
      <w:tr w:rsidR="00FB0A0F" w:rsidRPr="001205DB" w:rsidTr="00704716">
        <w:trPr>
          <w:trHeight w:val="388"/>
          <w:jc w:val="center"/>
        </w:trPr>
        <w:tc>
          <w:tcPr>
            <w:tcW w:w="2144" w:type="dxa"/>
            <w:vMerge/>
          </w:tcPr>
          <w:p w:rsidR="00FB0A0F" w:rsidRPr="001205DB" w:rsidRDefault="00FB0A0F" w:rsidP="00704716">
            <w:pPr>
              <w:spacing w:before="40" w:after="40"/>
              <w:rPr>
                <w:noProof/>
                <w:sz w:val="18"/>
              </w:rPr>
            </w:pPr>
          </w:p>
        </w:tc>
        <w:tc>
          <w:tcPr>
            <w:tcW w:w="1080" w:type="dxa"/>
            <w:vAlign w:val="center"/>
          </w:tcPr>
          <w:p w:rsidR="00FB0A0F" w:rsidRPr="001205DB" w:rsidRDefault="00FB0A0F" w:rsidP="00704716">
            <w:pPr>
              <w:jc w:val="center"/>
              <w:rPr>
                <w:noProof/>
                <w:sz w:val="18"/>
              </w:rPr>
            </w:pPr>
            <w:r w:rsidRPr="001205DB">
              <w:rPr>
                <w:b/>
                <w:noProof/>
                <w:sz w:val="20"/>
              </w:rPr>
              <w:t>2021</w:t>
            </w:r>
          </w:p>
        </w:tc>
        <w:tc>
          <w:tcPr>
            <w:tcW w:w="900" w:type="dxa"/>
            <w:vAlign w:val="center"/>
          </w:tcPr>
          <w:p w:rsidR="00FB0A0F" w:rsidRPr="001205DB" w:rsidRDefault="00FB0A0F" w:rsidP="00704716">
            <w:pPr>
              <w:jc w:val="center"/>
              <w:rPr>
                <w:b/>
                <w:noProof/>
                <w:sz w:val="20"/>
              </w:rPr>
            </w:pPr>
            <w:r w:rsidRPr="001205DB">
              <w:rPr>
                <w:b/>
                <w:noProof/>
                <w:sz w:val="20"/>
              </w:rPr>
              <w:t>2022</w:t>
            </w:r>
          </w:p>
        </w:tc>
        <w:tc>
          <w:tcPr>
            <w:tcW w:w="900" w:type="dxa"/>
            <w:vAlign w:val="center"/>
          </w:tcPr>
          <w:p w:rsidR="00FB0A0F" w:rsidRPr="001205DB" w:rsidRDefault="00FB0A0F" w:rsidP="00704716">
            <w:pPr>
              <w:jc w:val="center"/>
              <w:rPr>
                <w:b/>
                <w:noProof/>
                <w:sz w:val="20"/>
              </w:rPr>
            </w:pPr>
            <w:r w:rsidRPr="001205DB">
              <w:rPr>
                <w:b/>
                <w:noProof/>
                <w:sz w:val="20"/>
              </w:rPr>
              <w:t>2023</w:t>
            </w:r>
          </w:p>
        </w:tc>
        <w:tc>
          <w:tcPr>
            <w:tcW w:w="1080" w:type="dxa"/>
            <w:vAlign w:val="center"/>
          </w:tcPr>
          <w:p w:rsidR="00FB0A0F" w:rsidRPr="001205DB" w:rsidRDefault="00FB0A0F" w:rsidP="00704716">
            <w:pPr>
              <w:jc w:val="center"/>
              <w:rPr>
                <w:b/>
                <w:noProof/>
                <w:sz w:val="20"/>
              </w:rPr>
            </w:pPr>
            <w:r w:rsidRPr="001205DB">
              <w:rPr>
                <w:b/>
                <w:noProof/>
                <w:sz w:val="20"/>
              </w:rPr>
              <w:t>2024</w:t>
            </w:r>
          </w:p>
        </w:tc>
        <w:tc>
          <w:tcPr>
            <w:tcW w:w="1080" w:type="dxa"/>
            <w:vAlign w:val="center"/>
          </w:tcPr>
          <w:p w:rsidR="00FB0A0F" w:rsidRPr="001205DB" w:rsidRDefault="00FB0A0F" w:rsidP="00704716">
            <w:pPr>
              <w:jc w:val="center"/>
              <w:rPr>
                <w:b/>
                <w:noProof/>
                <w:sz w:val="20"/>
              </w:rPr>
            </w:pPr>
            <w:r w:rsidRPr="001205DB">
              <w:rPr>
                <w:b/>
                <w:noProof/>
                <w:sz w:val="20"/>
              </w:rPr>
              <w:t>2025</w:t>
            </w:r>
          </w:p>
        </w:tc>
        <w:tc>
          <w:tcPr>
            <w:tcW w:w="1080" w:type="dxa"/>
            <w:vAlign w:val="center"/>
          </w:tcPr>
          <w:p w:rsidR="00FB0A0F" w:rsidRPr="001205DB" w:rsidRDefault="00FB0A0F" w:rsidP="00704716">
            <w:pPr>
              <w:jc w:val="center"/>
              <w:rPr>
                <w:b/>
                <w:noProof/>
                <w:sz w:val="20"/>
              </w:rPr>
            </w:pPr>
            <w:r w:rsidRPr="001205DB">
              <w:rPr>
                <w:b/>
                <w:noProof/>
                <w:sz w:val="20"/>
              </w:rPr>
              <w:t>2026</w:t>
            </w:r>
          </w:p>
        </w:tc>
        <w:tc>
          <w:tcPr>
            <w:tcW w:w="1080" w:type="dxa"/>
            <w:vAlign w:val="center"/>
          </w:tcPr>
          <w:p w:rsidR="00FB0A0F" w:rsidRPr="001205DB" w:rsidRDefault="00FB0A0F" w:rsidP="00704716">
            <w:pPr>
              <w:jc w:val="center"/>
              <w:rPr>
                <w:b/>
                <w:noProof/>
                <w:sz w:val="20"/>
              </w:rPr>
            </w:pPr>
            <w:r w:rsidRPr="001205DB">
              <w:rPr>
                <w:b/>
                <w:noProof/>
                <w:sz w:val="20"/>
              </w:rPr>
              <w:t>2027</w:t>
            </w:r>
          </w:p>
        </w:tc>
      </w:tr>
      <w:tr w:rsidR="00FB0A0F" w:rsidRPr="001205DB" w:rsidTr="00704716">
        <w:trPr>
          <w:trHeight w:val="388"/>
          <w:jc w:val="center"/>
        </w:trPr>
        <w:tc>
          <w:tcPr>
            <w:tcW w:w="2144" w:type="dxa"/>
            <w:vAlign w:val="center"/>
          </w:tcPr>
          <w:p w:rsidR="00FB0A0F" w:rsidRPr="001205DB" w:rsidRDefault="00FB0A0F" w:rsidP="00704716">
            <w:pPr>
              <w:spacing w:before="40" w:after="40"/>
              <w:rPr>
                <w:noProof/>
                <w:sz w:val="18"/>
              </w:rPr>
            </w:pPr>
            <w:r w:rsidRPr="001205DB">
              <w:rPr>
                <w:noProof/>
                <w:sz w:val="18"/>
              </w:rPr>
              <w:t>............ pants</w:t>
            </w:r>
          </w:p>
        </w:tc>
        <w:tc>
          <w:tcPr>
            <w:tcW w:w="1080" w:type="dxa"/>
          </w:tcPr>
          <w:p w:rsidR="00FB0A0F" w:rsidRPr="001205DB" w:rsidRDefault="00FB0A0F" w:rsidP="00704716">
            <w:pPr>
              <w:spacing w:beforeLines="40" w:before="96" w:afterLines="40" w:after="96"/>
              <w:jc w:val="center"/>
              <w:rPr>
                <w:noProof/>
                <w:sz w:val="18"/>
              </w:rPr>
            </w:pPr>
          </w:p>
        </w:tc>
        <w:tc>
          <w:tcPr>
            <w:tcW w:w="900" w:type="dxa"/>
          </w:tcPr>
          <w:p w:rsidR="00FB0A0F" w:rsidRPr="001205DB" w:rsidRDefault="00FB0A0F" w:rsidP="00704716">
            <w:pPr>
              <w:spacing w:beforeLines="40" w:before="96" w:afterLines="40" w:after="96"/>
              <w:jc w:val="center"/>
              <w:rPr>
                <w:noProof/>
                <w:sz w:val="18"/>
              </w:rPr>
            </w:pPr>
          </w:p>
        </w:tc>
        <w:tc>
          <w:tcPr>
            <w:tcW w:w="900" w:type="dxa"/>
          </w:tcPr>
          <w:p w:rsidR="00FB0A0F" w:rsidRPr="001205DB" w:rsidRDefault="00FB0A0F" w:rsidP="00704716">
            <w:pPr>
              <w:spacing w:beforeLines="40" w:before="96" w:afterLines="40" w:after="96"/>
              <w:jc w:val="center"/>
              <w:rPr>
                <w:noProof/>
                <w:sz w:val="18"/>
              </w:rPr>
            </w:pPr>
          </w:p>
        </w:tc>
        <w:tc>
          <w:tcPr>
            <w:tcW w:w="1080" w:type="dxa"/>
          </w:tcPr>
          <w:p w:rsidR="00FB0A0F" w:rsidRPr="001205DB" w:rsidRDefault="00FB0A0F" w:rsidP="00704716">
            <w:pPr>
              <w:spacing w:beforeLines="40" w:before="96" w:afterLines="40" w:after="96"/>
              <w:jc w:val="center"/>
              <w:rPr>
                <w:noProof/>
                <w:sz w:val="18"/>
              </w:rPr>
            </w:pPr>
          </w:p>
        </w:tc>
        <w:tc>
          <w:tcPr>
            <w:tcW w:w="1080" w:type="dxa"/>
          </w:tcPr>
          <w:p w:rsidR="00FB0A0F" w:rsidRPr="001205DB" w:rsidRDefault="00FB0A0F" w:rsidP="00704716">
            <w:pPr>
              <w:spacing w:beforeLines="40" w:before="96" w:afterLines="40" w:after="96"/>
              <w:jc w:val="center"/>
              <w:rPr>
                <w:noProof/>
                <w:sz w:val="18"/>
              </w:rPr>
            </w:pPr>
          </w:p>
        </w:tc>
        <w:tc>
          <w:tcPr>
            <w:tcW w:w="1080" w:type="dxa"/>
          </w:tcPr>
          <w:p w:rsidR="00FB0A0F" w:rsidRPr="001205DB" w:rsidRDefault="00FB0A0F" w:rsidP="00704716">
            <w:pPr>
              <w:spacing w:beforeLines="40" w:before="96" w:afterLines="40" w:after="96"/>
              <w:jc w:val="center"/>
              <w:rPr>
                <w:noProof/>
                <w:sz w:val="18"/>
              </w:rPr>
            </w:pPr>
          </w:p>
        </w:tc>
        <w:tc>
          <w:tcPr>
            <w:tcW w:w="1080" w:type="dxa"/>
          </w:tcPr>
          <w:p w:rsidR="00FB0A0F" w:rsidRPr="001205DB" w:rsidRDefault="00FB0A0F" w:rsidP="00704716">
            <w:pPr>
              <w:spacing w:beforeLines="40" w:before="96" w:afterLines="40" w:after="96"/>
              <w:jc w:val="center"/>
              <w:rPr>
                <w:noProof/>
                <w:sz w:val="18"/>
              </w:rPr>
            </w:pPr>
          </w:p>
        </w:tc>
      </w:tr>
    </w:tbl>
    <w:p w:rsidR="00FB0A0F" w:rsidRPr="001205DB" w:rsidRDefault="00FB0A0F" w:rsidP="00FB0A0F">
      <w:pPr>
        <w:pStyle w:val="Text1"/>
        <w:rPr>
          <w:noProof/>
          <w:sz w:val="20"/>
        </w:rPr>
      </w:pPr>
      <w:r w:rsidRPr="001205DB">
        <w:rPr>
          <w:noProof/>
          <w:sz w:val="20"/>
        </w:rPr>
        <w:t>Attiecībā uz piešķirtajiem ieņēmumiem norādīt attiecīgo(-ās) budžeta izdevumu pozīciju(-as).</w:t>
      </w:r>
    </w:p>
    <w:p w:rsidR="00FB0A0F" w:rsidRPr="001205DB" w:rsidRDefault="00FB0A0F" w:rsidP="00FB0A0F">
      <w:pPr>
        <w:pStyle w:val="Text1"/>
        <w:pBdr>
          <w:top w:val="single" w:sz="4" w:space="1" w:color="auto"/>
          <w:left w:val="single" w:sz="4" w:space="4" w:color="auto"/>
          <w:bottom w:val="single" w:sz="4" w:space="1" w:color="auto"/>
          <w:right w:val="single" w:sz="4" w:space="4" w:color="auto"/>
        </w:pBdr>
        <w:rPr>
          <w:noProof/>
        </w:rPr>
      </w:pPr>
    </w:p>
    <w:p w:rsidR="00FB0A0F" w:rsidRPr="001205DB" w:rsidRDefault="00FB0A0F" w:rsidP="00FB0A0F">
      <w:pPr>
        <w:pStyle w:val="Text1"/>
        <w:rPr>
          <w:noProof/>
          <w:sz w:val="20"/>
        </w:rPr>
      </w:pPr>
      <w:r w:rsidRPr="001205DB">
        <w:rPr>
          <w:noProof/>
          <w:sz w:val="20"/>
        </w:rPr>
        <w:t>Citas piezīmes (piem., metode/formula, ko izmanto, lai aprēķinātu ietekmi uz ieņēmumiem, vai jebkura cita informācija).</w:t>
      </w:r>
    </w:p>
    <w:p w:rsidR="00FB0A0F" w:rsidRPr="001205DB" w:rsidRDefault="00FB0A0F" w:rsidP="00B542BC">
      <w:pPr>
        <w:pStyle w:val="Text1"/>
        <w:pBdr>
          <w:top w:val="single" w:sz="4" w:space="1" w:color="auto"/>
          <w:left w:val="single" w:sz="4" w:space="4" w:color="auto"/>
          <w:bottom w:val="single" w:sz="4" w:space="2" w:color="auto"/>
          <w:right w:val="single" w:sz="4" w:space="4" w:color="auto"/>
        </w:pBdr>
        <w:rPr>
          <w:noProof/>
        </w:rPr>
      </w:pPr>
    </w:p>
    <w:p w:rsidR="00FB0A0F" w:rsidRPr="001205DB" w:rsidRDefault="00FB0A0F" w:rsidP="00FB0A0F">
      <w:pPr>
        <w:pStyle w:val="ManualHeading1"/>
      </w:pPr>
    </w:p>
    <w:p w:rsidR="00D75E46" w:rsidRPr="00FE5A09" w:rsidRDefault="00D75E46" w:rsidP="00AD1184">
      <w:pPr>
        <w:pStyle w:val="ManualHeading1"/>
      </w:pPr>
    </w:p>
    <w:sectPr w:rsidR="00D75E46" w:rsidRPr="00FE5A09" w:rsidSect="00FE5A0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469" w:rsidRDefault="00AF4469" w:rsidP="00C5603D">
      <w:pPr>
        <w:spacing w:before="0" w:after="0"/>
      </w:pPr>
      <w:r>
        <w:separator/>
      </w:r>
    </w:p>
  </w:endnote>
  <w:endnote w:type="continuationSeparator" w:id="0">
    <w:p w:rsidR="00AF4469" w:rsidRDefault="00AF4469" w:rsidP="00C5603D">
      <w:pPr>
        <w:spacing w:before="0" w:after="0"/>
      </w:pPr>
      <w:r>
        <w:continuationSeparator/>
      </w:r>
    </w:p>
  </w:endnote>
  <w:endnote w:type="continuationNotice" w:id="1">
    <w:p w:rsidR="00AF4469" w:rsidRDefault="00AF44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DB" w:rsidRPr="00FE5A09" w:rsidRDefault="00FE5A09" w:rsidP="00FE5A09">
    <w:pPr>
      <w:pStyle w:val="Footer"/>
      <w:rPr>
        <w:rFonts w:ascii="Arial" w:hAnsi="Arial" w:cs="Arial"/>
        <w:b/>
        <w:sz w:val="48"/>
      </w:rPr>
    </w:pPr>
    <w:r w:rsidRPr="00FE5A09">
      <w:rPr>
        <w:rFonts w:ascii="Arial" w:hAnsi="Arial" w:cs="Arial"/>
        <w:b/>
        <w:sz w:val="48"/>
      </w:rPr>
      <w:t>LV</w:t>
    </w:r>
    <w:r w:rsidRPr="00FE5A09">
      <w:rPr>
        <w:rFonts w:ascii="Arial" w:hAnsi="Arial" w:cs="Arial"/>
        <w:b/>
        <w:sz w:val="48"/>
      </w:rPr>
      <w:tab/>
    </w:r>
    <w:r w:rsidRPr="00FE5A09">
      <w:rPr>
        <w:rFonts w:ascii="Arial" w:hAnsi="Arial" w:cs="Arial"/>
        <w:b/>
        <w:sz w:val="48"/>
      </w:rPr>
      <w:tab/>
    </w:r>
    <w:r w:rsidRPr="00FE5A09">
      <w:tab/>
    </w:r>
    <w:r w:rsidRPr="00FE5A09">
      <w:rPr>
        <w:rFonts w:ascii="Arial" w:hAnsi="Arial" w:cs="Arial"/>
        <w:b/>
        <w:sz w:val="48"/>
      </w:rPr>
      <w:t>LV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09" w:rsidRPr="00FE5A09" w:rsidRDefault="00FE5A09" w:rsidP="00FE5A09">
    <w:pPr>
      <w:pStyle w:val="Footer"/>
      <w:rPr>
        <w:rFonts w:ascii="Arial" w:hAnsi="Arial" w:cs="Arial"/>
        <w:b/>
        <w:sz w:val="48"/>
      </w:rPr>
    </w:pPr>
    <w:r w:rsidRPr="00FE5A09">
      <w:rPr>
        <w:rFonts w:ascii="Arial" w:hAnsi="Arial" w:cs="Arial"/>
        <w:b/>
        <w:sz w:val="48"/>
      </w:rPr>
      <w:t>LV</w:t>
    </w:r>
    <w:r w:rsidRPr="00FE5A09">
      <w:rPr>
        <w:rFonts w:ascii="Arial" w:hAnsi="Arial" w:cs="Arial"/>
        <w:b/>
        <w:sz w:val="48"/>
      </w:rPr>
      <w:tab/>
    </w:r>
    <w:r>
      <w:fldChar w:fldCharType="begin"/>
    </w:r>
    <w:r>
      <w:instrText xml:space="preserve"> PAGE  \* MERGEFORMAT </w:instrText>
    </w:r>
    <w:r>
      <w:fldChar w:fldCharType="separate"/>
    </w:r>
    <w:r w:rsidR="008249D4">
      <w:rPr>
        <w:noProof/>
      </w:rPr>
      <w:t>26</w:t>
    </w:r>
    <w:r>
      <w:fldChar w:fldCharType="end"/>
    </w:r>
    <w:r>
      <w:tab/>
    </w:r>
    <w:r w:rsidRPr="00FE5A09">
      <w:tab/>
    </w:r>
    <w:r w:rsidRPr="00FE5A09">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09" w:rsidRPr="00FE5A09" w:rsidRDefault="00FE5A09" w:rsidP="00FE5A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09" w:rsidRPr="00FE5A09" w:rsidRDefault="00FE5A09" w:rsidP="00FE5A09">
    <w:pPr>
      <w:pStyle w:val="FooterLandscape"/>
      <w:rPr>
        <w:rFonts w:ascii="Arial" w:hAnsi="Arial" w:cs="Arial"/>
        <w:b/>
        <w:sz w:val="48"/>
      </w:rPr>
    </w:pPr>
    <w:r w:rsidRPr="00FE5A09">
      <w:rPr>
        <w:rFonts w:ascii="Arial" w:hAnsi="Arial" w:cs="Arial"/>
        <w:b/>
        <w:sz w:val="48"/>
      </w:rPr>
      <w:t>LV</w:t>
    </w:r>
    <w:r w:rsidRPr="00FE5A09">
      <w:rPr>
        <w:rFonts w:ascii="Arial" w:hAnsi="Arial" w:cs="Arial"/>
        <w:b/>
        <w:sz w:val="48"/>
      </w:rPr>
      <w:tab/>
    </w:r>
    <w:r>
      <w:fldChar w:fldCharType="begin"/>
    </w:r>
    <w:r>
      <w:instrText xml:space="preserve"> PAGE  \* MERGEFORMAT </w:instrText>
    </w:r>
    <w:r>
      <w:fldChar w:fldCharType="separate"/>
    </w:r>
    <w:r w:rsidR="008249D4">
      <w:rPr>
        <w:noProof/>
      </w:rPr>
      <w:t>43</w:t>
    </w:r>
    <w:r>
      <w:fldChar w:fldCharType="end"/>
    </w:r>
    <w:r>
      <w:tab/>
    </w:r>
    <w:r w:rsidRPr="00FE5A09">
      <w:tab/>
    </w:r>
    <w:r w:rsidRPr="00FE5A09">
      <w:rPr>
        <w:rFonts w:ascii="Arial" w:hAnsi="Arial" w:cs="Arial"/>
        <w:b/>
        <w:sz w:val="48"/>
      </w:rPr>
      <w:t>LV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09" w:rsidRPr="00FE5A09" w:rsidRDefault="00FE5A09" w:rsidP="00FE5A09">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09" w:rsidRPr="00FE5A09" w:rsidRDefault="00FE5A09" w:rsidP="00FE5A09">
    <w:pPr>
      <w:pStyle w:val="Footer"/>
      <w:rPr>
        <w:rFonts w:ascii="Arial" w:hAnsi="Arial" w:cs="Arial"/>
        <w:b/>
        <w:sz w:val="48"/>
      </w:rPr>
    </w:pPr>
    <w:r w:rsidRPr="00FE5A09">
      <w:rPr>
        <w:rFonts w:ascii="Arial" w:hAnsi="Arial" w:cs="Arial"/>
        <w:b/>
        <w:sz w:val="48"/>
      </w:rPr>
      <w:t>LV</w:t>
    </w:r>
    <w:r w:rsidRPr="00FE5A09">
      <w:rPr>
        <w:rFonts w:ascii="Arial" w:hAnsi="Arial" w:cs="Arial"/>
        <w:b/>
        <w:sz w:val="48"/>
      </w:rPr>
      <w:tab/>
    </w:r>
    <w:r>
      <w:fldChar w:fldCharType="begin"/>
    </w:r>
    <w:r>
      <w:instrText xml:space="preserve"> PAGE  \* MERGEFORMAT </w:instrText>
    </w:r>
    <w:r>
      <w:fldChar w:fldCharType="separate"/>
    </w:r>
    <w:r w:rsidR="008249D4">
      <w:rPr>
        <w:noProof/>
      </w:rPr>
      <w:t>46</w:t>
    </w:r>
    <w:r>
      <w:fldChar w:fldCharType="end"/>
    </w:r>
    <w:r>
      <w:tab/>
    </w:r>
    <w:r w:rsidRPr="00FE5A09">
      <w:tab/>
    </w:r>
    <w:r w:rsidRPr="00FE5A09">
      <w:rPr>
        <w:rFonts w:ascii="Arial" w:hAnsi="Arial" w:cs="Arial"/>
        <w:b/>
        <w:sz w:val="48"/>
      </w:rPr>
      <w:t>LV</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09" w:rsidRPr="00FE5A09" w:rsidRDefault="00FE5A09" w:rsidP="00FE5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469" w:rsidRDefault="00AF4469" w:rsidP="00C5603D">
      <w:pPr>
        <w:spacing w:before="0" w:after="0"/>
      </w:pPr>
      <w:r>
        <w:separator/>
      </w:r>
    </w:p>
  </w:footnote>
  <w:footnote w:type="continuationSeparator" w:id="0">
    <w:p w:rsidR="00AF4469" w:rsidRDefault="00AF4469" w:rsidP="00C5603D">
      <w:pPr>
        <w:spacing w:before="0" w:after="0"/>
      </w:pPr>
      <w:r>
        <w:continuationSeparator/>
      </w:r>
    </w:p>
  </w:footnote>
  <w:footnote w:type="continuationNotice" w:id="1">
    <w:p w:rsidR="00AF4469" w:rsidRDefault="00AF4469">
      <w:pPr>
        <w:spacing w:before="0" w:after="0"/>
      </w:pPr>
    </w:p>
  </w:footnote>
  <w:footnote w:id="2">
    <w:p w:rsidR="002E1422" w:rsidRPr="003B21D2" w:rsidRDefault="002E1422">
      <w:pPr>
        <w:pStyle w:val="FootnoteText"/>
      </w:pPr>
      <w:r>
        <w:rPr>
          <w:rStyle w:val="FootnoteReference"/>
        </w:rPr>
        <w:footnoteRef/>
      </w:r>
      <w:r>
        <w:tab/>
        <w:t xml:space="preserve">Eiropas Parlamenta un Padomes 2013. gada 11. decembra Regula (ES) </w:t>
      </w:r>
      <w:proofErr w:type="spellStart"/>
      <w:r>
        <w:t>Nr</w:t>
      </w:r>
      <w:proofErr w:type="spellEnd"/>
      <w:r>
        <w:t>. 1293/2013 par vides un klimata pasākumu programmas (</w:t>
      </w:r>
      <w:r>
        <w:rPr>
          <w:i/>
        </w:rPr>
        <w:t>LIFE</w:t>
      </w:r>
      <w:r>
        <w:t xml:space="preserve">) izveidi un ar ko atceļ Regulu (EK) </w:t>
      </w:r>
      <w:proofErr w:type="spellStart"/>
      <w:r>
        <w:t>Nr</w:t>
      </w:r>
      <w:proofErr w:type="spellEnd"/>
      <w:r>
        <w:t>. 614/2007 (OV L 347, 20.12.2013., 185. </w:t>
      </w:r>
      <w:proofErr w:type="spellStart"/>
      <w:r>
        <w:t>lpp</w:t>
      </w:r>
      <w:proofErr w:type="spellEnd"/>
      <w:r>
        <w:t>.).</w:t>
      </w:r>
    </w:p>
  </w:footnote>
  <w:footnote w:id="3">
    <w:p w:rsidR="002E1422" w:rsidRPr="003B21D2" w:rsidRDefault="002E1422" w:rsidP="00D06047">
      <w:pPr>
        <w:pStyle w:val="FootnoteText"/>
        <w:spacing w:after="60"/>
        <w:rPr>
          <w:szCs w:val="18"/>
        </w:rPr>
      </w:pPr>
      <w:r>
        <w:rPr>
          <w:rStyle w:val="FootnoteReference"/>
        </w:rPr>
        <w:footnoteRef/>
      </w:r>
      <w:r>
        <w:tab/>
      </w:r>
      <w:r>
        <w:t>Ziņojums par vides un klimata pasākumu programmas (</w:t>
      </w:r>
      <w:r>
        <w:rPr>
          <w:i/>
        </w:rPr>
        <w:t>LIFE</w:t>
      </w:r>
      <w:r>
        <w:t xml:space="preserve">) </w:t>
      </w:r>
      <w:proofErr w:type="spellStart"/>
      <w:r>
        <w:t>vidusposma</w:t>
      </w:r>
      <w:proofErr w:type="spellEnd"/>
      <w:r>
        <w:t xml:space="preserve"> novērtējumu (</w:t>
      </w:r>
      <w:hyperlink r:id="rId1">
        <w:r>
          <w:rPr>
            <w:rStyle w:val="Hyperlink"/>
          </w:rPr>
          <w:t xml:space="preserve">SWD(2017) 355 </w:t>
        </w:r>
        <w:proofErr w:type="spellStart"/>
        <w:r>
          <w:rPr>
            <w:rStyle w:val="Hyperlink"/>
          </w:rPr>
          <w:t>final</w:t>
        </w:r>
        <w:proofErr w:type="spellEnd"/>
      </w:hyperlink>
      <w:r>
        <w:t>).</w:t>
      </w:r>
    </w:p>
  </w:footnote>
  <w:footnote w:id="4">
    <w:p w:rsidR="002E1422" w:rsidRPr="00F417BB" w:rsidRDefault="002E1422" w:rsidP="009E29AC">
      <w:pPr>
        <w:pStyle w:val="FootnoteText"/>
      </w:pPr>
      <w:r>
        <w:rPr>
          <w:rStyle w:val="FootnoteReference"/>
        </w:rPr>
        <w:footnoteRef/>
      </w:r>
      <w:r>
        <w:tab/>
      </w:r>
      <w:r>
        <w:t>2016. gada 13. aprīļa Iestāžu nolīgums starp Eiropas Parlamentu, Eiropas Savienības Padomi un Eiropas Komisiju par labāku likumdošanas procesu, OV L 123, 12.5.2016., 1.–14. </w:t>
      </w:r>
      <w:proofErr w:type="spellStart"/>
      <w:r>
        <w:t>lpp</w:t>
      </w:r>
      <w:proofErr w:type="spellEnd"/>
      <w:r>
        <w:t>.</w:t>
      </w:r>
    </w:p>
  </w:footnote>
  <w:footnote w:id="5">
    <w:p w:rsidR="002E1422" w:rsidRPr="00DF20B3" w:rsidRDefault="002E1422">
      <w:pPr>
        <w:pStyle w:val="FootnoteText"/>
        <w:rPr>
          <w:lang w:val="nn-NO"/>
        </w:rPr>
      </w:pPr>
      <w:r>
        <w:rPr>
          <w:rStyle w:val="FootnoteReference"/>
        </w:rPr>
        <w:footnoteRef/>
      </w:r>
      <w:r w:rsidRPr="00DF20B3">
        <w:rPr>
          <w:lang w:val="nn-NO"/>
        </w:rPr>
        <w:tab/>
      </w:r>
      <w:r w:rsidRPr="00DF20B3">
        <w:rPr>
          <w:lang w:val="nn-NO"/>
        </w:rPr>
        <w:t>OV C [...], [...], [...]. </w:t>
      </w:r>
      <w:proofErr w:type="spellStart"/>
      <w:r w:rsidRPr="00DF20B3">
        <w:rPr>
          <w:lang w:val="nn-NO"/>
        </w:rPr>
        <w:t>lpp</w:t>
      </w:r>
      <w:proofErr w:type="spellEnd"/>
      <w:r w:rsidRPr="00DF20B3">
        <w:rPr>
          <w:lang w:val="nn-NO"/>
        </w:rPr>
        <w:t>.</w:t>
      </w:r>
    </w:p>
  </w:footnote>
  <w:footnote w:id="6">
    <w:p w:rsidR="002E1422" w:rsidRPr="00DF20B3" w:rsidRDefault="002E1422">
      <w:pPr>
        <w:pStyle w:val="FootnoteText"/>
        <w:rPr>
          <w:lang w:val="nn-NO"/>
        </w:rPr>
      </w:pPr>
      <w:r>
        <w:rPr>
          <w:rStyle w:val="FootnoteReference"/>
        </w:rPr>
        <w:footnoteRef/>
      </w:r>
      <w:r w:rsidRPr="00DF20B3">
        <w:rPr>
          <w:lang w:val="nn-NO"/>
        </w:rPr>
        <w:tab/>
      </w:r>
      <w:r w:rsidRPr="00DF20B3">
        <w:rPr>
          <w:lang w:val="nn-NO"/>
        </w:rPr>
        <w:t>OV C [...], [...], [...]. </w:t>
      </w:r>
      <w:proofErr w:type="spellStart"/>
      <w:r w:rsidRPr="00DF20B3">
        <w:rPr>
          <w:lang w:val="nn-NO"/>
        </w:rPr>
        <w:t>lpp</w:t>
      </w:r>
      <w:proofErr w:type="spellEnd"/>
      <w:r w:rsidRPr="00DF20B3">
        <w:rPr>
          <w:lang w:val="nn-NO"/>
        </w:rPr>
        <w:t>.</w:t>
      </w:r>
    </w:p>
  </w:footnote>
  <w:footnote w:id="7">
    <w:p w:rsidR="002E1422" w:rsidRPr="00DF20B3" w:rsidRDefault="002E1422" w:rsidP="00BF7927">
      <w:pPr>
        <w:pStyle w:val="FootnoteText"/>
        <w:rPr>
          <w:lang w:val="nn-NO"/>
        </w:rPr>
      </w:pPr>
      <w:r>
        <w:rPr>
          <w:rStyle w:val="FootnoteReference"/>
        </w:rPr>
        <w:footnoteRef/>
      </w:r>
      <w:r w:rsidRPr="00DF20B3">
        <w:rPr>
          <w:lang w:val="nn-NO"/>
        </w:rPr>
        <w:tab/>
      </w:r>
      <w:proofErr w:type="spellStart"/>
      <w:r w:rsidRPr="00DF20B3">
        <w:rPr>
          <w:lang w:val="nn-NO"/>
        </w:rPr>
        <w:t>Eiropas</w:t>
      </w:r>
      <w:proofErr w:type="spellEnd"/>
      <w:r w:rsidRPr="00DF20B3">
        <w:rPr>
          <w:lang w:val="nn-NO"/>
        </w:rPr>
        <w:t xml:space="preserve"> Parlamenta un </w:t>
      </w:r>
      <w:proofErr w:type="spellStart"/>
      <w:r w:rsidRPr="00DF20B3">
        <w:rPr>
          <w:lang w:val="nn-NO"/>
        </w:rPr>
        <w:t>Padomes</w:t>
      </w:r>
      <w:proofErr w:type="spellEnd"/>
      <w:r w:rsidRPr="00DF20B3">
        <w:rPr>
          <w:lang w:val="nn-NO"/>
        </w:rPr>
        <w:t xml:space="preserve"> 2013. </w:t>
      </w:r>
      <w:proofErr w:type="spellStart"/>
      <w:r w:rsidRPr="00DF20B3">
        <w:rPr>
          <w:lang w:val="nn-NO"/>
        </w:rPr>
        <w:t>gada</w:t>
      </w:r>
      <w:proofErr w:type="spellEnd"/>
      <w:r w:rsidRPr="00DF20B3">
        <w:rPr>
          <w:lang w:val="nn-NO"/>
        </w:rPr>
        <w:t xml:space="preserve"> 11. </w:t>
      </w:r>
      <w:proofErr w:type="spellStart"/>
      <w:r w:rsidRPr="00DF20B3">
        <w:rPr>
          <w:lang w:val="nn-NO"/>
        </w:rPr>
        <w:t>decembra</w:t>
      </w:r>
      <w:proofErr w:type="spellEnd"/>
      <w:r w:rsidRPr="00DF20B3">
        <w:rPr>
          <w:lang w:val="nn-NO"/>
        </w:rPr>
        <w:t xml:space="preserve"> Regula (ES) Nr. 1293/2013 par vides un </w:t>
      </w:r>
      <w:proofErr w:type="spellStart"/>
      <w:r w:rsidRPr="00DF20B3">
        <w:rPr>
          <w:lang w:val="nn-NO"/>
        </w:rPr>
        <w:t>klimata</w:t>
      </w:r>
      <w:proofErr w:type="spellEnd"/>
      <w:r w:rsidRPr="00DF20B3">
        <w:rPr>
          <w:lang w:val="nn-NO"/>
        </w:rPr>
        <w:t xml:space="preserve"> </w:t>
      </w:r>
      <w:proofErr w:type="spellStart"/>
      <w:r w:rsidRPr="00DF20B3">
        <w:rPr>
          <w:lang w:val="nn-NO"/>
        </w:rPr>
        <w:t>pasākumu</w:t>
      </w:r>
      <w:proofErr w:type="spellEnd"/>
      <w:r w:rsidRPr="00DF20B3">
        <w:rPr>
          <w:lang w:val="nn-NO"/>
        </w:rPr>
        <w:t xml:space="preserve"> programmas (</w:t>
      </w:r>
      <w:r w:rsidRPr="00DF20B3">
        <w:rPr>
          <w:i/>
          <w:lang w:val="nn-NO"/>
        </w:rPr>
        <w:t>LIFE</w:t>
      </w:r>
      <w:r w:rsidRPr="00DF20B3">
        <w:rPr>
          <w:lang w:val="nn-NO"/>
        </w:rPr>
        <w:t xml:space="preserve">) </w:t>
      </w:r>
      <w:proofErr w:type="spellStart"/>
      <w:r w:rsidRPr="00DF20B3">
        <w:rPr>
          <w:lang w:val="nn-NO"/>
        </w:rPr>
        <w:t>izveidi</w:t>
      </w:r>
      <w:proofErr w:type="spellEnd"/>
      <w:r w:rsidRPr="00DF20B3">
        <w:rPr>
          <w:lang w:val="nn-NO"/>
        </w:rPr>
        <w:t xml:space="preserve"> un ar </w:t>
      </w:r>
      <w:proofErr w:type="spellStart"/>
      <w:r w:rsidRPr="00DF20B3">
        <w:rPr>
          <w:lang w:val="nn-NO"/>
        </w:rPr>
        <w:t>ko</w:t>
      </w:r>
      <w:proofErr w:type="spellEnd"/>
      <w:r w:rsidRPr="00DF20B3">
        <w:rPr>
          <w:lang w:val="nn-NO"/>
        </w:rPr>
        <w:t xml:space="preserve"> </w:t>
      </w:r>
      <w:proofErr w:type="spellStart"/>
      <w:r w:rsidRPr="00DF20B3">
        <w:rPr>
          <w:lang w:val="nn-NO"/>
        </w:rPr>
        <w:t>atceļ</w:t>
      </w:r>
      <w:proofErr w:type="spellEnd"/>
      <w:r w:rsidRPr="00DF20B3">
        <w:rPr>
          <w:lang w:val="nn-NO"/>
        </w:rPr>
        <w:t xml:space="preserve"> </w:t>
      </w:r>
      <w:proofErr w:type="spellStart"/>
      <w:r w:rsidRPr="00DF20B3">
        <w:rPr>
          <w:lang w:val="nn-NO"/>
        </w:rPr>
        <w:t>Regulu</w:t>
      </w:r>
      <w:proofErr w:type="spellEnd"/>
      <w:r w:rsidRPr="00DF20B3">
        <w:rPr>
          <w:lang w:val="nn-NO"/>
        </w:rPr>
        <w:t xml:space="preserve"> (EK) Nr. 614/2007 (OV L 347, 20.12.2013., 185. </w:t>
      </w:r>
      <w:proofErr w:type="spellStart"/>
      <w:r w:rsidRPr="00DF20B3">
        <w:rPr>
          <w:lang w:val="nn-NO"/>
        </w:rPr>
        <w:t>lpp</w:t>
      </w:r>
      <w:proofErr w:type="spellEnd"/>
      <w:r w:rsidRPr="00DF20B3">
        <w:rPr>
          <w:lang w:val="nn-NO"/>
        </w:rPr>
        <w:t xml:space="preserve">.). </w:t>
      </w:r>
    </w:p>
  </w:footnote>
  <w:footnote w:id="8">
    <w:p w:rsidR="002E1422" w:rsidRPr="00DF20B3" w:rsidRDefault="002E1422" w:rsidP="0067576C">
      <w:pPr>
        <w:pStyle w:val="FootnoteText"/>
        <w:spacing w:after="60"/>
        <w:rPr>
          <w:szCs w:val="18"/>
          <w:lang w:val="nn-NO"/>
        </w:rPr>
      </w:pPr>
      <w:r>
        <w:rPr>
          <w:rStyle w:val="FootnoteReference"/>
        </w:rPr>
        <w:footnoteRef/>
      </w:r>
      <w:r w:rsidRPr="00DF20B3">
        <w:rPr>
          <w:lang w:val="nn-NO"/>
        </w:rPr>
        <w:tab/>
      </w:r>
      <w:proofErr w:type="spellStart"/>
      <w:r w:rsidRPr="00DF20B3">
        <w:rPr>
          <w:lang w:val="nn-NO"/>
        </w:rPr>
        <w:t>Ziņojums</w:t>
      </w:r>
      <w:proofErr w:type="spellEnd"/>
      <w:r w:rsidRPr="00DF20B3">
        <w:rPr>
          <w:lang w:val="nn-NO"/>
        </w:rPr>
        <w:t xml:space="preserve"> par vides un </w:t>
      </w:r>
      <w:proofErr w:type="spellStart"/>
      <w:r w:rsidRPr="00DF20B3">
        <w:rPr>
          <w:lang w:val="nn-NO"/>
        </w:rPr>
        <w:t>klimata</w:t>
      </w:r>
      <w:proofErr w:type="spellEnd"/>
      <w:r w:rsidRPr="00DF20B3">
        <w:rPr>
          <w:lang w:val="nn-NO"/>
        </w:rPr>
        <w:t xml:space="preserve"> </w:t>
      </w:r>
      <w:proofErr w:type="spellStart"/>
      <w:r w:rsidRPr="00DF20B3">
        <w:rPr>
          <w:lang w:val="nn-NO"/>
        </w:rPr>
        <w:t>pasākumu</w:t>
      </w:r>
      <w:proofErr w:type="spellEnd"/>
      <w:r w:rsidRPr="00DF20B3">
        <w:rPr>
          <w:lang w:val="nn-NO"/>
        </w:rPr>
        <w:t xml:space="preserve"> programmas (</w:t>
      </w:r>
      <w:r w:rsidRPr="00DF20B3">
        <w:rPr>
          <w:i/>
          <w:lang w:val="nn-NO"/>
        </w:rPr>
        <w:t>LIFE</w:t>
      </w:r>
      <w:r w:rsidRPr="00DF20B3">
        <w:rPr>
          <w:lang w:val="nn-NO"/>
        </w:rPr>
        <w:t xml:space="preserve">) </w:t>
      </w:r>
      <w:proofErr w:type="spellStart"/>
      <w:r w:rsidRPr="00DF20B3">
        <w:rPr>
          <w:lang w:val="nn-NO"/>
        </w:rPr>
        <w:t>vidusposma</w:t>
      </w:r>
      <w:proofErr w:type="spellEnd"/>
      <w:r w:rsidRPr="00DF20B3">
        <w:rPr>
          <w:lang w:val="nn-NO"/>
        </w:rPr>
        <w:t xml:space="preserve"> </w:t>
      </w:r>
      <w:proofErr w:type="spellStart"/>
      <w:r w:rsidRPr="00DF20B3">
        <w:rPr>
          <w:lang w:val="nn-NO"/>
        </w:rPr>
        <w:t>novērtējumu</w:t>
      </w:r>
      <w:proofErr w:type="spellEnd"/>
      <w:r w:rsidRPr="00DF20B3">
        <w:rPr>
          <w:lang w:val="nn-NO"/>
        </w:rPr>
        <w:t xml:space="preserve"> (</w:t>
      </w:r>
      <w:hyperlink r:id="rId2">
        <w:r w:rsidRPr="00DF20B3">
          <w:rPr>
            <w:rStyle w:val="Hyperlink"/>
            <w:lang w:val="nn-NO"/>
          </w:rPr>
          <w:t>SWD(2017) 355 final</w:t>
        </w:r>
      </w:hyperlink>
      <w:r w:rsidRPr="00DF20B3">
        <w:rPr>
          <w:lang w:val="nn-NO"/>
        </w:rPr>
        <w:t>).</w:t>
      </w:r>
    </w:p>
  </w:footnote>
  <w:footnote w:id="9">
    <w:p w:rsidR="002E1422" w:rsidRPr="00DF20B3" w:rsidRDefault="002E1422" w:rsidP="00C662B4">
      <w:pPr>
        <w:pStyle w:val="FootnoteText"/>
        <w:rPr>
          <w:lang w:val="nn-NO"/>
        </w:rPr>
      </w:pPr>
      <w:r>
        <w:rPr>
          <w:rStyle w:val="FootnoteReference"/>
        </w:rPr>
        <w:footnoteRef/>
      </w:r>
      <w:r w:rsidRPr="00DF20B3">
        <w:rPr>
          <w:lang w:val="nn-NO"/>
        </w:rPr>
        <w:tab/>
      </w:r>
      <w:r w:rsidRPr="00DF20B3">
        <w:rPr>
          <w:lang w:val="nn-NO"/>
        </w:rPr>
        <w:t>Programma 2030. </w:t>
      </w:r>
      <w:proofErr w:type="spellStart"/>
      <w:r w:rsidRPr="00DF20B3">
        <w:rPr>
          <w:lang w:val="nn-NO"/>
        </w:rPr>
        <w:t>gadam</w:t>
      </w:r>
      <w:proofErr w:type="spellEnd"/>
      <w:r w:rsidRPr="00DF20B3">
        <w:rPr>
          <w:lang w:val="nn-NO"/>
        </w:rPr>
        <w:t>, ANO ĢA 2015. </w:t>
      </w:r>
      <w:proofErr w:type="spellStart"/>
      <w:r w:rsidRPr="00DF20B3">
        <w:rPr>
          <w:lang w:val="nn-NO"/>
        </w:rPr>
        <w:t>gada</w:t>
      </w:r>
      <w:proofErr w:type="spellEnd"/>
      <w:r w:rsidRPr="00DF20B3">
        <w:rPr>
          <w:lang w:val="nn-NO"/>
        </w:rPr>
        <w:t xml:space="preserve"> 25. </w:t>
      </w:r>
      <w:proofErr w:type="spellStart"/>
      <w:r w:rsidRPr="00DF20B3">
        <w:rPr>
          <w:lang w:val="nn-NO"/>
        </w:rPr>
        <w:t>septembra</w:t>
      </w:r>
      <w:proofErr w:type="spellEnd"/>
      <w:r w:rsidRPr="00DF20B3">
        <w:rPr>
          <w:lang w:val="nn-NO"/>
        </w:rPr>
        <w:t xml:space="preserve"> </w:t>
      </w:r>
      <w:proofErr w:type="spellStart"/>
      <w:r w:rsidRPr="00DF20B3">
        <w:rPr>
          <w:lang w:val="nn-NO"/>
        </w:rPr>
        <w:t>rezolūcija</w:t>
      </w:r>
      <w:proofErr w:type="spellEnd"/>
      <w:r w:rsidRPr="00DF20B3">
        <w:rPr>
          <w:lang w:val="nn-NO"/>
        </w:rPr>
        <w:t>.</w:t>
      </w:r>
    </w:p>
  </w:footnote>
  <w:footnote w:id="10">
    <w:p w:rsidR="002E1422" w:rsidRPr="00DF20B3" w:rsidRDefault="002E1422" w:rsidP="00081FC1">
      <w:pPr>
        <w:pStyle w:val="FootnoteText"/>
        <w:rPr>
          <w:lang w:val="nn-NO"/>
        </w:rPr>
      </w:pPr>
      <w:r>
        <w:rPr>
          <w:rStyle w:val="FootnoteReference"/>
        </w:rPr>
        <w:footnoteRef/>
      </w:r>
      <w:r w:rsidRPr="00DF20B3">
        <w:rPr>
          <w:lang w:val="nn-NO"/>
        </w:rPr>
        <w:tab/>
      </w:r>
      <w:r w:rsidRPr="00DF20B3">
        <w:rPr>
          <w:lang w:val="nn-NO"/>
        </w:rPr>
        <w:t xml:space="preserve">93/626/EEK: </w:t>
      </w:r>
      <w:proofErr w:type="spellStart"/>
      <w:r w:rsidRPr="00DF20B3">
        <w:rPr>
          <w:lang w:val="nn-NO"/>
        </w:rPr>
        <w:t>Padomes</w:t>
      </w:r>
      <w:proofErr w:type="spellEnd"/>
      <w:r w:rsidRPr="00DF20B3">
        <w:rPr>
          <w:lang w:val="nn-NO"/>
        </w:rPr>
        <w:t xml:space="preserve"> 1993. </w:t>
      </w:r>
      <w:proofErr w:type="spellStart"/>
      <w:r w:rsidRPr="00DF20B3">
        <w:rPr>
          <w:lang w:val="nn-NO"/>
        </w:rPr>
        <w:t>gada</w:t>
      </w:r>
      <w:proofErr w:type="spellEnd"/>
      <w:r w:rsidRPr="00DF20B3">
        <w:rPr>
          <w:lang w:val="nn-NO"/>
        </w:rPr>
        <w:t xml:space="preserve"> 25. </w:t>
      </w:r>
      <w:proofErr w:type="spellStart"/>
      <w:r w:rsidRPr="00DF20B3">
        <w:rPr>
          <w:lang w:val="nn-NO"/>
        </w:rPr>
        <w:t>oktobra</w:t>
      </w:r>
      <w:proofErr w:type="spellEnd"/>
      <w:r w:rsidRPr="00DF20B3">
        <w:rPr>
          <w:lang w:val="nn-NO"/>
        </w:rPr>
        <w:t xml:space="preserve"> </w:t>
      </w:r>
      <w:proofErr w:type="spellStart"/>
      <w:r w:rsidRPr="00DF20B3">
        <w:rPr>
          <w:lang w:val="nn-NO"/>
        </w:rPr>
        <w:t>Lēmums</w:t>
      </w:r>
      <w:proofErr w:type="spellEnd"/>
      <w:r w:rsidRPr="00DF20B3">
        <w:rPr>
          <w:lang w:val="nn-NO"/>
        </w:rPr>
        <w:t xml:space="preserve">, kas </w:t>
      </w:r>
      <w:proofErr w:type="spellStart"/>
      <w:r w:rsidRPr="00DF20B3">
        <w:rPr>
          <w:lang w:val="nn-NO"/>
        </w:rPr>
        <w:t>attiecas</w:t>
      </w:r>
      <w:proofErr w:type="spellEnd"/>
      <w:r w:rsidRPr="00DF20B3">
        <w:rPr>
          <w:lang w:val="nn-NO"/>
        </w:rPr>
        <w:t xml:space="preserve"> </w:t>
      </w:r>
      <w:proofErr w:type="spellStart"/>
      <w:r w:rsidRPr="00DF20B3">
        <w:rPr>
          <w:lang w:val="nn-NO"/>
        </w:rPr>
        <w:t>uz</w:t>
      </w:r>
      <w:proofErr w:type="spellEnd"/>
      <w:r w:rsidRPr="00DF20B3">
        <w:rPr>
          <w:lang w:val="nn-NO"/>
        </w:rPr>
        <w:t xml:space="preserve"> </w:t>
      </w:r>
      <w:proofErr w:type="spellStart"/>
      <w:r w:rsidRPr="00DF20B3">
        <w:rPr>
          <w:lang w:val="nn-NO"/>
        </w:rPr>
        <w:t>Konvencijas</w:t>
      </w:r>
      <w:proofErr w:type="spellEnd"/>
      <w:r w:rsidRPr="00DF20B3">
        <w:rPr>
          <w:lang w:val="nn-NO"/>
        </w:rPr>
        <w:t xml:space="preserve"> par </w:t>
      </w:r>
      <w:proofErr w:type="spellStart"/>
      <w:r w:rsidRPr="00DF20B3">
        <w:rPr>
          <w:lang w:val="nn-NO"/>
        </w:rPr>
        <w:t>bioloģisko</w:t>
      </w:r>
      <w:proofErr w:type="spellEnd"/>
      <w:r w:rsidRPr="00DF20B3">
        <w:rPr>
          <w:lang w:val="nn-NO"/>
        </w:rPr>
        <w:t xml:space="preserve"> </w:t>
      </w:r>
      <w:proofErr w:type="spellStart"/>
      <w:r w:rsidRPr="00DF20B3">
        <w:rPr>
          <w:lang w:val="nn-NO"/>
        </w:rPr>
        <w:t>daudzveidību</w:t>
      </w:r>
      <w:proofErr w:type="spellEnd"/>
      <w:r w:rsidRPr="00DF20B3">
        <w:rPr>
          <w:lang w:val="nn-NO"/>
        </w:rPr>
        <w:t xml:space="preserve"> </w:t>
      </w:r>
      <w:proofErr w:type="spellStart"/>
      <w:r w:rsidRPr="00DF20B3">
        <w:rPr>
          <w:lang w:val="nn-NO"/>
        </w:rPr>
        <w:t>noslēgšanu</w:t>
      </w:r>
      <w:proofErr w:type="spellEnd"/>
      <w:r w:rsidRPr="00DF20B3">
        <w:rPr>
          <w:lang w:val="nn-NO"/>
        </w:rPr>
        <w:t xml:space="preserve"> (OV L 309, 13.12.1993., 1. </w:t>
      </w:r>
      <w:proofErr w:type="spellStart"/>
      <w:r w:rsidRPr="00DF20B3">
        <w:rPr>
          <w:lang w:val="nn-NO"/>
        </w:rPr>
        <w:t>lpp</w:t>
      </w:r>
      <w:proofErr w:type="spellEnd"/>
      <w:r w:rsidRPr="00DF20B3">
        <w:rPr>
          <w:lang w:val="nn-NO"/>
        </w:rPr>
        <w:t>.).</w:t>
      </w:r>
    </w:p>
  </w:footnote>
  <w:footnote w:id="11">
    <w:p w:rsidR="002E1422" w:rsidRPr="00833689" w:rsidRDefault="002E1422" w:rsidP="00C662B4">
      <w:pPr>
        <w:pStyle w:val="FootnoteText"/>
        <w:rPr>
          <w:lang w:val="lt-LT"/>
        </w:rPr>
      </w:pPr>
      <w:r>
        <w:rPr>
          <w:rStyle w:val="FootnoteReference"/>
        </w:rPr>
        <w:footnoteRef/>
      </w:r>
      <w:r w:rsidRPr="00DF20B3">
        <w:rPr>
          <w:lang w:val="pt-PT"/>
        </w:rPr>
        <w:tab/>
        <w:t>OV L 282, 19.10.2016., 4. </w:t>
      </w:r>
      <w:proofErr w:type="spellStart"/>
      <w:proofErr w:type="gramStart"/>
      <w:r w:rsidRPr="00DF20B3">
        <w:rPr>
          <w:lang w:val="pt-PT"/>
        </w:rPr>
        <w:t>lpp</w:t>
      </w:r>
      <w:proofErr w:type="spellEnd"/>
      <w:proofErr w:type="gramEnd"/>
      <w:r w:rsidRPr="00DF20B3">
        <w:rPr>
          <w:lang w:val="pt-PT"/>
        </w:rPr>
        <w:t>.</w:t>
      </w:r>
    </w:p>
  </w:footnote>
  <w:footnote w:id="12">
    <w:p w:rsidR="002E1422" w:rsidRPr="00DF20B3" w:rsidRDefault="002E1422" w:rsidP="00420329">
      <w:pPr>
        <w:pStyle w:val="FootnoteText"/>
        <w:rPr>
          <w:lang w:val="pt-PT"/>
        </w:rPr>
      </w:pPr>
      <w:r>
        <w:rPr>
          <w:rStyle w:val="FootnoteReference"/>
        </w:rPr>
        <w:footnoteRef/>
      </w:r>
      <w:r w:rsidRPr="00DF20B3">
        <w:rPr>
          <w:lang w:val="pt-PT"/>
        </w:rPr>
        <w:tab/>
      </w:r>
      <w:proofErr w:type="gramStart"/>
      <w:r w:rsidRPr="00DF20B3">
        <w:rPr>
          <w:lang w:val="pt-PT"/>
        </w:rPr>
        <w:t>COM(2015</w:t>
      </w:r>
      <w:proofErr w:type="gramEnd"/>
      <w:r w:rsidRPr="00DF20B3">
        <w:rPr>
          <w:lang w:val="pt-PT"/>
        </w:rPr>
        <w:t>) 614 final, 2.12.2015.</w:t>
      </w:r>
    </w:p>
  </w:footnote>
  <w:footnote w:id="13">
    <w:p w:rsidR="002E1422" w:rsidRPr="00DF20B3" w:rsidRDefault="002E1422" w:rsidP="00420329">
      <w:pPr>
        <w:pStyle w:val="FootnoteText"/>
        <w:rPr>
          <w:lang w:val="sv-SE"/>
        </w:rPr>
      </w:pPr>
      <w:r>
        <w:rPr>
          <w:rStyle w:val="FootnoteReference"/>
        </w:rPr>
        <w:footnoteRef/>
      </w:r>
      <w:r w:rsidRPr="00DF20B3">
        <w:rPr>
          <w:lang w:val="sv-SE"/>
        </w:rPr>
        <w:tab/>
        <w:t>“</w:t>
      </w:r>
      <w:proofErr w:type="spellStart"/>
      <w:r w:rsidRPr="00DF20B3">
        <w:rPr>
          <w:lang w:val="sv-SE"/>
        </w:rPr>
        <w:t>Klimata</w:t>
      </w:r>
      <w:proofErr w:type="spellEnd"/>
      <w:r w:rsidRPr="00DF20B3">
        <w:rPr>
          <w:lang w:val="sv-SE"/>
        </w:rPr>
        <w:t xml:space="preserve"> </w:t>
      </w:r>
      <w:proofErr w:type="spellStart"/>
      <w:r w:rsidRPr="00DF20B3">
        <w:rPr>
          <w:lang w:val="sv-SE"/>
        </w:rPr>
        <w:t>un</w:t>
      </w:r>
      <w:proofErr w:type="spellEnd"/>
      <w:r w:rsidRPr="00DF20B3">
        <w:rPr>
          <w:lang w:val="sv-SE"/>
        </w:rPr>
        <w:t xml:space="preserve"> </w:t>
      </w:r>
      <w:proofErr w:type="spellStart"/>
      <w:r w:rsidRPr="00DF20B3">
        <w:rPr>
          <w:lang w:val="sv-SE"/>
        </w:rPr>
        <w:t>enerģētikas</w:t>
      </w:r>
      <w:proofErr w:type="spellEnd"/>
      <w:r w:rsidRPr="00DF20B3">
        <w:rPr>
          <w:lang w:val="sv-SE"/>
        </w:rPr>
        <w:t xml:space="preserve"> politikas </w:t>
      </w:r>
      <w:proofErr w:type="spellStart"/>
      <w:r w:rsidRPr="00DF20B3">
        <w:rPr>
          <w:lang w:val="sv-SE"/>
        </w:rPr>
        <w:t>satvars</w:t>
      </w:r>
      <w:proofErr w:type="spellEnd"/>
      <w:r w:rsidRPr="00DF20B3">
        <w:rPr>
          <w:lang w:val="sv-SE"/>
        </w:rPr>
        <w:t xml:space="preserve"> 2030. </w:t>
      </w:r>
      <w:proofErr w:type="spellStart"/>
      <w:r w:rsidRPr="00DF20B3">
        <w:rPr>
          <w:lang w:val="sv-SE"/>
        </w:rPr>
        <w:t>gadam</w:t>
      </w:r>
      <w:proofErr w:type="spellEnd"/>
      <w:r w:rsidRPr="00DF20B3">
        <w:rPr>
          <w:lang w:val="sv-SE"/>
        </w:rPr>
        <w:t>”, COM(2014) 15, 22.1.2014.</w:t>
      </w:r>
    </w:p>
  </w:footnote>
  <w:footnote w:id="14">
    <w:p w:rsidR="002E1422" w:rsidRPr="00DF20B3" w:rsidRDefault="002E1422" w:rsidP="00420329">
      <w:pPr>
        <w:pStyle w:val="FootnoteText"/>
        <w:rPr>
          <w:lang w:val="sv-SE"/>
        </w:rPr>
      </w:pPr>
      <w:r>
        <w:rPr>
          <w:rStyle w:val="FootnoteReference"/>
        </w:rPr>
        <w:footnoteRef/>
      </w:r>
      <w:r w:rsidRPr="00DF20B3">
        <w:rPr>
          <w:lang w:val="sv-SE"/>
        </w:rPr>
        <w:tab/>
        <w:t>“</w:t>
      </w:r>
      <w:proofErr w:type="spellStart"/>
      <w:r w:rsidRPr="00DF20B3">
        <w:rPr>
          <w:lang w:val="sv-SE"/>
        </w:rPr>
        <w:t>Pielāgošanās</w:t>
      </w:r>
      <w:proofErr w:type="spellEnd"/>
      <w:r w:rsidRPr="00DF20B3">
        <w:rPr>
          <w:lang w:val="sv-SE"/>
        </w:rPr>
        <w:t xml:space="preserve"> </w:t>
      </w:r>
      <w:proofErr w:type="spellStart"/>
      <w:r w:rsidRPr="00DF20B3">
        <w:rPr>
          <w:lang w:val="sv-SE"/>
        </w:rPr>
        <w:t>klimata</w:t>
      </w:r>
      <w:proofErr w:type="spellEnd"/>
      <w:r w:rsidRPr="00DF20B3">
        <w:rPr>
          <w:lang w:val="sv-SE"/>
        </w:rPr>
        <w:t xml:space="preserve"> </w:t>
      </w:r>
      <w:proofErr w:type="spellStart"/>
      <w:r w:rsidRPr="00DF20B3">
        <w:rPr>
          <w:lang w:val="sv-SE"/>
        </w:rPr>
        <w:t>pārmaiņām</w:t>
      </w:r>
      <w:proofErr w:type="spellEnd"/>
      <w:r w:rsidRPr="00DF20B3">
        <w:rPr>
          <w:lang w:val="sv-SE"/>
        </w:rPr>
        <w:t xml:space="preserve">: ES </w:t>
      </w:r>
      <w:proofErr w:type="spellStart"/>
      <w:r w:rsidRPr="00DF20B3">
        <w:rPr>
          <w:lang w:val="sv-SE"/>
        </w:rPr>
        <w:t>stratēģija</w:t>
      </w:r>
      <w:proofErr w:type="spellEnd"/>
      <w:r w:rsidRPr="00DF20B3">
        <w:rPr>
          <w:lang w:val="sv-SE"/>
        </w:rPr>
        <w:t>”, COM(2013) 216, 16.4.2013.</w:t>
      </w:r>
    </w:p>
  </w:footnote>
  <w:footnote w:id="15">
    <w:p w:rsidR="002E1422" w:rsidRPr="00DF20B3" w:rsidRDefault="002E1422" w:rsidP="00420329">
      <w:pPr>
        <w:pStyle w:val="FootnoteText"/>
        <w:rPr>
          <w:lang w:val="sv-SE"/>
        </w:rPr>
      </w:pPr>
      <w:r>
        <w:rPr>
          <w:rStyle w:val="FootnoteReference"/>
        </w:rPr>
        <w:footnoteRef/>
      </w:r>
      <w:r w:rsidRPr="00DF20B3">
        <w:rPr>
          <w:lang w:val="sv-SE"/>
        </w:rPr>
        <w:tab/>
      </w:r>
      <w:proofErr w:type="spellStart"/>
      <w:r w:rsidRPr="00DF20B3">
        <w:rPr>
          <w:lang w:val="sv-SE"/>
        </w:rPr>
        <w:t>Pakete</w:t>
      </w:r>
      <w:proofErr w:type="spellEnd"/>
      <w:r w:rsidRPr="00DF20B3">
        <w:rPr>
          <w:lang w:val="sv-SE"/>
        </w:rPr>
        <w:t xml:space="preserve"> “</w:t>
      </w:r>
      <w:proofErr w:type="spellStart"/>
      <w:r w:rsidRPr="00DF20B3">
        <w:rPr>
          <w:lang w:val="sv-SE"/>
        </w:rPr>
        <w:t>Tīru</w:t>
      </w:r>
      <w:proofErr w:type="spellEnd"/>
      <w:r w:rsidRPr="00DF20B3">
        <w:rPr>
          <w:lang w:val="sv-SE"/>
        </w:rPr>
        <w:t xml:space="preserve"> </w:t>
      </w:r>
      <w:proofErr w:type="spellStart"/>
      <w:r w:rsidRPr="00DF20B3">
        <w:rPr>
          <w:lang w:val="sv-SE"/>
        </w:rPr>
        <w:t>enerģiju</w:t>
      </w:r>
      <w:proofErr w:type="spellEnd"/>
      <w:r w:rsidRPr="00DF20B3">
        <w:rPr>
          <w:lang w:val="sv-SE"/>
        </w:rPr>
        <w:t xml:space="preserve"> </w:t>
      </w:r>
      <w:proofErr w:type="spellStart"/>
      <w:r w:rsidRPr="00DF20B3">
        <w:rPr>
          <w:lang w:val="sv-SE"/>
        </w:rPr>
        <w:t>ikvienam</w:t>
      </w:r>
      <w:proofErr w:type="spellEnd"/>
      <w:r w:rsidRPr="00DF20B3">
        <w:rPr>
          <w:lang w:val="sv-SE"/>
        </w:rPr>
        <w:t xml:space="preserve"> </w:t>
      </w:r>
      <w:proofErr w:type="spellStart"/>
      <w:r w:rsidRPr="00DF20B3">
        <w:rPr>
          <w:lang w:val="sv-SE"/>
        </w:rPr>
        <w:t>Eiropā</w:t>
      </w:r>
      <w:proofErr w:type="spellEnd"/>
      <w:r w:rsidRPr="00DF20B3">
        <w:rPr>
          <w:lang w:val="sv-SE"/>
        </w:rPr>
        <w:t>”, COM(2016) 860, 30.11.2016.</w:t>
      </w:r>
    </w:p>
  </w:footnote>
  <w:footnote w:id="16">
    <w:p w:rsidR="002E1422" w:rsidRPr="00DF20B3" w:rsidRDefault="002E1422" w:rsidP="00420329">
      <w:pPr>
        <w:pStyle w:val="FootnoteText"/>
        <w:rPr>
          <w:lang w:val="sv-SE"/>
        </w:rPr>
      </w:pPr>
      <w:r>
        <w:rPr>
          <w:rStyle w:val="FootnoteReference"/>
        </w:rPr>
        <w:footnoteRef/>
      </w:r>
      <w:r w:rsidRPr="00DF20B3">
        <w:rPr>
          <w:lang w:val="sv-SE"/>
        </w:rPr>
        <w:tab/>
        <w:t>“</w:t>
      </w:r>
      <w:proofErr w:type="spellStart"/>
      <w:r w:rsidRPr="00DF20B3">
        <w:rPr>
          <w:lang w:val="sv-SE"/>
        </w:rPr>
        <w:t>Rīcības</w:t>
      </w:r>
      <w:proofErr w:type="spellEnd"/>
      <w:r w:rsidRPr="00DF20B3">
        <w:rPr>
          <w:lang w:val="sv-SE"/>
        </w:rPr>
        <w:t xml:space="preserve"> </w:t>
      </w:r>
      <w:proofErr w:type="spellStart"/>
      <w:r w:rsidRPr="00DF20B3">
        <w:rPr>
          <w:lang w:val="sv-SE"/>
        </w:rPr>
        <w:t>plāns</w:t>
      </w:r>
      <w:proofErr w:type="spellEnd"/>
      <w:r w:rsidRPr="00DF20B3">
        <w:rPr>
          <w:lang w:val="sv-SE"/>
        </w:rPr>
        <w:t xml:space="preserve"> </w:t>
      </w:r>
      <w:proofErr w:type="spellStart"/>
      <w:r w:rsidRPr="00DF20B3">
        <w:rPr>
          <w:lang w:val="sv-SE"/>
        </w:rPr>
        <w:t>dabai</w:t>
      </w:r>
      <w:proofErr w:type="spellEnd"/>
      <w:r w:rsidRPr="00DF20B3">
        <w:rPr>
          <w:lang w:val="sv-SE"/>
        </w:rPr>
        <w:t xml:space="preserve">, </w:t>
      </w:r>
      <w:proofErr w:type="spellStart"/>
      <w:r w:rsidRPr="00DF20B3">
        <w:rPr>
          <w:lang w:val="sv-SE"/>
        </w:rPr>
        <w:t>cilvēkam</w:t>
      </w:r>
      <w:proofErr w:type="spellEnd"/>
      <w:r w:rsidRPr="00DF20B3">
        <w:rPr>
          <w:lang w:val="sv-SE"/>
        </w:rPr>
        <w:t xml:space="preserve"> </w:t>
      </w:r>
      <w:proofErr w:type="spellStart"/>
      <w:r w:rsidRPr="00DF20B3">
        <w:rPr>
          <w:lang w:val="sv-SE"/>
        </w:rPr>
        <w:t>un</w:t>
      </w:r>
      <w:proofErr w:type="spellEnd"/>
      <w:r w:rsidRPr="00DF20B3">
        <w:rPr>
          <w:lang w:val="sv-SE"/>
        </w:rPr>
        <w:t xml:space="preserve"> </w:t>
      </w:r>
      <w:proofErr w:type="spellStart"/>
      <w:r w:rsidRPr="00DF20B3">
        <w:rPr>
          <w:lang w:val="sv-SE"/>
        </w:rPr>
        <w:t>ekonomikai</w:t>
      </w:r>
      <w:proofErr w:type="spellEnd"/>
      <w:r w:rsidRPr="00DF20B3">
        <w:rPr>
          <w:lang w:val="sv-SE"/>
        </w:rPr>
        <w:t>”, COM(2017) 198, 27.4.2017.</w:t>
      </w:r>
    </w:p>
  </w:footnote>
  <w:footnote w:id="17">
    <w:p w:rsidR="002E1422" w:rsidRPr="00DF20B3" w:rsidRDefault="002E1422" w:rsidP="00420329">
      <w:pPr>
        <w:pStyle w:val="FootnoteText"/>
        <w:rPr>
          <w:lang w:val="pt-PT"/>
        </w:rPr>
      </w:pPr>
      <w:r>
        <w:rPr>
          <w:rStyle w:val="FootnoteReference"/>
        </w:rPr>
        <w:footnoteRef/>
      </w:r>
      <w:r w:rsidRPr="00DF20B3">
        <w:rPr>
          <w:lang w:val="pt-PT"/>
        </w:rPr>
        <w:tab/>
      </w:r>
      <w:proofErr w:type="spellStart"/>
      <w:r w:rsidRPr="00DF20B3">
        <w:rPr>
          <w:lang w:val="pt-PT"/>
        </w:rPr>
        <w:t>Programma</w:t>
      </w:r>
      <w:proofErr w:type="spellEnd"/>
      <w:r w:rsidRPr="00DF20B3">
        <w:rPr>
          <w:lang w:val="pt-PT"/>
        </w:rPr>
        <w:t xml:space="preserve"> “</w:t>
      </w:r>
      <w:proofErr w:type="spellStart"/>
      <w:r w:rsidRPr="00DF20B3">
        <w:rPr>
          <w:lang w:val="pt-PT"/>
        </w:rPr>
        <w:t>Tīru</w:t>
      </w:r>
      <w:proofErr w:type="spellEnd"/>
      <w:r w:rsidRPr="00DF20B3">
        <w:rPr>
          <w:lang w:val="pt-PT"/>
        </w:rPr>
        <w:t xml:space="preserve"> </w:t>
      </w:r>
      <w:proofErr w:type="spellStart"/>
      <w:r w:rsidRPr="00DF20B3">
        <w:rPr>
          <w:lang w:val="pt-PT"/>
        </w:rPr>
        <w:t>gaisu</w:t>
      </w:r>
      <w:proofErr w:type="spellEnd"/>
      <w:r w:rsidRPr="00DF20B3">
        <w:rPr>
          <w:lang w:val="pt-PT"/>
        </w:rPr>
        <w:t xml:space="preserve"> </w:t>
      </w:r>
      <w:proofErr w:type="spellStart"/>
      <w:r w:rsidRPr="00DF20B3">
        <w:rPr>
          <w:lang w:val="pt-PT"/>
        </w:rPr>
        <w:t>Eiropā</w:t>
      </w:r>
      <w:proofErr w:type="spellEnd"/>
      <w:r w:rsidRPr="00DF20B3">
        <w:rPr>
          <w:lang w:val="pt-PT"/>
        </w:rPr>
        <w:t xml:space="preserve">”, </w:t>
      </w:r>
      <w:proofErr w:type="gramStart"/>
      <w:r w:rsidRPr="00DF20B3">
        <w:rPr>
          <w:lang w:val="pt-PT"/>
        </w:rPr>
        <w:t>COM(2013</w:t>
      </w:r>
      <w:proofErr w:type="gramEnd"/>
      <w:r w:rsidRPr="00DF20B3">
        <w:rPr>
          <w:lang w:val="pt-PT"/>
        </w:rPr>
        <w:t>) 918.</w:t>
      </w:r>
    </w:p>
  </w:footnote>
  <w:footnote w:id="18">
    <w:p w:rsidR="002E1422" w:rsidRPr="00FC3402" w:rsidRDefault="002E1422" w:rsidP="00420329">
      <w:pPr>
        <w:pStyle w:val="FootnoteText"/>
        <w:rPr>
          <w:lang w:val="lt-LT"/>
        </w:rPr>
      </w:pPr>
      <w:r>
        <w:rPr>
          <w:rStyle w:val="FootnoteReference"/>
        </w:rPr>
        <w:footnoteRef/>
      </w:r>
      <w:r w:rsidRPr="00DF20B3">
        <w:rPr>
          <w:lang w:val="pt-PT"/>
        </w:rPr>
        <w:tab/>
      </w:r>
      <w:proofErr w:type="spellStart"/>
      <w:r w:rsidRPr="00DF20B3">
        <w:rPr>
          <w:lang w:val="pt-PT"/>
        </w:rPr>
        <w:t>Eiropas</w:t>
      </w:r>
      <w:proofErr w:type="spellEnd"/>
      <w:r w:rsidRPr="00DF20B3">
        <w:rPr>
          <w:lang w:val="pt-PT"/>
        </w:rPr>
        <w:t xml:space="preserve"> Parlamenta </w:t>
      </w:r>
      <w:proofErr w:type="spellStart"/>
      <w:r w:rsidRPr="00DF20B3">
        <w:rPr>
          <w:lang w:val="pt-PT"/>
        </w:rPr>
        <w:t>un</w:t>
      </w:r>
      <w:proofErr w:type="spellEnd"/>
      <w:r w:rsidRPr="00DF20B3">
        <w:rPr>
          <w:lang w:val="pt-PT"/>
        </w:rPr>
        <w:t xml:space="preserve"> </w:t>
      </w:r>
      <w:proofErr w:type="spellStart"/>
      <w:r w:rsidRPr="00DF20B3">
        <w:rPr>
          <w:lang w:val="pt-PT"/>
        </w:rPr>
        <w:t>Padomes</w:t>
      </w:r>
      <w:proofErr w:type="spellEnd"/>
      <w:r w:rsidRPr="00DF20B3">
        <w:rPr>
          <w:lang w:val="pt-PT"/>
        </w:rPr>
        <w:t xml:space="preserve"> 2000. </w:t>
      </w:r>
      <w:proofErr w:type="spellStart"/>
      <w:proofErr w:type="gramStart"/>
      <w:r w:rsidRPr="00DF20B3">
        <w:rPr>
          <w:lang w:val="pt-PT"/>
        </w:rPr>
        <w:t>gada</w:t>
      </w:r>
      <w:proofErr w:type="spellEnd"/>
      <w:proofErr w:type="gramEnd"/>
      <w:r w:rsidRPr="00DF20B3">
        <w:rPr>
          <w:lang w:val="pt-PT"/>
        </w:rPr>
        <w:t xml:space="preserve"> 23. </w:t>
      </w:r>
      <w:proofErr w:type="spellStart"/>
      <w:proofErr w:type="gramStart"/>
      <w:r w:rsidRPr="00DF20B3">
        <w:rPr>
          <w:lang w:val="pt-PT"/>
        </w:rPr>
        <w:t>oktobra</w:t>
      </w:r>
      <w:proofErr w:type="spellEnd"/>
      <w:proofErr w:type="gramEnd"/>
      <w:r w:rsidRPr="00DF20B3">
        <w:rPr>
          <w:lang w:val="pt-PT"/>
        </w:rPr>
        <w:t xml:space="preserve"> </w:t>
      </w:r>
      <w:proofErr w:type="spellStart"/>
      <w:r w:rsidRPr="00DF20B3">
        <w:rPr>
          <w:lang w:val="pt-PT"/>
        </w:rPr>
        <w:t>Direktīva</w:t>
      </w:r>
      <w:proofErr w:type="spellEnd"/>
      <w:r w:rsidRPr="00DF20B3">
        <w:rPr>
          <w:lang w:val="pt-PT"/>
        </w:rPr>
        <w:t xml:space="preserve"> 2000/60/EK, ar </w:t>
      </w:r>
      <w:proofErr w:type="spellStart"/>
      <w:r w:rsidRPr="00DF20B3">
        <w:rPr>
          <w:lang w:val="pt-PT"/>
        </w:rPr>
        <w:t>ko</w:t>
      </w:r>
      <w:proofErr w:type="spellEnd"/>
      <w:r w:rsidRPr="00DF20B3">
        <w:rPr>
          <w:lang w:val="pt-PT"/>
        </w:rPr>
        <w:t xml:space="preserve"> </w:t>
      </w:r>
      <w:proofErr w:type="spellStart"/>
      <w:r w:rsidRPr="00DF20B3">
        <w:rPr>
          <w:lang w:val="pt-PT"/>
        </w:rPr>
        <w:t>izveido</w:t>
      </w:r>
      <w:proofErr w:type="spellEnd"/>
      <w:r w:rsidRPr="00DF20B3">
        <w:rPr>
          <w:lang w:val="pt-PT"/>
        </w:rPr>
        <w:t xml:space="preserve"> </w:t>
      </w:r>
      <w:proofErr w:type="spellStart"/>
      <w:r w:rsidRPr="00DF20B3">
        <w:rPr>
          <w:lang w:val="pt-PT"/>
        </w:rPr>
        <w:t>sistēmu</w:t>
      </w:r>
      <w:proofErr w:type="spellEnd"/>
      <w:r w:rsidRPr="00DF20B3">
        <w:rPr>
          <w:lang w:val="pt-PT"/>
        </w:rPr>
        <w:t xml:space="preserve"> </w:t>
      </w:r>
      <w:proofErr w:type="spellStart"/>
      <w:r w:rsidRPr="00DF20B3">
        <w:rPr>
          <w:lang w:val="pt-PT"/>
        </w:rPr>
        <w:t>Kopienas</w:t>
      </w:r>
      <w:proofErr w:type="spellEnd"/>
      <w:r w:rsidRPr="00DF20B3">
        <w:rPr>
          <w:lang w:val="pt-PT"/>
        </w:rPr>
        <w:t xml:space="preserve"> </w:t>
      </w:r>
      <w:proofErr w:type="spellStart"/>
      <w:r w:rsidRPr="00DF20B3">
        <w:rPr>
          <w:lang w:val="pt-PT"/>
        </w:rPr>
        <w:t>rīcībai</w:t>
      </w:r>
      <w:proofErr w:type="spellEnd"/>
      <w:r w:rsidRPr="00DF20B3">
        <w:rPr>
          <w:lang w:val="pt-PT"/>
        </w:rPr>
        <w:t xml:space="preserve"> </w:t>
      </w:r>
      <w:proofErr w:type="spellStart"/>
      <w:r w:rsidRPr="00DF20B3">
        <w:rPr>
          <w:lang w:val="pt-PT"/>
        </w:rPr>
        <w:t>ūdens</w:t>
      </w:r>
      <w:proofErr w:type="spellEnd"/>
      <w:r w:rsidRPr="00DF20B3">
        <w:rPr>
          <w:lang w:val="pt-PT"/>
        </w:rPr>
        <w:t xml:space="preserve"> </w:t>
      </w:r>
      <w:proofErr w:type="spellStart"/>
      <w:r w:rsidRPr="00DF20B3">
        <w:rPr>
          <w:lang w:val="pt-PT"/>
        </w:rPr>
        <w:t>resursu</w:t>
      </w:r>
      <w:proofErr w:type="spellEnd"/>
      <w:r w:rsidRPr="00DF20B3">
        <w:rPr>
          <w:lang w:val="pt-PT"/>
        </w:rPr>
        <w:t xml:space="preserve"> </w:t>
      </w:r>
      <w:proofErr w:type="spellStart"/>
      <w:r w:rsidRPr="00DF20B3">
        <w:rPr>
          <w:lang w:val="pt-PT"/>
        </w:rPr>
        <w:t>politikas</w:t>
      </w:r>
      <w:proofErr w:type="spellEnd"/>
      <w:r w:rsidRPr="00DF20B3">
        <w:rPr>
          <w:lang w:val="pt-PT"/>
        </w:rPr>
        <w:t xml:space="preserve"> </w:t>
      </w:r>
      <w:proofErr w:type="spellStart"/>
      <w:r w:rsidRPr="00DF20B3">
        <w:rPr>
          <w:lang w:val="pt-PT"/>
        </w:rPr>
        <w:t>jomā</w:t>
      </w:r>
      <w:proofErr w:type="spellEnd"/>
      <w:r w:rsidRPr="00DF20B3">
        <w:rPr>
          <w:lang w:val="pt-PT"/>
        </w:rPr>
        <w:t xml:space="preserve"> (OV L 327, 22.12.2000., 1. </w:t>
      </w:r>
      <w:proofErr w:type="spellStart"/>
      <w:r w:rsidRPr="00DF20B3">
        <w:rPr>
          <w:lang w:val="pt-PT"/>
        </w:rPr>
        <w:t>lpp</w:t>
      </w:r>
      <w:proofErr w:type="spellEnd"/>
      <w:r w:rsidRPr="00DF20B3">
        <w:rPr>
          <w:lang w:val="pt-PT"/>
        </w:rPr>
        <w:t>.).</w:t>
      </w:r>
    </w:p>
  </w:footnote>
  <w:footnote w:id="19">
    <w:p w:rsidR="002E1422" w:rsidRPr="00DF20B3" w:rsidRDefault="002E1422" w:rsidP="00420329">
      <w:pPr>
        <w:pStyle w:val="FootnoteText"/>
        <w:rPr>
          <w:lang w:val="lt-LT"/>
        </w:rPr>
      </w:pPr>
      <w:r>
        <w:rPr>
          <w:rStyle w:val="FootnoteReference"/>
        </w:rPr>
        <w:footnoteRef/>
      </w:r>
      <w:r w:rsidRPr="00DF20B3">
        <w:rPr>
          <w:lang w:val="lt-LT"/>
        </w:rPr>
        <w:tab/>
      </w:r>
      <w:proofErr w:type="spellStart"/>
      <w:r w:rsidRPr="00DF20B3">
        <w:rPr>
          <w:lang w:val="lt-LT"/>
        </w:rPr>
        <w:t>Tematiskā</w:t>
      </w:r>
      <w:proofErr w:type="spellEnd"/>
      <w:r w:rsidRPr="00DF20B3">
        <w:rPr>
          <w:lang w:val="lt-LT"/>
        </w:rPr>
        <w:t xml:space="preserve"> </w:t>
      </w:r>
      <w:proofErr w:type="spellStart"/>
      <w:r w:rsidRPr="00DF20B3">
        <w:rPr>
          <w:lang w:val="lt-LT"/>
        </w:rPr>
        <w:t>stratēģija</w:t>
      </w:r>
      <w:proofErr w:type="spellEnd"/>
      <w:r w:rsidRPr="00DF20B3">
        <w:rPr>
          <w:lang w:val="lt-LT"/>
        </w:rPr>
        <w:t xml:space="preserve"> </w:t>
      </w:r>
      <w:proofErr w:type="spellStart"/>
      <w:r w:rsidRPr="00DF20B3">
        <w:rPr>
          <w:lang w:val="lt-LT"/>
        </w:rPr>
        <w:t>augsnes</w:t>
      </w:r>
      <w:proofErr w:type="spellEnd"/>
      <w:r w:rsidRPr="00DF20B3">
        <w:rPr>
          <w:lang w:val="lt-LT"/>
        </w:rPr>
        <w:t xml:space="preserve"> </w:t>
      </w:r>
      <w:proofErr w:type="spellStart"/>
      <w:r w:rsidRPr="00DF20B3">
        <w:rPr>
          <w:lang w:val="lt-LT"/>
        </w:rPr>
        <w:t>aizsardzībai</w:t>
      </w:r>
      <w:proofErr w:type="spellEnd"/>
      <w:r w:rsidRPr="00DF20B3">
        <w:rPr>
          <w:lang w:val="lt-LT"/>
        </w:rPr>
        <w:t>, COM(2006) 231.</w:t>
      </w:r>
    </w:p>
  </w:footnote>
  <w:footnote w:id="20">
    <w:p w:rsidR="002E1422" w:rsidRPr="00DF20B3" w:rsidRDefault="002E1422" w:rsidP="00420329">
      <w:pPr>
        <w:pStyle w:val="FootnoteText"/>
        <w:rPr>
          <w:lang w:val="pt-PT"/>
        </w:rPr>
      </w:pPr>
      <w:r>
        <w:rPr>
          <w:rStyle w:val="FootnoteReference"/>
        </w:rPr>
        <w:footnoteRef/>
      </w:r>
      <w:r w:rsidRPr="00DF20B3">
        <w:rPr>
          <w:lang w:val="pt-PT"/>
        </w:rPr>
        <w:tab/>
      </w:r>
      <w:proofErr w:type="spellStart"/>
      <w:r w:rsidRPr="00DF20B3">
        <w:rPr>
          <w:lang w:val="pt-PT"/>
        </w:rPr>
        <w:t>Mazemisiju</w:t>
      </w:r>
      <w:proofErr w:type="spellEnd"/>
      <w:r w:rsidRPr="00DF20B3">
        <w:rPr>
          <w:lang w:val="pt-PT"/>
        </w:rPr>
        <w:t xml:space="preserve"> </w:t>
      </w:r>
      <w:proofErr w:type="spellStart"/>
      <w:r w:rsidRPr="00DF20B3">
        <w:rPr>
          <w:lang w:val="pt-PT"/>
        </w:rPr>
        <w:t>mobilitātes</w:t>
      </w:r>
      <w:proofErr w:type="spellEnd"/>
      <w:r w:rsidRPr="00DF20B3">
        <w:rPr>
          <w:lang w:val="pt-PT"/>
        </w:rPr>
        <w:t xml:space="preserve"> </w:t>
      </w:r>
      <w:proofErr w:type="spellStart"/>
      <w:r w:rsidRPr="00DF20B3">
        <w:rPr>
          <w:lang w:val="pt-PT"/>
        </w:rPr>
        <w:t>stratēģija</w:t>
      </w:r>
      <w:proofErr w:type="spellEnd"/>
      <w:r w:rsidRPr="00DF20B3">
        <w:rPr>
          <w:lang w:val="pt-PT"/>
        </w:rPr>
        <w:t xml:space="preserve">, </w:t>
      </w:r>
      <w:proofErr w:type="gramStart"/>
      <w:r w:rsidRPr="00DF20B3">
        <w:rPr>
          <w:lang w:val="pt-PT"/>
        </w:rPr>
        <w:t>COM(2016</w:t>
      </w:r>
      <w:proofErr w:type="gramEnd"/>
      <w:r w:rsidRPr="00DF20B3">
        <w:rPr>
          <w:lang w:val="pt-PT"/>
        </w:rPr>
        <w:t>) 0501 final.</w:t>
      </w:r>
    </w:p>
  </w:footnote>
  <w:footnote w:id="21">
    <w:p w:rsidR="002E1422" w:rsidRPr="00DF20B3" w:rsidRDefault="002E1422" w:rsidP="00420329">
      <w:pPr>
        <w:pStyle w:val="FootnoteText"/>
        <w:rPr>
          <w:lang w:val="pt-PT"/>
        </w:rPr>
      </w:pPr>
      <w:r>
        <w:rPr>
          <w:rStyle w:val="FootnoteReference"/>
        </w:rPr>
        <w:footnoteRef/>
      </w:r>
      <w:r w:rsidRPr="00DF20B3">
        <w:rPr>
          <w:lang w:val="pt-PT"/>
        </w:rPr>
        <w:tab/>
      </w:r>
      <w:proofErr w:type="spellStart"/>
      <w:r w:rsidRPr="00DF20B3">
        <w:rPr>
          <w:lang w:val="pt-PT"/>
        </w:rPr>
        <w:t>Rīcības</w:t>
      </w:r>
      <w:proofErr w:type="spellEnd"/>
      <w:r w:rsidRPr="00DF20B3">
        <w:rPr>
          <w:lang w:val="pt-PT"/>
        </w:rPr>
        <w:t xml:space="preserve"> </w:t>
      </w:r>
      <w:proofErr w:type="spellStart"/>
      <w:r w:rsidRPr="00DF20B3">
        <w:rPr>
          <w:lang w:val="pt-PT"/>
        </w:rPr>
        <w:t>plāns</w:t>
      </w:r>
      <w:proofErr w:type="spellEnd"/>
      <w:r w:rsidRPr="00DF20B3">
        <w:rPr>
          <w:lang w:val="pt-PT"/>
        </w:rPr>
        <w:t xml:space="preserve"> par </w:t>
      </w:r>
      <w:proofErr w:type="spellStart"/>
      <w:r w:rsidRPr="00DF20B3">
        <w:rPr>
          <w:lang w:val="pt-PT"/>
        </w:rPr>
        <w:t>alternatīvo</w:t>
      </w:r>
      <w:proofErr w:type="spellEnd"/>
      <w:r w:rsidRPr="00DF20B3">
        <w:rPr>
          <w:lang w:val="pt-PT"/>
        </w:rPr>
        <w:t xml:space="preserve"> </w:t>
      </w:r>
      <w:proofErr w:type="spellStart"/>
      <w:r w:rsidRPr="00DF20B3">
        <w:rPr>
          <w:lang w:val="pt-PT"/>
        </w:rPr>
        <w:t>degvielu</w:t>
      </w:r>
      <w:proofErr w:type="spellEnd"/>
      <w:r w:rsidRPr="00DF20B3">
        <w:rPr>
          <w:lang w:val="pt-PT"/>
        </w:rPr>
        <w:t xml:space="preserve"> </w:t>
      </w:r>
      <w:proofErr w:type="spellStart"/>
      <w:r w:rsidRPr="00DF20B3">
        <w:rPr>
          <w:lang w:val="pt-PT"/>
        </w:rPr>
        <w:t>infrastruktūru</w:t>
      </w:r>
      <w:proofErr w:type="spellEnd"/>
      <w:r w:rsidRPr="00DF20B3">
        <w:rPr>
          <w:lang w:val="pt-PT"/>
        </w:rPr>
        <w:t xml:space="preserve"> </w:t>
      </w:r>
      <w:proofErr w:type="spellStart"/>
      <w:r w:rsidRPr="00DF20B3">
        <w:rPr>
          <w:lang w:val="pt-PT"/>
        </w:rPr>
        <w:t>saskaņā</w:t>
      </w:r>
      <w:proofErr w:type="spellEnd"/>
      <w:r w:rsidRPr="00DF20B3">
        <w:rPr>
          <w:lang w:val="pt-PT"/>
        </w:rPr>
        <w:t xml:space="preserve"> ar </w:t>
      </w:r>
      <w:proofErr w:type="spellStart"/>
      <w:r w:rsidRPr="00DF20B3">
        <w:rPr>
          <w:lang w:val="pt-PT"/>
        </w:rPr>
        <w:t>Direktīvas</w:t>
      </w:r>
      <w:proofErr w:type="spellEnd"/>
      <w:r w:rsidRPr="00DF20B3">
        <w:rPr>
          <w:lang w:val="pt-PT"/>
        </w:rPr>
        <w:t> 2014/94/ES 10. </w:t>
      </w:r>
      <w:proofErr w:type="spellStart"/>
      <w:proofErr w:type="gramStart"/>
      <w:r w:rsidRPr="00DF20B3">
        <w:rPr>
          <w:lang w:val="pt-PT"/>
        </w:rPr>
        <w:t>panta</w:t>
      </w:r>
      <w:proofErr w:type="spellEnd"/>
      <w:proofErr w:type="gramEnd"/>
      <w:r w:rsidRPr="00DF20B3">
        <w:rPr>
          <w:lang w:val="pt-PT"/>
        </w:rPr>
        <w:t xml:space="preserve"> 6. </w:t>
      </w:r>
      <w:proofErr w:type="spellStart"/>
      <w:proofErr w:type="gramStart"/>
      <w:r w:rsidRPr="00DF20B3">
        <w:rPr>
          <w:lang w:val="pt-PT"/>
        </w:rPr>
        <w:t>punktu</w:t>
      </w:r>
      <w:proofErr w:type="spellEnd"/>
      <w:proofErr w:type="gramEnd"/>
      <w:r w:rsidRPr="00DF20B3">
        <w:rPr>
          <w:lang w:val="pt-PT"/>
        </w:rPr>
        <w:t>, 8.11.2017.</w:t>
      </w:r>
    </w:p>
  </w:footnote>
  <w:footnote w:id="22">
    <w:p w:rsidR="002E1422" w:rsidRPr="00DF20B3" w:rsidRDefault="002E1422" w:rsidP="00AF356B">
      <w:pPr>
        <w:pStyle w:val="FootnoteText"/>
        <w:rPr>
          <w:lang w:val="pt-PT"/>
        </w:rPr>
      </w:pPr>
      <w:r>
        <w:rPr>
          <w:rStyle w:val="FootnoteReference"/>
        </w:rPr>
        <w:footnoteRef/>
      </w:r>
      <w:r w:rsidRPr="00DF20B3">
        <w:rPr>
          <w:lang w:val="pt-PT"/>
        </w:rPr>
        <w:tab/>
      </w:r>
      <w:proofErr w:type="spellStart"/>
      <w:r w:rsidRPr="00DF20B3">
        <w:rPr>
          <w:lang w:val="pt-PT"/>
        </w:rPr>
        <w:t>Komisijas</w:t>
      </w:r>
      <w:proofErr w:type="spellEnd"/>
      <w:r w:rsidRPr="00DF20B3">
        <w:rPr>
          <w:lang w:val="pt-PT"/>
        </w:rPr>
        <w:t xml:space="preserve"> </w:t>
      </w:r>
      <w:proofErr w:type="spellStart"/>
      <w:r w:rsidRPr="00DF20B3">
        <w:rPr>
          <w:lang w:val="pt-PT"/>
        </w:rPr>
        <w:t>paziņojums</w:t>
      </w:r>
      <w:proofErr w:type="spellEnd"/>
      <w:r w:rsidRPr="00DF20B3">
        <w:rPr>
          <w:lang w:val="pt-PT"/>
        </w:rPr>
        <w:t xml:space="preserve"> </w:t>
      </w:r>
      <w:proofErr w:type="spellStart"/>
      <w:r w:rsidRPr="00DF20B3">
        <w:rPr>
          <w:lang w:val="pt-PT"/>
        </w:rPr>
        <w:t>Eiropas</w:t>
      </w:r>
      <w:proofErr w:type="spellEnd"/>
      <w:r w:rsidRPr="00DF20B3">
        <w:rPr>
          <w:lang w:val="pt-PT"/>
        </w:rPr>
        <w:t xml:space="preserve"> Parlamentam, </w:t>
      </w:r>
      <w:proofErr w:type="spellStart"/>
      <w:r w:rsidRPr="00DF20B3">
        <w:rPr>
          <w:lang w:val="pt-PT"/>
        </w:rPr>
        <w:t>Padomei</w:t>
      </w:r>
      <w:proofErr w:type="spellEnd"/>
      <w:r w:rsidRPr="00DF20B3">
        <w:rPr>
          <w:lang w:val="pt-PT"/>
        </w:rPr>
        <w:t xml:space="preserve">, </w:t>
      </w:r>
      <w:proofErr w:type="spellStart"/>
      <w:r w:rsidRPr="00DF20B3">
        <w:rPr>
          <w:lang w:val="pt-PT"/>
        </w:rPr>
        <w:t>Eiropas</w:t>
      </w:r>
      <w:proofErr w:type="spellEnd"/>
      <w:r w:rsidRPr="00DF20B3">
        <w:rPr>
          <w:lang w:val="pt-PT"/>
        </w:rPr>
        <w:t xml:space="preserve"> </w:t>
      </w:r>
      <w:proofErr w:type="spellStart"/>
      <w:r w:rsidRPr="00DF20B3">
        <w:rPr>
          <w:lang w:val="pt-PT"/>
        </w:rPr>
        <w:t>Ekonomikas</w:t>
      </w:r>
      <w:proofErr w:type="spellEnd"/>
      <w:r w:rsidRPr="00DF20B3">
        <w:rPr>
          <w:lang w:val="pt-PT"/>
        </w:rPr>
        <w:t xml:space="preserve"> </w:t>
      </w:r>
      <w:proofErr w:type="spellStart"/>
      <w:r w:rsidRPr="00DF20B3">
        <w:rPr>
          <w:lang w:val="pt-PT"/>
        </w:rPr>
        <w:t>un</w:t>
      </w:r>
      <w:proofErr w:type="spellEnd"/>
      <w:r w:rsidRPr="00DF20B3">
        <w:rPr>
          <w:lang w:val="pt-PT"/>
        </w:rPr>
        <w:t xml:space="preserve"> </w:t>
      </w:r>
      <w:proofErr w:type="spellStart"/>
      <w:r w:rsidRPr="00DF20B3">
        <w:rPr>
          <w:lang w:val="pt-PT"/>
        </w:rPr>
        <w:t>sociālo</w:t>
      </w:r>
      <w:proofErr w:type="spellEnd"/>
      <w:r w:rsidRPr="00DF20B3">
        <w:rPr>
          <w:lang w:val="pt-PT"/>
        </w:rPr>
        <w:t xml:space="preserve"> </w:t>
      </w:r>
      <w:proofErr w:type="spellStart"/>
      <w:r w:rsidRPr="00DF20B3">
        <w:rPr>
          <w:lang w:val="pt-PT"/>
        </w:rPr>
        <w:t>lietu</w:t>
      </w:r>
      <w:proofErr w:type="spellEnd"/>
      <w:r w:rsidRPr="00DF20B3">
        <w:rPr>
          <w:lang w:val="pt-PT"/>
        </w:rPr>
        <w:t xml:space="preserve"> </w:t>
      </w:r>
      <w:proofErr w:type="spellStart"/>
      <w:r w:rsidRPr="00DF20B3">
        <w:rPr>
          <w:lang w:val="pt-PT"/>
        </w:rPr>
        <w:t>komitejai</w:t>
      </w:r>
      <w:proofErr w:type="spellEnd"/>
      <w:r w:rsidRPr="00DF20B3">
        <w:rPr>
          <w:lang w:val="pt-PT"/>
        </w:rPr>
        <w:t xml:space="preserve"> </w:t>
      </w:r>
      <w:proofErr w:type="spellStart"/>
      <w:r w:rsidRPr="00DF20B3">
        <w:rPr>
          <w:lang w:val="pt-PT"/>
        </w:rPr>
        <w:t>un</w:t>
      </w:r>
      <w:proofErr w:type="spellEnd"/>
      <w:r w:rsidRPr="00DF20B3">
        <w:rPr>
          <w:lang w:val="pt-PT"/>
        </w:rPr>
        <w:t xml:space="preserve"> </w:t>
      </w:r>
      <w:proofErr w:type="spellStart"/>
      <w:r w:rsidRPr="00DF20B3">
        <w:rPr>
          <w:lang w:val="pt-PT"/>
        </w:rPr>
        <w:t>Reģionu</w:t>
      </w:r>
      <w:proofErr w:type="spellEnd"/>
      <w:r w:rsidRPr="00DF20B3">
        <w:rPr>
          <w:lang w:val="pt-PT"/>
        </w:rPr>
        <w:t xml:space="preserve"> </w:t>
      </w:r>
      <w:proofErr w:type="spellStart"/>
      <w:r w:rsidRPr="00DF20B3">
        <w:rPr>
          <w:lang w:val="pt-PT"/>
        </w:rPr>
        <w:t>komitejai</w:t>
      </w:r>
      <w:proofErr w:type="spellEnd"/>
      <w:r w:rsidRPr="00DF20B3">
        <w:rPr>
          <w:lang w:val="pt-PT"/>
        </w:rPr>
        <w:t xml:space="preserve"> “ES vides </w:t>
      </w:r>
      <w:proofErr w:type="spellStart"/>
      <w:r w:rsidRPr="00DF20B3">
        <w:rPr>
          <w:lang w:val="pt-PT"/>
        </w:rPr>
        <w:t>politikas</w:t>
      </w:r>
      <w:proofErr w:type="spellEnd"/>
      <w:r w:rsidRPr="00DF20B3">
        <w:rPr>
          <w:lang w:val="pt-PT"/>
        </w:rPr>
        <w:t xml:space="preserve"> </w:t>
      </w:r>
      <w:proofErr w:type="spellStart"/>
      <w:r w:rsidRPr="00DF20B3">
        <w:rPr>
          <w:lang w:val="pt-PT"/>
        </w:rPr>
        <w:t>īstenošanas</w:t>
      </w:r>
      <w:proofErr w:type="spellEnd"/>
      <w:r w:rsidRPr="00DF20B3">
        <w:rPr>
          <w:lang w:val="pt-PT"/>
        </w:rPr>
        <w:t xml:space="preserve"> </w:t>
      </w:r>
      <w:proofErr w:type="spellStart"/>
      <w:r w:rsidRPr="00DF20B3">
        <w:rPr>
          <w:lang w:val="pt-PT"/>
        </w:rPr>
        <w:t>pārskats</w:t>
      </w:r>
      <w:proofErr w:type="spellEnd"/>
      <w:r w:rsidRPr="00DF20B3">
        <w:rPr>
          <w:lang w:val="pt-PT"/>
        </w:rPr>
        <w:t xml:space="preserve"> — </w:t>
      </w:r>
      <w:proofErr w:type="spellStart"/>
      <w:r w:rsidRPr="00DF20B3">
        <w:rPr>
          <w:lang w:val="pt-PT"/>
        </w:rPr>
        <w:t>kopīgas</w:t>
      </w:r>
      <w:proofErr w:type="spellEnd"/>
      <w:r w:rsidRPr="00DF20B3">
        <w:rPr>
          <w:lang w:val="pt-PT"/>
        </w:rPr>
        <w:t xml:space="preserve"> </w:t>
      </w:r>
      <w:proofErr w:type="spellStart"/>
      <w:r w:rsidRPr="00DF20B3">
        <w:rPr>
          <w:lang w:val="pt-PT"/>
        </w:rPr>
        <w:t>problēmas</w:t>
      </w:r>
      <w:proofErr w:type="spellEnd"/>
      <w:r w:rsidRPr="00DF20B3">
        <w:rPr>
          <w:lang w:val="pt-PT"/>
        </w:rPr>
        <w:t xml:space="preserve"> </w:t>
      </w:r>
      <w:proofErr w:type="spellStart"/>
      <w:r w:rsidRPr="00DF20B3">
        <w:rPr>
          <w:lang w:val="pt-PT"/>
        </w:rPr>
        <w:t>un</w:t>
      </w:r>
      <w:proofErr w:type="spellEnd"/>
      <w:r w:rsidRPr="00DF20B3">
        <w:rPr>
          <w:lang w:val="pt-PT"/>
        </w:rPr>
        <w:t xml:space="preserve"> </w:t>
      </w:r>
      <w:proofErr w:type="spellStart"/>
      <w:r w:rsidRPr="00DF20B3">
        <w:rPr>
          <w:lang w:val="pt-PT"/>
        </w:rPr>
        <w:t>kā</w:t>
      </w:r>
      <w:proofErr w:type="spellEnd"/>
      <w:r w:rsidRPr="00DF20B3">
        <w:rPr>
          <w:lang w:val="pt-PT"/>
        </w:rPr>
        <w:t xml:space="preserve"> </w:t>
      </w:r>
      <w:proofErr w:type="spellStart"/>
      <w:r w:rsidRPr="00DF20B3">
        <w:rPr>
          <w:lang w:val="pt-PT"/>
        </w:rPr>
        <w:t>apvienot</w:t>
      </w:r>
      <w:proofErr w:type="spellEnd"/>
      <w:r w:rsidRPr="00DF20B3">
        <w:rPr>
          <w:lang w:val="pt-PT"/>
        </w:rPr>
        <w:t xml:space="preserve"> </w:t>
      </w:r>
      <w:proofErr w:type="spellStart"/>
      <w:r w:rsidRPr="00DF20B3">
        <w:rPr>
          <w:lang w:val="pt-PT"/>
        </w:rPr>
        <w:t>centienus</w:t>
      </w:r>
      <w:proofErr w:type="spellEnd"/>
      <w:r w:rsidRPr="00DF20B3">
        <w:rPr>
          <w:lang w:val="pt-PT"/>
        </w:rPr>
        <w:t xml:space="preserve">, lai </w:t>
      </w:r>
      <w:proofErr w:type="spellStart"/>
      <w:r w:rsidRPr="00DF20B3">
        <w:rPr>
          <w:lang w:val="pt-PT"/>
        </w:rPr>
        <w:t>gūtu</w:t>
      </w:r>
      <w:proofErr w:type="spellEnd"/>
      <w:r w:rsidRPr="00DF20B3">
        <w:rPr>
          <w:lang w:val="pt-PT"/>
        </w:rPr>
        <w:t xml:space="preserve"> </w:t>
      </w:r>
      <w:proofErr w:type="spellStart"/>
      <w:r w:rsidRPr="00DF20B3">
        <w:rPr>
          <w:lang w:val="pt-PT"/>
        </w:rPr>
        <w:t>labākus</w:t>
      </w:r>
      <w:proofErr w:type="spellEnd"/>
      <w:r w:rsidRPr="00DF20B3">
        <w:rPr>
          <w:lang w:val="pt-PT"/>
        </w:rPr>
        <w:t xml:space="preserve"> </w:t>
      </w:r>
      <w:proofErr w:type="spellStart"/>
      <w:r w:rsidRPr="00DF20B3">
        <w:rPr>
          <w:lang w:val="pt-PT"/>
        </w:rPr>
        <w:t>rezultātus</w:t>
      </w:r>
      <w:proofErr w:type="spellEnd"/>
      <w:r w:rsidRPr="00DF20B3">
        <w:rPr>
          <w:lang w:val="pt-PT"/>
        </w:rPr>
        <w:t>” (</w:t>
      </w:r>
      <w:proofErr w:type="gramStart"/>
      <w:r w:rsidRPr="00DF20B3">
        <w:rPr>
          <w:lang w:val="pt-PT"/>
        </w:rPr>
        <w:t>COM(2017</w:t>
      </w:r>
      <w:proofErr w:type="gramEnd"/>
      <w:r w:rsidRPr="00DF20B3">
        <w:rPr>
          <w:lang w:val="pt-PT"/>
        </w:rPr>
        <w:t>) 063 final).</w:t>
      </w:r>
    </w:p>
  </w:footnote>
  <w:footnote w:id="23">
    <w:p w:rsidR="002E1422" w:rsidRPr="00DF20B3" w:rsidRDefault="002E1422" w:rsidP="00BC4458">
      <w:pPr>
        <w:pStyle w:val="FootnoteText"/>
        <w:rPr>
          <w:lang w:val="pt-PT"/>
        </w:rPr>
      </w:pPr>
      <w:r>
        <w:rPr>
          <w:rStyle w:val="FootnoteReference"/>
        </w:rPr>
        <w:footnoteRef/>
      </w:r>
      <w:r w:rsidRPr="00DF20B3">
        <w:rPr>
          <w:lang w:val="pt-PT"/>
        </w:rPr>
        <w:tab/>
      </w:r>
      <w:proofErr w:type="gramStart"/>
      <w:r w:rsidRPr="00DF20B3">
        <w:rPr>
          <w:lang w:val="pt-PT"/>
        </w:rPr>
        <w:t>COM(2011</w:t>
      </w:r>
      <w:proofErr w:type="gramEnd"/>
      <w:r w:rsidRPr="00DF20B3">
        <w:rPr>
          <w:lang w:val="pt-PT"/>
        </w:rPr>
        <w:t>) 244 final.</w:t>
      </w:r>
    </w:p>
  </w:footnote>
  <w:footnote w:id="24">
    <w:p w:rsidR="002E1422" w:rsidRPr="00DF20B3" w:rsidRDefault="002E1422" w:rsidP="00BC4458">
      <w:pPr>
        <w:pStyle w:val="FootnoteText"/>
        <w:rPr>
          <w:lang w:val="pt-PT"/>
        </w:rPr>
      </w:pPr>
      <w:r>
        <w:rPr>
          <w:rStyle w:val="FootnoteReference"/>
        </w:rPr>
        <w:footnoteRef/>
      </w:r>
      <w:r w:rsidRPr="00DF20B3">
        <w:rPr>
          <w:lang w:val="pt-PT"/>
        </w:rPr>
        <w:tab/>
      </w:r>
      <w:proofErr w:type="spellStart"/>
      <w:r w:rsidRPr="00DF20B3">
        <w:rPr>
          <w:lang w:val="pt-PT"/>
        </w:rPr>
        <w:t>Padomes</w:t>
      </w:r>
      <w:proofErr w:type="spellEnd"/>
      <w:r w:rsidRPr="00DF20B3">
        <w:rPr>
          <w:lang w:val="pt-PT"/>
        </w:rPr>
        <w:t xml:space="preserve"> 1992. </w:t>
      </w:r>
      <w:proofErr w:type="spellStart"/>
      <w:proofErr w:type="gramStart"/>
      <w:r w:rsidRPr="00DF20B3">
        <w:rPr>
          <w:lang w:val="pt-PT"/>
        </w:rPr>
        <w:t>gada</w:t>
      </w:r>
      <w:proofErr w:type="spellEnd"/>
      <w:proofErr w:type="gramEnd"/>
      <w:r w:rsidRPr="00DF20B3">
        <w:rPr>
          <w:lang w:val="pt-PT"/>
        </w:rPr>
        <w:t xml:space="preserve"> 21. </w:t>
      </w:r>
      <w:proofErr w:type="spellStart"/>
      <w:proofErr w:type="gramStart"/>
      <w:r w:rsidRPr="00DF20B3">
        <w:rPr>
          <w:lang w:val="pt-PT"/>
        </w:rPr>
        <w:t>maija</w:t>
      </w:r>
      <w:proofErr w:type="spellEnd"/>
      <w:proofErr w:type="gramEnd"/>
      <w:r w:rsidRPr="00DF20B3">
        <w:rPr>
          <w:lang w:val="pt-PT"/>
        </w:rPr>
        <w:t xml:space="preserve"> </w:t>
      </w:r>
      <w:proofErr w:type="spellStart"/>
      <w:r w:rsidRPr="00DF20B3">
        <w:rPr>
          <w:lang w:val="pt-PT"/>
        </w:rPr>
        <w:t>Direktīva</w:t>
      </w:r>
      <w:proofErr w:type="spellEnd"/>
      <w:r w:rsidRPr="00DF20B3">
        <w:rPr>
          <w:lang w:val="pt-PT"/>
        </w:rPr>
        <w:t xml:space="preserve"> 92/43/EEK par </w:t>
      </w:r>
      <w:proofErr w:type="spellStart"/>
      <w:r w:rsidRPr="00DF20B3">
        <w:rPr>
          <w:lang w:val="pt-PT"/>
        </w:rPr>
        <w:t>dabisko</w:t>
      </w:r>
      <w:proofErr w:type="spellEnd"/>
      <w:r w:rsidRPr="00DF20B3">
        <w:rPr>
          <w:lang w:val="pt-PT"/>
        </w:rPr>
        <w:t xml:space="preserve"> </w:t>
      </w:r>
      <w:proofErr w:type="spellStart"/>
      <w:r w:rsidRPr="00DF20B3">
        <w:rPr>
          <w:lang w:val="pt-PT"/>
        </w:rPr>
        <w:t>dzīvotņu</w:t>
      </w:r>
      <w:proofErr w:type="spellEnd"/>
      <w:r w:rsidRPr="00DF20B3">
        <w:rPr>
          <w:lang w:val="pt-PT"/>
        </w:rPr>
        <w:t xml:space="preserve"> </w:t>
      </w:r>
      <w:proofErr w:type="spellStart"/>
      <w:r w:rsidRPr="00DF20B3">
        <w:rPr>
          <w:lang w:val="pt-PT"/>
        </w:rPr>
        <w:t>un</w:t>
      </w:r>
      <w:proofErr w:type="spellEnd"/>
      <w:r w:rsidRPr="00DF20B3">
        <w:rPr>
          <w:lang w:val="pt-PT"/>
        </w:rPr>
        <w:t xml:space="preserve"> </w:t>
      </w:r>
      <w:proofErr w:type="spellStart"/>
      <w:r w:rsidRPr="00DF20B3">
        <w:rPr>
          <w:lang w:val="pt-PT"/>
        </w:rPr>
        <w:t>savvaļas</w:t>
      </w:r>
      <w:proofErr w:type="spellEnd"/>
      <w:r w:rsidRPr="00DF20B3">
        <w:rPr>
          <w:lang w:val="pt-PT"/>
        </w:rPr>
        <w:t xml:space="preserve"> faunas </w:t>
      </w:r>
      <w:proofErr w:type="spellStart"/>
      <w:r w:rsidRPr="00DF20B3">
        <w:rPr>
          <w:lang w:val="pt-PT"/>
        </w:rPr>
        <w:t>un</w:t>
      </w:r>
      <w:proofErr w:type="spellEnd"/>
      <w:r w:rsidRPr="00DF20B3">
        <w:rPr>
          <w:lang w:val="pt-PT"/>
        </w:rPr>
        <w:t xml:space="preserve"> floras </w:t>
      </w:r>
      <w:proofErr w:type="spellStart"/>
      <w:r w:rsidRPr="00DF20B3">
        <w:rPr>
          <w:lang w:val="pt-PT"/>
        </w:rPr>
        <w:t>aizsardzību</w:t>
      </w:r>
      <w:proofErr w:type="spellEnd"/>
      <w:r w:rsidRPr="00DF20B3">
        <w:rPr>
          <w:lang w:val="pt-PT"/>
        </w:rPr>
        <w:t xml:space="preserve"> (OV L 206, 22.7.1992., 7. </w:t>
      </w:r>
      <w:proofErr w:type="spellStart"/>
      <w:r w:rsidRPr="00DF20B3">
        <w:rPr>
          <w:lang w:val="pt-PT"/>
        </w:rPr>
        <w:t>lpp</w:t>
      </w:r>
      <w:proofErr w:type="spellEnd"/>
      <w:r w:rsidRPr="00DF20B3">
        <w:rPr>
          <w:lang w:val="pt-PT"/>
        </w:rPr>
        <w:t xml:space="preserve">.). </w:t>
      </w:r>
    </w:p>
  </w:footnote>
  <w:footnote w:id="25">
    <w:p w:rsidR="002E1422" w:rsidRPr="00DF20B3" w:rsidRDefault="002E1422" w:rsidP="00BC4458">
      <w:pPr>
        <w:pStyle w:val="FootnoteText"/>
        <w:rPr>
          <w:lang w:val="pt-PT"/>
        </w:rPr>
      </w:pPr>
      <w:r>
        <w:rPr>
          <w:rStyle w:val="FootnoteReference"/>
        </w:rPr>
        <w:footnoteRef/>
      </w:r>
      <w:r w:rsidRPr="00DF20B3">
        <w:rPr>
          <w:lang w:val="pt-PT"/>
        </w:rPr>
        <w:tab/>
      </w:r>
      <w:proofErr w:type="spellStart"/>
      <w:r w:rsidRPr="00DF20B3">
        <w:rPr>
          <w:lang w:val="pt-PT"/>
        </w:rPr>
        <w:t>Eiropas</w:t>
      </w:r>
      <w:proofErr w:type="spellEnd"/>
      <w:r w:rsidRPr="00DF20B3">
        <w:rPr>
          <w:lang w:val="pt-PT"/>
        </w:rPr>
        <w:t xml:space="preserve"> Parlamenta </w:t>
      </w:r>
      <w:proofErr w:type="spellStart"/>
      <w:r w:rsidRPr="00DF20B3">
        <w:rPr>
          <w:lang w:val="pt-PT"/>
        </w:rPr>
        <w:t>un</w:t>
      </w:r>
      <w:proofErr w:type="spellEnd"/>
      <w:r w:rsidRPr="00DF20B3">
        <w:rPr>
          <w:lang w:val="pt-PT"/>
        </w:rPr>
        <w:t xml:space="preserve"> </w:t>
      </w:r>
      <w:proofErr w:type="spellStart"/>
      <w:r w:rsidRPr="00DF20B3">
        <w:rPr>
          <w:lang w:val="pt-PT"/>
        </w:rPr>
        <w:t>Padomes</w:t>
      </w:r>
      <w:proofErr w:type="spellEnd"/>
      <w:r w:rsidRPr="00DF20B3">
        <w:rPr>
          <w:lang w:val="pt-PT"/>
        </w:rPr>
        <w:t xml:space="preserve"> 2009. </w:t>
      </w:r>
      <w:proofErr w:type="spellStart"/>
      <w:proofErr w:type="gramStart"/>
      <w:r w:rsidRPr="00DF20B3">
        <w:rPr>
          <w:lang w:val="pt-PT"/>
        </w:rPr>
        <w:t>gada</w:t>
      </w:r>
      <w:proofErr w:type="spellEnd"/>
      <w:proofErr w:type="gramEnd"/>
      <w:r w:rsidRPr="00DF20B3">
        <w:rPr>
          <w:lang w:val="pt-PT"/>
        </w:rPr>
        <w:t xml:space="preserve"> 30. </w:t>
      </w:r>
      <w:proofErr w:type="spellStart"/>
      <w:proofErr w:type="gramStart"/>
      <w:r w:rsidRPr="00DF20B3">
        <w:rPr>
          <w:lang w:val="pt-PT"/>
        </w:rPr>
        <w:t>novembra</w:t>
      </w:r>
      <w:proofErr w:type="spellEnd"/>
      <w:proofErr w:type="gramEnd"/>
      <w:r w:rsidRPr="00DF20B3">
        <w:rPr>
          <w:lang w:val="pt-PT"/>
        </w:rPr>
        <w:t xml:space="preserve"> </w:t>
      </w:r>
      <w:proofErr w:type="spellStart"/>
      <w:r w:rsidRPr="00DF20B3">
        <w:rPr>
          <w:lang w:val="pt-PT"/>
        </w:rPr>
        <w:t>Direktīva</w:t>
      </w:r>
      <w:proofErr w:type="spellEnd"/>
      <w:r w:rsidRPr="00DF20B3">
        <w:rPr>
          <w:lang w:val="pt-PT"/>
        </w:rPr>
        <w:t xml:space="preserve"> 2009/147/EK par </w:t>
      </w:r>
      <w:proofErr w:type="spellStart"/>
      <w:r w:rsidRPr="00DF20B3">
        <w:rPr>
          <w:lang w:val="pt-PT"/>
        </w:rPr>
        <w:t>savvaļas</w:t>
      </w:r>
      <w:proofErr w:type="spellEnd"/>
      <w:r w:rsidRPr="00DF20B3">
        <w:rPr>
          <w:lang w:val="pt-PT"/>
        </w:rPr>
        <w:t xml:space="preserve"> </w:t>
      </w:r>
      <w:proofErr w:type="spellStart"/>
      <w:r w:rsidRPr="00DF20B3">
        <w:rPr>
          <w:lang w:val="pt-PT"/>
        </w:rPr>
        <w:t>putnu</w:t>
      </w:r>
      <w:proofErr w:type="spellEnd"/>
      <w:r w:rsidRPr="00DF20B3">
        <w:rPr>
          <w:lang w:val="pt-PT"/>
        </w:rPr>
        <w:t xml:space="preserve"> </w:t>
      </w:r>
      <w:proofErr w:type="spellStart"/>
      <w:r w:rsidRPr="00DF20B3">
        <w:rPr>
          <w:lang w:val="pt-PT"/>
        </w:rPr>
        <w:t>aizsardzību</w:t>
      </w:r>
      <w:proofErr w:type="spellEnd"/>
      <w:r w:rsidRPr="00DF20B3">
        <w:rPr>
          <w:lang w:val="pt-PT"/>
        </w:rPr>
        <w:t xml:space="preserve"> (OV L 20, 26.1.2010., 7. </w:t>
      </w:r>
      <w:proofErr w:type="spellStart"/>
      <w:r w:rsidRPr="00DF20B3">
        <w:rPr>
          <w:lang w:val="pt-PT"/>
        </w:rPr>
        <w:t>lpp</w:t>
      </w:r>
      <w:proofErr w:type="spellEnd"/>
      <w:r w:rsidRPr="00DF20B3">
        <w:rPr>
          <w:lang w:val="pt-PT"/>
        </w:rPr>
        <w:t xml:space="preserve">.). </w:t>
      </w:r>
    </w:p>
  </w:footnote>
  <w:footnote w:id="26">
    <w:p w:rsidR="002E1422" w:rsidRPr="00DF20B3" w:rsidRDefault="002E1422" w:rsidP="00BC4458">
      <w:pPr>
        <w:pStyle w:val="FootnoteText"/>
        <w:rPr>
          <w:lang w:val="pt-PT"/>
        </w:rPr>
      </w:pPr>
      <w:r>
        <w:rPr>
          <w:rStyle w:val="FootnoteReference"/>
        </w:rPr>
        <w:footnoteRef/>
      </w:r>
      <w:r w:rsidRPr="00DF20B3">
        <w:rPr>
          <w:lang w:val="pt-PT"/>
        </w:rPr>
        <w:tab/>
      </w:r>
      <w:proofErr w:type="spellStart"/>
      <w:r w:rsidRPr="00DF20B3">
        <w:rPr>
          <w:lang w:val="pt-PT"/>
        </w:rPr>
        <w:t>Eiropas</w:t>
      </w:r>
      <w:proofErr w:type="spellEnd"/>
      <w:r w:rsidRPr="00DF20B3">
        <w:rPr>
          <w:lang w:val="pt-PT"/>
        </w:rPr>
        <w:t xml:space="preserve"> Parlamenta </w:t>
      </w:r>
      <w:proofErr w:type="spellStart"/>
      <w:r w:rsidRPr="00DF20B3">
        <w:rPr>
          <w:lang w:val="pt-PT"/>
        </w:rPr>
        <w:t>un</w:t>
      </w:r>
      <w:proofErr w:type="spellEnd"/>
      <w:r w:rsidRPr="00DF20B3">
        <w:rPr>
          <w:lang w:val="pt-PT"/>
        </w:rPr>
        <w:t xml:space="preserve"> </w:t>
      </w:r>
      <w:proofErr w:type="spellStart"/>
      <w:r w:rsidRPr="00DF20B3">
        <w:rPr>
          <w:lang w:val="pt-PT"/>
        </w:rPr>
        <w:t>Padomes</w:t>
      </w:r>
      <w:proofErr w:type="spellEnd"/>
      <w:r w:rsidRPr="00DF20B3">
        <w:rPr>
          <w:lang w:val="pt-PT"/>
        </w:rPr>
        <w:t xml:space="preserve"> 2014. </w:t>
      </w:r>
      <w:proofErr w:type="spellStart"/>
      <w:proofErr w:type="gramStart"/>
      <w:r w:rsidRPr="00DF20B3">
        <w:rPr>
          <w:lang w:val="pt-PT"/>
        </w:rPr>
        <w:t>gada</w:t>
      </w:r>
      <w:proofErr w:type="spellEnd"/>
      <w:proofErr w:type="gramEnd"/>
      <w:r w:rsidRPr="00DF20B3">
        <w:rPr>
          <w:lang w:val="pt-PT"/>
        </w:rPr>
        <w:t xml:space="preserve"> 22. </w:t>
      </w:r>
      <w:proofErr w:type="spellStart"/>
      <w:proofErr w:type="gramStart"/>
      <w:r w:rsidRPr="00DF20B3">
        <w:rPr>
          <w:lang w:val="pt-PT"/>
        </w:rPr>
        <w:t>oktobra</w:t>
      </w:r>
      <w:proofErr w:type="spellEnd"/>
      <w:proofErr w:type="gramEnd"/>
      <w:r w:rsidRPr="00DF20B3">
        <w:rPr>
          <w:lang w:val="pt-PT"/>
        </w:rPr>
        <w:t xml:space="preserve"> Regula (ES) </w:t>
      </w:r>
      <w:proofErr w:type="spellStart"/>
      <w:r w:rsidRPr="00DF20B3">
        <w:rPr>
          <w:lang w:val="pt-PT"/>
        </w:rPr>
        <w:t>Nr</w:t>
      </w:r>
      <w:proofErr w:type="spellEnd"/>
      <w:r w:rsidRPr="00DF20B3">
        <w:rPr>
          <w:lang w:val="pt-PT"/>
        </w:rPr>
        <w:t xml:space="preserve">. 1143/2014 </w:t>
      </w:r>
      <w:proofErr w:type="gramStart"/>
      <w:r w:rsidRPr="00DF20B3">
        <w:rPr>
          <w:lang w:val="pt-PT"/>
        </w:rPr>
        <w:t>par</w:t>
      </w:r>
      <w:proofErr w:type="gramEnd"/>
      <w:r w:rsidRPr="00DF20B3">
        <w:rPr>
          <w:lang w:val="pt-PT"/>
        </w:rPr>
        <w:t xml:space="preserve"> </w:t>
      </w:r>
      <w:proofErr w:type="spellStart"/>
      <w:r w:rsidRPr="00DF20B3">
        <w:rPr>
          <w:lang w:val="pt-PT"/>
        </w:rPr>
        <w:t>invazīvu</w:t>
      </w:r>
      <w:proofErr w:type="spellEnd"/>
      <w:r w:rsidRPr="00DF20B3">
        <w:rPr>
          <w:lang w:val="pt-PT"/>
        </w:rPr>
        <w:t xml:space="preserve"> </w:t>
      </w:r>
      <w:proofErr w:type="spellStart"/>
      <w:r w:rsidRPr="00DF20B3">
        <w:rPr>
          <w:lang w:val="pt-PT"/>
        </w:rPr>
        <w:t>svešzemju</w:t>
      </w:r>
      <w:proofErr w:type="spellEnd"/>
      <w:r w:rsidRPr="00DF20B3">
        <w:rPr>
          <w:lang w:val="pt-PT"/>
        </w:rPr>
        <w:t xml:space="preserve"> </w:t>
      </w:r>
      <w:proofErr w:type="spellStart"/>
      <w:r w:rsidRPr="00DF20B3">
        <w:rPr>
          <w:lang w:val="pt-PT"/>
        </w:rPr>
        <w:t>sugu</w:t>
      </w:r>
      <w:proofErr w:type="spellEnd"/>
      <w:r w:rsidRPr="00DF20B3">
        <w:rPr>
          <w:lang w:val="pt-PT"/>
        </w:rPr>
        <w:t xml:space="preserve"> </w:t>
      </w:r>
      <w:proofErr w:type="spellStart"/>
      <w:r w:rsidRPr="00DF20B3">
        <w:rPr>
          <w:lang w:val="pt-PT"/>
        </w:rPr>
        <w:t>introdukcijas</w:t>
      </w:r>
      <w:proofErr w:type="spellEnd"/>
      <w:r w:rsidRPr="00DF20B3">
        <w:rPr>
          <w:lang w:val="pt-PT"/>
        </w:rPr>
        <w:t xml:space="preserve"> </w:t>
      </w:r>
      <w:proofErr w:type="spellStart"/>
      <w:r w:rsidRPr="00DF20B3">
        <w:rPr>
          <w:lang w:val="pt-PT"/>
        </w:rPr>
        <w:t>un</w:t>
      </w:r>
      <w:proofErr w:type="spellEnd"/>
      <w:r w:rsidRPr="00DF20B3">
        <w:rPr>
          <w:lang w:val="pt-PT"/>
        </w:rPr>
        <w:t xml:space="preserve"> </w:t>
      </w:r>
      <w:proofErr w:type="spellStart"/>
      <w:r w:rsidRPr="00DF20B3">
        <w:rPr>
          <w:lang w:val="pt-PT"/>
        </w:rPr>
        <w:t>izplatīšanās</w:t>
      </w:r>
      <w:proofErr w:type="spellEnd"/>
      <w:r w:rsidRPr="00DF20B3">
        <w:rPr>
          <w:lang w:val="pt-PT"/>
        </w:rPr>
        <w:t xml:space="preserve"> </w:t>
      </w:r>
      <w:proofErr w:type="spellStart"/>
      <w:r w:rsidRPr="00DF20B3">
        <w:rPr>
          <w:lang w:val="pt-PT"/>
        </w:rPr>
        <w:t>profilaksi</w:t>
      </w:r>
      <w:proofErr w:type="spellEnd"/>
      <w:r w:rsidRPr="00DF20B3">
        <w:rPr>
          <w:lang w:val="pt-PT"/>
        </w:rPr>
        <w:t xml:space="preserve"> </w:t>
      </w:r>
      <w:proofErr w:type="spellStart"/>
      <w:r w:rsidRPr="00DF20B3">
        <w:rPr>
          <w:lang w:val="pt-PT"/>
        </w:rPr>
        <w:t>un</w:t>
      </w:r>
      <w:proofErr w:type="spellEnd"/>
      <w:r w:rsidRPr="00DF20B3">
        <w:rPr>
          <w:lang w:val="pt-PT"/>
        </w:rPr>
        <w:t xml:space="preserve"> </w:t>
      </w:r>
      <w:proofErr w:type="spellStart"/>
      <w:r w:rsidRPr="00DF20B3">
        <w:rPr>
          <w:lang w:val="pt-PT"/>
        </w:rPr>
        <w:t>pārvaldību</w:t>
      </w:r>
      <w:proofErr w:type="spellEnd"/>
      <w:r w:rsidRPr="00DF20B3">
        <w:rPr>
          <w:lang w:val="pt-PT"/>
        </w:rPr>
        <w:t xml:space="preserve"> (OV L 317, 4.11.2014., 35. </w:t>
      </w:r>
      <w:proofErr w:type="spellStart"/>
      <w:r w:rsidRPr="00DF20B3">
        <w:rPr>
          <w:lang w:val="pt-PT"/>
        </w:rPr>
        <w:t>lpp</w:t>
      </w:r>
      <w:proofErr w:type="spellEnd"/>
      <w:r w:rsidRPr="00DF20B3">
        <w:rPr>
          <w:lang w:val="pt-PT"/>
        </w:rPr>
        <w:t xml:space="preserve">.). </w:t>
      </w:r>
    </w:p>
  </w:footnote>
  <w:footnote w:id="27">
    <w:p w:rsidR="002E1422" w:rsidRPr="00DF20B3" w:rsidRDefault="002E1422" w:rsidP="00B127E6">
      <w:pPr>
        <w:pStyle w:val="FootnoteText"/>
        <w:rPr>
          <w:lang w:val="pt-PT"/>
        </w:rPr>
      </w:pPr>
      <w:r>
        <w:rPr>
          <w:rStyle w:val="FootnoteReference"/>
        </w:rPr>
        <w:footnoteRef/>
      </w:r>
      <w:r w:rsidRPr="00DF20B3">
        <w:rPr>
          <w:lang w:val="pt-PT"/>
        </w:rPr>
        <w:tab/>
      </w:r>
      <w:proofErr w:type="spellStart"/>
      <w:r w:rsidRPr="00DF20B3">
        <w:rPr>
          <w:lang w:val="pt-PT"/>
        </w:rPr>
        <w:t>Eiropas</w:t>
      </w:r>
      <w:proofErr w:type="spellEnd"/>
      <w:r w:rsidRPr="00DF20B3">
        <w:rPr>
          <w:lang w:val="pt-PT"/>
        </w:rPr>
        <w:t xml:space="preserve"> Parlamenta </w:t>
      </w:r>
      <w:proofErr w:type="spellStart"/>
      <w:r w:rsidRPr="00DF20B3">
        <w:rPr>
          <w:lang w:val="pt-PT"/>
        </w:rPr>
        <w:t>un</w:t>
      </w:r>
      <w:proofErr w:type="spellEnd"/>
      <w:r w:rsidRPr="00DF20B3">
        <w:rPr>
          <w:lang w:val="pt-PT"/>
        </w:rPr>
        <w:t xml:space="preserve"> </w:t>
      </w:r>
      <w:proofErr w:type="spellStart"/>
      <w:r w:rsidRPr="00DF20B3">
        <w:rPr>
          <w:lang w:val="pt-PT"/>
        </w:rPr>
        <w:t>Padomes</w:t>
      </w:r>
      <w:proofErr w:type="spellEnd"/>
      <w:r w:rsidRPr="00DF20B3">
        <w:rPr>
          <w:lang w:val="pt-PT"/>
        </w:rPr>
        <w:t xml:space="preserve"> 2016. </w:t>
      </w:r>
      <w:proofErr w:type="spellStart"/>
      <w:proofErr w:type="gramStart"/>
      <w:r w:rsidRPr="00DF20B3">
        <w:rPr>
          <w:lang w:val="pt-PT"/>
        </w:rPr>
        <w:t>gada</w:t>
      </w:r>
      <w:proofErr w:type="spellEnd"/>
      <w:proofErr w:type="gramEnd"/>
      <w:r w:rsidRPr="00DF20B3">
        <w:rPr>
          <w:lang w:val="pt-PT"/>
        </w:rPr>
        <w:t xml:space="preserve"> 14. </w:t>
      </w:r>
      <w:proofErr w:type="spellStart"/>
      <w:proofErr w:type="gramStart"/>
      <w:r w:rsidRPr="00DF20B3">
        <w:rPr>
          <w:lang w:val="pt-PT"/>
        </w:rPr>
        <w:t>decembra</w:t>
      </w:r>
      <w:proofErr w:type="spellEnd"/>
      <w:proofErr w:type="gramEnd"/>
      <w:r w:rsidRPr="00DF20B3">
        <w:rPr>
          <w:lang w:val="pt-PT"/>
        </w:rPr>
        <w:t xml:space="preserve"> </w:t>
      </w:r>
      <w:proofErr w:type="spellStart"/>
      <w:r w:rsidRPr="00DF20B3">
        <w:rPr>
          <w:lang w:val="pt-PT"/>
        </w:rPr>
        <w:t>Direktīva</w:t>
      </w:r>
      <w:proofErr w:type="spellEnd"/>
      <w:r w:rsidRPr="00DF20B3">
        <w:rPr>
          <w:lang w:val="pt-PT"/>
        </w:rPr>
        <w:t xml:space="preserve"> (ES) 2016/2284 par </w:t>
      </w:r>
      <w:proofErr w:type="spellStart"/>
      <w:r w:rsidRPr="00DF20B3">
        <w:rPr>
          <w:lang w:val="pt-PT"/>
        </w:rPr>
        <w:t>dažu</w:t>
      </w:r>
      <w:proofErr w:type="spellEnd"/>
      <w:r w:rsidRPr="00DF20B3">
        <w:rPr>
          <w:lang w:val="pt-PT"/>
        </w:rPr>
        <w:t xml:space="preserve"> </w:t>
      </w:r>
      <w:proofErr w:type="spellStart"/>
      <w:r w:rsidRPr="00DF20B3">
        <w:rPr>
          <w:lang w:val="pt-PT"/>
        </w:rPr>
        <w:t>gaisu</w:t>
      </w:r>
      <w:proofErr w:type="spellEnd"/>
      <w:r w:rsidRPr="00DF20B3">
        <w:rPr>
          <w:lang w:val="pt-PT"/>
        </w:rPr>
        <w:t xml:space="preserve"> </w:t>
      </w:r>
      <w:proofErr w:type="spellStart"/>
      <w:r w:rsidRPr="00DF20B3">
        <w:rPr>
          <w:lang w:val="pt-PT"/>
        </w:rPr>
        <w:t>piesārņojošo</w:t>
      </w:r>
      <w:proofErr w:type="spellEnd"/>
      <w:r w:rsidRPr="00DF20B3">
        <w:rPr>
          <w:lang w:val="pt-PT"/>
        </w:rPr>
        <w:t xml:space="preserve"> </w:t>
      </w:r>
      <w:proofErr w:type="spellStart"/>
      <w:r w:rsidRPr="00DF20B3">
        <w:rPr>
          <w:lang w:val="pt-PT"/>
        </w:rPr>
        <w:t>vielu</w:t>
      </w:r>
      <w:proofErr w:type="spellEnd"/>
      <w:r w:rsidRPr="00DF20B3">
        <w:rPr>
          <w:lang w:val="pt-PT"/>
        </w:rPr>
        <w:t xml:space="preserve"> </w:t>
      </w:r>
      <w:proofErr w:type="spellStart"/>
      <w:r w:rsidRPr="00DF20B3">
        <w:rPr>
          <w:lang w:val="pt-PT"/>
        </w:rPr>
        <w:t>valstu</w:t>
      </w:r>
      <w:proofErr w:type="spellEnd"/>
      <w:r w:rsidRPr="00DF20B3">
        <w:rPr>
          <w:lang w:val="pt-PT"/>
        </w:rPr>
        <w:t xml:space="preserve"> </w:t>
      </w:r>
      <w:proofErr w:type="spellStart"/>
      <w:r w:rsidRPr="00DF20B3">
        <w:rPr>
          <w:lang w:val="pt-PT"/>
        </w:rPr>
        <w:t>emisiju</w:t>
      </w:r>
      <w:proofErr w:type="spellEnd"/>
      <w:r w:rsidRPr="00DF20B3">
        <w:rPr>
          <w:lang w:val="pt-PT"/>
        </w:rPr>
        <w:t xml:space="preserve"> </w:t>
      </w:r>
      <w:proofErr w:type="spellStart"/>
      <w:r w:rsidRPr="00DF20B3">
        <w:rPr>
          <w:lang w:val="pt-PT"/>
        </w:rPr>
        <w:t>samazināšanu</w:t>
      </w:r>
      <w:proofErr w:type="spellEnd"/>
      <w:r w:rsidRPr="00DF20B3">
        <w:rPr>
          <w:lang w:val="pt-PT"/>
        </w:rPr>
        <w:t xml:space="preserve"> </w:t>
      </w:r>
      <w:proofErr w:type="spellStart"/>
      <w:r w:rsidRPr="00DF20B3">
        <w:rPr>
          <w:lang w:val="pt-PT"/>
        </w:rPr>
        <w:t>un</w:t>
      </w:r>
      <w:proofErr w:type="spellEnd"/>
      <w:r w:rsidRPr="00DF20B3">
        <w:rPr>
          <w:lang w:val="pt-PT"/>
        </w:rPr>
        <w:t xml:space="preserve"> ar </w:t>
      </w:r>
      <w:proofErr w:type="spellStart"/>
      <w:r w:rsidRPr="00DF20B3">
        <w:rPr>
          <w:lang w:val="pt-PT"/>
        </w:rPr>
        <w:t>ko</w:t>
      </w:r>
      <w:proofErr w:type="spellEnd"/>
      <w:r w:rsidRPr="00DF20B3">
        <w:rPr>
          <w:lang w:val="pt-PT"/>
        </w:rPr>
        <w:t xml:space="preserve"> </w:t>
      </w:r>
      <w:proofErr w:type="spellStart"/>
      <w:r w:rsidRPr="00DF20B3">
        <w:rPr>
          <w:lang w:val="pt-PT"/>
        </w:rPr>
        <w:t>groza</w:t>
      </w:r>
      <w:proofErr w:type="spellEnd"/>
      <w:r w:rsidRPr="00DF20B3">
        <w:rPr>
          <w:lang w:val="pt-PT"/>
        </w:rPr>
        <w:t xml:space="preserve"> </w:t>
      </w:r>
      <w:proofErr w:type="spellStart"/>
      <w:r w:rsidRPr="00DF20B3">
        <w:rPr>
          <w:lang w:val="pt-PT"/>
        </w:rPr>
        <w:t>Direktīvu</w:t>
      </w:r>
      <w:proofErr w:type="spellEnd"/>
      <w:r w:rsidRPr="00DF20B3">
        <w:rPr>
          <w:lang w:val="pt-PT"/>
        </w:rPr>
        <w:t xml:space="preserve"> 2003/35/EK </w:t>
      </w:r>
      <w:proofErr w:type="spellStart"/>
      <w:r w:rsidRPr="00DF20B3">
        <w:rPr>
          <w:lang w:val="pt-PT"/>
        </w:rPr>
        <w:t>un</w:t>
      </w:r>
      <w:proofErr w:type="spellEnd"/>
      <w:r w:rsidRPr="00DF20B3">
        <w:rPr>
          <w:lang w:val="pt-PT"/>
        </w:rPr>
        <w:t xml:space="preserve"> </w:t>
      </w:r>
      <w:proofErr w:type="spellStart"/>
      <w:r w:rsidRPr="00DF20B3">
        <w:rPr>
          <w:lang w:val="pt-PT"/>
        </w:rPr>
        <w:t>atceļ</w:t>
      </w:r>
      <w:proofErr w:type="spellEnd"/>
      <w:r w:rsidRPr="00DF20B3">
        <w:rPr>
          <w:lang w:val="pt-PT"/>
        </w:rPr>
        <w:t xml:space="preserve"> </w:t>
      </w:r>
      <w:proofErr w:type="spellStart"/>
      <w:r w:rsidRPr="00DF20B3">
        <w:rPr>
          <w:lang w:val="pt-PT"/>
        </w:rPr>
        <w:t>Direktīvu</w:t>
      </w:r>
      <w:proofErr w:type="spellEnd"/>
      <w:r w:rsidRPr="00DF20B3">
        <w:rPr>
          <w:lang w:val="pt-PT"/>
        </w:rPr>
        <w:t xml:space="preserve"> 2001/81/EK (OV L 344, 17.12.2016., 1. </w:t>
      </w:r>
      <w:proofErr w:type="spellStart"/>
      <w:r w:rsidRPr="00DF20B3">
        <w:rPr>
          <w:lang w:val="pt-PT"/>
        </w:rPr>
        <w:t>lpp</w:t>
      </w:r>
      <w:proofErr w:type="spellEnd"/>
      <w:r w:rsidRPr="00DF20B3">
        <w:rPr>
          <w:lang w:val="pt-PT"/>
        </w:rPr>
        <w:t xml:space="preserve">.). </w:t>
      </w:r>
    </w:p>
  </w:footnote>
  <w:footnote w:id="28">
    <w:p w:rsidR="002E1422" w:rsidRPr="003B21D2" w:rsidRDefault="002E1422" w:rsidP="00161E03">
      <w:pPr>
        <w:pStyle w:val="FootnoteText"/>
        <w:rPr>
          <w:lang w:val="lt-LT"/>
        </w:rPr>
      </w:pPr>
      <w:r>
        <w:rPr>
          <w:rStyle w:val="FootnoteReference"/>
        </w:rPr>
        <w:footnoteRef/>
      </w:r>
      <w:r w:rsidRPr="00DF20B3">
        <w:rPr>
          <w:lang w:val="pt-PT"/>
        </w:rPr>
        <w:tab/>
      </w:r>
      <w:proofErr w:type="gramStart"/>
      <w:r w:rsidRPr="00DF20B3">
        <w:rPr>
          <w:lang w:val="pt-PT"/>
        </w:rPr>
        <w:t>COM(2012</w:t>
      </w:r>
      <w:proofErr w:type="gramEnd"/>
      <w:r w:rsidRPr="00DF20B3">
        <w:rPr>
          <w:lang w:val="pt-PT"/>
        </w:rPr>
        <w:t>) 673 final.</w:t>
      </w:r>
    </w:p>
  </w:footnote>
  <w:footnote w:id="29">
    <w:p w:rsidR="002E1422" w:rsidRPr="006A0975" w:rsidRDefault="002E1422" w:rsidP="00B127E6">
      <w:pPr>
        <w:pStyle w:val="FootnoteText"/>
        <w:rPr>
          <w:lang w:val="lt-LT"/>
        </w:rPr>
      </w:pPr>
      <w:r>
        <w:rPr>
          <w:rStyle w:val="FootnoteReference"/>
        </w:rPr>
        <w:footnoteRef/>
      </w:r>
      <w:r w:rsidRPr="00DF20B3">
        <w:rPr>
          <w:lang w:val="pt-PT"/>
        </w:rPr>
        <w:tab/>
      </w:r>
      <w:proofErr w:type="spellStart"/>
      <w:r w:rsidRPr="00DF20B3">
        <w:rPr>
          <w:lang w:val="pt-PT"/>
        </w:rPr>
        <w:t>Eiropas</w:t>
      </w:r>
      <w:proofErr w:type="spellEnd"/>
      <w:r w:rsidRPr="00DF20B3">
        <w:rPr>
          <w:lang w:val="pt-PT"/>
        </w:rPr>
        <w:t xml:space="preserve"> Parlamenta </w:t>
      </w:r>
      <w:proofErr w:type="spellStart"/>
      <w:r w:rsidRPr="00DF20B3">
        <w:rPr>
          <w:lang w:val="pt-PT"/>
        </w:rPr>
        <w:t>un</w:t>
      </w:r>
      <w:proofErr w:type="spellEnd"/>
      <w:r w:rsidRPr="00DF20B3">
        <w:rPr>
          <w:lang w:val="pt-PT"/>
        </w:rPr>
        <w:t xml:space="preserve"> </w:t>
      </w:r>
      <w:proofErr w:type="spellStart"/>
      <w:r w:rsidRPr="00DF20B3">
        <w:rPr>
          <w:lang w:val="pt-PT"/>
        </w:rPr>
        <w:t>Padomes</w:t>
      </w:r>
      <w:proofErr w:type="spellEnd"/>
      <w:r w:rsidRPr="00DF20B3">
        <w:rPr>
          <w:lang w:val="pt-PT"/>
        </w:rPr>
        <w:t xml:space="preserve"> 2008. </w:t>
      </w:r>
      <w:proofErr w:type="spellStart"/>
      <w:proofErr w:type="gramStart"/>
      <w:r w:rsidRPr="00DF20B3">
        <w:rPr>
          <w:lang w:val="pt-PT"/>
        </w:rPr>
        <w:t>gada</w:t>
      </w:r>
      <w:proofErr w:type="spellEnd"/>
      <w:proofErr w:type="gramEnd"/>
      <w:r w:rsidRPr="00DF20B3">
        <w:rPr>
          <w:lang w:val="pt-PT"/>
        </w:rPr>
        <w:t xml:space="preserve"> 17. </w:t>
      </w:r>
      <w:proofErr w:type="spellStart"/>
      <w:proofErr w:type="gramStart"/>
      <w:r w:rsidRPr="00DF20B3">
        <w:rPr>
          <w:lang w:val="pt-PT"/>
        </w:rPr>
        <w:t>jūnija</w:t>
      </w:r>
      <w:proofErr w:type="spellEnd"/>
      <w:proofErr w:type="gramEnd"/>
      <w:r w:rsidRPr="00DF20B3">
        <w:rPr>
          <w:lang w:val="pt-PT"/>
        </w:rPr>
        <w:t xml:space="preserve"> </w:t>
      </w:r>
      <w:proofErr w:type="spellStart"/>
      <w:r w:rsidRPr="00DF20B3">
        <w:rPr>
          <w:lang w:val="pt-PT"/>
        </w:rPr>
        <w:t>Direktīva</w:t>
      </w:r>
      <w:proofErr w:type="spellEnd"/>
      <w:r w:rsidRPr="00DF20B3">
        <w:rPr>
          <w:lang w:val="pt-PT"/>
        </w:rPr>
        <w:t xml:space="preserve"> 2008/56/EK, ar </w:t>
      </w:r>
      <w:proofErr w:type="spellStart"/>
      <w:r w:rsidRPr="00DF20B3">
        <w:rPr>
          <w:lang w:val="pt-PT"/>
        </w:rPr>
        <w:t>ko</w:t>
      </w:r>
      <w:proofErr w:type="spellEnd"/>
      <w:r w:rsidRPr="00DF20B3">
        <w:rPr>
          <w:lang w:val="pt-PT"/>
        </w:rPr>
        <w:t xml:space="preserve"> </w:t>
      </w:r>
      <w:proofErr w:type="spellStart"/>
      <w:r w:rsidRPr="00DF20B3">
        <w:rPr>
          <w:lang w:val="pt-PT"/>
        </w:rPr>
        <w:t>izveido</w:t>
      </w:r>
      <w:proofErr w:type="spellEnd"/>
      <w:r w:rsidRPr="00DF20B3">
        <w:rPr>
          <w:lang w:val="pt-PT"/>
        </w:rPr>
        <w:t xml:space="preserve"> </w:t>
      </w:r>
      <w:proofErr w:type="spellStart"/>
      <w:r w:rsidRPr="00DF20B3">
        <w:rPr>
          <w:lang w:val="pt-PT"/>
        </w:rPr>
        <w:t>sistēmu</w:t>
      </w:r>
      <w:proofErr w:type="spellEnd"/>
      <w:r w:rsidRPr="00DF20B3">
        <w:rPr>
          <w:lang w:val="pt-PT"/>
        </w:rPr>
        <w:t xml:space="preserve"> </w:t>
      </w:r>
      <w:proofErr w:type="spellStart"/>
      <w:r w:rsidRPr="00DF20B3">
        <w:rPr>
          <w:lang w:val="pt-PT"/>
        </w:rPr>
        <w:t>Kopienas</w:t>
      </w:r>
      <w:proofErr w:type="spellEnd"/>
      <w:r w:rsidRPr="00DF20B3">
        <w:rPr>
          <w:lang w:val="pt-PT"/>
        </w:rPr>
        <w:t xml:space="preserve"> </w:t>
      </w:r>
      <w:proofErr w:type="spellStart"/>
      <w:r w:rsidRPr="00DF20B3">
        <w:rPr>
          <w:lang w:val="pt-PT"/>
        </w:rPr>
        <w:t>rīcībai</w:t>
      </w:r>
      <w:proofErr w:type="spellEnd"/>
      <w:r w:rsidRPr="00DF20B3">
        <w:rPr>
          <w:lang w:val="pt-PT"/>
        </w:rPr>
        <w:t xml:space="preserve"> </w:t>
      </w:r>
      <w:proofErr w:type="spellStart"/>
      <w:r w:rsidRPr="00DF20B3">
        <w:rPr>
          <w:lang w:val="pt-PT"/>
        </w:rPr>
        <w:t>jūras</w:t>
      </w:r>
      <w:proofErr w:type="spellEnd"/>
      <w:r w:rsidRPr="00DF20B3">
        <w:rPr>
          <w:lang w:val="pt-PT"/>
        </w:rPr>
        <w:t xml:space="preserve"> vides </w:t>
      </w:r>
      <w:proofErr w:type="spellStart"/>
      <w:r w:rsidRPr="00DF20B3">
        <w:rPr>
          <w:lang w:val="pt-PT"/>
        </w:rPr>
        <w:t>politikas</w:t>
      </w:r>
      <w:proofErr w:type="spellEnd"/>
      <w:r w:rsidRPr="00DF20B3">
        <w:rPr>
          <w:lang w:val="pt-PT"/>
        </w:rPr>
        <w:t xml:space="preserve"> </w:t>
      </w:r>
      <w:proofErr w:type="spellStart"/>
      <w:r w:rsidRPr="00DF20B3">
        <w:rPr>
          <w:lang w:val="pt-PT"/>
        </w:rPr>
        <w:t>jomā</w:t>
      </w:r>
      <w:proofErr w:type="spellEnd"/>
      <w:r w:rsidRPr="00DF20B3">
        <w:rPr>
          <w:lang w:val="pt-PT"/>
        </w:rPr>
        <w:t xml:space="preserve"> (</w:t>
      </w:r>
      <w:proofErr w:type="spellStart"/>
      <w:r w:rsidRPr="00DF20B3">
        <w:rPr>
          <w:lang w:val="pt-PT"/>
        </w:rPr>
        <w:t>Jūras</w:t>
      </w:r>
      <w:proofErr w:type="spellEnd"/>
      <w:r w:rsidRPr="00DF20B3">
        <w:rPr>
          <w:lang w:val="pt-PT"/>
        </w:rPr>
        <w:t xml:space="preserve"> </w:t>
      </w:r>
      <w:proofErr w:type="spellStart"/>
      <w:r w:rsidRPr="00DF20B3">
        <w:rPr>
          <w:lang w:val="pt-PT"/>
        </w:rPr>
        <w:t>stratēģijas</w:t>
      </w:r>
      <w:proofErr w:type="spellEnd"/>
      <w:r w:rsidRPr="00DF20B3">
        <w:rPr>
          <w:lang w:val="pt-PT"/>
        </w:rPr>
        <w:t xml:space="preserve"> </w:t>
      </w:r>
      <w:proofErr w:type="spellStart"/>
      <w:r w:rsidRPr="00DF20B3">
        <w:rPr>
          <w:lang w:val="pt-PT"/>
        </w:rPr>
        <w:t>pamatdirektīva</w:t>
      </w:r>
      <w:proofErr w:type="spellEnd"/>
      <w:r w:rsidRPr="00DF20B3">
        <w:rPr>
          <w:lang w:val="pt-PT"/>
        </w:rPr>
        <w:t>) (OV L 164, 25.6.2008., 19. </w:t>
      </w:r>
      <w:proofErr w:type="spellStart"/>
      <w:r w:rsidRPr="00DF20B3">
        <w:rPr>
          <w:lang w:val="pt-PT"/>
        </w:rPr>
        <w:t>lpp</w:t>
      </w:r>
      <w:proofErr w:type="spellEnd"/>
      <w:r w:rsidRPr="00DF20B3">
        <w:rPr>
          <w:lang w:val="pt-PT"/>
        </w:rPr>
        <w:t>.).</w:t>
      </w:r>
    </w:p>
  </w:footnote>
  <w:footnote w:id="30">
    <w:p w:rsidR="002E1422" w:rsidRPr="00CD1664" w:rsidRDefault="002E1422" w:rsidP="00B127E6">
      <w:pPr>
        <w:pStyle w:val="FootnoteText"/>
        <w:rPr>
          <w:lang w:val="pt-PT"/>
        </w:rPr>
      </w:pPr>
      <w:r>
        <w:rPr>
          <w:rStyle w:val="FootnoteReference"/>
        </w:rPr>
        <w:footnoteRef/>
      </w:r>
      <w:r w:rsidRPr="00DF20B3">
        <w:rPr>
          <w:lang w:val="pt-PT"/>
        </w:rPr>
        <w:tab/>
        <w:t>OV L 124, 17.5.2005., 4. </w:t>
      </w:r>
      <w:proofErr w:type="spellStart"/>
      <w:proofErr w:type="gramStart"/>
      <w:r w:rsidRPr="00DF20B3">
        <w:rPr>
          <w:lang w:val="pt-PT"/>
        </w:rPr>
        <w:t>lpp</w:t>
      </w:r>
      <w:proofErr w:type="spellEnd"/>
      <w:proofErr w:type="gramEnd"/>
      <w:r w:rsidRPr="00DF20B3">
        <w:rPr>
          <w:lang w:val="pt-PT"/>
        </w:rPr>
        <w:t>.</w:t>
      </w:r>
    </w:p>
  </w:footnote>
  <w:footnote w:id="31">
    <w:p w:rsidR="002E1422" w:rsidRPr="003D4BED" w:rsidRDefault="002E1422" w:rsidP="00EA72CB">
      <w:pPr>
        <w:pStyle w:val="FootnoteText"/>
        <w:rPr>
          <w:lang w:val="pt-PT"/>
        </w:rPr>
      </w:pPr>
      <w:r>
        <w:rPr>
          <w:rStyle w:val="FootnoteReference"/>
        </w:rPr>
        <w:footnoteRef/>
      </w:r>
      <w:r w:rsidRPr="00DF20B3">
        <w:rPr>
          <w:lang w:val="pt-PT"/>
        </w:rPr>
        <w:tab/>
      </w:r>
      <w:proofErr w:type="gramStart"/>
      <w:r w:rsidRPr="00DF20B3">
        <w:rPr>
          <w:lang w:val="pt-PT"/>
        </w:rPr>
        <w:t>COM(2017</w:t>
      </w:r>
      <w:proofErr w:type="gramEnd"/>
      <w:r w:rsidRPr="00DF20B3">
        <w:rPr>
          <w:lang w:val="pt-PT"/>
        </w:rPr>
        <w:t>) 623 final.</w:t>
      </w:r>
    </w:p>
  </w:footnote>
  <w:footnote w:id="32">
    <w:p w:rsidR="002E1422" w:rsidRPr="003D4BED" w:rsidRDefault="002E1422">
      <w:pPr>
        <w:pStyle w:val="FootnoteText"/>
        <w:rPr>
          <w:lang w:val="pt-PT"/>
        </w:rPr>
      </w:pPr>
      <w:r>
        <w:rPr>
          <w:rStyle w:val="FootnoteReference"/>
        </w:rPr>
        <w:footnoteRef/>
      </w:r>
      <w:r w:rsidRPr="00DF20B3">
        <w:rPr>
          <w:lang w:val="pt-PT"/>
        </w:rPr>
        <w:tab/>
        <w:t>OV C 373, 20.12.2013., 1. </w:t>
      </w:r>
      <w:proofErr w:type="spellStart"/>
      <w:proofErr w:type="gramStart"/>
      <w:r w:rsidRPr="00DF20B3">
        <w:rPr>
          <w:lang w:val="pt-PT"/>
        </w:rPr>
        <w:t>lpp</w:t>
      </w:r>
      <w:proofErr w:type="spellEnd"/>
      <w:proofErr w:type="gramEnd"/>
      <w:r w:rsidRPr="00DF20B3">
        <w:rPr>
          <w:lang w:val="pt-PT"/>
        </w:rPr>
        <w:t xml:space="preserve">. </w:t>
      </w:r>
    </w:p>
  </w:footnote>
  <w:footnote w:id="33">
    <w:p w:rsidR="002E1422" w:rsidRPr="00DF20B3" w:rsidRDefault="002E1422">
      <w:pPr>
        <w:pStyle w:val="FootnoteText"/>
        <w:rPr>
          <w:lang w:val="pt-PT"/>
        </w:rPr>
      </w:pPr>
      <w:r>
        <w:rPr>
          <w:rStyle w:val="FootnoteReference"/>
        </w:rPr>
        <w:footnoteRef/>
      </w:r>
      <w:r w:rsidRPr="00DF20B3">
        <w:rPr>
          <w:lang w:val="pt-PT"/>
        </w:rPr>
        <w:tab/>
      </w:r>
      <w:proofErr w:type="spellStart"/>
      <w:r w:rsidRPr="00DF20B3">
        <w:rPr>
          <w:lang w:val="pt-PT"/>
        </w:rPr>
        <w:t>Eiropas</w:t>
      </w:r>
      <w:proofErr w:type="spellEnd"/>
      <w:r w:rsidRPr="00DF20B3">
        <w:rPr>
          <w:lang w:val="pt-PT"/>
        </w:rPr>
        <w:t xml:space="preserve"> Parlamenta </w:t>
      </w:r>
      <w:proofErr w:type="spellStart"/>
      <w:r w:rsidRPr="00DF20B3">
        <w:rPr>
          <w:lang w:val="pt-PT"/>
        </w:rPr>
        <w:t>un</w:t>
      </w:r>
      <w:proofErr w:type="spellEnd"/>
      <w:r w:rsidRPr="00DF20B3">
        <w:rPr>
          <w:lang w:val="pt-PT"/>
        </w:rPr>
        <w:t xml:space="preserve"> </w:t>
      </w:r>
      <w:proofErr w:type="spellStart"/>
      <w:r w:rsidRPr="00DF20B3">
        <w:rPr>
          <w:lang w:val="pt-PT"/>
        </w:rPr>
        <w:t>Padomes</w:t>
      </w:r>
      <w:proofErr w:type="spellEnd"/>
      <w:r w:rsidRPr="00DF20B3">
        <w:rPr>
          <w:lang w:val="pt-PT"/>
        </w:rPr>
        <w:t xml:space="preserve"> 2013. </w:t>
      </w:r>
      <w:proofErr w:type="spellStart"/>
      <w:proofErr w:type="gramStart"/>
      <w:r w:rsidRPr="00DF20B3">
        <w:rPr>
          <w:lang w:val="pt-PT"/>
        </w:rPr>
        <w:t>gada</w:t>
      </w:r>
      <w:proofErr w:type="spellEnd"/>
      <w:proofErr w:type="gramEnd"/>
      <w:r w:rsidRPr="00DF20B3">
        <w:rPr>
          <w:lang w:val="pt-PT"/>
        </w:rPr>
        <w:t xml:space="preserve"> 11. </w:t>
      </w:r>
      <w:proofErr w:type="spellStart"/>
      <w:proofErr w:type="gramStart"/>
      <w:r w:rsidRPr="00DF20B3">
        <w:rPr>
          <w:lang w:val="pt-PT"/>
        </w:rPr>
        <w:t>septembra</w:t>
      </w:r>
      <w:proofErr w:type="spellEnd"/>
      <w:proofErr w:type="gramEnd"/>
      <w:r w:rsidRPr="00DF20B3">
        <w:rPr>
          <w:lang w:val="pt-PT"/>
        </w:rPr>
        <w:t xml:space="preserve"> Regula (ES, </w:t>
      </w:r>
      <w:proofErr w:type="spellStart"/>
      <w:r w:rsidRPr="00DF20B3">
        <w:rPr>
          <w:i/>
          <w:lang w:val="pt-PT"/>
        </w:rPr>
        <w:t>Euratom</w:t>
      </w:r>
      <w:proofErr w:type="spellEnd"/>
      <w:r w:rsidRPr="00DF20B3">
        <w:rPr>
          <w:lang w:val="pt-PT"/>
        </w:rPr>
        <w:t xml:space="preserve">) </w:t>
      </w:r>
      <w:proofErr w:type="spellStart"/>
      <w:r w:rsidRPr="00DF20B3">
        <w:rPr>
          <w:lang w:val="pt-PT"/>
        </w:rPr>
        <w:t>Nr</w:t>
      </w:r>
      <w:proofErr w:type="spellEnd"/>
      <w:r w:rsidRPr="00DF20B3">
        <w:rPr>
          <w:lang w:val="pt-PT"/>
        </w:rPr>
        <w:t xml:space="preserve">. 883/2013 </w:t>
      </w:r>
      <w:proofErr w:type="gramStart"/>
      <w:r w:rsidRPr="00DF20B3">
        <w:rPr>
          <w:lang w:val="pt-PT"/>
        </w:rPr>
        <w:t>par</w:t>
      </w:r>
      <w:proofErr w:type="gramEnd"/>
      <w:r w:rsidRPr="00DF20B3">
        <w:rPr>
          <w:lang w:val="pt-PT"/>
        </w:rPr>
        <w:t xml:space="preserve"> </w:t>
      </w:r>
      <w:proofErr w:type="spellStart"/>
      <w:r w:rsidRPr="00DF20B3">
        <w:rPr>
          <w:lang w:val="pt-PT"/>
        </w:rPr>
        <w:t>izmeklēšanu</w:t>
      </w:r>
      <w:proofErr w:type="spellEnd"/>
      <w:r w:rsidRPr="00DF20B3">
        <w:rPr>
          <w:lang w:val="pt-PT"/>
        </w:rPr>
        <w:t xml:space="preserve">, </w:t>
      </w:r>
      <w:proofErr w:type="spellStart"/>
      <w:r w:rsidRPr="00DF20B3">
        <w:rPr>
          <w:lang w:val="pt-PT"/>
        </w:rPr>
        <w:t>ko</w:t>
      </w:r>
      <w:proofErr w:type="spellEnd"/>
      <w:r w:rsidRPr="00DF20B3">
        <w:rPr>
          <w:lang w:val="pt-PT"/>
        </w:rPr>
        <w:t xml:space="preserve"> </w:t>
      </w:r>
      <w:proofErr w:type="spellStart"/>
      <w:r w:rsidRPr="00DF20B3">
        <w:rPr>
          <w:lang w:val="pt-PT"/>
        </w:rPr>
        <w:t>veic</w:t>
      </w:r>
      <w:proofErr w:type="spellEnd"/>
      <w:r w:rsidRPr="00DF20B3">
        <w:rPr>
          <w:lang w:val="pt-PT"/>
        </w:rPr>
        <w:t xml:space="preserve"> </w:t>
      </w:r>
      <w:proofErr w:type="spellStart"/>
      <w:r w:rsidRPr="00DF20B3">
        <w:rPr>
          <w:lang w:val="pt-PT"/>
        </w:rPr>
        <w:t>Eiropas</w:t>
      </w:r>
      <w:proofErr w:type="spellEnd"/>
      <w:r w:rsidRPr="00DF20B3">
        <w:rPr>
          <w:lang w:val="pt-PT"/>
        </w:rPr>
        <w:t xml:space="preserve"> </w:t>
      </w:r>
      <w:proofErr w:type="spellStart"/>
      <w:r w:rsidRPr="00DF20B3">
        <w:rPr>
          <w:lang w:val="pt-PT"/>
        </w:rPr>
        <w:t>Birojs</w:t>
      </w:r>
      <w:proofErr w:type="spellEnd"/>
      <w:r w:rsidRPr="00DF20B3">
        <w:rPr>
          <w:lang w:val="pt-PT"/>
        </w:rPr>
        <w:t xml:space="preserve"> </w:t>
      </w:r>
      <w:proofErr w:type="spellStart"/>
      <w:r w:rsidRPr="00DF20B3">
        <w:rPr>
          <w:lang w:val="pt-PT"/>
        </w:rPr>
        <w:t>krāpšanas</w:t>
      </w:r>
      <w:proofErr w:type="spellEnd"/>
      <w:r w:rsidRPr="00DF20B3">
        <w:rPr>
          <w:lang w:val="pt-PT"/>
        </w:rPr>
        <w:t xml:space="preserve"> </w:t>
      </w:r>
      <w:proofErr w:type="spellStart"/>
      <w:r w:rsidRPr="00DF20B3">
        <w:rPr>
          <w:lang w:val="pt-PT"/>
        </w:rPr>
        <w:t>apkarošanai</w:t>
      </w:r>
      <w:proofErr w:type="spellEnd"/>
      <w:r w:rsidRPr="00DF20B3">
        <w:rPr>
          <w:lang w:val="pt-PT"/>
        </w:rPr>
        <w:t xml:space="preserve"> (</w:t>
      </w:r>
      <w:r w:rsidRPr="00DF20B3">
        <w:rPr>
          <w:i/>
          <w:lang w:val="pt-PT"/>
        </w:rPr>
        <w:t>OLAF</w:t>
      </w:r>
      <w:r w:rsidRPr="00DF20B3">
        <w:rPr>
          <w:lang w:val="pt-PT"/>
        </w:rPr>
        <w:t xml:space="preserve">), </w:t>
      </w:r>
      <w:proofErr w:type="spellStart"/>
      <w:r w:rsidRPr="00DF20B3">
        <w:rPr>
          <w:lang w:val="pt-PT"/>
        </w:rPr>
        <w:t>un</w:t>
      </w:r>
      <w:proofErr w:type="spellEnd"/>
      <w:r w:rsidRPr="00DF20B3">
        <w:rPr>
          <w:lang w:val="pt-PT"/>
        </w:rPr>
        <w:t xml:space="preserve"> ar </w:t>
      </w:r>
      <w:proofErr w:type="spellStart"/>
      <w:r w:rsidRPr="00DF20B3">
        <w:rPr>
          <w:lang w:val="pt-PT"/>
        </w:rPr>
        <w:t>ko</w:t>
      </w:r>
      <w:proofErr w:type="spellEnd"/>
      <w:r w:rsidRPr="00DF20B3">
        <w:rPr>
          <w:lang w:val="pt-PT"/>
        </w:rPr>
        <w:t xml:space="preserve"> </w:t>
      </w:r>
      <w:proofErr w:type="spellStart"/>
      <w:r w:rsidRPr="00DF20B3">
        <w:rPr>
          <w:lang w:val="pt-PT"/>
        </w:rPr>
        <w:t>atceļ</w:t>
      </w:r>
      <w:proofErr w:type="spellEnd"/>
      <w:r w:rsidRPr="00DF20B3">
        <w:rPr>
          <w:lang w:val="pt-PT"/>
        </w:rPr>
        <w:t xml:space="preserve"> </w:t>
      </w:r>
      <w:proofErr w:type="spellStart"/>
      <w:r w:rsidRPr="00DF20B3">
        <w:rPr>
          <w:lang w:val="pt-PT"/>
        </w:rPr>
        <w:t>Eiropas</w:t>
      </w:r>
      <w:proofErr w:type="spellEnd"/>
      <w:r w:rsidRPr="00DF20B3">
        <w:rPr>
          <w:lang w:val="pt-PT"/>
        </w:rPr>
        <w:t xml:space="preserve"> Parlamenta </w:t>
      </w:r>
      <w:proofErr w:type="spellStart"/>
      <w:r w:rsidRPr="00DF20B3">
        <w:rPr>
          <w:lang w:val="pt-PT"/>
        </w:rPr>
        <w:t>un</w:t>
      </w:r>
      <w:proofErr w:type="spellEnd"/>
      <w:r w:rsidRPr="00DF20B3">
        <w:rPr>
          <w:lang w:val="pt-PT"/>
        </w:rPr>
        <w:t xml:space="preserve"> </w:t>
      </w:r>
      <w:proofErr w:type="spellStart"/>
      <w:r w:rsidRPr="00DF20B3">
        <w:rPr>
          <w:lang w:val="pt-PT"/>
        </w:rPr>
        <w:t>Padomes</w:t>
      </w:r>
      <w:proofErr w:type="spellEnd"/>
      <w:r w:rsidRPr="00DF20B3">
        <w:rPr>
          <w:lang w:val="pt-PT"/>
        </w:rPr>
        <w:t xml:space="preserve"> </w:t>
      </w:r>
      <w:proofErr w:type="spellStart"/>
      <w:r w:rsidRPr="00DF20B3">
        <w:rPr>
          <w:lang w:val="pt-PT"/>
        </w:rPr>
        <w:t>Regulu</w:t>
      </w:r>
      <w:proofErr w:type="spellEnd"/>
      <w:r w:rsidRPr="00DF20B3">
        <w:rPr>
          <w:lang w:val="pt-PT"/>
        </w:rPr>
        <w:t xml:space="preserve"> (EK) </w:t>
      </w:r>
      <w:proofErr w:type="spellStart"/>
      <w:r w:rsidRPr="00DF20B3">
        <w:rPr>
          <w:lang w:val="pt-PT"/>
        </w:rPr>
        <w:t>Nr</w:t>
      </w:r>
      <w:proofErr w:type="spellEnd"/>
      <w:r w:rsidRPr="00DF20B3">
        <w:rPr>
          <w:lang w:val="pt-PT"/>
        </w:rPr>
        <w:t xml:space="preserve">. 1073/1999 </w:t>
      </w:r>
      <w:proofErr w:type="spellStart"/>
      <w:proofErr w:type="gramStart"/>
      <w:r w:rsidRPr="00DF20B3">
        <w:rPr>
          <w:lang w:val="pt-PT"/>
        </w:rPr>
        <w:t>un</w:t>
      </w:r>
      <w:proofErr w:type="spellEnd"/>
      <w:proofErr w:type="gramEnd"/>
      <w:r w:rsidRPr="00DF20B3">
        <w:rPr>
          <w:lang w:val="pt-PT"/>
        </w:rPr>
        <w:t xml:space="preserve"> </w:t>
      </w:r>
      <w:proofErr w:type="spellStart"/>
      <w:r w:rsidRPr="00DF20B3">
        <w:rPr>
          <w:lang w:val="pt-PT"/>
        </w:rPr>
        <w:t>Padomes</w:t>
      </w:r>
      <w:proofErr w:type="spellEnd"/>
      <w:r w:rsidRPr="00DF20B3">
        <w:rPr>
          <w:lang w:val="pt-PT"/>
        </w:rPr>
        <w:t xml:space="preserve"> </w:t>
      </w:r>
      <w:proofErr w:type="spellStart"/>
      <w:r w:rsidRPr="00DF20B3">
        <w:rPr>
          <w:lang w:val="pt-PT"/>
        </w:rPr>
        <w:t>Regulu</w:t>
      </w:r>
      <w:proofErr w:type="spellEnd"/>
      <w:r w:rsidRPr="00DF20B3">
        <w:rPr>
          <w:lang w:val="pt-PT"/>
        </w:rPr>
        <w:t xml:space="preserve"> (</w:t>
      </w:r>
      <w:proofErr w:type="spellStart"/>
      <w:r w:rsidRPr="00DF20B3">
        <w:rPr>
          <w:i/>
          <w:lang w:val="pt-PT"/>
        </w:rPr>
        <w:t>Euratom</w:t>
      </w:r>
      <w:proofErr w:type="spellEnd"/>
      <w:r w:rsidRPr="00DF20B3">
        <w:rPr>
          <w:lang w:val="pt-PT"/>
        </w:rPr>
        <w:t xml:space="preserve">) </w:t>
      </w:r>
      <w:proofErr w:type="spellStart"/>
      <w:r w:rsidRPr="00DF20B3">
        <w:rPr>
          <w:lang w:val="pt-PT"/>
        </w:rPr>
        <w:t>Nr</w:t>
      </w:r>
      <w:proofErr w:type="spellEnd"/>
      <w:r w:rsidRPr="00DF20B3">
        <w:rPr>
          <w:lang w:val="pt-PT"/>
        </w:rPr>
        <w:t>. 1074/1999 (OV L 248, 18.9.2013., 1. </w:t>
      </w:r>
      <w:proofErr w:type="spellStart"/>
      <w:proofErr w:type="gramStart"/>
      <w:r w:rsidRPr="00DF20B3">
        <w:rPr>
          <w:lang w:val="pt-PT"/>
        </w:rPr>
        <w:t>lpp</w:t>
      </w:r>
      <w:proofErr w:type="spellEnd"/>
      <w:proofErr w:type="gramEnd"/>
      <w:r w:rsidRPr="00DF20B3">
        <w:rPr>
          <w:lang w:val="pt-PT"/>
        </w:rPr>
        <w:t>.).</w:t>
      </w:r>
    </w:p>
  </w:footnote>
  <w:footnote w:id="34">
    <w:p w:rsidR="002E1422" w:rsidRPr="00DF20B3" w:rsidRDefault="002E1422" w:rsidP="00552EEA">
      <w:pPr>
        <w:pStyle w:val="FootnoteText"/>
        <w:rPr>
          <w:lang w:val="pt-PT"/>
        </w:rPr>
      </w:pPr>
      <w:r>
        <w:rPr>
          <w:rStyle w:val="FootnoteReference"/>
        </w:rPr>
        <w:footnoteRef/>
      </w:r>
      <w:r w:rsidRPr="00DF20B3">
        <w:rPr>
          <w:lang w:val="pt-PT"/>
        </w:rPr>
        <w:tab/>
      </w:r>
      <w:proofErr w:type="spellStart"/>
      <w:r w:rsidRPr="00DF20B3">
        <w:rPr>
          <w:lang w:val="pt-PT"/>
        </w:rPr>
        <w:t>Padomes</w:t>
      </w:r>
      <w:proofErr w:type="spellEnd"/>
      <w:r w:rsidRPr="00DF20B3">
        <w:rPr>
          <w:lang w:val="pt-PT"/>
        </w:rPr>
        <w:t xml:space="preserve"> 1995. </w:t>
      </w:r>
      <w:proofErr w:type="spellStart"/>
      <w:proofErr w:type="gramStart"/>
      <w:r w:rsidRPr="00DF20B3">
        <w:rPr>
          <w:lang w:val="pt-PT"/>
        </w:rPr>
        <w:t>gada</w:t>
      </w:r>
      <w:proofErr w:type="spellEnd"/>
      <w:proofErr w:type="gramEnd"/>
      <w:r w:rsidRPr="00DF20B3">
        <w:rPr>
          <w:lang w:val="pt-PT"/>
        </w:rPr>
        <w:t xml:space="preserve"> 18. </w:t>
      </w:r>
      <w:proofErr w:type="spellStart"/>
      <w:proofErr w:type="gramStart"/>
      <w:r w:rsidRPr="00DF20B3">
        <w:rPr>
          <w:lang w:val="pt-PT"/>
        </w:rPr>
        <w:t>decembra</w:t>
      </w:r>
      <w:proofErr w:type="spellEnd"/>
      <w:proofErr w:type="gramEnd"/>
      <w:r w:rsidRPr="00DF20B3">
        <w:rPr>
          <w:lang w:val="pt-PT"/>
        </w:rPr>
        <w:t xml:space="preserve"> Regula (EK, </w:t>
      </w:r>
      <w:proofErr w:type="spellStart"/>
      <w:r w:rsidRPr="00DF20B3">
        <w:rPr>
          <w:i/>
          <w:lang w:val="pt-PT"/>
        </w:rPr>
        <w:t>Euratom</w:t>
      </w:r>
      <w:proofErr w:type="spellEnd"/>
      <w:r w:rsidRPr="00DF20B3">
        <w:rPr>
          <w:lang w:val="pt-PT"/>
        </w:rPr>
        <w:t xml:space="preserve">) </w:t>
      </w:r>
      <w:proofErr w:type="spellStart"/>
      <w:r w:rsidRPr="00DF20B3">
        <w:rPr>
          <w:lang w:val="pt-PT"/>
        </w:rPr>
        <w:t>Nr</w:t>
      </w:r>
      <w:proofErr w:type="spellEnd"/>
      <w:r w:rsidRPr="00DF20B3">
        <w:rPr>
          <w:lang w:val="pt-PT"/>
        </w:rPr>
        <w:t xml:space="preserve">. 2988/95 </w:t>
      </w:r>
      <w:proofErr w:type="gramStart"/>
      <w:r w:rsidRPr="00DF20B3">
        <w:rPr>
          <w:lang w:val="pt-PT"/>
        </w:rPr>
        <w:t>par</w:t>
      </w:r>
      <w:proofErr w:type="gramEnd"/>
      <w:r w:rsidRPr="00DF20B3">
        <w:rPr>
          <w:lang w:val="pt-PT"/>
        </w:rPr>
        <w:t xml:space="preserve"> </w:t>
      </w:r>
      <w:proofErr w:type="spellStart"/>
      <w:r w:rsidRPr="00DF20B3">
        <w:rPr>
          <w:lang w:val="pt-PT"/>
        </w:rPr>
        <w:t>Eiropas</w:t>
      </w:r>
      <w:proofErr w:type="spellEnd"/>
      <w:r w:rsidRPr="00DF20B3">
        <w:rPr>
          <w:lang w:val="pt-PT"/>
        </w:rPr>
        <w:t xml:space="preserve"> </w:t>
      </w:r>
      <w:proofErr w:type="spellStart"/>
      <w:r w:rsidRPr="00DF20B3">
        <w:rPr>
          <w:lang w:val="pt-PT"/>
        </w:rPr>
        <w:t>Kopienu</w:t>
      </w:r>
      <w:proofErr w:type="spellEnd"/>
      <w:r w:rsidRPr="00DF20B3">
        <w:rPr>
          <w:lang w:val="pt-PT"/>
        </w:rPr>
        <w:t xml:space="preserve"> </w:t>
      </w:r>
      <w:proofErr w:type="spellStart"/>
      <w:r w:rsidRPr="00DF20B3">
        <w:rPr>
          <w:lang w:val="pt-PT"/>
        </w:rPr>
        <w:t>finanšu</w:t>
      </w:r>
      <w:proofErr w:type="spellEnd"/>
      <w:r w:rsidRPr="00DF20B3">
        <w:rPr>
          <w:lang w:val="pt-PT"/>
        </w:rPr>
        <w:t xml:space="preserve"> </w:t>
      </w:r>
      <w:proofErr w:type="spellStart"/>
      <w:r w:rsidRPr="00DF20B3">
        <w:rPr>
          <w:lang w:val="pt-PT"/>
        </w:rPr>
        <w:t>interešu</w:t>
      </w:r>
      <w:proofErr w:type="spellEnd"/>
      <w:r w:rsidRPr="00DF20B3">
        <w:rPr>
          <w:lang w:val="pt-PT"/>
        </w:rPr>
        <w:t xml:space="preserve"> </w:t>
      </w:r>
      <w:proofErr w:type="spellStart"/>
      <w:r w:rsidRPr="00DF20B3">
        <w:rPr>
          <w:lang w:val="pt-PT"/>
        </w:rPr>
        <w:t>aizsardzību</w:t>
      </w:r>
      <w:proofErr w:type="spellEnd"/>
      <w:r w:rsidRPr="00DF20B3">
        <w:rPr>
          <w:lang w:val="pt-PT"/>
        </w:rPr>
        <w:t xml:space="preserve"> (OV L 312, 23.12.1995., 1. </w:t>
      </w:r>
      <w:proofErr w:type="spellStart"/>
      <w:r w:rsidRPr="00DF20B3">
        <w:rPr>
          <w:lang w:val="pt-PT"/>
        </w:rPr>
        <w:t>lpp</w:t>
      </w:r>
      <w:proofErr w:type="spellEnd"/>
      <w:r w:rsidRPr="00DF20B3">
        <w:rPr>
          <w:lang w:val="pt-PT"/>
        </w:rPr>
        <w:t>.).</w:t>
      </w:r>
    </w:p>
  </w:footnote>
  <w:footnote w:id="35">
    <w:p w:rsidR="002E1422" w:rsidRPr="00DF20B3" w:rsidRDefault="002E1422">
      <w:pPr>
        <w:pStyle w:val="FootnoteText"/>
        <w:rPr>
          <w:lang w:val="pt-PT"/>
        </w:rPr>
      </w:pPr>
      <w:r>
        <w:rPr>
          <w:rStyle w:val="FootnoteReference"/>
        </w:rPr>
        <w:footnoteRef/>
      </w:r>
      <w:r w:rsidRPr="00DF20B3">
        <w:rPr>
          <w:lang w:val="pt-PT"/>
        </w:rPr>
        <w:tab/>
      </w:r>
      <w:proofErr w:type="spellStart"/>
      <w:r w:rsidRPr="00DF20B3">
        <w:rPr>
          <w:lang w:val="pt-PT"/>
        </w:rPr>
        <w:t>Padomes</w:t>
      </w:r>
      <w:proofErr w:type="spellEnd"/>
      <w:r w:rsidRPr="00DF20B3">
        <w:rPr>
          <w:lang w:val="pt-PT"/>
        </w:rPr>
        <w:t xml:space="preserve"> 1996. </w:t>
      </w:r>
      <w:proofErr w:type="spellStart"/>
      <w:proofErr w:type="gramStart"/>
      <w:r w:rsidRPr="00DF20B3">
        <w:rPr>
          <w:lang w:val="pt-PT"/>
        </w:rPr>
        <w:t>gada</w:t>
      </w:r>
      <w:proofErr w:type="spellEnd"/>
      <w:proofErr w:type="gramEnd"/>
      <w:r w:rsidRPr="00DF20B3">
        <w:rPr>
          <w:lang w:val="pt-PT"/>
        </w:rPr>
        <w:t xml:space="preserve"> 11. </w:t>
      </w:r>
      <w:proofErr w:type="spellStart"/>
      <w:proofErr w:type="gramStart"/>
      <w:r w:rsidRPr="00DF20B3">
        <w:rPr>
          <w:lang w:val="pt-PT"/>
        </w:rPr>
        <w:t>novembra</w:t>
      </w:r>
      <w:proofErr w:type="spellEnd"/>
      <w:proofErr w:type="gramEnd"/>
      <w:r w:rsidRPr="00DF20B3">
        <w:rPr>
          <w:lang w:val="pt-PT"/>
        </w:rPr>
        <w:t xml:space="preserve"> Regula (</w:t>
      </w:r>
      <w:proofErr w:type="spellStart"/>
      <w:r w:rsidRPr="00DF20B3">
        <w:rPr>
          <w:i/>
          <w:lang w:val="pt-PT"/>
        </w:rPr>
        <w:t>Euratom</w:t>
      </w:r>
      <w:proofErr w:type="spellEnd"/>
      <w:r w:rsidRPr="00DF20B3">
        <w:rPr>
          <w:lang w:val="pt-PT"/>
        </w:rPr>
        <w:t xml:space="preserve">, EK) </w:t>
      </w:r>
      <w:proofErr w:type="spellStart"/>
      <w:r w:rsidRPr="00DF20B3">
        <w:rPr>
          <w:lang w:val="pt-PT"/>
        </w:rPr>
        <w:t>Nr</w:t>
      </w:r>
      <w:proofErr w:type="spellEnd"/>
      <w:r w:rsidRPr="00DF20B3">
        <w:rPr>
          <w:lang w:val="pt-PT"/>
        </w:rPr>
        <w:t xml:space="preserve">. 2185/96 </w:t>
      </w:r>
      <w:proofErr w:type="gramStart"/>
      <w:r w:rsidRPr="00DF20B3">
        <w:rPr>
          <w:lang w:val="pt-PT"/>
        </w:rPr>
        <w:t>par</w:t>
      </w:r>
      <w:proofErr w:type="gramEnd"/>
      <w:r w:rsidRPr="00DF20B3">
        <w:rPr>
          <w:lang w:val="pt-PT"/>
        </w:rPr>
        <w:t xml:space="preserve"> </w:t>
      </w:r>
      <w:proofErr w:type="spellStart"/>
      <w:r w:rsidRPr="00DF20B3">
        <w:rPr>
          <w:lang w:val="pt-PT"/>
        </w:rPr>
        <w:t>pārbaudēm</w:t>
      </w:r>
      <w:proofErr w:type="spellEnd"/>
      <w:r w:rsidRPr="00DF20B3">
        <w:rPr>
          <w:lang w:val="pt-PT"/>
        </w:rPr>
        <w:t xml:space="preserve"> </w:t>
      </w:r>
      <w:proofErr w:type="spellStart"/>
      <w:r w:rsidRPr="00DF20B3">
        <w:rPr>
          <w:lang w:val="pt-PT"/>
        </w:rPr>
        <w:t>un</w:t>
      </w:r>
      <w:proofErr w:type="spellEnd"/>
      <w:r w:rsidRPr="00DF20B3">
        <w:rPr>
          <w:lang w:val="pt-PT"/>
        </w:rPr>
        <w:t xml:space="preserve"> </w:t>
      </w:r>
      <w:proofErr w:type="spellStart"/>
      <w:r w:rsidRPr="00DF20B3">
        <w:rPr>
          <w:lang w:val="pt-PT"/>
        </w:rPr>
        <w:t>apskatēm</w:t>
      </w:r>
      <w:proofErr w:type="spellEnd"/>
      <w:r w:rsidRPr="00DF20B3">
        <w:rPr>
          <w:lang w:val="pt-PT"/>
        </w:rPr>
        <w:t xml:space="preserve"> </w:t>
      </w:r>
      <w:proofErr w:type="spellStart"/>
      <w:r w:rsidRPr="00DF20B3">
        <w:rPr>
          <w:lang w:val="pt-PT"/>
        </w:rPr>
        <w:t>uz</w:t>
      </w:r>
      <w:proofErr w:type="spellEnd"/>
      <w:r w:rsidRPr="00DF20B3">
        <w:rPr>
          <w:lang w:val="pt-PT"/>
        </w:rPr>
        <w:t xml:space="preserve"> </w:t>
      </w:r>
      <w:proofErr w:type="spellStart"/>
      <w:r w:rsidRPr="00DF20B3">
        <w:rPr>
          <w:lang w:val="pt-PT"/>
        </w:rPr>
        <w:t>vietas</w:t>
      </w:r>
      <w:proofErr w:type="spellEnd"/>
      <w:r w:rsidRPr="00DF20B3">
        <w:rPr>
          <w:lang w:val="pt-PT"/>
        </w:rPr>
        <w:t xml:space="preserve">, </w:t>
      </w:r>
      <w:proofErr w:type="spellStart"/>
      <w:r w:rsidRPr="00DF20B3">
        <w:rPr>
          <w:lang w:val="pt-PT"/>
        </w:rPr>
        <w:t>ko</w:t>
      </w:r>
      <w:proofErr w:type="spellEnd"/>
      <w:r w:rsidRPr="00DF20B3">
        <w:rPr>
          <w:lang w:val="pt-PT"/>
        </w:rPr>
        <w:t xml:space="preserve"> </w:t>
      </w:r>
      <w:proofErr w:type="spellStart"/>
      <w:r w:rsidRPr="00DF20B3">
        <w:rPr>
          <w:lang w:val="pt-PT"/>
        </w:rPr>
        <w:t>Komisija</w:t>
      </w:r>
      <w:proofErr w:type="spellEnd"/>
      <w:r w:rsidRPr="00DF20B3">
        <w:rPr>
          <w:lang w:val="pt-PT"/>
        </w:rPr>
        <w:t xml:space="preserve"> </w:t>
      </w:r>
      <w:proofErr w:type="spellStart"/>
      <w:r w:rsidRPr="00DF20B3">
        <w:rPr>
          <w:lang w:val="pt-PT"/>
        </w:rPr>
        <w:t>veic</w:t>
      </w:r>
      <w:proofErr w:type="spellEnd"/>
      <w:r w:rsidRPr="00DF20B3">
        <w:rPr>
          <w:lang w:val="pt-PT"/>
        </w:rPr>
        <w:t xml:space="preserve">, lai </w:t>
      </w:r>
      <w:proofErr w:type="spellStart"/>
      <w:r w:rsidRPr="00DF20B3">
        <w:rPr>
          <w:lang w:val="pt-PT"/>
        </w:rPr>
        <w:t>aizsargātu</w:t>
      </w:r>
      <w:proofErr w:type="spellEnd"/>
      <w:r w:rsidRPr="00DF20B3">
        <w:rPr>
          <w:lang w:val="pt-PT"/>
        </w:rPr>
        <w:t xml:space="preserve"> </w:t>
      </w:r>
      <w:proofErr w:type="spellStart"/>
      <w:r w:rsidRPr="00DF20B3">
        <w:rPr>
          <w:lang w:val="pt-PT"/>
        </w:rPr>
        <w:t>Eiropas</w:t>
      </w:r>
      <w:proofErr w:type="spellEnd"/>
      <w:r w:rsidRPr="00DF20B3">
        <w:rPr>
          <w:lang w:val="pt-PT"/>
        </w:rPr>
        <w:t xml:space="preserve"> </w:t>
      </w:r>
      <w:proofErr w:type="spellStart"/>
      <w:r w:rsidRPr="00DF20B3">
        <w:rPr>
          <w:lang w:val="pt-PT"/>
        </w:rPr>
        <w:t>Kopienu</w:t>
      </w:r>
      <w:proofErr w:type="spellEnd"/>
      <w:r w:rsidRPr="00DF20B3">
        <w:rPr>
          <w:lang w:val="pt-PT"/>
        </w:rPr>
        <w:t xml:space="preserve"> </w:t>
      </w:r>
      <w:proofErr w:type="spellStart"/>
      <w:r w:rsidRPr="00DF20B3">
        <w:rPr>
          <w:lang w:val="pt-PT"/>
        </w:rPr>
        <w:t>finanšu</w:t>
      </w:r>
      <w:proofErr w:type="spellEnd"/>
      <w:r w:rsidRPr="00DF20B3">
        <w:rPr>
          <w:lang w:val="pt-PT"/>
        </w:rPr>
        <w:t xml:space="preserve"> </w:t>
      </w:r>
      <w:proofErr w:type="spellStart"/>
      <w:r w:rsidRPr="00DF20B3">
        <w:rPr>
          <w:lang w:val="pt-PT"/>
        </w:rPr>
        <w:t>intereses</w:t>
      </w:r>
      <w:proofErr w:type="spellEnd"/>
      <w:r w:rsidRPr="00DF20B3">
        <w:rPr>
          <w:lang w:val="pt-PT"/>
        </w:rPr>
        <w:t xml:space="preserve"> </w:t>
      </w:r>
      <w:proofErr w:type="spellStart"/>
      <w:r w:rsidRPr="00DF20B3">
        <w:rPr>
          <w:lang w:val="pt-PT"/>
        </w:rPr>
        <w:t>pret</w:t>
      </w:r>
      <w:proofErr w:type="spellEnd"/>
      <w:r w:rsidRPr="00DF20B3">
        <w:rPr>
          <w:lang w:val="pt-PT"/>
        </w:rPr>
        <w:t xml:space="preserve"> </w:t>
      </w:r>
      <w:proofErr w:type="spellStart"/>
      <w:r w:rsidRPr="00DF20B3">
        <w:rPr>
          <w:lang w:val="pt-PT"/>
        </w:rPr>
        <w:t>krāpšanu</w:t>
      </w:r>
      <w:proofErr w:type="spellEnd"/>
      <w:r w:rsidRPr="00DF20B3">
        <w:rPr>
          <w:lang w:val="pt-PT"/>
        </w:rPr>
        <w:t xml:space="preserve"> </w:t>
      </w:r>
      <w:proofErr w:type="spellStart"/>
      <w:r w:rsidRPr="00DF20B3">
        <w:rPr>
          <w:lang w:val="pt-PT"/>
        </w:rPr>
        <w:t>un</w:t>
      </w:r>
      <w:proofErr w:type="spellEnd"/>
      <w:r w:rsidRPr="00DF20B3">
        <w:rPr>
          <w:lang w:val="pt-PT"/>
        </w:rPr>
        <w:t xml:space="preserve"> </w:t>
      </w:r>
      <w:proofErr w:type="spellStart"/>
      <w:r w:rsidRPr="00DF20B3">
        <w:rPr>
          <w:lang w:val="pt-PT"/>
        </w:rPr>
        <w:t>citām</w:t>
      </w:r>
      <w:proofErr w:type="spellEnd"/>
      <w:r w:rsidRPr="00DF20B3">
        <w:rPr>
          <w:lang w:val="pt-PT"/>
        </w:rPr>
        <w:t xml:space="preserve"> </w:t>
      </w:r>
      <w:proofErr w:type="spellStart"/>
      <w:r w:rsidRPr="00DF20B3">
        <w:rPr>
          <w:lang w:val="pt-PT"/>
        </w:rPr>
        <w:t>nelikumībām</w:t>
      </w:r>
      <w:proofErr w:type="spellEnd"/>
      <w:r w:rsidRPr="00DF20B3">
        <w:rPr>
          <w:lang w:val="pt-PT"/>
        </w:rPr>
        <w:t xml:space="preserve"> (OV L 292, 15.11.1996., 2. </w:t>
      </w:r>
      <w:proofErr w:type="spellStart"/>
      <w:r w:rsidRPr="00DF20B3">
        <w:rPr>
          <w:lang w:val="pt-PT"/>
        </w:rPr>
        <w:t>lpp</w:t>
      </w:r>
      <w:proofErr w:type="spellEnd"/>
      <w:r w:rsidRPr="00DF20B3">
        <w:rPr>
          <w:lang w:val="pt-PT"/>
        </w:rPr>
        <w:t>.).</w:t>
      </w:r>
    </w:p>
  </w:footnote>
  <w:footnote w:id="36">
    <w:p w:rsidR="002E1422" w:rsidRPr="00DF20B3" w:rsidRDefault="002E1422" w:rsidP="003F27CD">
      <w:pPr>
        <w:pStyle w:val="FootnoteText"/>
        <w:rPr>
          <w:lang w:val="pt-PT"/>
        </w:rPr>
      </w:pPr>
      <w:r>
        <w:rPr>
          <w:rStyle w:val="FootnoteReference"/>
        </w:rPr>
        <w:footnoteRef/>
      </w:r>
      <w:r w:rsidRPr="00DF20B3">
        <w:rPr>
          <w:lang w:val="pt-PT"/>
        </w:rPr>
        <w:tab/>
        <w:t>[</w:t>
      </w:r>
      <w:proofErr w:type="spellStart"/>
      <w:r w:rsidRPr="00DF20B3">
        <w:rPr>
          <w:i/>
          <w:lang w:val="pt-PT"/>
        </w:rPr>
        <w:t>Pilnais</w:t>
      </w:r>
      <w:proofErr w:type="spellEnd"/>
      <w:r w:rsidRPr="00DF20B3">
        <w:rPr>
          <w:i/>
          <w:lang w:val="pt-PT"/>
        </w:rPr>
        <w:t xml:space="preserve"> </w:t>
      </w:r>
      <w:proofErr w:type="spellStart"/>
      <w:r w:rsidRPr="00DF20B3">
        <w:rPr>
          <w:i/>
          <w:lang w:val="pt-PT"/>
        </w:rPr>
        <w:t>nosaukums</w:t>
      </w:r>
      <w:proofErr w:type="spellEnd"/>
      <w:r w:rsidRPr="00DF20B3">
        <w:rPr>
          <w:i/>
          <w:lang w:val="pt-PT"/>
        </w:rPr>
        <w:t xml:space="preserve"> </w:t>
      </w:r>
      <w:proofErr w:type="spellStart"/>
      <w:r w:rsidRPr="00DF20B3">
        <w:rPr>
          <w:i/>
          <w:lang w:val="pt-PT"/>
        </w:rPr>
        <w:t>un</w:t>
      </w:r>
      <w:proofErr w:type="spellEnd"/>
      <w:r w:rsidRPr="00DF20B3">
        <w:rPr>
          <w:i/>
          <w:lang w:val="pt-PT"/>
        </w:rPr>
        <w:t xml:space="preserve"> OV L </w:t>
      </w:r>
      <w:proofErr w:type="spellStart"/>
      <w:r w:rsidRPr="00DF20B3">
        <w:rPr>
          <w:i/>
          <w:lang w:val="pt-PT"/>
        </w:rPr>
        <w:t>informācija</w:t>
      </w:r>
      <w:proofErr w:type="spellEnd"/>
      <w:r w:rsidRPr="00DF20B3">
        <w:rPr>
          <w:lang w:val="pt-PT"/>
        </w:rPr>
        <w:t>].</w:t>
      </w:r>
    </w:p>
  </w:footnote>
  <w:footnote w:id="37">
    <w:p w:rsidR="002E1422" w:rsidRPr="00DF20B3" w:rsidRDefault="002E1422" w:rsidP="003F27CD">
      <w:pPr>
        <w:pStyle w:val="FootnoteText"/>
        <w:rPr>
          <w:lang w:val="pt-PT"/>
        </w:rPr>
      </w:pPr>
      <w:r>
        <w:rPr>
          <w:rStyle w:val="FootnoteReference"/>
        </w:rPr>
        <w:footnoteRef/>
      </w:r>
      <w:r w:rsidRPr="00DF20B3">
        <w:rPr>
          <w:lang w:val="pt-PT"/>
        </w:rPr>
        <w:tab/>
      </w:r>
      <w:proofErr w:type="spellStart"/>
      <w:r w:rsidRPr="00DF20B3">
        <w:rPr>
          <w:lang w:val="pt-PT"/>
        </w:rPr>
        <w:t>Eiropas</w:t>
      </w:r>
      <w:proofErr w:type="spellEnd"/>
      <w:r w:rsidRPr="00DF20B3">
        <w:rPr>
          <w:lang w:val="pt-PT"/>
        </w:rPr>
        <w:t xml:space="preserve"> Parlamenta </w:t>
      </w:r>
      <w:proofErr w:type="spellStart"/>
      <w:r w:rsidRPr="00DF20B3">
        <w:rPr>
          <w:lang w:val="pt-PT"/>
        </w:rPr>
        <w:t>un</w:t>
      </w:r>
      <w:proofErr w:type="spellEnd"/>
      <w:r w:rsidRPr="00DF20B3">
        <w:rPr>
          <w:lang w:val="pt-PT"/>
        </w:rPr>
        <w:t xml:space="preserve"> </w:t>
      </w:r>
      <w:proofErr w:type="spellStart"/>
      <w:r w:rsidRPr="00DF20B3">
        <w:rPr>
          <w:lang w:val="pt-PT"/>
        </w:rPr>
        <w:t>Padomes</w:t>
      </w:r>
      <w:proofErr w:type="spellEnd"/>
      <w:r w:rsidRPr="00DF20B3">
        <w:rPr>
          <w:lang w:val="pt-PT"/>
        </w:rPr>
        <w:t xml:space="preserve"> 2017. </w:t>
      </w:r>
      <w:proofErr w:type="spellStart"/>
      <w:proofErr w:type="gramStart"/>
      <w:r w:rsidRPr="00DF20B3">
        <w:rPr>
          <w:lang w:val="pt-PT"/>
        </w:rPr>
        <w:t>gada</w:t>
      </w:r>
      <w:proofErr w:type="spellEnd"/>
      <w:proofErr w:type="gramEnd"/>
      <w:r w:rsidRPr="00DF20B3">
        <w:rPr>
          <w:lang w:val="pt-PT"/>
        </w:rPr>
        <w:t xml:space="preserve"> 5. </w:t>
      </w:r>
      <w:proofErr w:type="spellStart"/>
      <w:proofErr w:type="gramStart"/>
      <w:r w:rsidRPr="00DF20B3">
        <w:rPr>
          <w:lang w:val="pt-PT"/>
        </w:rPr>
        <w:t>jūlija</w:t>
      </w:r>
      <w:proofErr w:type="spellEnd"/>
      <w:proofErr w:type="gramEnd"/>
      <w:r w:rsidRPr="00DF20B3">
        <w:rPr>
          <w:lang w:val="pt-PT"/>
        </w:rPr>
        <w:t xml:space="preserve"> </w:t>
      </w:r>
      <w:proofErr w:type="spellStart"/>
      <w:r w:rsidRPr="00DF20B3">
        <w:rPr>
          <w:lang w:val="pt-PT"/>
        </w:rPr>
        <w:t>Direktīva</w:t>
      </w:r>
      <w:proofErr w:type="spellEnd"/>
      <w:r w:rsidRPr="00DF20B3">
        <w:rPr>
          <w:lang w:val="pt-PT"/>
        </w:rPr>
        <w:t xml:space="preserve"> (ES) 2017/1371 par </w:t>
      </w:r>
      <w:proofErr w:type="spellStart"/>
      <w:r w:rsidRPr="00DF20B3">
        <w:rPr>
          <w:lang w:val="pt-PT"/>
        </w:rPr>
        <w:t>cīņu</w:t>
      </w:r>
      <w:proofErr w:type="spellEnd"/>
      <w:r w:rsidRPr="00DF20B3">
        <w:rPr>
          <w:lang w:val="pt-PT"/>
        </w:rPr>
        <w:t xml:space="preserve"> </w:t>
      </w:r>
      <w:proofErr w:type="spellStart"/>
      <w:r w:rsidRPr="00DF20B3">
        <w:rPr>
          <w:lang w:val="pt-PT"/>
        </w:rPr>
        <w:t>pret</w:t>
      </w:r>
      <w:proofErr w:type="spellEnd"/>
      <w:r w:rsidRPr="00DF20B3">
        <w:rPr>
          <w:lang w:val="pt-PT"/>
        </w:rPr>
        <w:t xml:space="preserve"> </w:t>
      </w:r>
      <w:proofErr w:type="spellStart"/>
      <w:r w:rsidRPr="00DF20B3">
        <w:rPr>
          <w:lang w:val="pt-PT"/>
        </w:rPr>
        <w:t>krāpšanu</w:t>
      </w:r>
      <w:proofErr w:type="spellEnd"/>
      <w:r w:rsidRPr="00DF20B3">
        <w:rPr>
          <w:lang w:val="pt-PT"/>
        </w:rPr>
        <w:t xml:space="preserve">, </w:t>
      </w:r>
      <w:proofErr w:type="spellStart"/>
      <w:r w:rsidRPr="00DF20B3">
        <w:rPr>
          <w:lang w:val="pt-PT"/>
        </w:rPr>
        <w:t>kas</w:t>
      </w:r>
      <w:proofErr w:type="spellEnd"/>
      <w:r w:rsidRPr="00DF20B3">
        <w:rPr>
          <w:lang w:val="pt-PT"/>
        </w:rPr>
        <w:t xml:space="preserve"> </w:t>
      </w:r>
      <w:proofErr w:type="spellStart"/>
      <w:r w:rsidRPr="00DF20B3">
        <w:rPr>
          <w:lang w:val="pt-PT"/>
        </w:rPr>
        <w:t>skar</w:t>
      </w:r>
      <w:proofErr w:type="spellEnd"/>
      <w:r w:rsidRPr="00DF20B3">
        <w:rPr>
          <w:lang w:val="pt-PT"/>
        </w:rPr>
        <w:t xml:space="preserve"> </w:t>
      </w:r>
      <w:proofErr w:type="spellStart"/>
      <w:r w:rsidRPr="00DF20B3">
        <w:rPr>
          <w:lang w:val="pt-PT"/>
        </w:rPr>
        <w:t>Savienības</w:t>
      </w:r>
      <w:proofErr w:type="spellEnd"/>
      <w:r w:rsidRPr="00DF20B3">
        <w:rPr>
          <w:lang w:val="pt-PT"/>
        </w:rPr>
        <w:t xml:space="preserve"> </w:t>
      </w:r>
      <w:proofErr w:type="spellStart"/>
      <w:r w:rsidRPr="00DF20B3">
        <w:rPr>
          <w:lang w:val="pt-PT"/>
        </w:rPr>
        <w:t>finanšu</w:t>
      </w:r>
      <w:proofErr w:type="spellEnd"/>
      <w:r w:rsidRPr="00DF20B3">
        <w:rPr>
          <w:lang w:val="pt-PT"/>
        </w:rPr>
        <w:t xml:space="preserve"> </w:t>
      </w:r>
      <w:proofErr w:type="spellStart"/>
      <w:r w:rsidRPr="00DF20B3">
        <w:rPr>
          <w:lang w:val="pt-PT"/>
        </w:rPr>
        <w:t>intereses</w:t>
      </w:r>
      <w:proofErr w:type="spellEnd"/>
      <w:r w:rsidRPr="00DF20B3">
        <w:rPr>
          <w:lang w:val="pt-PT"/>
        </w:rPr>
        <w:t xml:space="preserve">, </w:t>
      </w:r>
      <w:proofErr w:type="spellStart"/>
      <w:r w:rsidRPr="00DF20B3">
        <w:rPr>
          <w:lang w:val="pt-PT"/>
        </w:rPr>
        <w:t>izmantojot</w:t>
      </w:r>
      <w:proofErr w:type="spellEnd"/>
      <w:r w:rsidRPr="00DF20B3">
        <w:rPr>
          <w:lang w:val="pt-PT"/>
        </w:rPr>
        <w:t xml:space="preserve"> </w:t>
      </w:r>
      <w:proofErr w:type="spellStart"/>
      <w:r w:rsidRPr="00DF20B3">
        <w:rPr>
          <w:lang w:val="pt-PT"/>
        </w:rPr>
        <w:t>krimināltiesības</w:t>
      </w:r>
      <w:proofErr w:type="spellEnd"/>
      <w:r w:rsidRPr="00DF20B3">
        <w:rPr>
          <w:lang w:val="pt-PT"/>
        </w:rPr>
        <w:t xml:space="preserve"> (OV L 198, 28.7.2017., 29. </w:t>
      </w:r>
      <w:proofErr w:type="spellStart"/>
      <w:r w:rsidRPr="00DF20B3">
        <w:rPr>
          <w:lang w:val="pt-PT"/>
        </w:rPr>
        <w:t>lpp</w:t>
      </w:r>
      <w:proofErr w:type="spellEnd"/>
      <w:r w:rsidRPr="00DF20B3">
        <w:rPr>
          <w:lang w:val="pt-PT"/>
        </w:rPr>
        <w:t>.).</w:t>
      </w:r>
    </w:p>
  </w:footnote>
  <w:footnote w:id="38">
    <w:p w:rsidR="002E1422" w:rsidRPr="00DF20B3" w:rsidRDefault="002E1422" w:rsidP="003F27CD">
      <w:pPr>
        <w:pStyle w:val="FootnoteText"/>
        <w:rPr>
          <w:lang w:val="pt-PT"/>
        </w:rPr>
      </w:pPr>
      <w:r>
        <w:rPr>
          <w:rStyle w:val="FootnoteReference"/>
        </w:rPr>
        <w:footnoteRef/>
      </w:r>
      <w:r w:rsidRPr="00DF20B3">
        <w:rPr>
          <w:lang w:val="pt-PT"/>
        </w:rPr>
        <w:tab/>
      </w:r>
      <w:proofErr w:type="spellStart"/>
      <w:r w:rsidRPr="00DF20B3">
        <w:rPr>
          <w:lang w:val="pt-PT"/>
        </w:rPr>
        <w:t>Padomes</w:t>
      </w:r>
      <w:proofErr w:type="spellEnd"/>
      <w:r w:rsidRPr="00DF20B3">
        <w:rPr>
          <w:lang w:val="pt-PT"/>
        </w:rPr>
        <w:t xml:space="preserve"> 2013. </w:t>
      </w:r>
      <w:proofErr w:type="spellStart"/>
      <w:proofErr w:type="gramStart"/>
      <w:r w:rsidRPr="00DF20B3">
        <w:rPr>
          <w:lang w:val="pt-PT"/>
        </w:rPr>
        <w:t>gada</w:t>
      </w:r>
      <w:proofErr w:type="spellEnd"/>
      <w:proofErr w:type="gramEnd"/>
      <w:r w:rsidRPr="00DF20B3">
        <w:rPr>
          <w:lang w:val="pt-PT"/>
        </w:rPr>
        <w:t xml:space="preserve"> 25. </w:t>
      </w:r>
      <w:proofErr w:type="spellStart"/>
      <w:proofErr w:type="gramStart"/>
      <w:r w:rsidRPr="00DF20B3">
        <w:rPr>
          <w:lang w:val="pt-PT"/>
        </w:rPr>
        <w:t>novembra</w:t>
      </w:r>
      <w:proofErr w:type="spellEnd"/>
      <w:proofErr w:type="gramEnd"/>
      <w:r w:rsidRPr="00DF20B3">
        <w:rPr>
          <w:lang w:val="pt-PT"/>
        </w:rPr>
        <w:t xml:space="preserve"> </w:t>
      </w:r>
      <w:proofErr w:type="spellStart"/>
      <w:r w:rsidRPr="00DF20B3">
        <w:rPr>
          <w:lang w:val="pt-PT"/>
        </w:rPr>
        <w:t>Lēmums</w:t>
      </w:r>
      <w:proofErr w:type="spellEnd"/>
      <w:r w:rsidRPr="00DF20B3">
        <w:rPr>
          <w:lang w:val="pt-PT"/>
        </w:rPr>
        <w:t xml:space="preserve"> 2013/755/ES par </w:t>
      </w:r>
      <w:proofErr w:type="spellStart"/>
      <w:r w:rsidRPr="00DF20B3">
        <w:rPr>
          <w:lang w:val="pt-PT"/>
        </w:rPr>
        <w:t>aizjūras</w:t>
      </w:r>
      <w:proofErr w:type="spellEnd"/>
      <w:r w:rsidRPr="00DF20B3">
        <w:rPr>
          <w:lang w:val="pt-PT"/>
        </w:rPr>
        <w:t xml:space="preserve"> </w:t>
      </w:r>
      <w:proofErr w:type="spellStart"/>
      <w:r w:rsidRPr="00DF20B3">
        <w:rPr>
          <w:lang w:val="pt-PT"/>
        </w:rPr>
        <w:t>zemju</w:t>
      </w:r>
      <w:proofErr w:type="spellEnd"/>
      <w:r w:rsidRPr="00DF20B3">
        <w:rPr>
          <w:lang w:val="pt-PT"/>
        </w:rPr>
        <w:t xml:space="preserve"> </w:t>
      </w:r>
      <w:proofErr w:type="spellStart"/>
      <w:r w:rsidRPr="00DF20B3">
        <w:rPr>
          <w:lang w:val="pt-PT"/>
        </w:rPr>
        <w:t>un</w:t>
      </w:r>
      <w:proofErr w:type="spellEnd"/>
      <w:r w:rsidRPr="00DF20B3">
        <w:rPr>
          <w:lang w:val="pt-PT"/>
        </w:rPr>
        <w:t xml:space="preserve"> </w:t>
      </w:r>
      <w:proofErr w:type="spellStart"/>
      <w:r w:rsidRPr="00DF20B3">
        <w:rPr>
          <w:lang w:val="pt-PT"/>
        </w:rPr>
        <w:t>teritoriju</w:t>
      </w:r>
      <w:proofErr w:type="spellEnd"/>
      <w:r w:rsidRPr="00DF20B3">
        <w:rPr>
          <w:lang w:val="pt-PT"/>
        </w:rPr>
        <w:t xml:space="preserve"> </w:t>
      </w:r>
      <w:proofErr w:type="spellStart"/>
      <w:r w:rsidRPr="00DF20B3">
        <w:rPr>
          <w:lang w:val="pt-PT"/>
        </w:rPr>
        <w:t>asociāciju</w:t>
      </w:r>
      <w:proofErr w:type="spellEnd"/>
      <w:r w:rsidRPr="00DF20B3">
        <w:rPr>
          <w:lang w:val="pt-PT"/>
        </w:rPr>
        <w:t xml:space="preserve"> ar </w:t>
      </w:r>
      <w:proofErr w:type="spellStart"/>
      <w:r w:rsidRPr="00DF20B3">
        <w:rPr>
          <w:lang w:val="pt-PT"/>
        </w:rPr>
        <w:t>Eiropas</w:t>
      </w:r>
      <w:proofErr w:type="spellEnd"/>
      <w:r w:rsidRPr="00DF20B3">
        <w:rPr>
          <w:lang w:val="pt-PT"/>
        </w:rPr>
        <w:t xml:space="preserve"> </w:t>
      </w:r>
      <w:proofErr w:type="spellStart"/>
      <w:r w:rsidRPr="00DF20B3">
        <w:rPr>
          <w:lang w:val="pt-PT"/>
        </w:rPr>
        <w:t>Savienību</w:t>
      </w:r>
      <w:proofErr w:type="spellEnd"/>
      <w:r w:rsidRPr="00DF20B3">
        <w:rPr>
          <w:lang w:val="pt-PT"/>
        </w:rPr>
        <w:t xml:space="preserve"> (“</w:t>
      </w:r>
      <w:proofErr w:type="spellStart"/>
      <w:r w:rsidRPr="00DF20B3">
        <w:rPr>
          <w:lang w:val="pt-PT"/>
        </w:rPr>
        <w:t>Lēmums</w:t>
      </w:r>
      <w:proofErr w:type="spellEnd"/>
      <w:r w:rsidRPr="00DF20B3">
        <w:rPr>
          <w:lang w:val="pt-PT"/>
        </w:rPr>
        <w:t xml:space="preserve"> par </w:t>
      </w:r>
      <w:proofErr w:type="spellStart"/>
      <w:r w:rsidRPr="00DF20B3">
        <w:rPr>
          <w:lang w:val="pt-PT"/>
        </w:rPr>
        <w:t>aizjūras</w:t>
      </w:r>
      <w:proofErr w:type="spellEnd"/>
      <w:r w:rsidRPr="00DF20B3">
        <w:rPr>
          <w:lang w:val="pt-PT"/>
        </w:rPr>
        <w:t xml:space="preserve"> </w:t>
      </w:r>
      <w:proofErr w:type="spellStart"/>
      <w:r w:rsidRPr="00DF20B3">
        <w:rPr>
          <w:lang w:val="pt-PT"/>
        </w:rPr>
        <w:t>asociāciju</w:t>
      </w:r>
      <w:proofErr w:type="spellEnd"/>
      <w:r w:rsidRPr="00DF20B3">
        <w:rPr>
          <w:lang w:val="pt-PT"/>
        </w:rPr>
        <w:t>”) (OV L 344, 19.12.2013., 1. </w:t>
      </w:r>
      <w:proofErr w:type="spellStart"/>
      <w:r w:rsidRPr="00DF20B3">
        <w:rPr>
          <w:lang w:val="pt-PT"/>
        </w:rPr>
        <w:t>lpp</w:t>
      </w:r>
      <w:proofErr w:type="spellEnd"/>
      <w:r w:rsidRPr="00DF20B3">
        <w:rPr>
          <w:lang w:val="pt-PT"/>
        </w:rPr>
        <w:t>.).</w:t>
      </w:r>
    </w:p>
  </w:footnote>
  <w:footnote w:id="39">
    <w:p w:rsidR="002E1422" w:rsidRPr="00DF20B3" w:rsidRDefault="002E1422">
      <w:pPr>
        <w:pStyle w:val="FootnoteText"/>
        <w:rPr>
          <w:lang w:val="pt-PT"/>
        </w:rPr>
      </w:pPr>
      <w:r>
        <w:rPr>
          <w:rStyle w:val="FootnoteReference"/>
        </w:rPr>
        <w:footnoteRef/>
      </w:r>
      <w:r w:rsidRPr="00DF20B3">
        <w:rPr>
          <w:lang w:val="pt-PT"/>
        </w:rPr>
        <w:tab/>
        <w:t>[</w:t>
      </w:r>
      <w:proofErr w:type="spellStart"/>
      <w:r w:rsidRPr="00DF20B3">
        <w:rPr>
          <w:i/>
          <w:lang w:val="pt-PT"/>
        </w:rPr>
        <w:t>Lūdzam</w:t>
      </w:r>
      <w:proofErr w:type="spellEnd"/>
      <w:r w:rsidRPr="00DF20B3">
        <w:rPr>
          <w:i/>
          <w:lang w:val="pt-PT"/>
        </w:rPr>
        <w:t xml:space="preserve"> </w:t>
      </w:r>
      <w:proofErr w:type="spellStart"/>
      <w:r w:rsidRPr="00DF20B3">
        <w:rPr>
          <w:i/>
          <w:lang w:val="pt-PT"/>
        </w:rPr>
        <w:t>ievietot</w:t>
      </w:r>
      <w:proofErr w:type="spellEnd"/>
      <w:r w:rsidRPr="00DF20B3">
        <w:rPr>
          <w:i/>
          <w:lang w:val="pt-PT"/>
        </w:rPr>
        <w:t xml:space="preserve"> </w:t>
      </w:r>
      <w:proofErr w:type="spellStart"/>
      <w:r w:rsidRPr="00DF20B3">
        <w:rPr>
          <w:i/>
          <w:lang w:val="pt-PT"/>
        </w:rPr>
        <w:t>pilnu</w:t>
      </w:r>
      <w:proofErr w:type="spellEnd"/>
      <w:r w:rsidRPr="00DF20B3">
        <w:rPr>
          <w:i/>
          <w:lang w:val="pt-PT"/>
        </w:rPr>
        <w:t xml:space="preserve"> </w:t>
      </w:r>
      <w:proofErr w:type="spellStart"/>
      <w:r w:rsidRPr="00DF20B3">
        <w:rPr>
          <w:i/>
          <w:lang w:val="pt-PT"/>
        </w:rPr>
        <w:t>nosaukumu</w:t>
      </w:r>
      <w:proofErr w:type="spellEnd"/>
      <w:r w:rsidRPr="00DF20B3">
        <w:rPr>
          <w:i/>
          <w:lang w:val="pt-PT"/>
        </w:rPr>
        <w:t xml:space="preserve"> </w:t>
      </w:r>
      <w:proofErr w:type="spellStart"/>
      <w:r w:rsidRPr="00DF20B3">
        <w:rPr>
          <w:i/>
          <w:lang w:val="pt-PT"/>
        </w:rPr>
        <w:t>un</w:t>
      </w:r>
      <w:proofErr w:type="spellEnd"/>
      <w:r w:rsidRPr="00DF20B3">
        <w:rPr>
          <w:i/>
          <w:lang w:val="pt-PT"/>
        </w:rPr>
        <w:t xml:space="preserve"> OV </w:t>
      </w:r>
      <w:proofErr w:type="spellStart"/>
      <w:r w:rsidRPr="00DF20B3">
        <w:rPr>
          <w:i/>
          <w:lang w:val="pt-PT"/>
        </w:rPr>
        <w:t>informāciju</w:t>
      </w:r>
      <w:proofErr w:type="spellEnd"/>
      <w:r w:rsidRPr="00DF20B3">
        <w:rPr>
          <w:i/>
          <w:lang w:val="pt-PT"/>
        </w:rPr>
        <w:t>.</w:t>
      </w:r>
      <w:r w:rsidRPr="00DF20B3">
        <w:rPr>
          <w:lang w:val="pt-PT"/>
        </w:rPr>
        <w:t>]</w:t>
      </w:r>
    </w:p>
  </w:footnote>
  <w:footnote w:id="40">
    <w:p w:rsidR="002E1422" w:rsidRPr="00DF20B3" w:rsidRDefault="002E1422" w:rsidP="00542202">
      <w:pPr>
        <w:pStyle w:val="FootnoteText"/>
        <w:rPr>
          <w:lang w:val="pt-PT"/>
        </w:rPr>
      </w:pPr>
      <w:r>
        <w:rPr>
          <w:rStyle w:val="FootnoteReference"/>
        </w:rPr>
        <w:footnoteRef/>
      </w:r>
      <w:r w:rsidRPr="00DF20B3">
        <w:rPr>
          <w:lang w:val="pt-PT"/>
        </w:rPr>
        <w:tab/>
      </w:r>
      <w:proofErr w:type="spellStart"/>
      <w:r w:rsidRPr="00DF20B3">
        <w:rPr>
          <w:lang w:val="pt-PT"/>
        </w:rPr>
        <w:t>Eiropas</w:t>
      </w:r>
      <w:proofErr w:type="spellEnd"/>
      <w:r w:rsidRPr="00DF20B3">
        <w:rPr>
          <w:lang w:val="pt-PT"/>
        </w:rPr>
        <w:t xml:space="preserve"> Parlamenta </w:t>
      </w:r>
      <w:proofErr w:type="spellStart"/>
      <w:r w:rsidRPr="00DF20B3">
        <w:rPr>
          <w:lang w:val="pt-PT"/>
        </w:rPr>
        <w:t>un</w:t>
      </w:r>
      <w:proofErr w:type="spellEnd"/>
      <w:r w:rsidRPr="00DF20B3">
        <w:rPr>
          <w:lang w:val="pt-PT"/>
        </w:rPr>
        <w:t xml:space="preserve"> </w:t>
      </w:r>
      <w:proofErr w:type="spellStart"/>
      <w:r w:rsidRPr="00DF20B3">
        <w:rPr>
          <w:lang w:val="pt-PT"/>
        </w:rPr>
        <w:t>Padomes</w:t>
      </w:r>
      <w:proofErr w:type="spellEnd"/>
      <w:r w:rsidRPr="00DF20B3">
        <w:rPr>
          <w:lang w:val="pt-PT"/>
        </w:rPr>
        <w:t xml:space="preserve"> 2007. </w:t>
      </w:r>
      <w:proofErr w:type="spellStart"/>
      <w:proofErr w:type="gramStart"/>
      <w:r w:rsidRPr="00DF20B3">
        <w:rPr>
          <w:lang w:val="pt-PT"/>
        </w:rPr>
        <w:t>gada</w:t>
      </w:r>
      <w:proofErr w:type="spellEnd"/>
      <w:proofErr w:type="gramEnd"/>
      <w:r w:rsidRPr="00DF20B3">
        <w:rPr>
          <w:lang w:val="pt-PT"/>
        </w:rPr>
        <w:t xml:space="preserve"> 23. </w:t>
      </w:r>
      <w:proofErr w:type="spellStart"/>
      <w:proofErr w:type="gramStart"/>
      <w:r w:rsidRPr="00DF20B3">
        <w:rPr>
          <w:lang w:val="pt-PT"/>
        </w:rPr>
        <w:t>maija</w:t>
      </w:r>
      <w:proofErr w:type="spellEnd"/>
      <w:proofErr w:type="gramEnd"/>
      <w:r w:rsidRPr="00DF20B3">
        <w:rPr>
          <w:lang w:val="pt-PT"/>
        </w:rPr>
        <w:t xml:space="preserve"> Regula (EK) </w:t>
      </w:r>
      <w:proofErr w:type="spellStart"/>
      <w:r w:rsidRPr="00DF20B3">
        <w:rPr>
          <w:lang w:val="pt-PT"/>
        </w:rPr>
        <w:t>Nr</w:t>
      </w:r>
      <w:proofErr w:type="spellEnd"/>
      <w:r w:rsidRPr="00DF20B3">
        <w:rPr>
          <w:lang w:val="pt-PT"/>
        </w:rPr>
        <w:t xml:space="preserve">. 614/2007 </w:t>
      </w:r>
      <w:proofErr w:type="gramStart"/>
      <w:r w:rsidRPr="00DF20B3">
        <w:rPr>
          <w:lang w:val="pt-PT"/>
        </w:rPr>
        <w:t>par</w:t>
      </w:r>
      <w:proofErr w:type="gramEnd"/>
      <w:r w:rsidRPr="00DF20B3">
        <w:rPr>
          <w:lang w:val="pt-PT"/>
        </w:rPr>
        <w:t xml:space="preserve"> </w:t>
      </w:r>
      <w:proofErr w:type="spellStart"/>
      <w:r w:rsidRPr="00DF20B3">
        <w:rPr>
          <w:lang w:val="pt-PT"/>
        </w:rPr>
        <w:t>Finanšu</w:t>
      </w:r>
      <w:proofErr w:type="spellEnd"/>
      <w:r w:rsidRPr="00DF20B3">
        <w:rPr>
          <w:lang w:val="pt-PT"/>
        </w:rPr>
        <w:t xml:space="preserve"> </w:t>
      </w:r>
      <w:proofErr w:type="spellStart"/>
      <w:r w:rsidRPr="00DF20B3">
        <w:rPr>
          <w:lang w:val="pt-PT"/>
        </w:rPr>
        <w:t>instrumentu</w:t>
      </w:r>
      <w:proofErr w:type="spellEnd"/>
      <w:r w:rsidRPr="00DF20B3">
        <w:rPr>
          <w:lang w:val="pt-PT"/>
        </w:rPr>
        <w:t xml:space="preserve"> videi (</w:t>
      </w:r>
      <w:r w:rsidRPr="00DF20B3">
        <w:rPr>
          <w:i/>
          <w:lang w:val="pt-PT"/>
        </w:rPr>
        <w:t>LIFE+</w:t>
      </w:r>
      <w:r w:rsidRPr="00DF20B3">
        <w:rPr>
          <w:lang w:val="pt-PT"/>
        </w:rPr>
        <w:t>) (OV L 149, 9.6.2007., 1. </w:t>
      </w:r>
      <w:proofErr w:type="spellStart"/>
      <w:r w:rsidRPr="00DF20B3">
        <w:rPr>
          <w:lang w:val="pt-PT"/>
        </w:rPr>
        <w:t>lpp</w:t>
      </w:r>
      <w:proofErr w:type="spellEnd"/>
      <w:r w:rsidRPr="00DF20B3">
        <w:rPr>
          <w:lang w:val="pt-PT"/>
        </w:rPr>
        <w:t>.).</w:t>
      </w:r>
    </w:p>
  </w:footnote>
  <w:footnote w:id="41">
    <w:p w:rsidR="002E1422" w:rsidRPr="002F00C0" w:rsidRDefault="002E1422" w:rsidP="00626F63">
      <w:pPr>
        <w:pStyle w:val="FootnoteText"/>
        <w:rPr>
          <w:lang w:val="lt-LT"/>
        </w:rPr>
      </w:pPr>
      <w:r>
        <w:rPr>
          <w:rStyle w:val="FootnoteReference"/>
        </w:rPr>
        <w:footnoteRef/>
      </w:r>
      <w:r w:rsidRPr="00DF20B3">
        <w:rPr>
          <w:lang w:val="pt-PT"/>
        </w:rPr>
        <w:tab/>
      </w:r>
      <w:proofErr w:type="spellStart"/>
      <w:r w:rsidRPr="00DF20B3">
        <w:rPr>
          <w:lang w:val="pt-PT"/>
        </w:rPr>
        <w:t>Eiropas</w:t>
      </w:r>
      <w:proofErr w:type="spellEnd"/>
      <w:r w:rsidRPr="00DF20B3">
        <w:rPr>
          <w:lang w:val="pt-PT"/>
        </w:rPr>
        <w:t xml:space="preserve"> Parlamenta </w:t>
      </w:r>
      <w:proofErr w:type="spellStart"/>
      <w:r w:rsidRPr="00DF20B3">
        <w:rPr>
          <w:lang w:val="pt-PT"/>
        </w:rPr>
        <w:t>un</w:t>
      </w:r>
      <w:proofErr w:type="spellEnd"/>
      <w:r w:rsidRPr="00DF20B3">
        <w:rPr>
          <w:lang w:val="pt-PT"/>
        </w:rPr>
        <w:t xml:space="preserve"> </w:t>
      </w:r>
      <w:proofErr w:type="spellStart"/>
      <w:r w:rsidRPr="00DF20B3">
        <w:rPr>
          <w:lang w:val="pt-PT"/>
        </w:rPr>
        <w:t>Padomes</w:t>
      </w:r>
      <w:proofErr w:type="spellEnd"/>
      <w:r w:rsidRPr="00DF20B3">
        <w:rPr>
          <w:lang w:val="pt-PT"/>
        </w:rPr>
        <w:t xml:space="preserve"> 2012. </w:t>
      </w:r>
      <w:proofErr w:type="spellStart"/>
      <w:proofErr w:type="gramStart"/>
      <w:r w:rsidRPr="00DF20B3">
        <w:rPr>
          <w:lang w:val="pt-PT"/>
        </w:rPr>
        <w:t>gada</w:t>
      </w:r>
      <w:proofErr w:type="spellEnd"/>
      <w:proofErr w:type="gramEnd"/>
      <w:r w:rsidRPr="00DF20B3">
        <w:rPr>
          <w:lang w:val="pt-PT"/>
        </w:rPr>
        <w:t xml:space="preserve"> 25. </w:t>
      </w:r>
      <w:proofErr w:type="spellStart"/>
      <w:proofErr w:type="gramStart"/>
      <w:r w:rsidRPr="00DF20B3">
        <w:rPr>
          <w:lang w:val="pt-PT"/>
        </w:rPr>
        <w:t>oktobra</w:t>
      </w:r>
      <w:proofErr w:type="spellEnd"/>
      <w:proofErr w:type="gramEnd"/>
      <w:r w:rsidRPr="00DF20B3">
        <w:rPr>
          <w:lang w:val="pt-PT"/>
        </w:rPr>
        <w:t xml:space="preserve"> Regula (ES, </w:t>
      </w:r>
      <w:proofErr w:type="spellStart"/>
      <w:r w:rsidRPr="00DF20B3">
        <w:rPr>
          <w:i/>
          <w:lang w:val="pt-PT"/>
        </w:rPr>
        <w:t>Euratom</w:t>
      </w:r>
      <w:proofErr w:type="spellEnd"/>
      <w:r w:rsidRPr="00DF20B3">
        <w:rPr>
          <w:lang w:val="pt-PT"/>
        </w:rPr>
        <w:t xml:space="preserve">) </w:t>
      </w:r>
      <w:proofErr w:type="spellStart"/>
      <w:r w:rsidRPr="00DF20B3">
        <w:rPr>
          <w:lang w:val="pt-PT"/>
        </w:rPr>
        <w:t>Nr</w:t>
      </w:r>
      <w:proofErr w:type="spellEnd"/>
      <w:r w:rsidRPr="00DF20B3">
        <w:rPr>
          <w:lang w:val="pt-PT"/>
        </w:rPr>
        <w:t xml:space="preserve">. 966/2012 </w:t>
      </w:r>
      <w:proofErr w:type="gramStart"/>
      <w:r w:rsidRPr="00DF20B3">
        <w:rPr>
          <w:lang w:val="pt-PT"/>
        </w:rPr>
        <w:t>par</w:t>
      </w:r>
      <w:proofErr w:type="gramEnd"/>
      <w:r w:rsidRPr="00DF20B3">
        <w:rPr>
          <w:lang w:val="pt-PT"/>
        </w:rPr>
        <w:t xml:space="preserve"> </w:t>
      </w:r>
      <w:proofErr w:type="spellStart"/>
      <w:r w:rsidRPr="00DF20B3">
        <w:rPr>
          <w:lang w:val="pt-PT"/>
        </w:rPr>
        <w:t>finanšu</w:t>
      </w:r>
      <w:proofErr w:type="spellEnd"/>
      <w:r w:rsidRPr="00DF20B3">
        <w:rPr>
          <w:lang w:val="pt-PT"/>
        </w:rPr>
        <w:t xml:space="preserve"> </w:t>
      </w:r>
      <w:proofErr w:type="spellStart"/>
      <w:r w:rsidRPr="00DF20B3">
        <w:rPr>
          <w:lang w:val="pt-PT"/>
        </w:rPr>
        <w:t>noteikumiem</w:t>
      </w:r>
      <w:proofErr w:type="spellEnd"/>
      <w:r w:rsidRPr="00DF20B3">
        <w:rPr>
          <w:lang w:val="pt-PT"/>
        </w:rPr>
        <w:t xml:space="preserve">, </w:t>
      </w:r>
      <w:proofErr w:type="spellStart"/>
      <w:r w:rsidRPr="00DF20B3">
        <w:rPr>
          <w:lang w:val="pt-PT"/>
        </w:rPr>
        <w:t>ko</w:t>
      </w:r>
      <w:proofErr w:type="spellEnd"/>
      <w:r w:rsidRPr="00DF20B3">
        <w:rPr>
          <w:lang w:val="pt-PT"/>
        </w:rPr>
        <w:t xml:space="preserve"> </w:t>
      </w:r>
      <w:proofErr w:type="spellStart"/>
      <w:r w:rsidRPr="00DF20B3">
        <w:rPr>
          <w:lang w:val="pt-PT"/>
        </w:rPr>
        <w:t>piemēro</w:t>
      </w:r>
      <w:proofErr w:type="spellEnd"/>
      <w:r w:rsidRPr="00DF20B3">
        <w:rPr>
          <w:lang w:val="pt-PT"/>
        </w:rPr>
        <w:t xml:space="preserve"> </w:t>
      </w:r>
      <w:proofErr w:type="spellStart"/>
      <w:r w:rsidRPr="00DF20B3">
        <w:rPr>
          <w:lang w:val="pt-PT"/>
        </w:rPr>
        <w:t>Savienības</w:t>
      </w:r>
      <w:proofErr w:type="spellEnd"/>
      <w:r w:rsidRPr="00DF20B3">
        <w:rPr>
          <w:lang w:val="pt-PT"/>
        </w:rPr>
        <w:t xml:space="preserve"> </w:t>
      </w:r>
      <w:proofErr w:type="spellStart"/>
      <w:r w:rsidRPr="00DF20B3">
        <w:rPr>
          <w:lang w:val="pt-PT"/>
        </w:rPr>
        <w:t>vispārējam</w:t>
      </w:r>
      <w:proofErr w:type="spellEnd"/>
      <w:r w:rsidRPr="00DF20B3">
        <w:rPr>
          <w:lang w:val="pt-PT"/>
        </w:rPr>
        <w:t xml:space="preserve"> </w:t>
      </w:r>
      <w:proofErr w:type="spellStart"/>
      <w:r w:rsidRPr="00DF20B3">
        <w:rPr>
          <w:lang w:val="pt-PT"/>
        </w:rPr>
        <w:t>budžetam</w:t>
      </w:r>
      <w:proofErr w:type="spellEnd"/>
      <w:r w:rsidRPr="00DF20B3">
        <w:rPr>
          <w:lang w:val="pt-PT"/>
        </w:rPr>
        <w:t xml:space="preserve">, </w:t>
      </w:r>
      <w:proofErr w:type="spellStart"/>
      <w:r w:rsidRPr="00DF20B3">
        <w:rPr>
          <w:lang w:val="pt-PT"/>
        </w:rPr>
        <w:t>un</w:t>
      </w:r>
      <w:proofErr w:type="spellEnd"/>
      <w:r w:rsidRPr="00DF20B3">
        <w:rPr>
          <w:lang w:val="pt-PT"/>
        </w:rPr>
        <w:t xml:space="preserve"> par </w:t>
      </w:r>
      <w:proofErr w:type="spellStart"/>
      <w:r w:rsidRPr="00DF20B3">
        <w:rPr>
          <w:lang w:val="pt-PT"/>
        </w:rPr>
        <w:t>Padomes</w:t>
      </w:r>
      <w:proofErr w:type="spellEnd"/>
      <w:r w:rsidRPr="00DF20B3">
        <w:rPr>
          <w:lang w:val="pt-PT"/>
        </w:rPr>
        <w:t xml:space="preserve"> Regulas (EK, </w:t>
      </w:r>
      <w:proofErr w:type="spellStart"/>
      <w:r w:rsidRPr="00DF20B3">
        <w:rPr>
          <w:i/>
          <w:lang w:val="pt-PT"/>
        </w:rPr>
        <w:t>Euratom</w:t>
      </w:r>
      <w:proofErr w:type="spellEnd"/>
      <w:r w:rsidRPr="00DF20B3">
        <w:rPr>
          <w:lang w:val="pt-PT"/>
        </w:rPr>
        <w:t xml:space="preserve">) </w:t>
      </w:r>
      <w:proofErr w:type="spellStart"/>
      <w:r w:rsidRPr="00DF20B3">
        <w:rPr>
          <w:lang w:val="pt-PT"/>
        </w:rPr>
        <w:t>Nr</w:t>
      </w:r>
      <w:proofErr w:type="spellEnd"/>
      <w:r w:rsidRPr="00DF20B3">
        <w:rPr>
          <w:lang w:val="pt-PT"/>
        </w:rPr>
        <w:t xml:space="preserve">. 1605/2002 </w:t>
      </w:r>
      <w:proofErr w:type="spellStart"/>
      <w:proofErr w:type="gramStart"/>
      <w:r w:rsidRPr="00DF20B3">
        <w:rPr>
          <w:lang w:val="pt-PT"/>
        </w:rPr>
        <w:t>atcelšanu</w:t>
      </w:r>
      <w:proofErr w:type="spellEnd"/>
      <w:proofErr w:type="gramEnd"/>
      <w:r w:rsidRPr="00DF20B3">
        <w:rPr>
          <w:lang w:val="pt-PT"/>
        </w:rPr>
        <w:t xml:space="preserve"> (OV L 298, 26.10.2012., 1. </w:t>
      </w:r>
      <w:proofErr w:type="spellStart"/>
      <w:r w:rsidRPr="00DF20B3">
        <w:rPr>
          <w:lang w:val="pt-PT"/>
        </w:rPr>
        <w:t>lpp</w:t>
      </w:r>
      <w:proofErr w:type="spellEnd"/>
      <w:r w:rsidRPr="00DF20B3">
        <w:rPr>
          <w:lang w:val="pt-PT"/>
        </w:rPr>
        <w:t>.).</w:t>
      </w:r>
    </w:p>
  </w:footnote>
  <w:footnote w:id="42">
    <w:p w:rsidR="002E1422" w:rsidRPr="00DF20B3" w:rsidRDefault="002E1422" w:rsidP="00FB0A0F">
      <w:pPr>
        <w:pStyle w:val="FootnoteText"/>
        <w:rPr>
          <w:szCs w:val="24"/>
          <w:lang w:val="lt-LT"/>
        </w:rPr>
      </w:pPr>
      <w:r>
        <w:rPr>
          <w:rStyle w:val="FootnoteReference"/>
        </w:rPr>
        <w:footnoteRef/>
      </w:r>
      <w:r w:rsidRPr="00DF20B3">
        <w:rPr>
          <w:lang w:val="lt-LT"/>
        </w:rPr>
        <w:tab/>
      </w:r>
      <w:proofErr w:type="spellStart"/>
      <w:r w:rsidRPr="00DF20B3">
        <w:rPr>
          <w:lang w:val="lt-LT"/>
        </w:rPr>
        <w:t>Kā</w:t>
      </w:r>
      <w:proofErr w:type="spellEnd"/>
      <w:r w:rsidRPr="00DF20B3">
        <w:rPr>
          <w:lang w:val="lt-LT"/>
        </w:rPr>
        <w:t xml:space="preserve"> </w:t>
      </w:r>
      <w:proofErr w:type="spellStart"/>
      <w:r w:rsidRPr="00DF20B3">
        <w:rPr>
          <w:lang w:val="lt-LT"/>
        </w:rPr>
        <w:t>paredzēts</w:t>
      </w:r>
      <w:proofErr w:type="spellEnd"/>
      <w:r w:rsidRPr="00DF20B3">
        <w:rPr>
          <w:lang w:val="lt-LT"/>
        </w:rPr>
        <w:t xml:space="preserve"> </w:t>
      </w:r>
      <w:proofErr w:type="spellStart"/>
      <w:r w:rsidRPr="00DF20B3">
        <w:rPr>
          <w:lang w:val="lt-LT"/>
        </w:rPr>
        <w:t>Finanšu</w:t>
      </w:r>
      <w:proofErr w:type="spellEnd"/>
      <w:r w:rsidRPr="00DF20B3">
        <w:rPr>
          <w:lang w:val="lt-LT"/>
        </w:rPr>
        <w:t xml:space="preserve"> regulas 58. </w:t>
      </w:r>
      <w:proofErr w:type="spellStart"/>
      <w:r w:rsidRPr="00DF20B3">
        <w:rPr>
          <w:lang w:val="lt-LT"/>
        </w:rPr>
        <w:t>panta</w:t>
      </w:r>
      <w:proofErr w:type="spellEnd"/>
      <w:r w:rsidRPr="00DF20B3">
        <w:rPr>
          <w:lang w:val="lt-LT"/>
        </w:rPr>
        <w:t xml:space="preserve"> 2. </w:t>
      </w:r>
      <w:proofErr w:type="spellStart"/>
      <w:r w:rsidRPr="00DF20B3">
        <w:rPr>
          <w:lang w:val="lt-LT"/>
        </w:rPr>
        <w:t>punkta</w:t>
      </w:r>
      <w:proofErr w:type="spellEnd"/>
      <w:r w:rsidRPr="00DF20B3">
        <w:rPr>
          <w:lang w:val="lt-LT"/>
        </w:rPr>
        <w:t xml:space="preserve"> a) </w:t>
      </w:r>
      <w:proofErr w:type="spellStart"/>
      <w:r w:rsidRPr="00DF20B3">
        <w:rPr>
          <w:lang w:val="lt-LT"/>
        </w:rPr>
        <w:t>un</w:t>
      </w:r>
      <w:proofErr w:type="spellEnd"/>
      <w:r w:rsidRPr="00DF20B3">
        <w:rPr>
          <w:lang w:val="lt-LT"/>
        </w:rPr>
        <w:t xml:space="preserve"> b) </w:t>
      </w:r>
      <w:proofErr w:type="spellStart"/>
      <w:r w:rsidRPr="00DF20B3">
        <w:rPr>
          <w:lang w:val="lt-LT"/>
        </w:rPr>
        <w:t>apakšpunktā</w:t>
      </w:r>
      <w:proofErr w:type="spellEnd"/>
      <w:r w:rsidRPr="00DF20B3">
        <w:rPr>
          <w:lang w:val="lt-LT"/>
        </w:rPr>
        <w:t>.</w:t>
      </w:r>
    </w:p>
  </w:footnote>
  <w:footnote w:id="43">
    <w:p w:rsidR="002E1422" w:rsidRPr="00DF20B3" w:rsidRDefault="002E1422">
      <w:pPr>
        <w:pStyle w:val="FootnoteText"/>
        <w:rPr>
          <w:lang w:val="lt-LT"/>
        </w:rPr>
      </w:pPr>
      <w:r>
        <w:rPr>
          <w:rStyle w:val="FootnoteReference"/>
        </w:rPr>
        <w:footnoteRef/>
      </w:r>
      <w:r w:rsidRPr="00DF20B3">
        <w:rPr>
          <w:lang w:val="lt-LT"/>
        </w:rPr>
        <w:tab/>
      </w:r>
      <w:proofErr w:type="spellStart"/>
      <w:r w:rsidRPr="00DF20B3">
        <w:rPr>
          <w:lang w:val="lt-LT"/>
        </w:rPr>
        <w:t>Tā</w:t>
      </w:r>
      <w:proofErr w:type="spellEnd"/>
      <w:r w:rsidRPr="00DF20B3">
        <w:rPr>
          <w:lang w:val="lt-LT"/>
        </w:rPr>
        <w:t xml:space="preserve"> </w:t>
      </w:r>
      <w:proofErr w:type="spellStart"/>
      <w:r w:rsidRPr="00DF20B3">
        <w:rPr>
          <w:lang w:val="lt-LT"/>
        </w:rPr>
        <w:t>kā</w:t>
      </w:r>
      <w:proofErr w:type="spellEnd"/>
      <w:r w:rsidRPr="00DF20B3">
        <w:rPr>
          <w:lang w:val="lt-LT"/>
        </w:rPr>
        <w:t xml:space="preserve"> </w:t>
      </w:r>
      <w:proofErr w:type="spellStart"/>
      <w:r w:rsidRPr="00DF20B3">
        <w:rPr>
          <w:lang w:val="lt-LT"/>
        </w:rPr>
        <w:t>šai</w:t>
      </w:r>
      <w:proofErr w:type="spellEnd"/>
      <w:r w:rsidRPr="00DF20B3">
        <w:rPr>
          <w:lang w:val="lt-LT"/>
        </w:rPr>
        <w:t xml:space="preserve"> </w:t>
      </w:r>
      <w:proofErr w:type="spellStart"/>
      <w:r w:rsidRPr="00DF20B3">
        <w:rPr>
          <w:lang w:val="lt-LT"/>
        </w:rPr>
        <w:t>shēmai</w:t>
      </w:r>
      <w:proofErr w:type="spellEnd"/>
      <w:r w:rsidRPr="00DF20B3">
        <w:rPr>
          <w:lang w:val="lt-LT"/>
        </w:rPr>
        <w:t xml:space="preserve"> </w:t>
      </w:r>
      <w:proofErr w:type="spellStart"/>
      <w:r w:rsidRPr="00DF20B3">
        <w:rPr>
          <w:lang w:val="lt-LT"/>
        </w:rPr>
        <w:t>nav</w:t>
      </w:r>
      <w:proofErr w:type="spellEnd"/>
      <w:r w:rsidRPr="00DF20B3">
        <w:rPr>
          <w:lang w:val="lt-LT"/>
        </w:rPr>
        <w:t xml:space="preserve"> </w:t>
      </w:r>
      <w:proofErr w:type="spellStart"/>
      <w:r w:rsidRPr="00DF20B3">
        <w:rPr>
          <w:lang w:val="lt-LT"/>
        </w:rPr>
        <w:t>īpaša</w:t>
      </w:r>
      <w:proofErr w:type="spellEnd"/>
      <w:r w:rsidRPr="00DF20B3">
        <w:rPr>
          <w:lang w:val="lt-LT"/>
        </w:rPr>
        <w:t xml:space="preserve"> </w:t>
      </w:r>
      <w:proofErr w:type="spellStart"/>
      <w:r w:rsidRPr="00DF20B3">
        <w:rPr>
          <w:lang w:val="lt-LT"/>
        </w:rPr>
        <w:t>juridiskā</w:t>
      </w:r>
      <w:proofErr w:type="spellEnd"/>
      <w:r w:rsidRPr="00DF20B3">
        <w:rPr>
          <w:lang w:val="lt-LT"/>
        </w:rPr>
        <w:t xml:space="preserve"> </w:t>
      </w:r>
      <w:proofErr w:type="spellStart"/>
      <w:r w:rsidRPr="00DF20B3">
        <w:rPr>
          <w:lang w:val="lt-LT"/>
        </w:rPr>
        <w:t>pamata</w:t>
      </w:r>
      <w:proofErr w:type="spellEnd"/>
      <w:r w:rsidRPr="00DF20B3">
        <w:rPr>
          <w:lang w:val="lt-LT"/>
        </w:rPr>
        <w:t xml:space="preserve">, </w:t>
      </w:r>
      <w:proofErr w:type="spellStart"/>
      <w:r w:rsidRPr="00DF20B3">
        <w:rPr>
          <w:lang w:val="lt-LT"/>
        </w:rPr>
        <w:t>par</w:t>
      </w:r>
      <w:proofErr w:type="spellEnd"/>
      <w:r w:rsidRPr="00DF20B3">
        <w:rPr>
          <w:lang w:val="lt-LT"/>
        </w:rPr>
        <w:t xml:space="preserve"> </w:t>
      </w:r>
      <w:proofErr w:type="spellStart"/>
      <w:r w:rsidRPr="00DF20B3">
        <w:rPr>
          <w:lang w:val="lt-LT"/>
        </w:rPr>
        <w:t>tās</w:t>
      </w:r>
      <w:proofErr w:type="spellEnd"/>
      <w:r w:rsidRPr="00DF20B3">
        <w:rPr>
          <w:lang w:val="lt-LT"/>
        </w:rPr>
        <w:t xml:space="preserve"> </w:t>
      </w:r>
      <w:proofErr w:type="spellStart"/>
      <w:r w:rsidRPr="00DF20B3">
        <w:rPr>
          <w:lang w:val="lt-LT"/>
        </w:rPr>
        <w:t>finansēšanu</w:t>
      </w:r>
      <w:proofErr w:type="spellEnd"/>
      <w:r w:rsidRPr="00DF20B3">
        <w:rPr>
          <w:lang w:val="lt-LT"/>
        </w:rPr>
        <w:t xml:space="preserve"> </w:t>
      </w:r>
      <w:proofErr w:type="spellStart"/>
      <w:r w:rsidRPr="00DF20B3">
        <w:rPr>
          <w:lang w:val="lt-LT"/>
        </w:rPr>
        <w:t>katru</w:t>
      </w:r>
      <w:proofErr w:type="spellEnd"/>
      <w:r w:rsidRPr="00DF20B3">
        <w:rPr>
          <w:lang w:val="lt-LT"/>
        </w:rPr>
        <w:t xml:space="preserve"> </w:t>
      </w:r>
      <w:proofErr w:type="spellStart"/>
      <w:r w:rsidRPr="00DF20B3">
        <w:rPr>
          <w:lang w:val="lt-LT"/>
        </w:rPr>
        <w:t>gadu</w:t>
      </w:r>
      <w:proofErr w:type="spellEnd"/>
      <w:r w:rsidRPr="00DF20B3">
        <w:rPr>
          <w:lang w:val="lt-LT"/>
        </w:rPr>
        <w:t xml:space="preserve"> </w:t>
      </w:r>
      <w:proofErr w:type="spellStart"/>
      <w:r w:rsidRPr="00DF20B3">
        <w:rPr>
          <w:lang w:val="lt-LT"/>
        </w:rPr>
        <w:t>lemj</w:t>
      </w:r>
      <w:proofErr w:type="spellEnd"/>
      <w:r w:rsidRPr="00DF20B3">
        <w:rPr>
          <w:lang w:val="lt-LT"/>
        </w:rPr>
        <w:t xml:space="preserve"> </w:t>
      </w:r>
      <w:proofErr w:type="spellStart"/>
      <w:r w:rsidRPr="00DF20B3">
        <w:rPr>
          <w:lang w:val="lt-LT"/>
        </w:rPr>
        <w:t>budžeta</w:t>
      </w:r>
      <w:proofErr w:type="spellEnd"/>
      <w:r w:rsidRPr="00DF20B3">
        <w:rPr>
          <w:lang w:val="lt-LT"/>
        </w:rPr>
        <w:t xml:space="preserve"> </w:t>
      </w:r>
      <w:proofErr w:type="spellStart"/>
      <w:r w:rsidRPr="00DF20B3">
        <w:rPr>
          <w:lang w:val="lt-LT"/>
        </w:rPr>
        <w:t>lēmējinstitūcija</w:t>
      </w:r>
      <w:proofErr w:type="spellEnd"/>
      <w:r w:rsidRPr="00DF20B3">
        <w:rPr>
          <w:lang w:val="lt-LT"/>
        </w:rPr>
        <w:t>: 2018. </w:t>
      </w:r>
      <w:proofErr w:type="spellStart"/>
      <w:r w:rsidRPr="00DF20B3">
        <w:rPr>
          <w:lang w:val="lt-LT"/>
        </w:rPr>
        <w:t>gadā</w:t>
      </w:r>
      <w:proofErr w:type="spellEnd"/>
      <w:r w:rsidRPr="00DF20B3">
        <w:rPr>
          <w:lang w:val="lt-LT"/>
        </w:rPr>
        <w:t xml:space="preserve"> ir </w:t>
      </w:r>
      <w:proofErr w:type="spellStart"/>
      <w:r w:rsidRPr="00DF20B3">
        <w:rPr>
          <w:lang w:val="lt-LT"/>
        </w:rPr>
        <w:t>finansēta</w:t>
      </w:r>
      <w:proofErr w:type="spellEnd"/>
      <w:r w:rsidRPr="00DF20B3">
        <w:rPr>
          <w:lang w:val="lt-LT"/>
        </w:rPr>
        <w:t xml:space="preserve"> </w:t>
      </w:r>
      <w:proofErr w:type="spellStart"/>
      <w:r w:rsidRPr="00DF20B3">
        <w:rPr>
          <w:lang w:val="lt-LT"/>
        </w:rPr>
        <w:t>sagatavošanas</w:t>
      </w:r>
      <w:proofErr w:type="spellEnd"/>
      <w:r w:rsidRPr="00DF20B3">
        <w:rPr>
          <w:lang w:val="lt-LT"/>
        </w:rPr>
        <w:t xml:space="preserve"> </w:t>
      </w:r>
      <w:proofErr w:type="spellStart"/>
      <w:r w:rsidRPr="00DF20B3">
        <w:rPr>
          <w:lang w:val="lt-LT"/>
        </w:rPr>
        <w:t>darbība</w:t>
      </w:r>
      <w:proofErr w:type="spellEnd"/>
      <w:r w:rsidRPr="00DF20B3">
        <w:rPr>
          <w:lang w:val="lt-LT"/>
        </w:rPr>
        <w:t xml:space="preserve">. </w:t>
      </w:r>
      <w:proofErr w:type="spellStart"/>
      <w:r w:rsidRPr="00DF20B3">
        <w:rPr>
          <w:lang w:val="lt-LT"/>
        </w:rPr>
        <w:t>Saskaņā</w:t>
      </w:r>
      <w:proofErr w:type="spellEnd"/>
      <w:r w:rsidRPr="00DF20B3">
        <w:rPr>
          <w:lang w:val="lt-LT"/>
        </w:rPr>
        <w:t xml:space="preserve"> ar </w:t>
      </w:r>
      <w:proofErr w:type="spellStart"/>
      <w:r w:rsidRPr="00DF20B3">
        <w:rPr>
          <w:lang w:val="lt-LT"/>
        </w:rPr>
        <w:t>Finanšu</w:t>
      </w:r>
      <w:proofErr w:type="spellEnd"/>
      <w:r w:rsidRPr="00DF20B3">
        <w:rPr>
          <w:lang w:val="lt-LT"/>
        </w:rPr>
        <w:t xml:space="preserve"> </w:t>
      </w:r>
      <w:proofErr w:type="spellStart"/>
      <w:r w:rsidRPr="00DF20B3">
        <w:rPr>
          <w:lang w:val="lt-LT"/>
        </w:rPr>
        <w:t>regulu</w:t>
      </w:r>
      <w:proofErr w:type="spellEnd"/>
      <w:r w:rsidRPr="00DF20B3">
        <w:rPr>
          <w:lang w:val="lt-LT"/>
        </w:rPr>
        <w:t xml:space="preserve"> </w:t>
      </w:r>
      <w:proofErr w:type="spellStart"/>
      <w:r w:rsidRPr="00DF20B3">
        <w:rPr>
          <w:lang w:val="lt-LT"/>
        </w:rPr>
        <w:t>sagatavošanas</w:t>
      </w:r>
      <w:proofErr w:type="spellEnd"/>
      <w:r w:rsidRPr="00DF20B3">
        <w:rPr>
          <w:lang w:val="lt-LT"/>
        </w:rPr>
        <w:t xml:space="preserve"> </w:t>
      </w:r>
      <w:proofErr w:type="spellStart"/>
      <w:r w:rsidRPr="00DF20B3">
        <w:rPr>
          <w:lang w:val="lt-LT"/>
        </w:rPr>
        <w:t>darbība</w:t>
      </w:r>
      <w:proofErr w:type="spellEnd"/>
      <w:r w:rsidRPr="00DF20B3">
        <w:rPr>
          <w:lang w:val="lt-LT"/>
        </w:rPr>
        <w:t xml:space="preserve"> ir </w:t>
      </w:r>
      <w:proofErr w:type="spellStart"/>
      <w:r w:rsidRPr="00DF20B3">
        <w:rPr>
          <w:lang w:val="lt-LT"/>
        </w:rPr>
        <w:t>paredzēta</w:t>
      </w:r>
      <w:proofErr w:type="spellEnd"/>
      <w:r w:rsidRPr="00DF20B3">
        <w:rPr>
          <w:lang w:val="lt-LT"/>
        </w:rPr>
        <w:t xml:space="preserve"> tam, lai </w:t>
      </w:r>
      <w:proofErr w:type="spellStart"/>
      <w:r w:rsidRPr="00DF20B3">
        <w:rPr>
          <w:lang w:val="lt-LT"/>
        </w:rPr>
        <w:t>sagatavotu</w:t>
      </w:r>
      <w:proofErr w:type="spellEnd"/>
      <w:r w:rsidRPr="00DF20B3">
        <w:rPr>
          <w:lang w:val="lt-LT"/>
        </w:rPr>
        <w:t xml:space="preserve"> </w:t>
      </w:r>
      <w:proofErr w:type="spellStart"/>
      <w:r w:rsidRPr="00DF20B3">
        <w:rPr>
          <w:lang w:val="lt-LT"/>
        </w:rPr>
        <w:t>priekšlikumu</w:t>
      </w:r>
      <w:proofErr w:type="spellEnd"/>
      <w:r w:rsidRPr="00DF20B3">
        <w:rPr>
          <w:lang w:val="lt-LT"/>
        </w:rPr>
        <w:t xml:space="preserve"> </w:t>
      </w:r>
      <w:proofErr w:type="spellStart"/>
      <w:r w:rsidRPr="00DF20B3">
        <w:rPr>
          <w:lang w:val="lt-LT"/>
        </w:rPr>
        <w:t>turpmāko</w:t>
      </w:r>
      <w:proofErr w:type="spellEnd"/>
      <w:r w:rsidRPr="00DF20B3">
        <w:rPr>
          <w:lang w:val="lt-LT"/>
        </w:rPr>
        <w:t xml:space="preserve"> </w:t>
      </w:r>
      <w:proofErr w:type="spellStart"/>
      <w:r w:rsidRPr="00DF20B3">
        <w:rPr>
          <w:lang w:val="lt-LT"/>
        </w:rPr>
        <w:t>darbību</w:t>
      </w:r>
      <w:proofErr w:type="spellEnd"/>
      <w:r w:rsidRPr="00DF20B3">
        <w:rPr>
          <w:lang w:val="lt-LT"/>
        </w:rPr>
        <w:t xml:space="preserve"> </w:t>
      </w:r>
      <w:proofErr w:type="spellStart"/>
      <w:r w:rsidRPr="00DF20B3">
        <w:rPr>
          <w:lang w:val="lt-LT"/>
        </w:rPr>
        <w:t>pieņemšanai</w:t>
      </w:r>
      <w:proofErr w:type="spellEnd"/>
      <w:r w:rsidRPr="00DF20B3">
        <w:rPr>
          <w:lang w:val="lt-LT"/>
        </w:rPr>
        <w:t xml:space="preserve">, </w:t>
      </w:r>
      <w:proofErr w:type="spellStart"/>
      <w:r w:rsidRPr="00DF20B3">
        <w:rPr>
          <w:lang w:val="lt-LT"/>
        </w:rPr>
        <w:t>un</w:t>
      </w:r>
      <w:proofErr w:type="spellEnd"/>
      <w:r w:rsidRPr="00DF20B3">
        <w:rPr>
          <w:lang w:val="lt-LT"/>
        </w:rPr>
        <w:t xml:space="preserve"> </w:t>
      </w:r>
      <w:proofErr w:type="spellStart"/>
      <w:r w:rsidRPr="00DF20B3">
        <w:rPr>
          <w:lang w:val="lt-LT"/>
        </w:rPr>
        <w:t>nevar</w:t>
      </w:r>
      <w:proofErr w:type="spellEnd"/>
      <w:r w:rsidRPr="00DF20B3">
        <w:rPr>
          <w:lang w:val="lt-LT"/>
        </w:rPr>
        <w:t xml:space="preserve"> tikt </w:t>
      </w:r>
      <w:proofErr w:type="spellStart"/>
      <w:r w:rsidRPr="00DF20B3">
        <w:rPr>
          <w:lang w:val="lt-LT"/>
        </w:rPr>
        <w:t>atjaunota</w:t>
      </w:r>
      <w:proofErr w:type="spellEnd"/>
      <w:r w:rsidRPr="00DF20B3">
        <w:rPr>
          <w:lang w:val="lt-LT"/>
        </w:rPr>
        <w:t xml:space="preserve"> </w:t>
      </w:r>
      <w:proofErr w:type="spellStart"/>
      <w:r w:rsidRPr="00DF20B3">
        <w:rPr>
          <w:lang w:val="lt-LT"/>
        </w:rPr>
        <w:t>vairāk</w:t>
      </w:r>
      <w:proofErr w:type="spellEnd"/>
      <w:r w:rsidRPr="00DF20B3">
        <w:rPr>
          <w:lang w:val="lt-LT"/>
        </w:rPr>
        <w:t xml:space="preserve"> </w:t>
      </w:r>
      <w:proofErr w:type="spellStart"/>
      <w:r w:rsidRPr="00DF20B3">
        <w:rPr>
          <w:lang w:val="lt-LT"/>
        </w:rPr>
        <w:t>kā</w:t>
      </w:r>
      <w:proofErr w:type="spellEnd"/>
      <w:r w:rsidRPr="00DF20B3">
        <w:rPr>
          <w:lang w:val="lt-LT"/>
        </w:rPr>
        <w:t xml:space="preserve"> </w:t>
      </w:r>
      <w:proofErr w:type="spellStart"/>
      <w:r w:rsidRPr="00DF20B3">
        <w:rPr>
          <w:lang w:val="lt-LT"/>
        </w:rPr>
        <w:t>trīs</w:t>
      </w:r>
      <w:proofErr w:type="spellEnd"/>
      <w:r w:rsidRPr="00DF20B3">
        <w:rPr>
          <w:lang w:val="lt-LT"/>
        </w:rPr>
        <w:t xml:space="preserve"> </w:t>
      </w:r>
      <w:proofErr w:type="spellStart"/>
      <w:r w:rsidRPr="00DF20B3">
        <w:rPr>
          <w:lang w:val="lt-LT"/>
        </w:rPr>
        <w:t>gadus</w:t>
      </w:r>
      <w:proofErr w:type="spellEnd"/>
      <w:r w:rsidRPr="00DF20B3">
        <w:rPr>
          <w:lang w:val="lt-LT"/>
        </w:rPr>
        <w:t xml:space="preserve"> </w:t>
      </w:r>
      <w:proofErr w:type="spellStart"/>
      <w:r w:rsidRPr="00DF20B3">
        <w:rPr>
          <w:lang w:val="lt-LT"/>
        </w:rPr>
        <w:t>pēc</w:t>
      </w:r>
      <w:proofErr w:type="spellEnd"/>
      <w:r w:rsidRPr="00DF20B3">
        <w:rPr>
          <w:lang w:val="lt-LT"/>
        </w:rPr>
        <w:t xml:space="preserve"> </w:t>
      </w:r>
      <w:proofErr w:type="spellStart"/>
      <w:r w:rsidRPr="00DF20B3">
        <w:rPr>
          <w:lang w:val="lt-LT"/>
        </w:rPr>
        <w:t>kārtas</w:t>
      </w:r>
      <w:proofErr w:type="spellEnd"/>
      <w:r w:rsidRPr="00DF20B3">
        <w:rPr>
          <w:lang w:val="lt-LT"/>
        </w:rPr>
        <w:t xml:space="preserve">. </w:t>
      </w:r>
      <w:proofErr w:type="spellStart"/>
      <w:r w:rsidRPr="00DF20B3">
        <w:rPr>
          <w:lang w:val="lt-LT"/>
        </w:rPr>
        <w:t>Tāpēc</w:t>
      </w:r>
      <w:proofErr w:type="spellEnd"/>
      <w:r w:rsidRPr="00DF20B3">
        <w:rPr>
          <w:lang w:val="lt-LT"/>
        </w:rPr>
        <w:t xml:space="preserve"> ir </w:t>
      </w:r>
      <w:proofErr w:type="spellStart"/>
      <w:r w:rsidRPr="00DF20B3">
        <w:rPr>
          <w:lang w:val="lt-LT"/>
        </w:rPr>
        <w:t>nepieciešams</w:t>
      </w:r>
      <w:proofErr w:type="spellEnd"/>
      <w:r w:rsidRPr="00DF20B3">
        <w:rPr>
          <w:lang w:val="lt-LT"/>
        </w:rPr>
        <w:t xml:space="preserve"> </w:t>
      </w:r>
      <w:proofErr w:type="spellStart"/>
      <w:r w:rsidRPr="00DF20B3">
        <w:rPr>
          <w:lang w:val="lt-LT"/>
        </w:rPr>
        <w:t>noteikt</w:t>
      </w:r>
      <w:proofErr w:type="spellEnd"/>
      <w:r w:rsidRPr="00DF20B3">
        <w:rPr>
          <w:lang w:val="lt-LT"/>
        </w:rPr>
        <w:t xml:space="preserve"> </w:t>
      </w:r>
      <w:proofErr w:type="spellStart"/>
      <w:r w:rsidRPr="00DF20B3">
        <w:rPr>
          <w:lang w:val="lt-LT"/>
        </w:rPr>
        <w:t>finansēšanas</w:t>
      </w:r>
      <w:proofErr w:type="spellEnd"/>
      <w:r w:rsidRPr="00DF20B3">
        <w:rPr>
          <w:lang w:val="lt-LT"/>
        </w:rPr>
        <w:t xml:space="preserve"> </w:t>
      </w:r>
      <w:proofErr w:type="spellStart"/>
      <w:r w:rsidRPr="00DF20B3">
        <w:rPr>
          <w:lang w:val="lt-LT"/>
        </w:rPr>
        <w:t>satvaru</w:t>
      </w:r>
      <w:proofErr w:type="spellEnd"/>
      <w:r w:rsidRPr="00DF20B3">
        <w:rPr>
          <w:lang w:val="lt-LT"/>
        </w:rPr>
        <w:t xml:space="preserve"> </w:t>
      </w:r>
      <w:r w:rsidRPr="00DF20B3">
        <w:rPr>
          <w:i/>
          <w:lang w:val="lt-LT"/>
        </w:rPr>
        <w:t>BEST</w:t>
      </w:r>
      <w:r w:rsidRPr="00DF20B3">
        <w:rPr>
          <w:lang w:val="lt-LT"/>
        </w:rPr>
        <w:t xml:space="preserve"> </w:t>
      </w:r>
      <w:proofErr w:type="spellStart"/>
      <w:r w:rsidRPr="00DF20B3">
        <w:rPr>
          <w:lang w:val="lt-LT"/>
        </w:rPr>
        <w:t>turpināšanai</w:t>
      </w:r>
      <w:proofErr w:type="spellEnd"/>
      <w:r w:rsidRPr="00DF20B3">
        <w:rPr>
          <w:lang w:val="lt-LT"/>
        </w:rPr>
        <w:t xml:space="preserve"> </w:t>
      </w:r>
      <w:proofErr w:type="spellStart"/>
      <w:r w:rsidRPr="00DF20B3">
        <w:rPr>
          <w:lang w:val="lt-LT"/>
        </w:rPr>
        <w:t>pēc</w:t>
      </w:r>
      <w:proofErr w:type="spellEnd"/>
      <w:r w:rsidRPr="00DF20B3">
        <w:rPr>
          <w:lang w:val="lt-LT"/>
        </w:rPr>
        <w:t xml:space="preserve"> 2020. </w:t>
      </w:r>
      <w:proofErr w:type="spellStart"/>
      <w:r w:rsidRPr="00DF20B3">
        <w:rPr>
          <w:lang w:val="lt-LT"/>
        </w:rPr>
        <w:t>gada</w:t>
      </w:r>
      <w:proofErr w:type="spellEnd"/>
      <w:r w:rsidRPr="00DF20B3">
        <w:rPr>
          <w:lang w:val="lt-LT"/>
        </w:rPr>
        <w:t>.</w:t>
      </w:r>
    </w:p>
  </w:footnote>
  <w:footnote w:id="44">
    <w:p w:rsidR="002E1422" w:rsidRPr="00DF20B3" w:rsidRDefault="002E1422" w:rsidP="00FB0A0F">
      <w:pPr>
        <w:pStyle w:val="FootnoteText"/>
        <w:jc w:val="left"/>
        <w:rPr>
          <w:szCs w:val="24"/>
          <w:lang w:val="lt-LT"/>
        </w:rPr>
      </w:pPr>
      <w:r>
        <w:rPr>
          <w:rStyle w:val="FootnoteReference"/>
        </w:rPr>
        <w:footnoteRef/>
      </w:r>
      <w:r w:rsidRPr="00DF20B3">
        <w:rPr>
          <w:lang w:val="lt-LT"/>
        </w:rPr>
        <w:tab/>
      </w:r>
      <w:proofErr w:type="spellStart"/>
      <w:r w:rsidRPr="00DF20B3">
        <w:rPr>
          <w:lang w:val="lt-LT"/>
        </w:rPr>
        <w:t>Skaidrojumus</w:t>
      </w:r>
      <w:proofErr w:type="spellEnd"/>
      <w:r w:rsidRPr="00DF20B3">
        <w:rPr>
          <w:lang w:val="lt-LT"/>
        </w:rPr>
        <w:t xml:space="preserve"> </w:t>
      </w:r>
      <w:proofErr w:type="spellStart"/>
      <w:r w:rsidRPr="00DF20B3">
        <w:rPr>
          <w:lang w:val="lt-LT"/>
        </w:rPr>
        <w:t>par</w:t>
      </w:r>
      <w:proofErr w:type="spellEnd"/>
      <w:r w:rsidRPr="00DF20B3">
        <w:rPr>
          <w:lang w:val="lt-LT"/>
        </w:rPr>
        <w:t xml:space="preserve"> </w:t>
      </w:r>
      <w:proofErr w:type="spellStart"/>
      <w:r w:rsidRPr="00DF20B3">
        <w:rPr>
          <w:lang w:val="lt-LT"/>
        </w:rPr>
        <w:t>pārvaldības</w:t>
      </w:r>
      <w:proofErr w:type="spellEnd"/>
      <w:r w:rsidRPr="00DF20B3">
        <w:rPr>
          <w:lang w:val="lt-LT"/>
        </w:rPr>
        <w:t xml:space="preserve"> </w:t>
      </w:r>
      <w:proofErr w:type="spellStart"/>
      <w:r w:rsidRPr="00DF20B3">
        <w:rPr>
          <w:lang w:val="lt-LT"/>
        </w:rPr>
        <w:t>veidiem</w:t>
      </w:r>
      <w:proofErr w:type="spellEnd"/>
      <w:r w:rsidRPr="00DF20B3">
        <w:rPr>
          <w:lang w:val="lt-LT"/>
        </w:rPr>
        <w:t xml:space="preserve"> </w:t>
      </w:r>
      <w:proofErr w:type="spellStart"/>
      <w:r w:rsidRPr="00DF20B3">
        <w:rPr>
          <w:lang w:val="lt-LT"/>
        </w:rPr>
        <w:t>un</w:t>
      </w:r>
      <w:proofErr w:type="spellEnd"/>
      <w:r w:rsidRPr="00DF20B3">
        <w:rPr>
          <w:lang w:val="lt-LT"/>
        </w:rPr>
        <w:t xml:space="preserve"> </w:t>
      </w:r>
      <w:proofErr w:type="spellStart"/>
      <w:r w:rsidRPr="00DF20B3">
        <w:rPr>
          <w:lang w:val="lt-LT"/>
        </w:rPr>
        <w:t>atsauces</w:t>
      </w:r>
      <w:proofErr w:type="spellEnd"/>
      <w:r w:rsidRPr="00DF20B3">
        <w:rPr>
          <w:lang w:val="lt-LT"/>
        </w:rPr>
        <w:t xml:space="preserve"> </w:t>
      </w:r>
      <w:proofErr w:type="spellStart"/>
      <w:r w:rsidRPr="00DF20B3">
        <w:rPr>
          <w:lang w:val="lt-LT"/>
        </w:rPr>
        <w:t>uz</w:t>
      </w:r>
      <w:proofErr w:type="spellEnd"/>
      <w:r w:rsidRPr="00DF20B3">
        <w:rPr>
          <w:lang w:val="lt-LT"/>
        </w:rPr>
        <w:t xml:space="preserve"> </w:t>
      </w:r>
      <w:proofErr w:type="spellStart"/>
      <w:r w:rsidRPr="00DF20B3">
        <w:rPr>
          <w:lang w:val="lt-LT"/>
        </w:rPr>
        <w:t>Finanšu</w:t>
      </w:r>
      <w:proofErr w:type="spellEnd"/>
      <w:r w:rsidRPr="00DF20B3">
        <w:rPr>
          <w:lang w:val="lt-LT"/>
        </w:rPr>
        <w:t xml:space="preserve"> </w:t>
      </w:r>
      <w:proofErr w:type="spellStart"/>
      <w:r w:rsidRPr="00DF20B3">
        <w:rPr>
          <w:lang w:val="lt-LT"/>
        </w:rPr>
        <w:t>regulu</w:t>
      </w:r>
      <w:proofErr w:type="spellEnd"/>
      <w:r w:rsidRPr="00DF20B3">
        <w:rPr>
          <w:lang w:val="lt-LT"/>
        </w:rPr>
        <w:t xml:space="preserve"> </w:t>
      </w:r>
      <w:proofErr w:type="spellStart"/>
      <w:r w:rsidRPr="00DF20B3">
        <w:rPr>
          <w:lang w:val="lt-LT"/>
        </w:rPr>
        <w:t>skatīt</w:t>
      </w:r>
      <w:proofErr w:type="spellEnd"/>
      <w:r w:rsidRPr="00DF20B3">
        <w:rPr>
          <w:lang w:val="lt-LT"/>
        </w:rPr>
        <w:t xml:space="preserve"> </w:t>
      </w:r>
      <w:proofErr w:type="spellStart"/>
      <w:r w:rsidRPr="00DF20B3">
        <w:rPr>
          <w:i/>
          <w:lang w:val="lt-LT"/>
        </w:rPr>
        <w:t>BudgWeb</w:t>
      </w:r>
      <w:proofErr w:type="spellEnd"/>
      <w:r w:rsidRPr="00DF20B3">
        <w:rPr>
          <w:lang w:val="lt-LT"/>
        </w:rPr>
        <w:t xml:space="preserve"> </w:t>
      </w:r>
      <w:proofErr w:type="spellStart"/>
      <w:r w:rsidRPr="00DF20B3">
        <w:rPr>
          <w:lang w:val="lt-LT"/>
        </w:rPr>
        <w:t>tīmekļa</w:t>
      </w:r>
      <w:proofErr w:type="spellEnd"/>
      <w:r w:rsidRPr="00DF20B3">
        <w:rPr>
          <w:lang w:val="lt-LT"/>
        </w:rPr>
        <w:t xml:space="preserve"> </w:t>
      </w:r>
      <w:proofErr w:type="spellStart"/>
      <w:r w:rsidRPr="00DF20B3">
        <w:rPr>
          <w:lang w:val="lt-LT"/>
        </w:rPr>
        <w:t>vietnē</w:t>
      </w:r>
      <w:proofErr w:type="spellEnd"/>
      <w:r w:rsidRPr="00DF20B3">
        <w:rPr>
          <w:lang w:val="lt-LT"/>
        </w:rPr>
        <w:t xml:space="preserve">: </w:t>
      </w:r>
      <w:hyperlink r:id="rId3">
        <w:r w:rsidRPr="00DF20B3">
          <w:rPr>
            <w:rStyle w:val="Hyperlink"/>
            <w:lang w:val="lt-LT"/>
          </w:rPr>
          <w:t>https://myintracomm.ec.europa.eu/budgweb/EN/man/budgmanag/Pages/budgmanag.aspx</w:t>
        </w:r>
      </w:hyperlink>
      <w:r w:rsidRPr="00DF20B3">
        <w:rPr>
          <w:lang w:val="lt-LT"/>
        </w:rPr>
        <w:t xml:space="preserve"> </w:t>
      </w:r>
    </w:p>
  </w:footnote>
  <w:footnote w:id="45">
    <w:p w:rsidR="002E1422" w:rsidRPr="00DF20B3" w:rsidRDefault="002E1422" w:rsidP="00FB0A0F">
      <w:pPr>
        <w:pStyle w:val="FootnoteText"/>
        <w:rPr>
          <w:szCs w:val="24"/>
          <w:lang w:val="lt-LT"/>
        </w:rPr>
      </w:pPr>
      <w:r>
        <w:rPr>
          <w:rStyle w:val="FootnoteReference"/>
        </w:rPr>
        <w:footnoteRef/>
      </w:r>
      <w:r w:rsidRPr="00DF20B3">
        <w:rPr>
          <w:lang w:val="lt-LT"/>
        </w:rPr>
        <w:tab/>
      </w:r>
      <w:proofErr w:type="spellStart"/>
      <w:r w:rsidRPr="00DF20B3">
        <w:rPr>
          <w:lang w:val="lt-LT"/>
        </w:rPr>
        <w:t>Dif</w:t>
      </w:r>
      <w:proofErr w:type="spellEnd"/>
      <w:r w:rsidRPr="00DF20B3">
        <w:rPr>
          <w:lang w:val="lt-LT"/>
        </w:rPr>
        <w:t xml:space="preserve">. — </w:t>
      </w:r>
      <w:proofErr w:type="spellStart"/>
      <w:r w:rsidRPr="00DF20B3">
        <w:rPr>
          <w:lang w:val="lt-LT"/>
        </w:rPr>
        <w:t>diferencētās</w:t>
      </w:r>
      <w:proofErr w:type="spellEnd"/>
      <w:r w:rsidRPr="00DF20B3">
        <w:rPr>
          <w:lang w:val="lt-LT"/>
        </w:rPr>
        <w:t xml:space="preserve"> </w:t>
      </w:r>
      <w:proofErr w:type="spellStart"/>
      <w:r w:rsidRPr="00DF20B3">
        <w:rPr>
          <w:lang w:val="lt-LT"/>
        </w:rPr>
        <w:t>apropriācijas</w:t>
      </w:r>
      <w:proofErr w:type="spellEnd"/>
      <w:r w:rsidRPr="00DF20B3">
        <w:rPr>
          <w:lang w:val="lt-LT"/>
        </w:rPr>
        <w:t xml:space="preserve">, </w:t>
      </w:r>
      <w:proofErr w:type="spellStart"/>
      <w:r w:rsidRPr="00DF20B3">
        <w:rPr>
          <w:lang w:val="lt-LT"/>
        </w:rPr>
        <w:t>nedif</w:t>
      </w:r>
      <w:proofErr w:type="spellEnd"/>
      <w:r w:rsidRPr="00DF20B3">
        <w:rPr>
          <w:lang w:val="lt-LT"/>
        </w:rPr>
        <w:t xml:space="preserve">. — </w:t>
      </w:r>
      <w:proofErr w:type="spellStart"/>
      <w:r w:rsidRPr="00DF20B3">
        <w:rPr>
          <w:lang w:val="lt-LT"/>
        </w:rPr>
        <w:t>nediferencētās</w:t>
      </w:r>
      <w:proofErr w:type="spellEnd"/>
      <w:r w:rsidRPr="00DF20B3">
        <w:rPr>
          <w:lang w:val="lt-LT"/>
        </w:rPr>
        <w:t xml:space="preserve"> </w:t>
      </w:r>
      <w:proofErr w:type="spellStart"/>
      <w:r w:rsidRPr="00DF20B3">
        <w:rPr>
          <w:lang w:val="lt-LT"/>
        </w:rPr>
        <w:t>apropriācijas</w:t>
      </w:r>
      <w:proofErr w:type="spellEnd"/>
      <w:r w:rsidRPr="00DF20B3">
        <w:rPr>
          <w:lang w:val="lt-LT"/>
        </w:rPr>
        <w:t>.</w:t>
      </w:r>
    </w:p>
  </w:footnote>
  <w:footnote w:id="46">
    <w:p w:rsidR="002E1422" w:rsidRPr="00DF20B3" w:rsidRDefault="002E1422" w:rsidP="00FB0A0F">
      <w:pPr>
        <w:pStyle w:val="FootnoteText"/>
        <w:rPr>
          <w:szCs w:val="24"/>
          <w:lang w:val="lt-LT"/>
        </w:rPr>
      </w:pPr>
      <w:r>
        <w:rPr>
          <w:rStyle w:val="FootnoteReference"/>
        </w:rPr>
        <w:footnoteRef/>
      </w:r>
      <w:r w:rsidRPr="00DF20B3">
        <w:rPr>
          <w:lang w:val="lt-LT"/>
        </w:rPr>
        <w:tab/>
      </w:r>
      <w:r w:rsidRPr="00DF20B3">
        <w:rPr>
          <w:lang w:val="lt-LT"/>
        </w:rPr>
        <w:t xml:space="preserve">EBTA — </w:t>
      </w:r>
      <w:proofErr w:type="spellStart"/>
      <w:r w:rsidRPr="00DF20B3">
        <w:rPr>
          <w:lang w:val="lt-LT"/>
        </w:rPr>
        <w:t>Eiropas</w:t>
      </w:r>
      <w:proofErr w:type="spellEnd"/>
      <w:r w:rsidRPr="00DF20B3">
        <w:rPr>
          <w:lang w:val="lt-LT"/>
        </w:rPr>
        <w:t xml:space="preserve"> </w:t>
      </w:r>
      <w:proofErr w:type="spellStart"/>
      <w:r w:rsidRPr="00DF20B3">
        <w:rPr>
          <w:lang w:val="lt-LT"/>
        </w:rPr>
        <w:t>Brīvās</w:t>
      </w:r>
      <w:proofErr w:type="spellEnd"/>
      <w:r w:rsidRPr="00DF20B3">
        <w:rPr>
          <w:lang w:val="lt-LT"/>
        </w:rPr>
        <w:t xml:space="preserve"> </w:t>
      </w:r>
      <w:proofErr w:type="spellStart"/>
      <w:r w:rsidRPr="00DF20B3">
        <w:rPr>
          <w:lang w:val="lt-LT"/>
        </w:rPr>
        <w:t>tirdzniecības</w:t>
      </w:r>
      <w:proofErr w:type="spellEnd"/>
      <w:r w:rsidRPr="00DF20B3">
        <w:rPr>
          <w:lang w:val="lt-LT"/>
        </w:rPr>
        <w:t xml:space="preserve"> </w:t>
      </w:r>
      <w:proofErr w:type="spellStart"/>
      <w:r w:rsidRPr="00DF20B3">
        <w:rPr>
          <w:lang w:val="lt-LT"/>
        </w:rPr>
        <w:t>asociācija</w:t>
      </w:r>
      <w:proofErr w:type="spellEnd"/>
      <w:r w:rsidRPr="00DF20B3">
        <w:rPr>
          <w:lang w:val="lt-LT"/>
        </w:rPr>
        <w:t xml:space="preserve">. </w:t>
      </w:r>
    </w:p>
  </w:footnote>
  <w:footnote w:id="47">
    <w:p w:rsidR="002E1422" w:rsidRPr="00DF20B3" w:rsidRDefault="002E1422" w:rsidP="00FB0A0F">
      <w:pPr>
        <w:rPr>
          <w:lang w:val="lt-LT"/>
        </w:rPr>
      </w:pPr>
      <w:r>
        <w:rPr>
          <w:rStyle w:val="FootnoteReference"/>
        </w:rPr>
        <w:footnoteRef/>
      </w:r>
      <w:r w:rsidRPr="00DF20B3">
        <w:rPr>
          <w:lang w:val="lt-LT"/>
        </w:rPr>
        <w:tab/>
      </w:r>
      <w:r w:rsidRPr="00DF20B3">
        <w:rPr>
          <w:noProof/>
          <w:sz w:val="20"/>
          <w:lang w:val="lt-LT"/>
        </w:rPr>
        <w:t>Kopsummas nesakrīt noapaļošanas dēļ.</w:t>
      </w:r>
    </w:p>
  </w:footnote>
  <w:footnote w:id="48">
    <w:p w:rsidR="002E1422" w:rsidRPr="00DF20B3" w:rsidRDefault="002E1422" w:rsidP="00FB0A0F">
      <w:pPr>
        <w:pStyle w:val="FootnoteText"/>
        <w:rPr>
          <w:szCs w:val="24"/>
          <w:lang w:val="lt-LT"/>
        </w:rPr>
      </w:pPr>
      <w:r>
        <w:rPr>
          <w:rStyle w:val="FootnoteReference"/>
        </w:rPr>
        <w:footnoteRef/>
      </w:r>
      <w:r w:rsidRPr="00DF20B3">
        <w:rPr>
          <w:lang w:val="lt-LT"/>
        </w:rPr>
        <w:tab/>
      </w:r>
      <w:proofErr w:type="spellStart"/>
      <w:r w:rsidRPr="00DF20B3">
        <w:rPr>
          <w:lang w:val="lt-LT"/>
        </w:rPr>
        <w:t>Administratīvās</w:t>
      </w:r>
      <w:proofErr w:type="spellEnd"/>
      <w:r w:rsidRPr="00DF20B3">
        <w:rPr>
          <w:lang w:val="lt-LT"/>
        </w:rPr>
        <w:t xml:space="preserve"> </w:t>
      </w:r>
      <w:proofErr w:type="spellStart"/>
      <w:r w:rsidRPr="00DF20B3">
        <w:rPr>
          <w:lang w:val="lt-LT"/>
        </w:rPr>
        <w:t>apropriācijas</w:t>
      </w:r>
      <w:proofErr w:type="spellEnd"/>
      <w:r w:rsidRPr="00DF20B3">
        <w:rPr>
          <w:lang w:val="lt-LT"/>
        </w:rPr>
        <w:t xml:space="preserve">, ko </w:t>
      </w:r>
      <w:proofErr w:type="spellStart"/>
      <w:r w:rsidRPr="00DF20B3">
        <w:rPr>
          <w:lang w:val="lt-LT"/>
        </w:rPr>
        <w:t>finansē</w:t>
      </w:r>
      <w:proofErr w:type="spellEnd"/>
      <w:r w:rsidRPr="00DF20B3">
        <w:rPr>
          <w:lang w:val="lt-LT"/>
        </w:rPr>
        <w:t xml:space="preserve"> </w:t>
      </w:r>
      <w:proofErr w:type="spellStart"/>
      <w:r w:rsidRPr="00DF20B3">
        <w:rPr>
          <w:lang w:val="lt-LT"/>
        </w:rPr>
        <w:t>no</w:t>
      </w:r>
      <w:proofErr w:type="spellEnd"/>
      <w:r w:rsidRPr="00DF20B3">
        <w:rPr>
          <w:lang w:val="lt-LT"/>
        </w:rPr>
        <w:t xml:space="preserve"> </w:t>
      </w:r>
      <w:proofErr w:type="spellStart"/>
      <w:r w:rsidRPr="00DF20B3">
        <w:rPr>
          <w:lang w:val="lt-LT"/>
        </w:rPr>
        <w:t>programmas</w:t>
      </w:r>
      <w:proofErr w:type="spellEnd"/>
      <w:r w:rsidRPr="00DF20B3">
        <w:rPr>
          <w:lang w:val="lt-LT"/>
        </w:rPr>
        <w:t xml:space="preserve"> </w:t>
      </w:r>
      <w:proofErr w:type="spellStart"/>
      <w:r w:rsidRPr="00DF20B3">
        <w:rPr>
          <w:lang w:val="lt-LT"/>
        </w:rPr>
        <w:t>piešķīruma</w:t>
      </w:r>
      <w:proofErr w:type="spellEnd"/>
      <w:r w:rsidRPr="00DF20B3">
        <w:rPr>
          <w:lang w:val="lt-LT"/>
        </w:rPr>
        <w:t xml:space="preserve">. Tas </w:t>
      </w:r>
      <w:proofErr w:type="spellStart"/>
      <w:r w:rsidRPr="00DF20B3">
        <w:rPr>
          <w:lang w:val="lt-LT"/>
        </w:rPr>
        <w:t>ietver</w:t>
      </w:r>
      <w:proofErr w:type="spellEnd"/>
      <w:r w:rsidRPr="00DF20B3">
        <w:rPr>
          <w:lang w:val="lt-LT"/>
        </w:rPr>
        <w:t xml:space="preserve"> </w:t>
      </w:r>
      <w:proofErr w:type="spellStart"/>
      <w:r w:rsidRPr="00DF20B3">
        <w:rPr>
          <w:lang w:val="lt-LT"/>
        </w:rPr>
        <w:t>summas</w:t>
      </w:r>
      <w:proofErr w:type="spellEnd"/>
      <w:r w:rsidRPr="00DF20B3">
        <w:rPr>
          <w:lang w:val="lt-LT"/>
        </w:rPr>
        <w:t xml:space="preserve">, kas </w:t>
      </w:r>
      <w:proofErr w:type="spellStart"/>
      <w:r w:rsidRPr="00DF20B3">
        <w:rPr>
          <w:lang w:val="lt-LT"/>
        </w:rPr>
        <w:t>nepieciešamas</w:t>
      </w:r>
      <w:proofErr w:type="spellEnd"/>
      <w:r w:rsidRPr="00DF20B3">
        <w:rPr>
          <w:lang w:val="lt-LT"/>
        </w:rPr>
        <w:t xml:space="preserve"> 2014.–2020. </w:t>
      </w:r>
      <w:proofErr w:type="spellStart"/>
      <w:r w:rsidRPr="00DF20B3">
        <w:rPr>
          <w:lang w:val="lt-LT"/>
        </w:rPr>
        <w:t>gada</w:t>
      </w:r>
      <w:proofErr w:type="spellEnd"/>
      <w:r w:rsidRPr="00DF20B3">
        <w:rPr>
          <w:lang w:val="lt-LT"/>
        </w:rPr>
        <w:t xml:space="preserve"> </w:t>
      </w:r>
      <w:proofErr w:type="spellStart"/>
      <w:r w:rsidRPr="00DF20B3">
        <w:rPr>
          <w:lang w:val="lt-LT"/>
        </w:rPr>
        <w:t>programmu</w:t>
      </w:r>
      <w:proofErr w:type="spellEnd"/>
      <w:r w:rsidRPr="00DF20B3">
        <w:rPr>
          <w:lang w:val="lt-LT"/>
        </w:rPr>
        <w:t xml:space="preserve"> </w:t>
      </w:r>
      <w:proofErr w:type="spellStart"/>
      <w:r w:rsidRPr="00DF20B3">
        <w:rPr>
          <w:lang w:val="lt-LT"/>
        </w:rPr>
        <w:t>nesamaksāto</w:t>
      </w:r>
      <w:proofErr w:type="spellEnd"/>
      <w:r w:rsidRPr="00DF20B3">
        <w:rPr>
          <w:lang w:val="lt-LT"/>
        </w:rPr>
        <w:t xml:space="preserve"> (“</w:t>
      </w:r>
      <w:proofErr w:type="spellStart"/>
      <w:r w:rsidRPr="00DF20B3">
        <w:rPr>
          <w:lang w:val="lt-LT"/>
        </w:rPr>
        <w:t>pārmantoto</w:t>
      </w:r>
      <w:proofErr w:type="spellEnd"/>
      <w:r w:rsidRPr="00DF20B3">
        <w:rPr>
          <w:lang w:val="lt-LT"/>
        </w:rPr>
        <w:t xml:space="preserve">”) </w:t>
      </w:r>
      <w:proofErr w:type="spellStart"/>
      <w:r w:rsidRPr="00DF20B3">
        <w:rPr>
          <w:lang w:val="lt-LT"/>
        </w:rPr>
        <w:t>saistību</w:t>
      </w:r>
      <w:proofErr w:type="spellEnd"/>
      <w:r w:rsidRPr="00DF20B3">
        <w:rPr>
          <w:lang w:val="lt-LT"/>
        </w:rPr>
        <w:t xml:space="preserve"> </w:t>
      </w:r>
      <w:proofErr w:type="spellStart"/>
      <w:r w:rsidRPr="00DF20B3">
        <w:rPr>
          <w:lang w:val="lt-LT"/>
        </w:rPr>
        <w:t>pārvaldībai</w:t>
      </w:r>
      <w:proofErr w:type="spellEnd"/>
      <w:r w:rsidRPr="00DF20B3">
        <w:rPr>
          <w:lang w:val="lt-LT"/>
        </w:rPr>
        <w:t xml:space="preserve">, ko </w:t>
      </w:r>
      <w:proofErr w:type="spellStart"/>
      <w:r w:rsidRPr="00DF20B3">
        <w:rPr>
          <w:lang w:val="lt-LT"/>
        </w:rPr>
        <w:t>pašlaik</w:t>
      </w:r>
      <w:proofErr w:type="spellEnd"/>
      <w:r w:rsidRPr="00DF20B3">
        <w:rPr>
          <w:lang w:val="lt-LT"/>
        </w:rPr>
        <w:t xml:space="preserve"> </w:t>
      </w:r>
      <w:proofErr w:type="spellStart"/>
      <w:r w:rsidRPr="00DF20B3">
        <w:rPr>
          <w:lang w:val="lt-LT"/>
        </w:rPr>
        <w:t>veic</w:t>
      </w:r>
      <w:proofErr w:type="spellEnd"/>
      <w:r w:rsidRPr="00DF20B3">
        <w:rPr>
          <w:lang w:val="lt-LT"/>
        </w:rPr>
        <w:t xml:space="preserve"> </w:t>
      </w:r>
      <w:proofErr w:type="spellStart"/>
      <w:r w:rsidRPr="00DF20B3">
        <w:rPr>
          <w:lang w:val="lt-LT"/>
        </w:rPr>
        <w:t>izpildaģentūra</w:t>
      </w:r>
      <w:proofErr w:type="spellEnd"/>
      <w:r w:rsidRPr="00DF20B3">
        <w:rPr>
          <w:lang w:val="lt-LT"/>
        </w:rPr>
        <w:t>.</w:t>
      </w:r>
    </w:p>
  </w:footnote>
  <w:footnote w:id="49">
    <w:p w:rsidR="002E1422" w:rsidRPr="00DF20B3" w:rsidRDefault="002E1422" w:rsidP="00FB0A0F">
      <w:pPr>
        <w:pStyle w:val="FootnoteText"/>
        <w:spacing w:after="60"/>
        <w:rPr>
          <w:szCs w:val="24"/>
          <w:lang w:val="lt-LT"/>
        </w:rPr>
      </w:pPr>
      <w:r>
        <w:rPr>
          <w:rStyle w:val="FootnoteReference"/>
        </w:rPr>
        <w:footnoteRef/>
      </w:r>
      <w:r w:rsidRPr="00DF20B3">
        <w:rPr>
          <w:lang w:val="lt-LT"/>
        </w:rPr>
        <w:tab/>
      </w:r>
      <w:proofErr w:type="spellStart"/>
      <w:r w:rsidRPr="00DF20B3">
        <w:rPr>
          <w:lang w:val="lt-LT"/>
        </w:rPr>
        <w:t>Administratīvās</w:t>
      </w:r>
      <w:proofErr w:type="spellEnd"/>
      <w:r w:rsidRPr="00DF20B3">
        <w:rPr>
          <w:lang w:val="lt-LT"/>
        </w:rPr>
        <w:t xml:space="preserve"> </w:t>
      </w:r>
      <w:proofErr w:type="spellStart"/>
      <w:r w:rsidRPr="00DF20B3">
        <w:rPr>
          <w:lang w:val="lt-LT"/>
        </w:rPr>
        <w:t>apropriācijas</w:t>
      </w:r>
      <w:proofErr w:type="spellEnd"/>
      <w:r w:rsidRPr="00DF20B3">
        <w:rPr>
          <w:lang w:val="lt-LT"/>
        </w:rPr>
        <w:t xml:space="preserve">, ko </w:t>
      </w:r>
      <w:proofErr w:type="spellStart"/>
      <w:r w:rsidRPr="00DF20B3">
        <w:rPr>
          <w:lang w:val="lt-LT"/>
        </w:rPr>
        <w:t>finansē</w:t>
      </w:r>
      <w:proofErr w:type="spellEnd"/>
      <w:r w:rsidRPr="00DF20B3">
        <w:rPr>
          <w:lang w:val="lt-LT"/>
        </w:rPr>
        <w:t xml:space="preserve"> </w:t>
      </w:r>
      <w:proofErr w:type="spellStart"/>
      <w:r w:rsidRPr="00DF20B3">
        <w:rPr>
          <w:lang w:val="lt-LT"/>
        </w:rPr>
        <w:t>no</w:t>
      </w:r>
      <w:proofErr w:type="spellEnd"/>
      <w:r w:rsidRPr="00DF20B3">
        <w:rPr>
          <w:lang w:val="lt-LT"/>
        </w:rPr>
        <w:t xml:space="preserve"> </w:t>
      </w:r>
      <w:proofErr w:type="spellStart"/>
      <w:r w:rsidRPr="00DF20B3">
        <w:rPr>
          <w:lang w:val="lt-LT"/>
        </w:rPr>
        <w:t>programmas</w:t>
      </w:r>
      <w:proofErr w:type="spellEnd"/>
      <w:r w:rsidRPr="00DF20B3">
        <w:rPr>
          <w:lang w:val="lt-LT"/>
        </w:rPr>
        <w:t xml:space="preserve"> </w:t>
      </w:r>
      <w:proofErr w:type="spellStart"/>
      <w:r w:rsidRPr="00DF20B3">
        <w:rPr>
          <w:lang w:val="lt-LT"/>
        </w:rPr>
        <w:t>piešķīruma</w:t>
      </w:r>
      <w:proofErr w:type="spellEnd"/>
      <w:r w:rsidRPr="00DF20B3">
        <w:rPr>
          <w:lang w:val="lt-LT"/>
        </w:rPr>
        <w:t xml:space="preserve">. Tas </w:t>
      </w:r>
      <w:proofErr w:type="spellStart"/>
      <w:r w:rsidRPr="00DF20B3">
        <w:rPr>
          <w:lang w:val="lt-LT"/>
        </w:rPr>
        <w:t>neietver</w:t>
      </w:r>
      <w:proofErr w:type="spellEnd"/>
      <w:r w:rsidRPr="00DF20B3">
        <w:rPr>
          <w:lang w:val="lt-LT"/>
        </w:rPr>
        <w:t xml:space="preserve"> </w:t>
      </w:r>
      <w:proofErr w:type="spellStart"/>
      <w:r w:rsidRPr="00DF20B3">
        <w:rPr>
          <w:lang w:val="lt-LT"/>
        </w:rPr>
        <w:t>summas</w:t>
      </w:r>
      <w:proofErr w:type="spellEnd"/>
      <w:r w:rsidRPr="00DF20B3">
        <w:rPr>
          <w:lang w:val="lt-LT"/>
        </w:rPr>
        <w:t xml:space="preserve">, kas </w:t>
      </w:r>
      <w:proofErr w:type="spellStart"/>
      <w:r w:rsidRPr="00DF20B3">
        <w:rPr>
          <w:lang w:val="lt-LT"/>
        </w:rPr>
        <w:t>nepieciešamas</w:t>
      </w:r>
      <w:proofErr w:type="spellEnd"/>
      <w:r w:rsidRPr="00DF20B3">
        <w:rPr>
          <w:lang w:val="lt-LT"/>
        </w:rPr>
        <w:t xml:space="preserve"> 2014.–2020. </w:t>
      </w:r>
      <w:proofErr w:type="spellStart"/>
      <w:r w:rsidRPr="00DF20B3">
        <w:rPr>
          <w:lang w:val="lt-LT"/>
        </w:rPr>
        <w:t>gada</w:t>
      </w:r>
      <w:proofErr w:type="spellEnd"/>
      <w:r w:rsidRPr="00DF20B3">
        <w:rPr>
          <w:lang w:val="lt-LT"/>
        </w:rPr>
        <w:t xml:space="preserve"> </w:t>
      </w:r>
      <w:proofErr w:type="spellStart"/>
      <w:r w:rsidRPr="00DF20B3">
        <w:rPr>
          <w:lang w:val="lt-LT"/>
        </w:rPr>
        <w:t>programmu</w:t>
      </w:r>
      <w:proofErr w:type="spellEnd"/>
      <w:r w:rsidRPr="00DF20B3">
        <w:rPr>
          <w:lang w:val="lt-LT"/>
        </w:rPr>
        <w:t xml:space="preserve"> </w:t>
      </w:r>
      <w:proofErr w:type="spellStart"/>
      <w:r w:rsidRPr="00DF20B3">
        <w:rPr>
          <w:lang w:val="lt-LT"/>
        </w:rPr>
        <w:t>nesamaksāto</w:t>
      </w:r>
      <w:proofErr w:type="spellEnd"/>
      <w:r w:rsidRPr="00DF20B3">
        <w:rPr>
          <w:lang w:val="lt-LT"/>
        </w:rPr>
        <w:t xml:space="preserve"> (“</w:t>
      </w:r>
      <w:proofErr w:type="spellStart"/>
      <w:r w:rsidRPr="00DF20B3">
        <w:rPr>
          <w:lang w:val="lt-LT"/>
        </w:rPr>
        <w:t>pārmantoto</w:t>
      </w:r>
      <w:proofErr w:type="spellEnd"/>
      <w:r w:rsidRPr="00DF20B3">
        <w:rPr>
          <w:lang w:val="lt-LT"/>
        </w:rPr>
        <w:t xml:space="preserve">”) </w:t>
      </w:r>
      <w:proofErr w:type="spellStart"/>
      <w:r w:rsidRPr="00DF20B3">
        <w:rPr>
          <w:lang w:val="lt-LT"/>
        </w:rPr>
        <w:t>saistību</w:t>
      </w:r>
      <w:proofErr w:type="spellEnd"/>
      <w:r w:rsidRPr="00DF20B3">
        <w:rPr>
          <w:lang w:val="lt-LT"/>
        </w:rPr>
        <w:t xml:space="preserve"> </w:t>
      </w:r>
      <w:proofErr w:type="spellStart"/>
      <w:r w:rsidRPr="00DF20B3">
        <w:rPr>
          <w:lang w:val="lt-LT"/>
        </w:rPr>
        <w:t>pārvaldībai</w:t>
      </w:r>
      <w:proofErr w:type="spellEnd"/>
      <w:r w:rsidRPr="00DF20B3">
        <w:rPr>
          <w:lang w:val="lt-LT"/>
        </w:rPr>
        <w:t xml:space="preserve">, jo </w:t>
      </w:r>
      <w:proofErr w:type="spellStart"/>
      <w:r w:rsidRPr="00DF20B3">
        <w:rPr>
          <w:lang w:val="lt-LT"/>
        </w:rPr>
        <w:t>tās</w:t>
      </w:r>
      <w:proofErr w:type="spellEnd"/>
      <w:r w:rsidRPr="00DF20B3">
        <w:rPr>
          <w:lang w:val="lt-LT"/>
        </w:rPr>
        <w:t xml:space="preserve"> </w:t>
      </w:r>
      <w:proofErr w:type="spellStart"/>
      <w:r w:rsidRPr="00DF20B3">
        <w:rPr>
          <w:lang w:val="lt-LT"/>
        </w:rPr>
        <w:t>bija</w:t>
      </w:r>
      <w:proofErr w:type="spellEnd"/>
      <w:r w:rsidRPr="00DF20B3">
        <w:rPr>
          <w:lang w:val="lt-LT"/>
        </w:rPr>
        <w:t xml:space="preserve"> </w:t>
      </w:r>
      <w:proofErr w:type="spellStart"/>
      <w:r w:rsidRPr="00DF20B3">
        <w:rPr>
          <w:lang w:val="lt-LT"/>
        </w:rPr>
        <w:t>finansēts</w:t>
      </w:r>
      <w:proofErr w:type="spellEnd"/>
      <w:r w:rsidRPr="00DF20B3">
        <w:rPr>
          <w:lang w:val="lt-LT"/>
        </w:rPr>
        <w:t xml:space="preserve"> </w:t>
      </w:r>
      <w:proofErr w:type="spellStart"/>
      <w:r w:rsidRPr="00DF20B3">
        <w:rPr>
          <w:lang w:val="lt-LT"/>
        </w:rPr>
        <w:t>no</w:t>
      </w:r>
      <w:proofErr w:type="spellEnd"/>
      <w:r w:rsidRPr="00DF20B3">
        <w:rPr>
          <w:lang w:val="lt-LT"/>
        </w:rPr>
        <w:t xml:space="preserve"> </w:t>
      </w:r>
      <w:proofErr w:type="spellStart"/>
      <w:r w:rsidRPr="00DF20B3">
        <w:rPr>
          <w:lang w:val="lt-LT"/>
        </w:rPr>
        <w:t>pamatprogrammas</w:t>
      </w:r>
      <w:proofErr w:type="spellEnd"/>
      <w:r w:rsidRPr="00DF20B3">
        <w:rPr>
          <w:lang w:val="lt-LT"/>
        </w:rPr>
        <w:t xml:space="preserve"> “</w:t>
      </w:r>
      <w:proofErr w:type="spellStart"/>
      <w:r w:rsidRPr="00DF20B3">
        <w:rPr>
          <w:lang w:val="lt-LT"/>
        </w:rPr>
        <w:t>Apvārsnis</w:t>
      </w:r>
      <w:proofErr w:type="spellEnd"/>
      <w:r w:rsidRPr="00DF20B3">
        <w:rPr>
          <w:lang w:val="lt-LT"/>
        </w:rPr>
        <w:t xml:space="preserve"> 2020”. </w:t>
      </w:r>
    </w:p>
  </w:footnote>
  <w:footnote w:id="50">
    <w:p w:rsidR="002E1422" w:rsidRPr="00DF20B3" w:rsidRDefault="002E1422" w:rsidP="00FB0A0F">
      <w:pPr>
        <w:tabs>
          <w:tab w:val="left" w:pos="720"/>
        </w:tabs>
        <w:spacing w:before="0" w:after="60"/>
        <w:ind w:left="720" w:hanging="720"/>
        <w:rPr>
          <w:lang w:val="lt-LT"/>
        </w:rPr>
      </w:pPr>
      <w:r>
        <w:rPr>
          <w:rStyle w:val="FootnoteReference"/>
        </w:rPr>
        <w:footnoteRef/>
      </w:r>
      <w:r w:rsidRPr="00DF20B3">
        <w:rPr>
          <w:lang w:val="lt-LT"/>
        </w:rPr>
        <w:tab/>
      </w:r>
      <w:r w:rsidRPr="00DF20B3">
        <w:rPr>
          <w:noProof/>
          <w:sz w:val="20"/>
          <w:lang w:val="lt-LT"/>
        </w:rPr>
        <w:t>Programmu ir paredzēts daļēji deleģēt izpildaģentūrai atkarībā no izmaksu un ieguvumu analīzes secinājumiem un saistītajiem pieņemamajiem lēmumiem. Saistītās administratīvās apropriācijas programmas īstenošanai Komisijā un izpildaģentūrā tiks attiecīgi pielāgotas.</w:t>
      </w:r>
      <w:r w:rsidRPr="00DF20B3">
        <w:rPr>
          <w:noProof/>
          <w:color w:val="0000FF"/>
          <w:lang w:val="lt-LT"/>
        </w:rPr>
        <w:t xml:space="preserve"> </w:t>
      </w:r>
    </w:p>
  </w:footnote>
  <w:footnote w:id="51">
    <w:p w:rsidR="002E1422" w:rsidRPr="00DF20B3" w:rsidRDefault="002E1422" w:rsidP="00FB0A0F">
      <w:pPr>
        <w:pStyle w:val="FootnoteText"/>
        <w:spacing w:after="60"/>
        <w:rPr>
          <w:lang w:val="lt-LT"/>
        </w:rPr>
      </w:pPr>
      <w:r>
        <w:rPr>
          <w:rStyle w:val="FootnoteReference"/>
        </w:rPr>
        <w:footnoteRef/>
      </w:r>
      <w:r w:rsidRPr="00DF20B3">
        <w:rPr>
          <w:lang w:val="lt-LT"/>
        </w:rPr>
        <w:tab/>
      </w:r>
      <w:proofErr w:type="spellStart"/>
      <w:r w:rsidRPr="00DF20B3">
        <w:rPr>
          <w:lang w:val="lt-LT"/>
        </w:rPr>
        <w:t>Šiem</w:t>
      </w:r>
      <w:proofErr w:type="spellEnd"/>
      <w:r w:rsidRPr="00DF20B3">
        <w:rPr>
          <w:lang w:val="lt-LT"/>
        </w:rPr>
        <w:t xml:space="preserve"> trim </w:t>
      </w:r>
      <w:proofErr w:type="spellStart"/>
      <w:r w:rsidRPr="00DF20B3">
        <w:rPr>
          <w:lang w:val="lt-LT"/>
        </w:rPr>
        <w:t>ģenerāldirektorātiem</w:t>
      </w:r>
      <w:proofErr w:type="spellEnd"/>
      <w:r w:rsidRPr="00DF20B3">
        <w:rPr>
          <w:lang w:val="lt-LT"/>
        </w:rPr>
        <w:t xml:space="preserve"> </w:t>
      </w:r>
      <w:proofErr w:type="spellStart"/>
      <w:r w:rsidRPr="00DF20B3">
        <w:rPr>
          <w:lang w:val="lt-LT"/>
        </w:rPr>
        <w:t>nav</w:t>
      </w:r>
      <w:proofErr w:type="spellEnd"/>
      <w:r w:rsidRPr="00DF20B3">
        <w:rPr>
          <w:lang w:val="lt-LT"/>
        </w:rPr>
        <w:t xml:space="preserve"> </w:t>
      </w:r>
      <w:proofErr w:type="spellStart"/>
      <w:r w:rsidRPr="00DF20B3">
        <w:rPr>
          <w:lang w:val="lt-LT"/>
        </w:rPr>
        <w:t>pieejami</w:t>
      </w:r>
      <w:proofErr w:type="spellEnd"/>
      <w:r w:rsidRPr="00DF20B3">
        <w:rPr>
          <w:lang w:val="lt-LT"/>
        </w:rPr>
        <w:t xml:space="preserve"> </w:t>
      </w:r>
      <w:proofErr w:type="spellStart"/>
      <w:r w:rsidRPr="00DF20B3">
        <w:rPr>
          <w:lang w:val="lt-LT"/>
        </w:rPr>
        <w:t>faktiskie</w:t>
      </w:r>
      <w:proofErr w:type="spellEnd"/>
      <w:r w:rsidRPr="00DF20B3">
        <w:rPr>
          <w:lang w:val="lt-LT"/>
        </w:rPr>
        <w:t xml:space="preserve"> </w:t>
      </w:r>
      <w:proofErr w:type="spellStart"/>
      <w:r w:rsidRPr="00DF20B3">
        <w:rPr>
          <w:lang w:val="lt-LT"/>
        </w:rPr>
        <w:t>cilvēkresursi</w:t>
      </w:r>
      <w:proofErr w:type="spellEnd"/>
      <w:r w:rsidRPr="00DF20B3">
        <w:rPr>
          <w:lang w:val="lt-LT"/>
        </w:rPr>
        <w:t xml:space="preserve">, kas būtu </w:t>
      </w:r>
      <w:proofErr w:type="spellStart"/>
      <w:r w:rsidRPr="00DF20B3">
        <w:rPr>
          <w:lang w:val="lt-LT"/>
        </w:rPr>
        <w:t>vajadzīgi</w:t>
      </w:r>
      <w:proofErr w:type="spellEnd"/>
      <w:r w:rsidRPr="00DF20B3">
        <w:rPr>
          <w:lang w:val="lt-LT"/>
        </w:rPr>
        <w:t xml:space="preserve"> </w:t>
      </w:r>
      <w:proofErr w:type="spellStart"/>
      <w:r w:rsidRPr="00DF20B3">
        <w:rPr>
          <w:lang w:val="lt-LT"/>
        </w:rPr>
        <w:t>paredzētās</w:t>
      </w:r>
      <w:proofErr w:type="spellEnd"/>
      <w:r w:rsidRPr="00DF20B3">
        <w:rPr>
          <w:lang w:val="lt-LT"/>
        </w:rPr>
        <w:t xml:space="preserve"> </w:t>
      </w:r>
      <w:proofErr w:type="spellStart"/>
      <w:r w:rsidRPr="00DF20B3">
        <w:rPr>
          <w:lang w:val="lt-LT"/>
        </w:rPr>
        <w:t>rīcības</w:t>
      </w:r>
      <w:proofErr w:type="spellEnd"/>
      <w:r w:rsidRPr="00DF20B3">
        <w:rPr>
          <w:lang w:val="lt-LT"/>
        </w:rPr>
        <w:t xml:space="preserve"> </w:t>
      </w:r>
      <w:proofErr w:type="spellStart"/>
      <w:r w:rsidRPr="00DF20B3">
        <w:rPr>
          <w:lang w:val="lt-LT"/>
        </w:rPr>
        <w:t>pārvaldībai</w:t>
      </w:r>
      <w:proofErr w:type="spellEnd"/>
      <w:r w:rsidRPr="00DF20B3">
        <w:rPr>
          <w:lang w:val="lt-LT"/>
        </w:rPr>
        <w:t xml:space="preserve">, jo </w:t>
      </w:r>
      <w:proofErr w:type="spellStart"/>
      <w:r w:rsidRPr="00DF20B3">
        <w:rPr>
          <w:lang w:val="lt-LT"/>
        </w:rPr>
        <w:t>neviens</w:t>
      </w:r>
      <w:proofErr w:type="spellEnd"/>
      <w:r w:rsidRPr="00DF20B3">
        <w:rPr>
          <w:lang w:val="lt-LT"/>
        </w:rPr>
        <w:t xml:space="preserve"> </w:t>
      </w:r>
      <w:proofErr w:type="spellStart"/>
      <w:r w:rsidRPr="00DF20B3">
        <w:rPr>
          <w:lang w:val="lt-LT"/>
        </w:rPr>
        <w:t>no</w:t>
      </w:r>
      <w:proofErr w:type="spellEnd"/>
      <w:r w:rsidRPr="00DF20B3">
        <w:rPr>
          <w:lang w:val="lt-LT"/>
        </w:rPr>
        <w:t xml:space="preserve"> tiem </w:t>
      </w:r>
      <w:proofErr w:type="spellStart"/>
      <w:r w:rsidRPr="00DF20B3">
        <w:rPr>
          <w:lang w:val="lt-LT"/>
        </w:rPr>
        <w:t>nepārvalda</w:t>
      </w:r>
      <w:proofErr w:type="spellEnd"/>
      <w:r w:rsidRPr="00DF20B3">
        <w:rPr>
          <w:lang w:val="lt-LT"/>
        </w:rPr>
        <w:t xml:space="preserve"> </w:t>
      </w:r>
      <w:proofErr w:type="spellStart"/>
      <w:r w:rsidRPr="00DF20B3">
        <w:rPr>
          <w:lang w:val="lt-LT"/>
        </w:rPr>
        <w:t>lielāko</w:t>
      </w:r>
      <w:proofErr w:type="spellEnd"/>
      <w:r w:rsidRPr="00DF20B3">
        <w:rPr>
          <w:lang w:val="lt-LT"/>
        </w:rPr>
        <w:t xml:space="preserve"> </w:t>
      </w:r>
      <w:proofErr w:type="spellStart"/>
      <w:r w:rsidRPr="00DF20B3">
        <w:rPr>
          <w:lang w:val="lt-LT"/>
        </w:rPr>
        <w:t>rīcības</w:t>
      </w:r>
      <w:proofErr w:type="spellEnd"/>
      <w:r w:rsidRPr="00DF20B3">
        <w:rPr>
          <w:lang w:val="lt-LT"/>
        </w:rPr>
        <w:t xml:space="preserve"> </w:t>
      </w:r>
      <w:proofErr w:type="spellStart"/>
      <w:r w:rsidRPr="00DF20B3">
        <w:rPr>
          <w:lang w:val="lt-LT"/>
        </w:rPr>
        <w:t>daļu</w:t>
      </w:r>
      <w:proofErr w:type="spellEnd"/>
      <w:r w:rsidRPr="00DF20B3">
        <w:rPr>
          <w:lang w:val="lt-LT"/>
        </w:rPr>
        <w:t xml:space="preserve"> 2014.–2020. </w:t>
      </w:r>
      <w:proofErr w:type="spellStart"/>
      <w:r w:rsidRPr="00DF20B3">
        <w:rPr>
          <w:lang w:val="lt-LT"/>
        </w:rPr>
        <w:t>gada</w:t>
      </w:r>
      <w:proofErr w:type="spellEnd"/>
      <w:r w:rsidRPr="00DF20B3">
        <w:rPr>
          <w:lang w:val="lt-LT"/>
        </w:rPr>
        <w:t xml:space="preserve"> </w:t>
      </w:r>
      <w:proofErr w:type="spellStart"/>
      <w:r w:rsidRPr="00DF20B3">
        <w:rPr>
          <w:lang w:val="lt-LT"/>
        </w:rPr>
        <w:t>programmas</w:t>
      </w:r>
      <w:proofErr w:type="spellEnd"/>
      <w:r w:rsidRPr="00DF20B3">
        <w:rPr>
          <w:lang w:val="lt-LT"/>
        </w:rPr>
        <w:t xml:space="preserve"> </w:t>
      </w:r>
      <w:proofErr w:type="spellStart"/>
      <w:r w:rsidRPr="00DF20B3">
        <w:rPr>
          <w:lang w:val="lt-LT"/>
        </w:rPr>
        <w:t>ietvaros</w:t>
      </w:r>
      <w:proofErr w:type="spellEnd"/>
      <w:r w:rsidRPr="00DF20B3">
        <w:rPr>
          <w:lang w:val="lt-LT"/>
        </w:rPr>
        <w:t xml:space="preserve">; </w:t>
      </w:r>
      <w:proofErr w:type="spellStart"/>
      <w:r w:rsidRPr="00DF20B3">
        <w:rPr>
          <w:lang w:val="lt-LT"/>
        </w:rPr>
        <w:t>pārvaldība</w:t>
      </w:r>
      <w:proofErr w:type="spellEnd"/>
      <w:r w:rsidRPr="00DF20B3">
        <w:rPr>
          <w:lang w:val="lt-LT"/>
        </w:rPr>
        <w:t xml:space="preserve"> ir </w:t>
      </w:r>
      <w:proofErr w:type="spellStart"/>
      <w:r w:rsidRPr="00DF20B3">
        <w:rPr>
          <w:lang w:val="lt-LT"/>
        </w:rPr>
        <w:t>eksternalizēta</w:t>
      </w:r>
      <w:proofErr w:type="spellEnd"/>
      <w:r w:rsidRPr="00DF20B3">
        <w:rPr>
          <w:lang w:val="lt-LT"/>
        </w:rPr>
        <w:t xml:space="preserve"> </w:t>
      </w:r>
      <w:proofErr w:type="spellStart"/>
      <w:r w:rsidRPr="00DF20B3">
        <w:rPr>
          <w:lang w:val="lt-LT"/>
        </w:rPr>
        <w:t>izpildaģentūrai</w:t>
      </w:r>
      <w:proofErr w:type="spellEnd"/>
      <w:r w:rsidRPr="00DF20B3">
        <w:rPr>
          <w:lang w:val="lt-LT"/>
        </w:rPr>
        <w:t xml:space="preserve">, </w:t>
      </w:r>
      <w:proofErr w:type="spellStart"/>
      <w:r w:rsidRPr="00DF20B3">
        <w:rPr>
          <w:lang w:val="lt-LT"/>
        </w:rPr>
        <w:t>un</w:t>
      </w:r>
      <w:proofErr w:type="spellEnd"/>
      <w:r w:rsidRPr="00DF20B3">
        <w:rPr>
          <w:lang w:val="lt-LT"/>
        </w:rPr>
        <w:t xml:space="preserve"> ir </w:t>
      </w:r>
      <w:proofErr w:type="spellStart"/>
      <w:r w:rsidRPr="00DF20B3">
        <w:rPr>
          <w:lang w:val="lt-LT"/>
        </w:rPr>
        <w:t>paredzēta</w:t>
      </w:r>
      <w:proofErr w:type="spellEnd"/>
      <w:r w:rsidRPr="00DF20B3">
        <w:rPr>
          <w:lang w:val="lt-LT"/>
        </w:rPr>
        <w:t xml:space="preserve"> </w:t>
      </w:r>
      <w:proofErr w:type="spellStart"/>
      <w:r w:rsidRPr="00DF20B3">
        <w:rPr>
          <w:lang w:val="lt-LT"/>
        </w:rPr>
        <w:t>pastāvīga</w:t>
      </w:r>
      <w:proofErr w:type="spellEnd"/>
      <w:r w:rsidRPr="00DF20B3">
        <w:rPr>
          <w:lang w:val="lt-LT"/>
        </w:rPr>
        <w:t xml:space="preserve"> resursu </w:t>
      </w:r>
      <w:proofErr w:type="spellStart"/>
      <w:r w:rsidRPr="00DF20B3">
        <w:rPr>
          <w:lang w:val="lt-LT"/>
        </w:rPr>
        <w:t>palielināšana</w:t>
      </w:r>
      <w:proofErr w:type="spellEnd"/>
      <w:r w:rsidRPr="00DF20B3">
        <w:rPr>
          <w:lang w:val="lt-LT"/>
        </w:rPr>
        <w:t xml:space="preserve"> </w:t>
      </w:r>
      <w:proofErr w:type="spellStart"/>
      <w:r w:rsidRPr="00DF20B3">
        <w:rPr>
          <w:lang w:val="lt-LT"/>
        </w:rPr>
        <w:t>Vides</w:t>
      </w:r>
      <w:proofErr w:type="spellEnd"/>
      <w:r w:rsidRPr="00DF20B3">
        <w:rPr>
          <w:lang w:val="lt-LT"/>
        </w:rPr>
        <w:t xml:space="preserve"> </w:t>
      </w:r>
      <w:proofErr w:type="spellStart"/>
      <w:r w:rsidRPr="00DF20B3">
        <w:rPr>
          <w:lang w:val="lt-LT"/>
        </w:rPr>
        <w:t>ģenerāldirektorāta</w:t>
      </w:r>
      <w:proofErr w:type="spellEnd"/>
      <w:r w:rsidRPr="00DF20B3">
        <w:rPr>
          <w:lang w:val="lt-LT"/>
        </w:rPr>
        <w:t xml:space="preserve"> </w:t>
      </w:r>
      <w:proofErr w:type="spellStart"/>
      <w:r w:rsidRPr="00DF20B3">
        <w:rPr>
          <w:lang w:val="lt-LT"/>
        </w:rPr>
        <w:t>pārvaldīto</w:t>
      </w:r>
      <w:proofErr w:type="spellEnd"/>
      <w:r w:rsidRPr="00DF20B3">
        <w:rPr>
          <w:lang w:val="lt-LT"/>
        </w:rPr>
        <w:t xml:space="preserve"> </w:t>
      </w:r>
      <w:proofErr w:type="spellStart"/>
      <w:r w:rsidRPr="00DF20B3">
        <w:rPr>
          <w:lang w:val="lt-LT"/>
        </w:rPr>
        <w:t>apakšprogrammu</w:t>
      </w:r>
      <w:proofErr w:type="spellEnd"/>
      <w:r w:rsidRPr="00DF20B3">
        <w:rPr>
          <w:lang w:val="lt-LT"/>
        </w:rPr>
        <w:t xml:space="preserve"> (“Daba </w:t>
      </w:r>
      <w:proofErr w:type="spellStart"/>
      <w:r w:rsidRPr="00DF20B3">
        <w:rPr>
          <w:lang w:val="lt-LT"/>
        </w:rPr>
        <w:t>un</w:t>
      </w:r>
      <w:proofErr w:type="spellEnd"/>
      <w:r w:rsidRPr="00DF20B3">
        <w:rPr>
          <w:lang w:val="lt-LT"/>
        </w:rPr>
        <w:t xml:space="preserve"> </w:t>
      </w:r>
      <w:proofErr w:type="spellStart"/>
      <w:r w:rsidRPr="00DF20B3">
        <w:rPr>
          <w:lang w:val="lt-LT"/>
        </w:rPr>
        <w:t>biodaudzveidība</w:t>
      </w:r>
      <w:proofErr w:type="spellEnd"/>
      <w:r w:rsidRPr="00DF20B3">
        <w:rPr>
          <w:lang w:val="lt-LT"/>
        </w:rPr>
        <w:t>”, “</w:t>
      </w:r>
      <w:proofErr w:type="spellStart"/>
      <w:r w:rsidRPr="00DF20B3">
        <w:rPr>
          <w:lang w:val="lt-LT"/>
        </w:rPr>
        <w:t>Aprites</w:t>
      </w:r>
      <w:proofErr w:type="spellEnd"/>
      <w:r w:rsidRPr="00DF20B3">
        <w:rPr>
          <w:lang w:val="lt-LT"/>
        </w:rPr>
        <w:t xml:space="preserve"> ekonomika </w:t>
      </w:r>
      <w:proofErr w:type="spellStart"/>
      <w:r w:rsidRPr="00DF20B3">
        <w:rPr>
          <w:lang w:val="lt-LT"/>
        </w:rPr>
        <w:t>un</w:t>
      </w:r>
      <w:proofErr w:type="spellEnd"/>
      <w:r w:rsidRPr="00DF20B3">
        <w:rPr>
          <w:lang w:val="lt-LT"/>
        </w:rPr>
        <w:t xml:space="preserve"> </w:t>
      </w:r>
      <w:proofErr w:type="spellStart"/>
      <w:r w:rsidRPr="00DF20B3">
        <w:rPr>
          <w:lang w:val="lt-LT"/>
        </w:rPr>
        <w:t>dzīves</w:t>
      </w:r>
      <w:proofErr w:type="spellEnd"/>
      <w:r w:rsidRPr="00DF20B3">
        <w:rPr>
          <w:lang w:val="lt-LT"/>
        </w:rPr>
        <w:t xml:space="preserve"> </w:t>
      </w:r>
      <w:proofErr w:type="spellStart"/>
      <w:r w:rsidRPr="00DF20B3">
        <w:rPr>
          <w:lang w:val="lt-LT"/>
        </w:rPr>
        <w:t>kvalitāte</w:t>
      </w:r>
      <w:proofErr w:type="spellEnd"/>
      <w:r w:rsidRPr="00DF20B3">
        <w:rPr>
          <w:lang w:val="lt-LT"/>
        </w:rPr>
        <w:t xml:space="preserve">”) </w:t>
      </w:r>
      <w:proofErr w:type="spellStart"/>
      <w:r w:rsidRPr="00DF20B3">
        <w:rPr>
          <w:lang w:val="lt-LT"/>
        </w:rPr>
        <w:t>kontekstā</w:t>
      </w:r>
      <w:proofErr w:type="spellEnd"/>
      <w:r w:rsidRPr="00DF20B3">
        <w:rPr>
          <w:lang w:val="lt-LT"/>
        </w:rPr>
        <w:t>.</w:t>
      </w:r>
    </w:p>
  </w:footnote>
  <w:footnote w:id="52">
    <w:p w:rsidR="002E1422" w:rsidRPr="00DF20B3" w:rsidRDefault="002E1422" w:rsidP="00FB0A0F">
      <w:pPr>
        <w:pStyle w:val="FootnoteText"/>
        <w:spacing w:after="60"/>
        <w:rPr>
          <w:szCs w:val="24"/>
          <w:lang w:val="lt-LT"/>
        </w:rPr>
      </w:pPr>
      <w:r>
        <w:rPr>
          <w:rStyle w:val="FootnoteReference"/>
        </w:rPr>
        <w:footnoteRef/>
      </w:r>
      <w:r w:rsidRPr="00DF20B3">
        <w:rPr>
          <w:lang w:val="lt-LT"/>
        </w:rPr>
        <w:tab/>
      </w:r>
      <w:proofErr w:type="spellStart"/>
      <w:r w:rsidRPr="00DF20B3">
        <w:rPr>
          <w:lang w:val="lt-LT"/>
        </w:rPr>
        <w:t>Tehniskais</w:t>
      </w:r>
      <w:proofErr w:type="spellEnd"/>
      <w:r w:rsidRPr="00DF20B3">
        <w:rPr>
          <w:lang w:val="lt-LT"/>
        </w:rPr>
        <w:t xml:space="preserve"> </w:t>
      </w:r>
      <w:proofErr w:type="spellStart"/>
      <w:r w:rsidRPr="00DF20B3">
        <w:rPr>
          <w:lang w:val="lt-LT"/>
        </w:rPr>
        <w:t>un</w:t>
      </w:r>
      <w:proofErr w:type="spellEnd"/>
      <w:r w:rsidRPr="00DF20B3">
        <w:rPr>
          <w:lang w:val="lt-LT"/>
        </w:rPr>
        <w:t xml:space="preserve">/vai </w:t>
      </w:r>
      <w:proofErr w:type="spellStart"/>
      <w:r w:rsidRPr="00DF20B3">
        <w:rPr>
          <w:lang w:val="lt-LT"/>
        </w:rPr>
        <w:t>administratīvais</w:t>
      </w:r>
      <w:proofErr w:type="spellEnd"/>
      <w:r w:rsidRPr="00DF20B3">
        <w:rPr>
          <w:lang w:val="lt-LT"/>
        </w:rPr>
        <w:t xml:space="preserve"> </w:t>
      </w:r>
      <w:proofErr w:type="spellStart"/>
      <w:r w:rsidRPr="00DF20B3">
        <w:rPr>
          <w:lang w:val="lt-LT"/>
        </w:rPr>
        <w:t>atbalsts</w:t>
      </w:r>
      <w:proofErr w:type="spellEnd"/>
      <w:r w:rsidRPr="00DF20B3">
        <w:rPr>
          <w:lang w:val="lt-LT"/>
        </w:rPr>
        <w:t xml:space="preserve"> </w:t>
      </w:r>
      <w:proofErr w:type="spellStart"/>
      <w:r w:rsidRPr="00DF20B3">
        <w:rPr>
          <w:lang w:val="lt-LT"/>
        </w:rPr>
        <w:t>un</w:t>
      </w:r>
      <w:proofErr w:type="spellEnd"/>
      <w:r w:rsidRPr="00DF20B3">
        <w:rPr>
          <w:lang w:val="lt-LT"/>
        </w:rPr>
        <w:t xml:space="preserve"> ES </w:t>
      </w:r>
      <w:proofErr w:type="spellStart"/>
      <w:r w:rsidRPr="00DF20B3">
        <w:rPr>
          <w:lang w:val="lt-LT"/>
        </w:rPr>
        <w:t>programmu</w:t>
      </w:r>
      <w:proofErr w:type="spellEnd"/>
      <w:r w:rsidRPr="00DF20B3">
        <w:rPr>
          <w:lang w:val="lt-LT"/>
        </w:rPr>
        <w:t xml:space="preserve"> </w:t>
      </w:r>
      <w:proofErr w:type="spellStart"/>
      <w:r w:rsidRPr="00DF20B3">
        <w:rPr>
          <w:lang w:val="lt-LT"/>
        </w:rPr>
        <w:t>un</w:t>
      </w:r>
      <w:proofErr w:type="spellEnd"/>
      <w:r w:rsidRPr="00DF20B3">
        <w:rPr>
          <w:lang w:val="lt-LT"/>
        </w:rPr>
        <w:t xml:space="preserve">/vai </w:t>
      </w:r>
      <w:proofErr w:type="spellStart"/>
      <w:r w:rsidRPr="00DF20B3">
        <w:rPr>
          <w:lang w:val="lt-LT"/>
        </w:rPr>
        <w:t>darbību</w:t>
      </w:r>
      <w:proofErr w:type="spellEnd"/>
      <w:r w:rsidRPr="00DF20B3">
        <w:rPr>
          <w:lang w:val="lt-LT"/>
        </w:rPr>
        <w:t xml:space="preserve"> </w:t>
      </w:r>
      <w:proofErr w:type="spellStart"/>
      <w:r w:rsidRPr="00DF20B3">
        <w:rPr>
          <w:lang w:val="lt-LT"/>
        </w:rPr>
        <w:t>īstenošanas</w:t>
      </w:r>
      <w:proofErr w:type="spellEnd"/>
      <w:r w:rsidRPr="00DF20B3">
        <w:rPr>
          <w:lang w:val="lt-LT"/>
        </w:rPr>
        <w:t xml:space="preserve"> atbalsta </w:t>
      </w:r>
      <w:proofErr w:type="spellStart"/>
      <w:r w:rsidRPr="00DF20B3">
        <w:rPr>
          <w:lang w:val="lt-LT"/>
        </w:rPr>
        <w:t>izdevumi</w:t>
      </w:r>
      <w:proofErr w:type="spellEnd"/>
      <w:r w:rsidRPr="00DF20B3">
        <w:rPr>
          <w:lang w:val="lt-LT"/>
        </w:rPr>
        <w:t xml:space="preserve"> (</w:t>
      </w:r>
      <w:proofErr w:type="spellStart"/>
      <w:r w:rsidRPr="00DF20B3">
        <w:rPr>
          <w:lang w:val="lt-LT"/>
        </w:rPr>
        <w:t>kādreizējās</w:t>
      </w:r>
      <w:proofErr w:type="spellEnd"/>
      <w:r w:rsidRPr="00DF20B3">
        <w:rPr>
          <w:lang w:val="lt-LT"/>
        </w:rPr>
        <w:t xml:space="preserve"> “BA” </w:t>
      </w:r>
      <w:proofErr w:type="spellStart"/>
      <w:r w:rsidRPr="00DF20B3">
        <w:rPr>
          <w:lang w:val="lt-LT"/>
        </w:rPr>
        <w:t>pozīcijas</w:t>
      </w:r>
      <w:proofErr w:type="spellEnd"/>
      <w:r w:rsidRPr="00DF20B3">
        <w:rPr>
          <w:lang w:val="lt-LT"/>
        </w:rPr>
        <w:t xml:space="preserve">), </w:t>
      </w:r>
      <w:proofErr w:type="spellStart"/>
      <w:r w:rsidRPr="00DF20B3">
        <w:rPr>
          <w:lang w:val="lt-LT"/>
        </w:rPr>
        <w:t>netiešā</w:t>
      </w:r>
      <w:proofErr w:type="spellEnd"/>
      <w:r w:rsidRPr="00DF20B3">
        <w:rPr>
          <w:lang w:val="lt-LT"/>
        </w:rPr>
        <w:t xml:space="preserve"> </w:t>
      </w:r>
      <w:proofErr w:type="spellStart"/>
      <w:r w:rsidRPr="00DF20B3">
        <w:rPr>
          <w:lang w:val="lt-LT"/>
        </w:rPr>
        <w:t>pētniecība</w:t>
      </w:r>
      <w:proofErr w:type="spellEnd"/>
      <w:r w:rsidRPr="00DF20B3">
        <w:rPr>
          <w:lang w:val="lt-LT"/>
        </w:rPr>
        <w:t xml:space="preserve">, </w:t>
      </w:r>
      <w:proofErr w:type="spellStart"/>
      <w:r w:rsidRPr="00DF20B3">
        <w:rPr>
          <w:lang w:val="lt-LT"/>
        </w:rPr>
        <w:t>tiešā</w:t>
      </w:r>
      <w:proofErr w:type="spellEnd"/>
      <w:r w:rsidRPr="00DF20B3">
        <w:rPr>
          <w:lang w:val="lt-LT"/>
        </w:rPr>
        <w:t xml:space="preserve"> </w:t>
      </w:r>
      <w:proofErr w:type="spellStart"/>
      <w:r w:rsidRPr="00DF20B3">
        <w:rPr>
          <w:lang w:val="lt-LT"/>
        </w:rPr>
        <w:t>pētniecība</w:t>
      </w:r>
      <w:proofErr w:type="spellEnd"/>
      <w:r w:rsidRPr="00DF20B3">
        <w:rPr>
          <w:lang w:val="lt-LT"/>
        </w:rPr>
        <w:t>.</w:t>
      </w:r>
    </w:p>
  </w:footnote>
  <w:footnote w:id="53">
    <w:p w:rsidR="002E1422" w:rsidRPr="00DF20B3" w:rsidRDefault="002E1422" w:rsidP="00FB0A0F">
      <w:pPr>
        <w:pStyle w:val="FootnoteText"/>
        <w:spacing w:after="60"/>
        <w:rPr>
          <w:lang w:val="lt-LT"/>
        </w:rPr>
      </w:pPr>
      <w:r>
        <w:rPr>
          <w:rStyle w:val="FootnoteReference"/>
        </w:rPr>
        <w:footnoteRef/>
      </w:r>
      <w:r w:rsidRPr="00DF20B3">
        <w:rPr>
          <w:lang w:val="lt-LT"/>
        </w:rPr>
        <w:tab/>
      </w:r>
      <w:r w:rsidRPr="00DF20B3">
        <w:rPr>
          <w:lang w:val="lt-LT"/>
        </w:rPr>
        <w:t xml:space="preserve">Tas </w:t>
      </w:r>
      <w:proofErr w:type="spellStart"/>
      <w:r w:rsidRPr="00DF20B3">
        <w:rPr>
          <w:lang w:val="lt-LT"/>
        </w:rPr>
        <w:t>ietver</w:t>
      </w:r>
      <w:proofErr w:type="spellEnd"/>
      <w:r w:rsidRPr="00DF20B3">
        <w:rPr>
          <w:lang w:val="lt-LT"/>
        </w:rPr>
        <w:t xml:space="preserve"> </w:t>
      </w:r>
      <w:proofErr w:type="spellStart"/>
      <w:r w:rsidRPr="00DF20B3">
        <w:rPr>
          <w:lang w:val="lt-LT"/>
        </w:rPr>
        <w:t>cilvēkresursus</w:t>
      </w:r>
      <w:proofErr w:type="spellEnd"/>
      <w:r w:rsidRPr="00DF20B3">
        <w:rPr>
          <w:lang w:val="lt-LT"/>
        </w:rPr>
        <w:t xml:space="preserve">, kas </w:t>
      </w:r>
      <w:proofErr w:type="spellStart"/>
      <w:r w:rsidRPr="00DF20B3">
        <w:rPr>
          <w:lang w:val="lt-LT"/>
        </w:rPr>
        <w:t>nepieciešami</w:t>
      </w:r>
      <w:proofErr w:type="spellEnd"/>
      <w:r w:rsidRPr="00DF20B3">
        <w:rPr>
          <w:lang w:val="lt-LT"/>
        </w:rPr>
        <w:t xml:space="preserve">, lai </w:t>
      </w:r>
      <w:proofErr w:type="spellStart"/>
      <w:r w:rsidRPr="00DF20B3">
        <w:rPr>
          <w:lang w:val="lt-LT"/>
        </w:rPr>
        <w:t>pārvaldītu</w:t>
      </w:r>
      <w:proofErr w:type="spellEnd"/>
      <w:r w:rsidRPr="00DF20B3">
        <w:rPr>
          <w:lang w:val="lt-LT"/>
        </w:rPr>
        <w:t xml:space="preserve"> jauno </w:t>
      </w:r>
      <w:proofErr w:type="spellStart"/>
      <w:r w:rsidRPr="00DF20B3">
        <w:rPr>
          <w:lang w:val="lt-LT"/>
        </w:rPr>
        <w:t>programmu</w:t>
      </w:r>
      <w:proofErr w:type="spellEnd"/>
      <w:r w:rsidRPr="00DF20B3">
        <w:rPr>
          <w:lang w:val="lt-LT"/>
        </w:rPr>
        <w:t xml:space="preserve">, </w:t>
      </w:r>
      <w:proofErr w:type="spellStart"/>
      <w:r w:rsidRPr="00DF20B3">
        <w:rPr>
          <w:lang w:val="lt-LT"/>
        </w:rPr>
        <w:t>un</w:t>
      </w:r>
      <w:proofErr w:type="spellEnd"/>
      <w:r w:rsidRPr="00DF20B3">
        <w:rPr>
          <w:lang w:val="lt-LT"/>
        </w:rPr>
        <w:t xml:space="preserve"> </w:t>
      </w:r>
      <w:proofErr w:type="spellStart"/>
      <w:r w:rsidRPr="00DF20B3">
        <w:rPr>
          <w:lang w:val="lt-LT"/>
        </w:rPr>
        <w:t>cilvēkresursus</w:t>
      </w:r>
      <w:proofErr w:type="spellEnd"/>
      <w:r w:rsidRPr="00DF20B3">
        <w:rPr>
          <w:lang w:val="lt-LT"/>
        </w:rPr>
        <w:t xml:space="preserve"> </w:t>
      </w:r>
      <w:proofErr w:type="spellStart"/>
      <w:r w:rsidRPr="00DF20B3">
        <w:rPr>
          <w:lang w:val="lt-LT"/>
        </w:rPr>
        <w:t>Vides</w:t>
      </w:r>
      <w:proofErr w:type="spellEnd"/>
      <w:r w:rsidRPr="00DF20B3">
        <w:rPr>
          <w:lang w:val="lt-LT"/>
        </w:rPr>
        <w:t xml:space="preserve"> </w:t>
      </w:r>
      <w:proofErr w:type="spellStart"/>
      <w:r w:rsidRPr="00DF20B3">
        <w:rPr>
          <w:lang w:val="lt-LT"/>
        </w:rPr>
        <w:t>ģenerāldirektorātā</w:t>
      </w:r>
      <w:proofErr w:type="spellEnd"/>
      <w:r w:rsidRPr="00DF20B3">
        <w:rPr>
          <w:lang w:val="lt-LT"/>
        </w:rPr>
        <w:t xml:space="preserve">, kas </w:t>
      </w:r>
      <w:proofErr w:type="spellStart"/>
      <w:r w:rsidRPr="00DF20B3">
        <w:rPr>
          <w:lang w:val="lt-LT"/>
        </w:rPr>
        <w:t>nepieciešami</w:t>
      </w:r>
      <w:proofErr w:type="spellEnd"/>
      <w:r w:rsidRPr="00DF20B3">
        <w:rPr>
          <w:lang w:val="lt-LT"/>
        </w:rPr>
        <w:t xml:space="preserve">, lai </w:t>
      </w:r>
      <w:proofErr w:type="spellStart"/>
      <w:r w:rsidRPr="00DF20B3">
        <w:rPr>
          <w:lang w:val="lt-LT"/>
        </w:rPr>
        <w:t>pārvaldītu</w:t>
      </w:r>
      <w:proofErr w:type="spellEnd"/>
      <w:r w:rsidRPr="00DF20B3">
        <w:rPr>
          <w:lang w:val="lt-LT"/>
        </w:rPr>
        <w:t xml:space="preserve"> </w:t>
      </w:r>
      <w:proofErr w:type="spellStart"/>
      <w:r w:rsidRPr="00DF20B3">
        <w:rPr>
          <w:lang w:val="lt-LT"/>
        </w:rPr>
        <w:t>atlikušo</w:t>
      </w:r>
      <w:proofErr w:type="spellEnd"/>
      <w:r w:rsidRPr="00DF20B3">
        <w:rPr>
          <w:lang w:val="lt-LT"/>
        </w:rPr>
        <w:t xml:space="preserve"> </w:t>
      </w:r>
      <w:proofErr w:type="spellStart"/>
      <w:r w:rsidRPr="00DF20B3">
        <w:rPr>
          <w:lang w:val="lt-LT"/>
        </w:rPr>
        <w:t>programmas</w:t>
      </w:r>
      <w:proofErr w:type="spellEnd"/>
      <w:r w:rsidRPr="00DF20B3">
        <w:rPr>
          <w:lang w:val="lt-LT"/>
        </w:rPr>
        <w:t xml:space="preserve"> </w:t>
      </w:r>
      <w:r w:rsidRPr="00DF20B3">
        <w:rPr>
          <w:i/>
          <w:lang w:val="lt-LT"/>
        </w:rPr>
        <w:t>LIFE+</w:t>
      </w:r>
      <w:r w:rsidRPr="00DF20B3">
        <w:rPr>
          <w:lang w:val="lt-LT"/>
        </w:rPr>
        <w:t xml:space="preserve"> </w:t>
      </w:r>
      <w:proofErr w:type="spellStart"/>
      <w:r w:rsidRPr="00DF20B3">
        <w:rPr>
          <w:lang w:val="lt-LT"/>
        </w:rPr>
        <w:t>mantojumu</w:t>
      </w:r>
      <w:proofErr w:type="spellEnd"/>
      <w:r w:rsidRPr="00DF20B3">
        <w:rPr>
          <w:lang w:val="lt-LT"/>
        </w:rPr>
        <w:t xml:space="preserve">, kas </w:t>
      </w:r>
      <w:proofErr w:type="spellStart"/>
      <w:r w:rsidRPr="00DF20B3">
        <w:rPr>
          <w:lang w:val="lt-LT"/>
        </w:rPr>
        <w:t>pēc</w:t>
      </w:r>
      <w:proofErr w:type="spellEnd"/>
      <w:r w:rsidRPr="00DF20B3">
        <w:rPr>
          <w:lang w:val="lt-LT"/>
        </w:rPr>
        <w:t xml:space="preserve"> </w:t>
      </w:r>
      <w:proofErr w:type="spellStart"/>
      <w:r w:rsidRPr="00DF20B3">
        <w:rPr>
          <w:lang w:val="lt-LT"/>
        </w:rPr>
        <w:t>aplēsēm</w:t>
      </w:r>
      <w:proofErr w:type="spellEnd"/>
      <w:r w:rsidRPr="00DF20B3">
        <w:rPr>
          <w:lang w:val="lt-LT"/>
        </w:rPr>
        <w:t xml:space="preserve"> ir 5 </w:t>
      </w:r>
      <w:r w:rsidRPr="00DF20B3">
        <w:rPr>
          <w:i/>
          <w:lang w:val="lt-LT"/>
        </w:rPr>
        <w:t>FTE</w:t>
      </w:r>
      <w:r w:rsidR="00192DE2">
        <w:rPr>
          <w:lang w:val="lt-LT"/>
        </w:rPr>
        <w:t xml:space="preserve"> 2021</w:t>
      </w:r>
      <w:r w:rsidRPr="00DF20B3">
        <w:rPr>
          <w:lang w:val="lt-LT"/>
        </w:rPr>
        <w:t>. </w:t>
      </w:r>
      <w:proofErr w:type="spellStart"/>
      <w:r w:rsidRPr="00DF20B3">
        <w:rPr>
          <w:lang w:val="lt-LT"/>
        </w:rPr>
        <w:t>gadā</w:t>
      </w:r>
      <w:proofErr w:type="spellEnd"/>
      <w:r w:rsidRPr="00DF20B3">
        <w:rPr>
          <w:lang w:val="lt-LT"/>
        </w:rPr>
        <w:t>, 4 </w:t>
      </w:r>
      <w:r w:rsidRPr="00DF20B3">
        <w:rPr>
          <w:i/>
          <w:lang w:val="lt-LT"/>
        </w:rPr>
        <w:t>FTE</w:t>
      </w:r>
      <w:r w:rsidRPr="00DF20B3">
        <w:rPr>
          <w:lang w:val="lt-LT"/>
        </w:rPr>
        <w:t xml:space="preserve"> 2022. </w:t>
      </w:r>
      <w:proofErr w:type="spellStart"/>
      <w:r w:rsidRPr="00DF20B3">
        <w:rPr>
          <w:lang w:val="lt-LT"/>
        </w:rPr>
        <w:t>gadā</w:t>
      </w:r>
      <w:proofErr w:type="spellEnd"/>
      <w:r w:rsidRPr="00DF20B3">
        <w:rPr>
          <w:lang w:val="lt-LT"/>
        </w:rPr>
        <w:t xml:space="preserve"> </w:t>
      </w:r>
      <w:proofErr w:type="spellStart"/>
      <w:r w:rsidRPr="00DF20B3">
        <w:rPr>
          <w:lang w:val="lt-LT"/>
        </w:rPr>
        <w:t>un</w:t>
      </w:r>
      <w:proofErr w:type="spellEnd"/>
      <w:r w:rsidRPr="00DF20B3">
        <w:rPr>
          <w:lang w:val="lt-LT"/>
        </w:rPr>
        <w:t xml:space="preserve"> 2 </w:t>
      </w:r>
      <w:r w:rsidRPr="00DF20B3">
        <w:rPr>
          <w:i/>
          <w:lang w:val="lt-LT"/>
        </w:rPr>
        <w:t>FTE</w:t>
      </w:r>
      <w:r w:rsidRPr="00DF20B3">
        <w:rPr>
          <w:lang w:val="lt-LT"/>
        </w:rPr>
        <w:t xml:space="preserve"> 2023. </w:t>
      </w:r>
      <w:proofErr w:type="spellStart"/>
      <w:r w:rsidRPr="00DF20B3">
        <w:rPr>
          <w:lang w:val="lt-LT"/>
        </w:rPr>
        <w:t>gadā</w:t>
      </w:r>
      <w:proofErr w:type="spellEnd"/>
      <w:r w:rsidRPr="00DF20B3">
        <w:rPr>
          <w:lang w:val="lt-LT"/>
        </w:rPr>
        <w:t>.</w:t>
      </w:r>
    </w:p>
  </w:footnote>
  <w:footnote w:id="54">
    <w:p w:rsidR="002E1422" w:rsidRPr="00DF20B3" w:rsidRDefault="002E1422" w:rsidP="00FB0A0F">
      <w:pPr>
        <w:pStyle w:val="FootnoteText"/>
        <w:spacing w:after="60"/>
        <w:rPr>
          <w:szCs w:val="24"/>
          <w:lang w:val="lt-LT"/>
        </w:rPr>
      </w:pPr>
      <w:r>
        <w:rPr>
          <w:rStyle w:val="FootnoteReference"/>
        </w:rPr>
        <w:footnoteRef/>
      </w:r>
      <w:r w:rsidRPr="00DF20B3">
        <w:rPr>
          <w:lang w:val="lt-LT"/>
        </w:rPr>
        <w:tab/>
      </w:r>
      <w:r w:rsidRPr="00DF20B3">
        <w:rPr>
          <w:i/>
          <w:lang w:val="lt-LT"/>
        </w:rPr>
        <w:t>AC</w:t>
      </w:r>
      <w:r w:rsidRPr="00DF20B3">
        <w:rPr>
          <w:lang w:val="lt-LT"/>
        </w:rPr>
        <w:t xml:space="preserve"> – </w:t>
      </w:r>
      <w:proofErr w:type="spellStart"/>
      <w:r w:rsidRPr="00DF20B3">
        <w:rPr>
          <w:lang w:val="lt-LT"/>
        </w:rPr>
        <w:t>līgumdarbinieki</w:t>
      </w:r>
      <w:proofErr w:type="spellEnd"/>
      <w:r w:rsidRPr="00DF20B3">
        <w:rPr>
          <w:lang w:val="lt-LT"/>
        </w:rPr>
        <w:t xml:space="preserve">, </w:t>
      </w:r>
      <w:r w:rsidRPr="00DF20B3">
        <w:rPr>
          <w:i/>
          <w:lang w:val="lt-LT"/>
        </w:rPr>
        <w:t>AL</w:t>
      </w:r>
      <w:r w:rsidRPr="00DF20B3">
        <w:rPr>
          <w:lang w:val="lt-LT"/>
        </w:rPr>
        <w:t xml:space="preserve"> – </w:t>
      </w:r>
      <w:proofErr w:type="spellStart"/>
      <w:r w:rsidRPr="00DF20B3">
        <w:rPr>
          <w:lang w:val="lt-LT"/>
        </w:rPr>
        <w:t>vietējie</w:t>
      </w:r>
      <w:proofErr w:type="spellEnd"/>
      <w:r w:rsidRPr="00DF20B3">
        <w:rPr>
          <w:lang w:val="lt-LT"/>
        </w:rPr>
        <w:t xml:space="preserve"> </w:t>
      </w:r>
      <w:proofErr w:type="spellStart"/>
      <w:r w:rsidRPr="00DF20B3">
        <w:rPr>
          <w:lang w:val="lt-LT"/>
        </w:rPr>
        <w:t>darbinieki</w:t>
      </w:r>
      <w:proofErr w:type="spellEnd"/>
      <w:r w:rsidRPr="00DF20B3">
        <w:rPr>
          <w:lang w:val="lt-LT"/>
        </w:rPr>
        <w:t xml:space="preserve">, </w:t>
      </w:r>
      <w:r w:rsidRPr="00DF20B3">
        <w:rPr>
          <w:i/>
          <w:lang w:val="lt-LT"/>
        </w:rPr>
        <w:t>END</w:t>
      </w:r>
      <w:r w:rsidRPr="00DF20B3">
        <w:rPr>
          <w:lang w:val="lt-LT"/>
        </w:rPr>
        <w:t xml:space="preserve"> – </w:t>
      </w:r>
      <w:proofErr w:type="spellStart"/>
      <w:r w:rsidRPr="00DF20B3">
        <w:rPr>
          <w:lang w:val="lt-LT"/>
        </w:rPr>
        <w:t>valstu</w:t>
      </w:r>
      <w:proofErr w:type="spellEnd"/>
      <w:r w:rsidRPr="00DF20B3">
        <w:rPr>
          <w:lang w:val="lt-LT"/>
        </w:rPr>
        <w:t xml:space="preserve"> </w:t>
      </w:r>
      <w:proofErr w:type="spellStart"/>
      <w:r w:rsidRPr="00DF20B3">
        <w:rPr>
          <w:lang w:val="lt-LT"/>
        </w:rPr>
        <w:t>norīkotie</w:t>
      </w:r>
      <w:proofErr w:type="spellEnd"/>
      <w:r w:rsidRPr="00DF20B3">
        <w:rPr>
          <w:lang w:val="lt-LT"/>
        </w:rPr>
        <w:t xml:space="preserve"> </w:t>
      </w:r>
      <w:proofErr w:type="spellStart"/>
      <w:r w:rsidRPr="00DF20B3">
        <w:rPr>
          <w:lang w:val="lt-LT"/>
        </w:rPr>
        <w:t>eksperti</w:t>
      </w:r>
      <w:proofErr w:type="spellEnd"/>
      <w:r w:rsidRPr="00DF20B3">
        <w:rPr>
          <w:lang w:val="lt-LT"/>
        </w:rPr>
        <w:t xml:space="preserve">, </w:t>
      </w:r>
      <w:r w:rsidRPr="00DF20B3">
        <w:rPr>
          <w:i/>
          <w:lang w:val="lt-LT"/>
        </w:rPr>
        <w:t>INT</w:t>
      </w:r>
      <w:r w:rsidRPr="00DF20B3">
        <w:rPr>
          <w:lang w:val="lt-LT"/>
        </w:rPr>
        <w:t xml:space="preserve"> – </w:t>
      </w:r>
      <w:proofErr w:type="spellStart"/>
      <w:r w:rsidRPr="00DF20B3">
        <w:rPr>
          <w:lang w:val="lt-LT"/>
        </w:rPr>
        <w:t>aģentūras</w:t>
      </w:r>
      <w:proofErr w:type="spellEnd"/>
      <w:r w:rsidRPr="00DF20B3">
        <w:rPr>
          <w:lang w:val="lt-LT"/>
        </w:rPr>
        <w:t xml:space="preserve"> </w:t>
      </w:r>
      <w:proofErr w:type="spellStart"/>
      <w:r w:rsidRPr="00DF20B3">
        <w:rPr>
          <w:lang w:val="lt-LT"/>
        </w:rPr>
        <w:t>darbinieki</w:t>
      </w:r>
      <w:proofErr w:type="spellEnd"/>
      <w:r w:rsidRPr="00DF20B3">
        <w:rPr>
          <w:lang w:val="lt-LT"/>
        </w:rPr>
        <w:t xml:space="preserve">, </w:t>
      </w:r>
      <w:r w:rsidRPr="00DF20B3">
        <w:rPr>
          <w:i/>
          <w:lang w:val="lt-LT"/>
        </w:rPr>
        <w:t>JED</w:t>
      </w:r>
      <w:r w:rsidRPr="00DF20B3">
        <w:rPr>
          <w:lang w:val="lt-LT"/>
        </w:rPr>
        <w:t xml:space="preserve"> – </w:t>
      </w:r>
      <w:proofErr w:type="spellStart"/>
      <w:r w:rsidRPr="00DF20B3">
        <w:rPr>
          <w:lang w:val="lt-LT"/>
        </w:rPr>
        <w:t>jaunākie</w:t>
      </w:r>
      <w:proofErr w:type="spellEnd"/>
      <w:r w:rsidRPr="00DF20B3">
        <w:rPr>
          <w:lang w:val="lt-LT"/>
        </w:rPr>
        <w:t xml:space="preserve"> </w:t>
      </w:r>
      <w:proofErr w:type="spellStart"/>
      <w:r w:rsidRPr="00DF20B3">
        <w:rPr>
          <w:lang w:val="lt-LT"/>
        </w:rPr>
        <w:t>eksperti</w:t>
      </w:r>
      <w:proofErr w:type="spellEnd"/>
      <w:r w:rsidRPr="00DF20B3">
        <w:rPr>
          <w:lang w:val="lt-LT"/>
        </w:rPr>
        <w:t xml:space="preserve"> </w:t>
      </w:r>
      <w:proofErr w:type="spellStart"/>
      <w:r w:rsidRPr="00DF20B3">
        <w:rPr>
          <w:lang w:val="lt-LT"/>
        </w:rPr>
        <w:t>delegācijās</w:t>
      </w:r>
      <w:proofErr w:type="spellEnd"/>
      <w:r w:rsidRPr="00DF20B3">
        <w:rPr>
          <w:lang w:val="lt-LT"/>
        </w:rPr>
        <w:t xml:space="preserve">. </w:t>
      </w:r>
    </w:p>
  </w:footnote>
  <w:footnote w:id="55">
    <w:p w:rsidR="002E1422" w:rsidRPr="00DF20B3" w:rsidRDefault="002E1422" w:rsidP="00FB0A0F">
      <w:pPr>
        <w:pStyle w:val="FootnoteText"/>
        <w:rPr>
          <w:szCs w:val="24"/>
          <w:lang w:val="lt-LT"/>
        </w:rPr>
      </w:pPr>
      <w:r>
        <w:rPr>
          <w:rStyle w:val="FootnoteReference"/>
        </w:rPr>
        <w:footnoteRef/>
      </w:r>
      <w:r w:rsidRPr="00DF20B3">
        <w:rPr>
          <w:lang w:val="lt-LT"/>
        </w:rPr>
        <w:tab/>
      </w:r>
      <w:proofErr w:type="spellStart"/>
      <w:r w:rsidRPr="00DF20B3">
        <w:rPr>
          <w:lang w:val="lt-LT"/>
        </w:rPr>
        <w:t>Norādītajām</w:t>
      </w:r>
      <w:proofErr w:type="spellEnd"/>
      <w:r w:rsidRPr="00DF20B3">
        <w:rPr>
          <w:lang w:val="lt-LT"/>
        </w:rPr>
        <w:t xml:space="preserve"> </w:t>
      </w:r>
      <w:proofErr w:type="spellStart"/>
      <w:r w:rsidRPr="00DF20B3">
        <w:rPr>
          <w:lang w:val="lt-LT"/>
        </w:rPr>
        <w:t>tradicionālo</w:t>
      </w:r>
      <w:proofErr w:type="spellEnd"/>
      <w:r w:rsidRPr="00DF20B3">
        <w:rPr>
          <w:lang w:val="lt-LT"/>
        </w:rPr>
        <w:t xml:space="preserve"> </w:t>
      </w:r>
      <w:proofErr w:type="spellStart"/>
      <w:r w:rsidRPr="00DF20B3">
        <w:rPr>
          <w:lang w:val="lt-LT"/>
        </w:rPr>
        <w:t>pašu</w:t>
      </w:r>
      <w:proofErr w:type="spellEnd"/>
      <w:r w:rsidRPr="00DF20B3">
        <w:rPr>
          <w:lang w:val="lt-LT"/>
        </w:rPr>
        <w:t xml:space="preserve"> resursu (muitas </w:t>
      </w:r>
      <w:proofErr w:type="spellStart"/>
      <w:r w:rsidRPr="00DF20B3">
        <w:rPr>
          <w:lang w:val="lt-LT"/>
        </w:rPr>
        <w:t>nodokļi</w:t>
      </w:r>
      <w:proofErr w:type="spellEnd"/>
      <w:r w:rsidRPr="00DF20B3">
        <w:rPr>
          <w:lang w:val="lt-LT"/>
        </w:rPr>
        <w:t xml:space="preserve">, </w:t>
      </w:r>
      <w:proofErr w:type="spellStart"/>
      <w:r w:rsidRPr="00DF20B3">
        <w:rPr>
          <w:lang w:val="lt-LT"/>
        </w:rPr>
        <w:t>cukura</w:t>
      </w:r>
      <w:proofErr w:type="spellEnd"/>
      <w:r w:rsidRPr="00DF20B3">
        <w:rPr>
          <w:lang w:val="lt-LT"/>
        </w:rPr>
        <w:t xml:space="preserve"> </w:t>
      </w:r>
      <w:proofErr w:type="spellStart"/>
      <w:r w:rsidRPr="00DF20B3">
        <w:rPr>
          <w:lang w:val="lt-LT"/>
        </w:rPr>
        <w:t>nodevas</w:t>
      </w:r>
      <w:proofErr w:type="spellEnd"/>
      <w:r w:rsidRPr="00DF20B3">
        <w:rPr>
          <w:lang w:val="lt-LT"/>
        </w:rPr>
        <w:t xml:space="preserve">) </w:t>
      </w:r>
      <w:proofErr w:type="spellStart"/>
      <w:r w:rsidRPr="00DF20B3">
        <w:rPr>
          <w:lang w:val="lt-LT"/>
        </w:rPr>
        <w:t>summām</w:t>
      </w:r>
      <w:proofErr w:type="spellEnd"/>
      <w:r w:rsidRPr="00DF20B3">
        <w:rPr>
          <w:lang w:val="lt-LT"/>
        </w:rPr>
        <w:t xml:space="preserve"> </w:t>
      </w:r>
      <w:proofErr w:type="spellStart"/>
      <w:r w:rsidRPr="00DF20B3">
        <w:rPr>
          <w:lang w:val="lt-LT"/>
        </w:rPr>
        <w:t>jābūt</w:t>
      </w:r>
      <w:proofErr w:type="spellEnd"/>
      <w:r w:rsidRPr="00DF20B3">
        <w:rPr>
          <w:lang w:val="lt-LT"/>
        </w:rPr>
        <w:t xml:space="preserve"> neto </w:t>
      </w:r>
      <w:proofErr w:type="spellStart"/>
      <w:r w:rsidRPr="00DF20B3">
        <w:rPr>
          <w:lang w:val="lt-LT"/>
        </w:rPr>
        <w:t>summām</w:t>
      </w:r>
      <w:proofErr w:type="spellEnd"/>
      <w:r w:rsidRPr="00DF20B3">
        <w:rPr>
          <w:lang w:val="lt-LT"/>
        </w:rPr>
        <w:t xml:space="preserve">, t. i., bruto </w:t>
      </w:r>
      <w:proofErr w:type="spellStart"/>
      <w:r w:rsidRPr="00DF20B3">
        <w:rPr>
          <w:lang w:val="lt-LT"/>
        </w:rPr>
        <w:t>summām</w:t>
      </w:r>
      <w:proofErr w:type="spellEnd"/>
      <w:r w:rsidRPr="00DF20B3">
        <w:rPr>
          <w:lang w:val="lt-LT"/>
        </w:rPr>
        <w:t xml:space="preserve">, </w:t>
      </w:r>
      <w:proofErr w:type="spellStart"/>
      <w:r w:rsidRPr="00DF20B3">
        <w:rPr>
          <w:lang w:val="lt-LT"/>
        </w:rPr>
        <w:t>no</w:t>
      </w:r>
      <w:proofErr w:type="spellEnd"/>
      <w:r w:rsidRPr="00DF20B3">
        <w:rPr>
          <w:lang w:val="lt-LT"/>
        </w:rPr>
        <w:t xml:space="preserve"> </w:t>
      </w:r>
      <w:proofErr w:type="spellStart"/>
      <w:r w:rsidRPr="00DF20B3">
        <w:rPr>
          <w:lang w:val="lt-LT"/>
        </w:rPr>
        <w:t>kurām</w:t>
      </w:r>
      <w:proofErr w:type="spellEnd"/>
      <w:r w:rsidRPr="00DF20B3">
        <w:rPr>
          <w:lang w:val="lt-LT"/>
        </w:rPr>
        <w:t xml:space="preserve"> </w:t>
      </w:r>
      <w:proofErr w:type="spellStart"/>
      <w:r w:rsidRPr="00DF20B3">
        <w:rPr>
          <w:lang w:val="lt-LT"/>
        </w:rPr>
        <w:t>atskaitītas</w:t>
      </w:r>
      <w:proofErr w:type="spellEnd"/>
      <w:r w:rsidRPr="00DF20B3">
        <w:rPr>
          <w:lang w:val="lt-LT"/>
        </w:rPr>
        <w:t xml:space="preserve"> </w:t>
      </w:r>
      <w:proofErr w:type="spellStart"/>
      <w:r w:rsidRPr="00DF20B3">
        <w:rPr>
          <w:lang w:val="lt-LT"/>
        </w:rPr>
        <w:t>iekasēšanas</w:t>
      </w:r>
      <w:proofErr w:type="spellEnd"/>
      <w:r w:rsidRPr="00DF20B3">
        <w:rPr>
          <w:lang w:val="lt-LT"/>
        </w:rPr>
        <w:t xml:space="preserve"> </w:t>
      </w:r>
      <w:proofErr w:type="spellStart"/>
      <w:r w:rsidRPr="00DF20B3">
        <w:rPr>
          <w:lang w:val="lt-LT"/>
        </w:rPr>
        <w:t>izmaksas</w:t>
      </w:r>
      <w:proofErr w:type="spellEnd"/>
      <w:r w:rsidRPr="00DF20B3">
        <w:rPr>
          <w:lang w:val="lt-LT"/>
        </w:rPr>
        <w:t xml:space="preserve"> 20 % </w:t>
      </w:r>
      <w:proofErr w:type="spellStart"/>
      <w:r w:rsidRPr="00DF20B3">
        <w:rPr>
          <w:lang w:val="lt-LT"/>
        </w:rPr>
        <w:t>apmērā</w:t>
      </w:r>
      <w:proofErr w:type="spellEnd"/>
      <w:r w:rsidRPr="00DF20B3">
        <w:rPr>
          <w:lang w:val="lt-L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09" w:rsidRPr="00FE5A09" w:rsidRDefault="00FE5A09" w:rsidP="00FE5A09">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09" w:rsidRPr="00FE5A09" w:rsidRDefault="00FE5A09" w:rsidP="00FE5A09">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09" w:rsidRPr="00FE5A09" w:rsidRDefault="00FE5A09" w:rsidP="00FE5A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A09" w:rsidRPr="00FE5A09" w:rsidRDefault="00FE5A09" w:rsidP="00FE5A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BCB3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9EE8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5A04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E650E0"/>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4E24C82"/>
    <w:multiLevelType w:val="multilevel"/>
    <w:tmpl w:val="EE04A07C"/>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2FD1111C"/>
    <w:multiLevelType w:val="multilevel"/>
    <w:tmpl w:val="EE04A07C"/>
    <w:numStyleLink w:val="appendix"/>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
  </w:num>
  <w:num w:numId="25">
    <w:abstractNumId w:val="1"/>
  </w:num>
  <w:num w:numId="26">
    <w:abstractNumId w:val="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0"/>
  </w:num>
  <w:num w:numId="32">
    <w:abstractNumId w:val="19"/>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num>
  <w:num w:numId="46">
    <w:abstractNumId w:val="24"/>
  </w:num>
  <w:num w:numId="47">
    <w:abstractNumId w:val="16"/>
  </w:num>
  <w:num w:numId="48">
    <w:abstractNumId w:val="26"/>
  </w:num>
  <w:num w:numId="49">
    <w:abstractNumId w:val="13"/>
  </w:num>
  <w:num w:numId="50">
    <w:abstractNumId w:val="17"/>
  </w:num>
  <w:num w:numId="51">
    <w:abstractNumId w:val="11"/>
  </w:num>
  <w:num w:numId="52">
    <w:abstractNumId w:val="25"/>
  </w:num>
  <w:num w:numId="53">
    <w:abstractNumId w:val="10"/>
  </w:num>
  <w:num w:numId="54">
    <w:abstractNumId w:val="18"/>
  </w:num>
  <w:num w:numId="55">
    <w:abstractNumId w:val="22"/>
  </w:num>
  <w:num w:numId="56">
    <w:abstractNumId w:val="23"/>
  </w:num>
  <w:num w:numId="57">
    <w:abstractNumId w:val="12"/>
  </w:num>
  <w:num w:numId="58">
    <w:abstractNumId w:val="21"/>
  </w:num>
  <w:num w:numId="59">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FR" w:vendorID="64" w:dllVersion="131078" w:nlCheck="1" w:checkStyle="1"/>
  <w:activeWritingStyle w:appName="MSWord" w:lang="es-ES" w:vendorID="64" w:dllVersion="131078" w:nlCheck="1" w:checkStyle="1"/>
  <w:proofState w:spelling="clean" w:grammar="clean"/>
  <w:attachedTemplate r:id="rId1"/>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16:59: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8"/>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F51BBA93-2376-46CA-8091-60B5B7366B42"/>
    <w:docVar w:name="LW_COVERPAGE_TYPE" w:val="1"/>
    <w:docVar w:name="LW_CROSSREFERENCE" w:val="{SEC(2018) 275 final}_x000b_{SWD(2018) 292 final}_x000b_{SWD(2018) 293 final}"/>
    <w:docVar w:name="LW_DocType" w:val="COM"/>
    <w:docVar w:name="LW_EMISSION" w:val="1.6.2018"/>
    <w:docVar w:name="LW_EMISSION_ISODATE" w:val="2018-06-01"/>
    <w:docVar w:name="LW_EMISSION_LOCATION" w:val="BRX"/>
    <w:docVar w:name="LW_EMISSION_PREFIX" w:val="Briselē, "/>
    <w:docVar w:name="LW_EMISSION_SUFFIX" w:val="."/>
    <w:docVar w:name="LW_ID_DOCMODEL" w:val="SJ-023"/>
    <w:docVar w:name="LW_ID_DOCSIGNATURE" w:val="SJ-023"/>
    <w:docVar w:name="LW_ID_DOCSTRUCTURE" w:val="COM/PL/ORG"/>
    <w:docVar w:name="LW_ID_DOCTYPE" w:val="SJ-023"/>
    <w:docVar w:name="LW_ID_STATUT" w:val="SJ-023"/>
    <w:docVar w:name="LW_INTERETEEE.CP" w:val="(Dokuments attiecas uz EEZ)"/>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COD"/>
    <w:docVar w:name="LW_REF.II.NEW.CP_NUMBER" w:val="0209"/>
    <w:docVar w:name="LW_REF.II.NEW.CP_YEAR" w:val="2018"/>
    <w:docVar w:name="LW_REF.INST.NEW" w:val="COM"/>
    <w:docVar w:name="LW_REF.INST.NEW_ADOPTED" w:val="final"/>
    <w:docVar w:name="LW_REF.INST.NEW_TEXT" w:val="(2018) 3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iek\u353?likums"/>
    <w:docVar w:name="LW_SUPERTITRE" w:val="&lt;UNUSED&gt;"/>
    <w:docVar w:name="LW_TITRE.OBJ.CP" w:val="ar ko izveido vides un klimata pas\u257?kumu programmu (&lt;FMT:Italic&gt;LIFE&lt;/FMT&gt;) un atce\u316? Regulu (ES) Nr. 1293/2013"/>
    <w:docVar w:name="LW_TYPE.DOC.CP" w:val="EIROPAS PARLAMENTA UN PADOMES REGULA,"/>
  </w:docVars>
  <w:rsids>
    <w:rsidRoot w:val="00C5603D"/>
    <w:rsid w:val="0000014F"/>
    <w:rsid w:val="0000149D"/>
    <w:rsid w:val="00001E83"/>
    <w:rsid w:val="000025EE"/>
    <w:rsid w:val="000036CE"/>
    <w:rsid w:val="00003CC1"/>
    <w:rsid w:val="0000494D"/>
    <w:rsid w:val="00005564"/>
    <w:rsid w:val="0001158F"/>
    <w:rsid w:val="000151A1"/>
    <w:rsid w:val="00015A5D"/>
    <w:rsid w:val="00017C51"/>
    <w:rsid w:val="000215B0"/>
    <w:rsid w:val="00023108"/>
    <w:rsid w:val="000252CB"/>
    <w:rsid w:val="000271FA"/>
    <w:rsid w:val="000302BF"/>
    <w:rsid w:val="000313BB"/>
    <w:rsid w:val="000322BF"/>
    <w:rsid w:val="000333DB"/>
    <w:rsid w:val="00036863"/>
    <w:rsid w:val="00036E09"/>
    <w:rsid w:val="00036FF9"/>
    <w:rsid w:val="00037513"/>
    <w:rsid w:val="0003791A"/>
    <w:rsid w:val="00037D3E"/>
    <w:rsid w:val="00040445"/>
    <w:rsid w:val="00040BCC"/>
    <w:rsid w:val="000430CC"/>
    <w:rsid w:val="00043A71"/>
    <w:rsid w:val="00045E82"/>
    <w:rsid w:val="00047EC8"/>
    <w:rsid w:val="000504E4"/>
    <w:rsid w:val="00051305"/>
    <w:rsid w:val="00051E2E"/>
    <w:rsid w:val="0005462C"/>
    <w:rsid w:val="000611A9"/>
    <w:rsid w:val="0006242E"/>
    <w:rsid w:val="00062BED"/>
    <w:rsid w:val="00064513"/>
    <w:rsid w:val="000649D6"/>
    <w:rsid w:val="00065340"/>
    <w:rsid w:val="0006755B"/>
    <w:rsid w:val="00071420"/>
    <w:rsid w:val="00073827"/>
    <w:rsid w:val="000738D2"/>
    <w:rsid w:val="00074B22"/>
    <w:rsid w:val="00074B29"/>
    <w:rsid w:val="00076867"/>
    <w:rsid w:val="00076C05"/>
    <w:rsid w:val="000806AF"/>
    <w:rsid w:val="000807FB"/>
    <w:rsid w:val="00081FC1"/>
    <w:rsid w:val="000820FA"/>
    <w:rsid w:val="00082B62"/>
    <w:rsid w:val="00083CC9"/>
    <w:rsid w:val="00083E0D"/>
    <w:rsid w:val="0008556B"/>
    <w:rsid w:val="0008673B"/>
    <w:rsid w:val="000867D6"/>
    <w:rsid w:val="00087765"/>
    <w:rsid w:val="00091DCC"/>
    <w:rsid w:val="00091DD7"/>
    <w:rsid w:val="00094245"/>
    <w:rsid w:val="000950B5"/>
    <w:rsid w:val="000A02D3"/>
    <w:rsid w:val="000A07A8"/>
    <w:rsid w:val="000A1272"/>
    <w:rsid w:val="000A16A4"/>
    <w:rsid w:val="000A1C06"/>
    <w:rsid w:val="000A255E"/>
    <w:rsid w:val="000A5658"/>
    <w:rsid w:val="000A5816"/>
    <w:rsid w:val="000B0090"/>
    <w:rsid w:val="000B09DE"/>
    <w:rsid w:val="000B0DD9"/>
    <w:rsid w:val="000B21CF"/>
    <w:rsid w:val="000B2DFC"/>
    <w:rsid w:val="000B4005"/>
    <w:rsid w:val="000B5A21"/>
    <w:rsid w:val="000B69F3"/>
    <w:rsid w:val="000B6D28"/>
    <w:rsid w:val="000B6FFF"/>
    <w:rsid w:val="000C1B32"/>
    <w:rsid w:val="000C1BE9"/>
    <w:rsid w:val="000C2756"/>
    <w:rsid w:val="000C2BC3"/>
    <w:rsid w:val="000C3703"/>
    <w:rsid w:val="000C3BAB"/>
    <w:rsid w:val="000C5824"/>
    <w:rsid w:val="000C62B9"/>
    <w:rsid w:val="000C636B"/>
    <w:rsid w:val="000C7071"/>
    <w:rsid w:val="000C7727"/>
    <w:rsid w:val="000C7EF6"/>
    <w:rsid w:val="000D0DB0"/>
    <w:rsid w:val="000D2FB2"/>
    <w:rsid w:val="000D30C7"/>
    <w:rsid w:val="000D377A"/>
    <w:rsid w:val="000D3B73"/>
    <w:rsid w:val="000E327E"/>
    <w:rsid w:val="000E3673"/>
    <w:rsid w:val="000E589B"/>
    <w:rsid w:val="000F09D9"/>
    <w:rsid w:val="000F0B66"/>
    <w:rsid w:val="000F1B90"/>
    <w:rsid w:val="000F28A2"/>
    <w:rsid w:val="000F3B60"/>
    <w:rsid w:val="000F607D"/>
    <w:rsid w:val="000F656C"/>
    <w:rsid w:val="000F7FC9"/>
    <w:rsid w:val="0010216F"/>
    <w:rsid w:val="001031B2"/>
    <w:rsid w:val="001032B0"/>
    <w:rsid w:val="00103E32"/>
    <w:rsid w:val="0010595B"/>
    <w:rsid w:val="001059AB"/>
    <w:rsid w:val="001062B8"/>
    <w:rsid w:val="00107918"/>
    <w:rsid w:val="00110733"/>
    <w:rsid w:val="001110F8"/>
    <w:rsid w:val="001116DD"/>
    <w:rsid w:val="00111DF0"/>
    <w:rsid w:val="001131E1"/>
    <w:rsid w:val="00113535"/>
    <w:rsid w:val="001138C5"/>
    <w:rsid w:val="00114CA4"/>
    <w:rsid w:val="00115271"/>
    <w:rsid w:val="001152E8"/>
    <w:rsid w:val="001154C4"/>
    <w:rsid w:val="00115590"/>
    <w:rsid w:val="001164A4"/>
    <w:rsid w:val="00116CBD"/>
    <w:rsid w:val="001205DB"/>
    <w:rsid w:val="00120C4B"/>
    <w:rsid w:val="00123538"/>
    <w:rsid w:val="00124785"/>
    <w:rsid w:val="001250A6"/>
    <w:rsid w:val="00125898"/>
    <w:rsid w:val="001277C2"/>
    <w:rsid w:val="00130585"/>
    <w:rsid w:val="00130C18"/>
    <w:rsid w:val="00130D66"/>
    <w:rsid w:val="00133724"/>
    <w:rsid w:val="00133D33"/>
    <w:rsid w:val="001427D5"/>
    <w:rsid w:val="0014483D"/>
    <w:rsid w:val="00144BB5"/>
    <w:rsid w:val="00144FCD"/>
    <w:rsid w:val="00145E6B"/>
    <w:rsid w:val="001465DD"/>
    <w:rsid w:val="0014732A"/>
    <w:rsid w:val="00152BA1"/>
    <w:rsid w:val="00154A26"/>
    <w:rsid w:val="00155430"/>
    <w:rsid w:val="00156282"/>
    <w:rsid w:val="00160F9E"/>
    <w:rsid w:val="00161E03"/>
    <w:rsid w:val="00162D9A"/>
    <w:rsid w:val="00165EC3"/>
    <w:rsid w:val="00166AC4"/>
    <w:rsid w:val="001702BE"/>
    <w:rsid w:val="00171635"/>
    <w:rsid w:val="00171D1B"/>
    <w:rsid w:val="001722A6"/>
    <w:rsid w:val="001727EF"/>
    <w:rsid w:val="00174C9D"/>
    <w:rsid w:val="001752EB"/>
    <w:rsid w:val="00175856"/>
    <w:rsid w:val="00175BF4"/>
    <w:rsid w:val="00175CEB"/>
    <w:rsid w:val="0017703E"/>
    <w:rsid w:val="00177F54"/>
    <w:rsid w:val="00182338"/>
    <w:rsid w:val="00182949"/>
    <w:rsid w:val="00183D79"/>
    <w:rsid w:val="00184056"/>
    <w:rsid w:val="0018450D"/>
    <w:rsid w:val="00185B49"/>
    <w:rsid w:val="00187874"/>
    <w:rsid w:val="00190B47"/>
    <w:rsid w:val="00190CC0"/>
    <w:rsid w:val="001923CC"/>
    <w:rsid w:val="00192ACC"/>
    <w:rsid w:val="00192DE2"/>
    <w:rsid w:val="001937DC"/>
    <w:rsid w:val="00194C22"/>
    <w:rsid w:val="00194D03"/>
    <w:rsid w:val="0019538D"/>
    <w:rsid w:val="00196131"/>
    <w:rsid w:val="001966F4"/>
    <w:rsid w:val="001A03E4"/>
    <w:rsid w:val="001A0E5D"/>
    <w:rsid w:val="001A1097"/>
    <w:rsid w:val="001A52C1"/>
    <w:rsid w:val="001A5482"/>
    <w:rsid w:val="001A568B"/>
    <w:rsid w:val="001A57D3"/>
    <w:rsid w:val="001A637A"/>
    <w:rsid w:val="001A7B20"/>
    <w:rsid w:val="001B0D90"/>
    <w:rsid w:val="001B23C8"/>
    <w:rsid w:val="001B2EAA"/>
    <w:rsid w:val="001B4F7F"/>
    <w:rsid w:val="001C0476"/>
    <w:rsid w:val="001C0F27"/>
    <w:rsid w:val="001C2A34"/>
    <w:rsid w:val="001C416B"/>
    <w:rsid w:val="001C6A1B"/>
    <w:rsid w:val="001C7E4C"/>
    <w:rsid w:val="001D1153"/>
    <w:rsid w:val="001D1186"/>
    <w:rsid w:val="001D1885"/>
    <w:rsid w:val="001D1AF9"/>
    <w:rsid w:val="001D41EB"/>
    <w:rsid w:val="001D437C"/>
    <w:rsid w:val="001D4AD8"/>
    <w:rsid w:val="001D5093"/>
    <w:rsid w:val="001D5E70"/>
    <w:rsid w:val="001D5E74"/>
    <w:rsid w:val="001E0A3D"/>
    <w:rsid w:val="001E0C8F"/>
    <w:rsid w:val="001E1418"/>
    <w:rsid w:val="001E145F"/>
    <w:rsid w:val="001E2F1A"/>
    <w:rsid w:val="001E4FA2"/>
    <w:rsid w:val="001F07AB"/>
    <w:rsid w:val="001F1EE9"/>
    <w:rsid w:val="001F282F"/>
    <w:rsid w:val="001F31D6"/>
    <w:rsid w:val="001F451E"/>
    <w:rsid w:val="001F566C"/>
    <w:rsid w:val="001F7FAC"/>
    <w:rsid w:val="00202729"/>
    <w:rsid w:val="00202D6F"/>
    <w:rsid w:val="002044A3"/>
    <w:rsid w:val="002067F4"/>
    <w:rsid w:val="00210359"/>
    <w:rsid w:val="00210A07"/>
    <w:rsid w:val="00210E5F"/>
    <w:rsid w:val="00211704"/>
    <w:rsid w:val="00212FB5"/>
    <w:rsid w:val="00214FEC"/>
    <w:rsid w:val="00215574"/>
    <w:rsid w:val="00216DE2"/>
    <w:rsid w:val="00217560"/>
    <w:rsid w:val="00220366"/>
    <w:rsid w:val="002207CB"/>
    <w:rsid w:val="002220F8"/>
    <w:rsid w:val="002234ED"/>
    <w:rsid w:val="00224511"/>
    <w:rsid w:val="00225699"/>
    <w:rsid w:val="00225D84"/>
    <w:rsid w:val="002267FB"/>
    <w:rsid w:val="00227DD2"/>
    <w:rsid w:val="00231DA5"/>
    <w:rsid w:val="00232BA8"/>
    <w:rsid w:val="00236357"/>
    <w:rsid w:val="002451A7"/>
    <w:rsid w:val="00246B1F"/>
    <w:rsid w:val="00246C37"/>
    <w:rsid w:val="00246F1F"/>
    <w:rsid w:val="00247593"/>
    <w:rsid w:val="00247B0B"/>
    <w:rsid w:val="002504BF"/>
    <w:rsid w:val="00251419"/>
    <w:rsid w:val="00251949"/>
    <w:rsid w:val="00251BD4"/>
    <w:rsid w:val="00251CC1"/>
    <w:rsid w:val="002525EE"/>
    <w:rsid w:val="00252AF5"/>
    <w:rsid w:val="00252CE7"/>
    <w:rsid w:val="0025303B"/>
    <w:rsid w:val="002537BE"/>
    <w:rsid w:val="0025593C"/>
    <w:rsid w:val="002608CE"/>
    <w:rsid w:val="00261C11"/>
    <w:rsid w:val="002624E7"/>
    <w:rsid w:val="00264205"/>
    <w:rsid w:val="00265213"/>
    <w:rsid w:val="00265D5D"/>
    <w:rsid w:val="00270669"/>
    <w:rsid w:val="002708D0"/>
    <w:rsid w:val="00270EDA"/>
    <w:rsid w:val="0027129A"/>
    <w:rsid w:val="00273824"/>
    <w:rsid w:val="00274719"/>
    <w:rsid w:val="00275828"/>
    <w:rsid w:val="00281286"/>
    <w:rsid w:val="00281EA1"/>
    <w:rsid w:val="00285F54"/>
    <w:rsid w:val="0028679C"/>
    <w:rsid w:val="002878A7"/>
    <w:rsid w:val="00287A58"/>
    <w:rsid w:val="0029050A"/>
    <w:rsid w:val="002909CB"/>
    <w:rsid w:val="00290C8B"/>
    <w:rsid w:val="00293338"/>
    <w:rsid w:val="00293659"/>
    <w:rsid w:val="00295E23"/>
    <w:rsid w:val="00296EB4"/>
    <w:rsid w:val="002A0157"/>
    <w:rsid w:val="002A0D43"/>
    <w:rsid w:val="002A2C4C"/>
    <w:rsid w:val="002A5FF8"/>
    <w:rsid w:val="002A6281"/>
    <w:rsid w:val="002A67C7"/>
    <w:rsid w:val="002B02AE"/>
    <w:rsid w:val="002B241F"/>
    <w:rsid w:val="002B2AC0"/>
    <w:rsid w:val="002B4CD8"/>
    <w:rsid w:val="002B57C8"/>
    <w:rsid w:val="002B5FEC"/>
    <w:rsid w:val="002B66ED"/>
    <w:rsid w:val="002B6F96"/>
    <w:rsid w:val="002B737F"/>
    <w:rsid w:val="002B7BEF"/>
    <w:rsid w:val="002C1648"/>
    <w:rsid w:val="002C29F2"/>
    <w:rsid w:val="002C38D1"/>
    <w:rsid w:val="002C4538"/>
    <w:rsid w:val="002C5409"/>
    <w:rsid w:val="002D0209"/>
    <w:rsid w:val="002D5F4F"/>
    <w:rsid w:val="002D5FB2"/>
    <w:rsid w:val="002D65CD"/>
    <w:rsid w:val="002D7DEB"/>
    <w:rsid w:val="002E1422"/>
    <w:rsid w:val="002E63BE"/>
    <w:rsid w:val="002E641D"/>
    <w:rsid w:val="002E6F1C"/>
    <w:rsid w:val="002E75CF"/>
    <w:rsid w:val="002F0250"/>
    <w:rsid w:val="002F04CC"/>
    <w:rsid w:val="002F15CE"/>
    <w:rsid w:val="002F16FC"/>
    <w:rsid w:val="002F4BF0"/>
    <w:rsid w:val="002F51BD"/>
    <w:rsid w:val="002F56B3"/>
    <w:rsid w:val="002F79C4"/>
    <w:rsid w:val="00300758"/>
    <w:rsid w:val="00300A51"/>
    <w:rsid w:val="00301B94"/>
    <w:rsid w:val="00304505"/>
    <w:rsid w:val="003055E3"/>
    <w:rsid w:val="0030664A"/>
    <w:rsid w:val="00307C22"/>
    <w:rsid w:val="00310389"/>
    <w:rsid w:val="00310981"/>
    <w:rsid w:val="00311F1A"/>
    <w:rsid w:val="00313840"/>
    <w:rsid w:val="003142A1"/>
    <w:rsid w:val="003144DA"/>
    <w:rsid w:val="00314ED0"/>
    <w:rsid w:val="00320C11"/>
    <w:rsid w:val="00321048"/>
    <w:rsid w:val="00321A40"/>
    <w:rsid w:val="00322360"/>
    <w:rsid w:val="00322816"/>
    <w:rsid w:val="00322847"/>
    <w:rsid w:val="003232B3"/>
    <w:rsid w:val="003234E2"/>
    <w:rsid w:val="00326885"/>
    <w:rsid w:val="003276D9"/>
    <w:rsid w:val="00327712"/>
    <w:rsid w:val="00330AA3"/>
    <w:rsid w:val="00330FC0"/>
    <w:rsid w:val="00331EFD"/>
    <w:rsid w:val="00332BD1"/>
    <w:rsid w:val="00334344"/>
    <w:rsid w:val="0033782D"/>
    <w:rsid w:val="0034074A"/>
    <w:rsid w:val="00343C16"/>
    <w:rsid w:val="00343DCE"/>
    <w:rsid w:val="0034445E"/>
    <w:rsid w:val="00344A08"/>
    <w:rsid w:val="0034613C"/>
    <w:rsid w:val="00350008"/>
    <w:rsid w:val="003503FC"/>
    <w:rsid w:val="00350FD5"/>
    <w:rsid w:val="003520C3"/>
    <w:rsid w:val="00352C48"/>
    <w:rsid w:val="00352D57"/>
    <w:rsid w:val="00353003"/>
    <w:rsid w:val="003536B4"/>
    <w:rsid w:val="00353CAF"/>
    <w:rsid w:val="00355130"/>
    <w:rsid w:val="003558D8"/>
    <w:rsid w:val="00355A80"/>
    <w:rsid w:val="00355D60"/>
    <w:rsid w:val="00356110"/>
    <w:rsid w:val="00357252"/>
    <w:rsid w:val="00357B57"/>
    <w:rsid w:val="00363103"/>
    <w:rsid w:val="00363307"/>
    <w:rsid w:val="003647C3"/>
    <w:rsid w:val="00364B12"/>
    <w:rsid w:val="00364B9A"/>
    <w:rsid w:val="00364F96"/>
    <w:rsid w:val="003661CD"/>
    <w:rsid w:val="00366B92"/>
    <w:rsid w:val="00367B51"/>
    <w:rsid w:val="00367E7D"/>
    <w:rsid w:val="003707E6"/>
    <w:rsid w:val="00371400"/>
    <w:rsid w:val="00372285"/>
    <w:rsid w:val="00372BB6"/>
    <w:rsid w:val="00374760"/>
    <w:rsid w:val="00375EC4"/>
    <w:rsid w:val="00376FB2"/>
    <w:rsid w:val="0037742B"/>
    <w:rsid w:val="00380CD6"/>
    <w:rsid w:val="003823C2"/>
    <w:rsid w:val="00382500"/>
    <w:rsid w:val="00383EA3"/>
    <w:rsid w:val="00391C1D"/>
    <w:rsid w:val="00393678"/>
    <w:rsid w:val="003950AB"/>
    <w:rsid w:val="00395DC8"/>
    <w:rsid w:val="00395FEB"/>
    <w:rsid w:val="003965AF"/>
    <w:rsid w:val="003968F2"/>
    <w:rsid w:val="003979A4"/>
    <w:rsid w:val="003A09B9"/>
    <w:rsid w:val="003A2C7E"/>
    <w:rsid w:val="003A3D68"/>
    <w:rsid w:val="003A50F4"/>
    <w:rsid w:val="003A64B5"/>
    <w:rsid w:val="003A6FC4"/>
    <w:rsid w:val="003A76B8"/>
    <w:rsid w:val="003A7A7F"/>
    <w:rsid w:val="003A7D24"/>
    <w:rsid w:val="003B0112"/>
    <w:rsid w:val="003B1502"/>
    <w:rsid w:val="003B21D2"/>
    <w:rsid w:val="003B29FF"/>
    <w:rsid w:val="003B33AD"/>
    <w:rsid w:val="003B484B"/>
    <w:rsid w:val="003B66E3"/>
    <w:rsid w:val="003B6C88"/>
    <w:rsid w:val="003B7820"/>
    <w:rsid w:val="003C1F14"/>
    <w:rsid w:val="003C30B5"/>
    <w:rsid w:val="003C33DE"/>
    <w:rsid w:val="003C7061"/>
    <w:rsid w:val="003C755F"/>
    <w:rsid w:val="003D10D9"/>
    <w:rsid w:val="003D1769"/>
    <w:rsid w:val="003D1899"/>
    <w:rsid w:val="003D20F7"/>
    <w:rsid w:val="003D3260"/>
    <w:rsid w:val="003D4BB0"/>
    <w:rsid w:val="003D4BED"/>
    <w:rsid w:val="003E1659"/>
    <w:rsid w:val="003E1983"/>
    <w:rsid w:val="003E4496"/>
    <w:rsid w:val="003E46DA"/>
    <w:rsid w:val="003E4E83"/>
    <w:rsid w:val="003E5117"/>
    <w:rsid w:val="003E6A9A"/>
    <w:rsid w:val="003E6BE3"/>
    <w:rsid w:val="003E6F68"/>
    <w:rsid w:val="003E7B5D"/>
    <w:rsid w:val="003E7E98"/>
    <w:rsid w:val="003F0D00"/>
    <w:rsid w:val="003F1490"/>
    <w:rsid w:val="003F1549"/>
    <w:rsid w:val="003F27CD"/>
    <w:rsid w:val="003F2AE4"/>
    <w:rsid w:val="003F351C"/>
    <w:rsid w:val="003F5CDE"/>
    <w:rsid w:val="003F601E"/>
    <w:rsid w:val="003F6B6D"/>
    <w:rsid w:val="004005B4"/>
    <w:rsid w:val="004005B6"/>
    <w:rsid w:val="004007F8"/>
    <w:rsid w:val="004013CC"/>
    <w:rsid w:val="00401972"/>
    <w:rsid w:val="00404931"/>
    <w:rsid w:val="00404EE2"/>
    <w:rsid w:val="004065CA"/>
    <w:rsid w:val="00410B2E"/>
    <w:rsid w:val="0041202D"/>
    <w:rsid w:val="00413727"/>
    <w:rsid w:val="004155CB"/>
    <w:rsid w:val="004158FD"/>
    <w:rsid w:val="00415D82"/>
    <w:rsid w:val="00416286"/>
    <w:rsid w:val="004171D0"/>
    <w:rsid w:val="0041780D"/>
    <w:rsid w:val="00420219"/>
    <w:rsid w:val="00420329"/>
    <w:rsid w:val="00420E1C"/>
    <w:rsid w:val="00421206"/>
    <w:rsid w:val="0042137F"/>
    <w:rsid w:val="004218DF"/>
    <w:rsid w:val="0042210D"/>
    <w:rsid w:val="00423C19"/>
    <w:rsid w:val="004243CB"/>
    <w:rsid w:val="00424844"/>
    <w:rsid w:val="00425FCA"/>
    <w:rsid w:val="00426042"/>
    <w:rsid w:val="004313ED"/>
    <w:rsid w:val="00431EE3"/>
    <w:rsid w:val="00432601"/>
    <w:rsid w:val="004332C6"/>
    <w:rsid w:val="0043339C"/>
    <w:rsid w:val="00433795"/>
    <w:rsid w:val="00433CFD"/>
    <w:rsid w:val="00433E6B"/>
    <w:rsid w:val="00435EF6"/>
    <w:rsid w:val="00436722"/>
    <w:rsid w:val="00436F53"/>
    <w:rsid w:val="004373C0"/>
    <w:rsid w:val="0043754F"/>
    <w:rsid w:val="004400F6"/>
    <w:rsid w:val="00440282"/>
    <w:rsid w:val="00441DE2"/>
    <w:rsid w:val="0044249F"/>
    <w:rsid w:val="0044327C"/>
    <w:rsid w:val="00444868"/>
    <w:rsid w:val="00446F81"/>
    <w:rsid w:val="00450423"/>
    <w:rsid w:val="0045042B"/>
    <w:rsid w:val="00451D53"/>
    <w:rsid w:val="00451F72"/>
    <w:rsid w:val="004528FA"/>
    <w:rsid w:val="00452C1B"/>
    <w:rsid w:val="00453571"/>
    <w:rsid w:val="00454733"/>
    <w:rsid w:val="0045599B"/>
    <w:rsid w:val="00456AC0"/>
    <w:rsid w:val="00460371"/>
    <w:rsid w:val="00463941"/>
    <w:rsid w:val="0046529D"/>
    <w:rsid w:val="004656C8"/>
    <w:rsid w:val="00465D5E"/>
    <w:rsid w:val="00466B4E"/>
    <w:rsid w:val="00470176"/>
    <w:rsid w:val="0047150D"/>
    <w:rsid w:val="004722A7"/>
    <w:rsid w:val="0047573F"/>
    <w:rsid w:val="0047721C"/>
    <w:rsid w:val="004844D6"/>
    <w:rsid w:val="00484709"/>
    <w:rsid w:val="004847F5"/>
    <w:rsid w:val="00487139"/>
    <w:rsid w:val="004876B5"/>
    <w:rsid w:val="0049126D"/>
    <w:rsid w:val="00492561"/>
    <w:rsid w:val="00493869"/>
    <w:rsid w:val="00493A5F"/>
    <w:rsid w:val="00493EAC"/>
    <w:rsid w:val="00495106"/>
    <w:rsid w:val="00495219"/>
    <w:rsid w:val="004979E3"/>
    <w:rsid w:val="004A0D5B"/>
    <w:rsid w:val="004A1025"/>
    <w:rsid w:val="004A153B"/>
    <w:rsid w:val="004A200B"/>
    <w:rsid w:val="004A2680"/>
    <w:rsid w:val="004A2898"/>
    <w:rsid w:val="004A34AF"/>
    <w:rsid w:val="004A3DAE"/>
    <w:rsid w:val="004A3F70"/>
    <w:rsid w:val="004A566D"/>
    <w:rsid w:val="004A65E5"/>
    <w:rsid w:val="004A6C27"/>
    <w:rsid w:val="004A7384"/>
    <w:rsid w:val="004A73A3"/>
    <w:rsid w:val="004B01CF"/>
    <w:rsid w:val="004B27CA"/>
    <w:rsid w:val="004B2E90"/>
    <w:rsid w:val="004C0BF6"/>
    <w:rsid w:val="004C16DB"/>
    <w:rsid w:val="004C2F67"/>
    <w:rsid w:val="004C32FA"/>
    <w:rsid w:val="004C3C66"/>
    <w:rsid w:val="004C4D09"/>
    <w:rsid w:val="004D0844"/>
    <w:rsid w:val="004D109B"/>
    <w:rsid w:val="004D1E08"/>
    <w:rsid w:val="004D211C"/>
    <w:rsid w:val="004D2475"/>
    <w:rsid w:val="004D42F1"/>
    <w:rsid w:val="004D4951"/>
    <w:rsid w:val="004D499A"/>
    <w:rsid w:val="004D50A7"/>
    <w:rsid w:val="004D5D44"/>
    <w:rsid w:val="004D63B4"/>
    <w:rsid w:val="004D65F8"/>
    <w:rsid w:val="004D74B8"/>
    <w:rsid w:val="004D7C94"/>
    <w:rsid w:val="004E0D0B"/>
    <w:rsid w:val="004E1847"/>
    <w:rsid w:val="004E2C17"/>
    <w:rsid w:val="004E4596"/>
    <w:rsid w:val="004E5254"/>
    <w:rsid w:val="004E6A12"/>
    <w:rsid w:val="004F0543"/>
    <w:rsid w:val="004F0D4A"/>
    <w:rsid w:val="004F43F8"/>
    <w:rsid w:val="004F48F1"/>
    <w:rsid w:val="004F5B81"/>
    <w:rsid w:val="004F6856"/>
    <w:rsid w:val="004F730A"/>
    <w:rsid w:val="004F7337"/>
    <w:rsid w:val="004F7A1B"/>
    <w:rsid w:val="005009FF"/>
    <w:rsid w:val="00502A41"/>
    <w:rsid w:val="00503041"/>
    <w:rsid w:val="005058F5"/>
    <w:rsid w:val="00507394"/>
    <w:rsid w:val="00510DCF"/>
    <w:rsid w:val="00511487"/>
    <w:rsid w:val="005116E1"/>
    <w:rsid w:val="00511A98"/>
    <w:rsid w:val="005121F7"/>
    <w:rsid w:val="00512E48"/>
    <w:rsid w:val="005160EB"/>
    <w:rsid w:val="00522DD1"/>
    <w:rsid w:val="005237CE"/>
    <w:rsid w:val="00524476"/>
    <w:rsid w:val="00527F0D"/>
    <w:rsid w:val="0053063E"/>
    <w:rsid w:val="00530D24"/>
    <w:rsid w:val="005311F9"/>
    <w:rsid w:val="00531FDF"/>
    <w:rsid w:val="00532129"/>
    <w:rsid w:val="005335C0"/>
    <w:rsid w:val="00535052"/>
    <w:rsid w:val="00535081"/>
    <w:rsid w:val="0053644B"/>
    <w:rsid w:val="00537406"/>
    <w:rsid w:val="0053776E"/>
    <w:rsid w:val="00537F37"/>
    <w:rsid w:val="00540E45"/>
    <w:rsid w:val="00542202"/>
    <w:rsid w:val="0054258C"/>
    <w:rsid w:val="0054308E"/>
    <w:rsid w:val="005457F1"/>
    <w:rsid w:val="00547881"/>
    <w:rsid w:val="00551564"/>
    <w:rsid w:val="00552514"/>
    <w:rsid w:val="00552EEA"/>
    <w:rsid w:val="005530CC"/>
    <w:rsid w:val="005541A9"/>
    <w:rsid w:val="00554C5B"/>
    <w:rsid w:val="00554F7B"/>
    <w:rsid w:val="00560B3F"/>
    <w:rsid w:val="0056152F"/>
    <w:rsid w:val="00562CD0"/>
    <w:rsid w:val="0056331F"/>
    <w:rsid w:val="0056428B"/>
    <w:rsid w:val="005651B6"/>
    <w:rsid w:val="005656A5"/>
    <w:rsid w:val="005670F6"/>
    <w:rsid w:val="005711B1"/>
    <w:rsid w:val="005723F7"/>
    <w:rsid w:val="005724F2"/>
    <w:rsid w:val="0057492C"/>
    <w:rsid w:val="00575454"/>
    <w:rsid w:val="005756BA"/>
    <w:rsid w:val="00575D33"/>
    <w:rsid w:val="0058130E"/>
    <w:rsid w:val="005816A4"/>
    <w:rsid w:val="005832BD"/>
    <w:rsid w:val="00583CE4"/>
    <w:rsid w:val="00585014"/>
    <w:rsid w:val="005900D0"/>
    <w:rsid w:val="00590B4A"/>
    <w:rsid w:val="00590D22"/>
    <w:rsid w:val="00591264"/>
    <w:rsid w:val="005929A5"/>
    <w:rsid w:val="00594469"/>
    <w:rsid w:val="005945E8"/>
    <w:rsid w:val="00595046"/>
    <w:rsid w:val="00595F6E"/>
    <w:rsid w:val="005A2138"/>
    <w:rsid w:val="005A460D"/>
    <w:rsid w:val="005A4F13"/>
    <w:rsid w:val="005A5530"/>
    <w:rsid w:val="005A5531"/>
    <w:rsid w:val="005A5A63"/>
    <w:rsid w:val="005A5F64"/>
    <w:rsid w:val="005A63AF"/>
    <w:rsid w:val="005A6F2C"/>
    <w:rsid w:val="005A6FDC"/>
    <w:rsid w:val="005B0479"/>
    <w:rsid w:val="005B2032"/>
    <w:rsid w:val="005B45F8"/>
    <w:rsid w:val="005B514A"/>
    <w:rsid w:val="005B66E5"/>
    <w:rsid w:val="005B6BD6"/>
    <w:rsid w:val="005B7DF3"/>
    <w:rsid w:val="005C0751"/>
    <w:rsid w:val="005C1CA2"/>
    <w:rsid w:val="005C2658"/>
    <w:rsid w:val="005C34DB"/>
    <w:rsid w:val="005C5E42"/>
    <w:rsid w:val="005C719E"/>
    <w:rsid w:val="005C74DA"/>
    <w:rsid w:val="005C7B1B"/>
    <w:rsid w:val="005D01C0"/>
    <w:rsid w:val="005D106D"/>
    <w:rsid w:val="005D1AA5"/>
    <w:rsid w:val="005D1F5C"/>
    <w:rsid w:val="005D34AC"/>
    <w:rsid w:val="005D3654"/>
    <w:rsid w:val="005D37BA"/>
    <w:rsid w:val="005D38BD"/>
    <w:rsid w:val="005D3AC5"/>
    <w:rsid w:val="005D5AE6"/>
    <w:rsid w:val="005D5EAE"/>
    <w:rsid w:val="005D6134"/>
    <w:rsid w:val="005D6476"/>
    <w:rsid w:val="005E09F5"/>
    <w:rsid w:val="005E134E"/>
    <w:rsid w:val="005E27E5"/>
    <w:rsid w:val="005E3D11"/>
    <w:rsid w:val="005E4252"/>
    <w:rsid w:val="005E4489"/>
    <w:rsid w:val="005E5025"/>
    <w:rsid w:val="005F0BA5"/>
    <w:rsid w:val="005F351F"/>
    <w:rsid w:val="005F3797"/>
    <w:rsid w:val="005F3D94"/>
    <w:rsid w:val="005F531B"/>
    <w:rsid w:val="005F56DB"/>
    <w:rsid w:val="005F5BAC"/>
    <w:rsid w:val="005F741D"/>
    <w:rsid w:val="00600240"/>
    <w:rsid w:val="00600B93"/>
    <w:rsid w:val="006016F0"/>
    <w:rsid w:val="00602029"/>
    <w:rsid w:val="00602225"/>
    <w:rsid w:val="00602916"/>
    <w:rsid w:val="0060418C"/>
    <w:rsid w:val="006046F9"/>
    <w:rsid w:val="0060473B"/>
    <w:rsid w:val="006069D0"/>
    <w:rsid w:val="0061104E"/>
    <w:rsid w:val="0061150D"/>
    <w:rsid w:val="00612219"/>
    <w:rsid w:val="00613F12"/>
    <w:rsid w:val="00615DB8"/>
    <w:rsid w:val="00617D11"/>
    <w:rsid w:val="00622FF3"/>
    <w:rsid w:val="00623468"/>
    <w:rsid w:val="0062353E"/>
    <w:rsid w:val="00623B8A"/>
    <w:rsid w:val="00625EA1"/>
    <w:rsid w:val="006262D9"/>
    <w:rsid w:val="00626D52"/>
    <w:rsid w:val="00626F63"/>
    <w:rsid w:val="00627CC8"/>
    <w:rsid w:val="00631050"/>
    <w:rsid w:val="006329D0"/>
    <w:rsid w:val="00633E75"/>
    <w:rsid w:val="00640009"/>
    <w:rsid w:val="00640041"/>
    <w:rsid w:val="0064090C"/>
    <w:rsid w:val="006414D3"/>
    <w:rsid w:val="006434E9"/>
    <w:rsid w:val="00644784"/>
    <w:rsid w:val="006448D5"/>
    <w:rsid w:val="006461AE"/>
    <w:rsid w:val="00646DEB"/>
    <w:rsid w:val="0065009F"/>
    <w:rsid w:val="006508EE"/>
    <w:rsid w:val="00650B88"/>
    <w:rsid w:val="006519AC"/>
    <w:rsid w:val="00651B51"/>
    <w:rsid w:val="00652CD1"/>
    <w:rsid w:val="00653D59"/>
    <w:rsid w:val="006567E4"/>
    <w:rsid w:val="00656860"/>
    <w:rsid w:val="006569E5"/>
    <w:rsid w:val="00657035"/>
    <w:rsid w:val="00657AFC"/>
    <w:rsid w:val="0066324F"/>
    <w:rsid w:val="00663341"/>
    <w:rsid w:val="006655D6"/>
    <w:rsid w:val="00671399"/>
    <w:rsid w:val="00673264"/>
    <w:rsid w:val="0067576C"/>
    <w:rsid w:val="006764D2"/>
    <w:rsid w:val="00685538"/>
    <w:rsid w:val="006870B7"/>
    <w:rsid w:val="006873C2"/>
    <w:rsid w:val="00687670"/>
    <w:rsid w:val="00690096"/>
    <w:rsid w:val="0069115D"/>
    <w:rsid w:val="00691444"/>
    <w:rsid w:val="00691641"/>
    <w:rsid w:val="00691CC7"/>
    <w:rsid w:val="006933A7"/>
    <w:rsid w:val="006936F5"/>
    <w:rsid w:val="00693F75"/>
    <w:rsid w:val="0069482F"/>
    <w:rsid w:val="00695C16"/>
    <w:rsid w:val="00697167"/>
    <w:rsid w:val="00697240"/>
    <w:rsid w:val="006974AD"/>
    <w:rsid w:val="006A0B31"/>
    <w:rsid w:val="006A56A7"/>
    <w:rsid w:val="006A6A70"/>
    <w:rsid w:val="006A7AEC"/>
    <w:rsid w:val="006B161B"/>
    <w:rsid w:val="006B1FA1"/>
    <w:rsid w:val="006B31E2"/>
    <w:rsid w:val="006B37E3"/>
    <w:rsid w:val="006B4063"/>
    <w:rsid w:val="006B5D87"/>
    <w:rsid w:val="006B6E45"/>
    <w:rsid w:val="006B7223"/>
    <w:rsid w:val="006B7D58"/>
    <w:rsid w:val="006C0BDC"/>
    <w:rsid w:val="006C32BC"/>
    <w:rsid w:val="006C379B"/>
    <w:rsid w:val="006C4E19"/>
    <w:rsid w:val="006C5730"/>
    <w:rsid w:val="006D0BD5"/>
    <w:rsid w:val="006D0D77"/>
    <w:rsid w:val="006D4352"/>
    <w:rsid w:val="006D6333"/>
    <w:rsid w:val="006E14D2"/>
    <w:rsid w:val="006E2A19"/>
    <w:rsid w:val="006E308A"/>
    <w:rsid w:val="006E30EC"/>
    <w:rsid w:val="006E33ED"/>
    <w:rsid w:val="006E38D8"/>
    <w:rsid w:val="006E4700"/>
    <w:rsid w:val="006E56B5"/>
    <w:rsid w:val="006E58D8"/>
    <w:rsid w:val="006F0B11"/>
    <w:rsid w:val="006F2586"/>
    <w:rsid w:val="006F27FE"/>
    <w:rsid w:val="006F39CA"/>
    <w:rsid w:val="006F3E87"/>
    <w:rsid w:val="006F4041"/>
    <w:rsid w:val="006F45AD"/>
    <w:rsid w:val="00700621"/>
    <w:rsid w:val="0070140D"/>
    <w:rsid w:val="0070190C"/>
    <w:rsid w:val="007019AC"/>
    <w:rsid w:val="007019B0"/>
    <w:rsid w:val="00701B7A"/>
    <w:rsid w:val="007029C4"/>
    <w:rsid w:val="00704716"/>
    <w:rsid w:val="00704861"/>
    <w:rsid w:val="00704F49"/>
    <w:rsid w:val="00705E13"/>
    <w:rsid w:val="00706FF6"/>
    <w:rsid w:val="007078FE"/>
    <w:rsid w:val="0071041B"/>
    <w:rsid w:val="00711BB3"/>
    <w:rsid w:val="007129A7"/>
    <w:rsid w:val="00714937"/>
    <w:rsid w:val="00715D61"/>
    <w:rsid w:val="0072027C"/>
    <w:rsid w:val="00721D65"/>
    <w:rsid w:val="00722BE9"/>
    <w:rsid w:val="00727AB2"/>
    <w:rsid w:val="00727E2A"/>
    <w:rsid w:val="0073011B"/>
    <w:rsid w:val="00732618"/>
    <w:rsid w:val="00732A12"/>
    <w:rsid w:val="00732F79"/>
    <w:rsid w:val="00734511"/>
    <w:rsid w:val="0073501B"/>
    <w:rsid w:val="007351C2"/>
    <w:rsid w:val="007358BE"/>
    <w:rsid w:val="00735996"/>
    <w:rsid w:val="00735AE1"/>
    <w:rsid w:val="00736E60"/>
    <w:rsid w:val="00736E6C"/>
    <w:rsid w:val="007376A1"/>
    <w:rsid w:val="00737D33"/>
    <w:rsid w:val="007425BE"/>
    <w:rsid w:val="00742F05"/>
    <w:rsid w:val="007436D8"/>
    <w:rsid w:val="00743745"/>
    <w:rsid w:val="00747125"/>
    <w:rsid w:val="007526FA"/>
    <w:rsid w:val="0075312F"/>
    <w:rsid w:val="007534F7"/>
    <w:rsid w:val="00753769"/>
    <w:rsid w:val="007539C4"/>
    <w:rsid w:val="00756569"/>
    <w:rsid w:val="0075777B"/>
    <w:rsid w:val="007607B9"/>
    <w:rsid w:val="0076242E"/>
    <w:rsid w:val="00762F6D"/>
    <w:rsid w:val="007639F2"/>
    <w:rsid w:val="0076541C"/>
    <w:rsid w:val="007659A8"/>
    <w:rsid w:val="0076622C"/>
    <w:rsid w:val="0076736C"/>
    <w:rsid w:val="007676BB"/>
    <w:rsid w:val="00770B56"/>
    <w:rsid w:val="00770F69"/>
    <w:rsid w:val="00771F74"/>
    <w:rsid w:val="00772113"/>
    <w:rsid w:val="00772B7E"/>
    <w:rsid w:val="00773B0E"/>
    <w:rsid w:val="007749CD"/>
    <w:rsid w:val="007757C1"/>
    <w:rsid w:val="00775C89"/>
    <w:rsid w:val="00776C15"/>
    <w:rsid w:val="00780B70"/>
    <w:rsid w:val="007827AF"/>
    <w:rsid w:val="007831E8"/>
    <w:rsid w:val="007833F9"/>
    <w:rsid w:val="0079076A"/>
    <w:rsid w:val="007914DD"/>
    <w:rsid w:val="00795734"/>
    <w:rsid w:val="007965A0"/>
    <w:rsid w:val="00796BB2"/>
    <w:rsid w:val="00796C5E"/>
    <w:rsid w:val="00797ED5"/>
    <w:rsid w:val="007A0847"/>
    <w:rsid w:val="007A0B82"/>
    <w:rsid w:val="007A0E9F"/>
    <w:rsid w:val="007A2157"/>
    <w:rsid w:val="007A356F"/>
    <w:rsid w:val="007A4513"/>
    <w:rsid w:val="007A50AB"/>
    <w:rsid w:val="007A5229"/>
    <w:rsid w:val="007A5A40"/>
    <w:rsid w:val="007A79E4"/>
    <w:rsid w:val="007B05E5"/>
    <w:rsid w:val="007B28B2"/>
    <w:rsid w:val="007B4D27"/>
    <w:rsid w:val="007B5207"/>
    <w:rsid w:val="007B57A4"/>
    <w:rsid w:val="007B57D2"/>
    <w:rsid w:val="007B5862"/>
    <w:rsid w:val="007C117A"/>
    <w:rsid w:val="007C137D"/>
    <w:rsid w:val="007C20E3"/>
    <w:rsid w:val="007C2409"/>
    <w:rsid w:val="007C3538"/>
    <w:rsid w:val="007C3E22"/>
    <w:rsid w:val="007C5DC9"/>
    <w:rsid w:val="007C629D"/>
    <w:rsid w:val="007D0787"/>
    <w:rsid w:val="007D0D7C"/>
    <w:rsid w:val="007D2162"/>
    <w:rsid w:val="007D2344"/>
    <w:rsid w:val="007D3121"/>
    <w:rsid w:val="007D3A30"/>
    <w:rsid w:val="007D3AB0"/>
    <w:rsid w:val="007D3F22"/>
    <w:rsid w:val="007D53B6"/>
    <w:rsid w:val="007D5550"/>
    <w:rsid w:val="007D7EB0"/>
    <w:rsid w:val="007E07DC"/>
    <w:rsid w:val="007E170E"/>
    <w:rsid w:val="007E27C0"/>
    <w:rsid w:val="007E3940"/>
    <w:rsid w:val="007E5767"/>
    <w:rsid w:val="007E71D0"/>
    <w:rsid w:val="007E7348"/>
    <w:rsid w:val="007E736F"/>
    <w:rsid w:val="007E74FE"/>
    <w:rsid w:val="007F03BA"/>
    <w:rsid w:val="007F1AAB"/>
    <w:rsid w:val="007F2D2A"/>
    <w:rsid w:val="007F3A0B"/>
    <w:rsid w:val="007F3DA5"/>
    <w:rsid w:val="007F3F5F"/>
    <w:rsid w:val="007F4717"/>
    <w:rsid w:val="007F55F7"/>
    <w:rsid w:val="007F7A80"/>
    <w:rsid w:val="008005C7"/>
    <w:rsid w:val="00800B20"/>
    <w:rsid w:val="00800C2E"/>
    <w:rsid w:val="0080391C"/>
    <w:rsid w:val="00803BB8"/>
    <w:rsid w:val="00805F2D"/>
    <w:rsid w:val="008070B3"/>
    <w:rsid w:val="00807211"/>
    <w:rsid w:val="00807B31"/>
    <w:rsid w:val="008123EE"/>
    <w:rsid w:val="008145CF"/>
    <w:rsid w:val="00814957"/>
    <w:rsid w:val="00814C6B"/>
    <w:rsid w:val="00815AD9"/>
    <w:rsid w:val="00815D7F"/>
    <w:rsid w:val="008174CA"/>
    <w:rsid w:val="008174F0"/>
    <w:rsid w:val="00820001"/>
    <w:rsid w:val="008249D4"/>
    <w:rsid w:val="00825F6E"/>
    <w:rsid w:val="00830BCF"/>
    <w:rsid w:val="00831082"/>
    <w:rsid w:val="00832ED4"/>
    <w:rsid w:val="008334AC"/>
    <w:rsid w:val="00833791"/>
    <w:rsid w:val="0083741D"/>
    <w:rsid w:val="00837722"/>
    <w:rsid w:val="00837E63"/>
    <w:rsid w:val="0084033F"/>
    <w:rsid w:val="008432D8"/>
    <w:rsid w:val="00843CFD"/>
    <w:rsid w:val="00844FAB"/>
    <w:rsid w:val="00845424"/>
    <w:rsid w:val="00845E3A"/>
    <w:rsid w:val="00846693"/>
    <w:rsid w:val="008475E1"/>
    <w:rsid w:val="00854C66"/>
    <w:rsid w:val="00856565"/>
    <w:rsid w:val="00857144"/>
    <w:rsid w:val="00862060"/>
    <w:rsid w:val="00863A4D"/>
    <w:rsid w:val="008647E5"/>
    <w:rsid w:val="00865A40"/>
    <w:rsid w:val="00867CF2"/>
    <w:rsid w:val="00867DDA"/>
    <w:rsid w:val="00867F99"/>
    <w:rsid w:val="0087156A"/>
    <w:rsid w:val="0087160A"/>
    <w:rsid w:val="00872251"/>
    <w:rsid w:val="00872629"/>
    <w:rsid w:val="00872814"/>
    <w:rsid w:val="00872D4B"/>
    <w:rsid w:val="00872F75"/>
    <w:rsid w:val="008759E7"/>
    <w:rsid w:val="00875D2E"/>
    <w:rsid w:val="008767B8"/>
    <w:rsid w:val="00876A8B"/>
    <w:rsid w:val="0088139C"/>
    <w:rsid w:val="008816F8"/>
    <w:rsid w:val="008821BF"/>
    <w:rsid w:val="00884842"/>
    <w:rsid w:val="00885E80"/>
    <w:rsid w:val="00885F74"/>
    <w:rsid w:val="00890392"/>
    <w:rsid w:val="00890459"/>
    <w:rsid w:val="00892E27"/>
    <w:rsid w:val="008951B5"/>
    <w:rsid w:val="008954EC"/>
    <w:rsid w:val="008A26B3"/>
    <w:rsid w:val="008A40D8"/>
    <w:rsid w:val="008A434C"/>
    <w:rsid w:val="008A4481"/>
    <w:rsid w:val="008A6472"/>
    <w:rsid w:val="008B0CD2"/>
    <w:rsid w:val="008B11E1"/>
    <w:rsid w:val="008B2F33"/>
    <w:rsid w:val="008B382E"/>
    <w:rsid w:val="008B4300"/>
    <w:rsid w:val="008B4B8D"/>
    <w:rsid w:val="008B592B"/>
    <w:rsid w:val="008B5FD8"/>
    <w:rsid w:val="008B6224"/>
    <w:rsid w:val="008C0184"/>
    <w:rsid w:val="008C2A54"/>
    <w:rsid w:val="008C5211"/>
    <w:rsid w:val="008C5E26"/>
    <w:rsid w:val="008C5E3C"/>
    <w:rsid w:val="008C6AA5"/>
    <w:rsid w:val="008C6BF4"/>
    <w:rsid w:val="008C6FF8"/>
    <w:rsid w:val="008C7521"/>
    <w:rsid w:val="008C7AB7"/>
    <w:rsid w:val="008D1675"/>
    <w:rsid w:val="008D1E2B"/>
    <w:rsid w:val="008D2D35"/>
    <w:rsid w:val="008D3225"/>
    <w:rsid w:val="008D3CAD"/>
    <w:rsid w:val="008D6076"/>
    <w:rsid w:val="008D73F3"/>
    <w:rsid w:val="008E2CC0"/>
    <w:rsid w:val="008E516C"/>
    <w:rsid w:val="008E5F39"/>
    <w:rsid w:val="008E661D"/>
    <w:rsid w:val="008E7C67"/>
    <w:rsid w:val="008F0620"/>
    <w:rsid w:val="008F0688"/>
    <w:rsid w:val="008F26E4"/>
    <w:rsid w:val="008F43E8"/>
    <w:rsid w:val="008F5B58"/>
    <w:rsid w:val="008F60DB"/>
    <w:rsid w:val="008F63B0"/>
    <w:rsid w:val="008F73DB"/>
    <w:rsid w:val="00900330"/>
    <w:rsid w:val="009008D1"/>
    <w:rsid w:val="00901567"/>
    <w:rsid w:val="009019CF"/>
    <w:rsid w:val="00902BCB"/>
    <w:rsid w:val="00902C19"/>
    <w:rsid w:val="00903880"/>
    <w:rsid w:val="009039AA"/>
    <w:rsid w:val="0090499A"/>
    <w:rsid w:val="00911625"/>
    <w:rsid w:val="00912C1F"/>
    <w:rsid w:val="00913296"/>
    <w:rsid w:val="00914661"/>
    <w:rsid w:val="00920560"/>
    <w:rsid w:val="0092354E"/>
    <w:rsid w:val="00923851"/>
    <w:rsid w:val="00924D6D"/>
    <w:rsid w:val="009252DF"/>
    <w:rsid w:val="00926D92"/>
    <w:rsid w:val="00927614"/>
    <w:rsid w:val="0093016A"/>
    <w:rsid w:val="00930EA0"/>
    <w:rsid w:val="00932528"/>
    <w:rsid w:val="00932B50"/>
    <w:rsid w:val="00933C78"/>
    <w:rsid w:val="00933D08"/>
    <w:rsid w:val="00937B7B"/>
    <w:rsid w:val="0094010B"/>
    <w:rsid w:val="0094120E"/>
    <w:rsid w:val="00941508"/>
    <w:rsid w:val="00941780"/>
    <w:rsid w:val="00943A62"/>
    <w:rsid w:val="00952EE5"/>
    <w:rsid w:val="00953228"/>
    <w:rsid w:val="0095469A"/>
    <w:rsid w:val="00955330"/>
    <w:rsid w:val="00955B7C"/>
    <w:rsid w:val="009563C4"/>
    <w:rsid w:val="00957303"/>
    <w:rsid w:val="0095790A"/>
    <w:rsid w:val="00957A36"/>
    <w:rsid w:val="00960227"/>
    <w:rsid w:val="00961373"/>
    <w:rsid w:val="0096423A"/>
    <w:rsid w:val="0096590D"/>
    <w:rsid w:val="0096785C"/>
    <w:rsid w:val="009700DD"/>
    <w:rsid w:val="0097236D"/>
    <w:rsid w:val="00973C39"/>
    <w:rsid w:val="00974EC0"/>
    <w:rsid w:val="00975E90"/>
    <w:rsid w:val="009777F6"/>
    <w:rsid w:val="00980F6A"/>
    <w:rsid w:val="00982105"/>
    <w:rsid w:val="009837F6"/>
    <w:rsid w:val="00983CCF"/>
    <w:rsid w:val="00984A21"/>
    <w:rsid w:val="00991843"/>
    <w:rsid w:val="009939D7"/>
    <w:rsid w:val="00994264"/>
    <w:rsid w:val="0099462D"/>
    <w:rsid w:val="00994978"/>
    <w:rsid w:val="009949A3"/>
    <w:rsid w:val="009955E2"/>
    <w:rsid w:val="0099703E"/>
    <w:rsid w:val="00997080"/>
    <w:rsid w:val="0099752E"/>
    <w:rsid w:val="0099754F"/>
    <w:rsid w:val="00997796"/>
    <w:rsid w:val="009A1F55"/>
    <w:rsid w:val="009A2275"/>
    <w:rsid w:val="009A2840"/>
    <w:rsid w:val="009A3B05"/>
    <w:rsid w:val="009A41D5"/>
    <w:rsid w:val="009A4DA0"/>
    <w:rsid w:val="009A69D1"/>
    <w:rsid w:val="009A71F1"/>
    <w:rsid w:val="009A7939"/>
    <w:rsid w:val="009B365C"/>
    <w:rsid w:val="009B37D7"/>
    <w:rsid w:val="009B4264"/>
    <w:rsid w:val="009B488D"/>
    <w:rsid w:val="009B4B6A"/>
    <w:rsid w:val="009B4DA9"/>
    <w:rsid w:val="009B5548"/>
    <w:rsid w:val="009C1A89"/>
    <w:rsid w:val="009C2531"/>
    <w:rsid w:val="009C3140"/>
    <w:rsid w:val="009C5A10"/>
    <w:rsid w:val="009C68AF"/>
    <w:rsid w:val="009C6D49"/>
    <w:rsid w:val="009C761A"/>
    <w:rsid w:val="009D181C"/>
    <w:rsid w:val="009D1F98"/>
    <w:rsid w:val="009D2299"/>
    <w:rsid w:val="009D5F95"/>
    <w:rsid w:val="009E0144"/>
    <w:rsid w:val="009E29AC"/>
    <w:rsid w:val="009E2C39"/>
    <w:rsid w:val="009E2C56"/>
    <w:rsid w:val="009E3096"/>
    <w:rsid w:val="009E4C81"/>
    <w:rsid w:val="009E6378"/>
    <w:rsid w:val="009F0BDA"/>
    <w:rsid w:val="009F112E"/>
    <w:rsid w:val="009F1C17"/>
    <w:rsid w:val="009F2194"/>
    <w:rsid w:val="009F28AD"/>
    <w:rsid w:val="009F4697"/>
    <w:rsid w:val="009F4B69"/>
    <w:rsid w:val="009F5730"/>
    <w:rsid w:val="009F5A97"/>
    <w:rsid w:val="009F6DA0"/>
    <w:rsid w:val="00A0008B"/>
    <w:rsid w:val="00A00C0B"/>
    <w:rsid w:val="00A00D7D"/>
    <w:rsid w:val="00A01301"/>
    <w:rsid w:val="00A01842"/>
    <w:rsid w:val="00A02B65"/>
    <w:rsid w:val="00A030AF"/>
    <w:rsid w:val="00A03B69"/>
    <w:rsid w:val="00A0547E"/>
    <w:rsid w:val="00A05A32"/>
    <w:rsid w:val="00A0604F"/>
    <w:rsid w:val="00A066D9"/>
    <w:rsid w:val="00A10713"/>
    <w:rsid w:val="00A11BB2"/>
    <w:rsid w:val="00A11CFF"/>
    <w:rsid w:val="00A121F6"/>
    <w:rsid w:val="00A1291B"/>
    <w:rsid w:val="00A135FA"/>
    <w:rsid w:val="00A1388C"/>
    <w:rsid w:val="00A17BFC"/>
    <w:rsid w:val="00A2057D"/>
    <w:rsid w:val="00A20EE0"/>
    <w:rsid w:val="00A21258"/>
    <w:rsid w:val="00A22285"/>
    <w:rsid w:val="00A23E70"/>
    <w:rsid w:val="00A24312"/>
    <w:rsid w:val="00A24D4E"/>
    <w:rsid w:val="00A2534F"/>
    <w:rsid w:val="00A25A28"/>
    <w:rsid w:val="00A26BDE"/>
    <w:rsid w:val="00A272E8"/>
    <w:rsid w:val="00A3097C"/>
    <w:rsid w:val="00A31D9A"/>
    <w:rsid w:val="00A34ADE"/>
    <w:rsid w:val="00A35610"/>
    <w:rsid w:val="00A360F4"/>
    <w:rsid w:val="00A37B83"/>
    <w:rsid w:val="00A4163E"/>
    <w:rsid w:val="00A446AB"/>
    <w:rsid w:val="00A44E45"/>
    <w:rsid w:val="00A44FDF"/>
    <w:rsid w:val="00A4551D"/>
    <w:rsid w:val="00A459F6"/>
    <w:rsid w:val="00A45ADA"/>
    <w:rsid w:val="00A46A12"/>
    <w:rsid w:val="00A46D9D"/>
    <w:rsid w:val="00A472F6"/>
    <w:rsid w:val="00A47675"/>
    <w:rsid w:val="00A50BF2"/>
    <w:rsid w:val="00A51144"/>
    <w:rsid w:val="00A51D9E"/>
    <w:rsid w:val="00A522B5"/>
    <w:rsid w:val="00A522B9"/>
    <w:rsid w:val="00A5233E"/>
    <w:rsid w:val="00A52374"/>
    <w:rsid w:val="00A533D6"/>
    <w:rsid w:val="00A55FF5"/>
    <w:rsid w:val="00A563E8"/>
    <w:rsid w:val="00A5786B"/>
    <w:rsid w:val="00A62DB3"/>
    <w:rsid w:val="00A634FF"/>
    <w:rsid w:val="00A6398E"/>
    <w:rsid w:val="00A64B83"/>
    <w:rsid w:val="00A6565B"/>
    <w:rsid w:val="00A659A3"/>
    <w:rsid w:val="00A65E74"/>
    <w:rsid w:val="00A65F26"/>
    <w:rsid w:val="00A67DD6"/>
    <w:rsid w:val="00A70227"/>
    <w:rsid w:val="00A70A9B"/>
    <w:rsid w:val="00A71590"/>
    <w:rsid w:val="00A72671"/>
    <w:rsid w:val="00A7267F"/>
    <w:rsid w:val="00A730EE"/>
    <w:rsid w:val="00A7355D"/>
    <w:rsid w:val="00A75894"/>
    <w:rsid w:val="00A758E0"/>
    <w:rsid w:val="00A80A8D"/>
    <w:rsid w:val="00A810A2"/>
    <w:rsid w:val="00A81BB4"/>
    <w:rsid w:val="00A82486"/>
    <w:rsid w:val="00A8330F"/>
    <w:rsid w:val="00A84897"/>
    <w:rsid w:val="00A86324"/>
    <w:rsid w:val="00A867F4"/>
    <w:rsid w:val="00A86858"/>
    <w:rsid w:val="00A91B52"/>
    <w:rsid w:val="00A9205F"/>
    <w:rsid w:val="00A92A62"/>
    <w:rsid w:val="00A94C76"/>
    <w:rsid w:val="00A95390"/>
    <w:rsid w:val="00A95D38"/>
    <w:rsid w:val="00A960E1"/>
    <w:rsid w:val="00A968F2"/>
    <w:rsid w:val="00A97802"/>
    <w:rsid w:val="00A97914"/>
    <w:rsid w:val="00AA073B"/>
    <w:rsid w:val="00AA1AE2"/>
    <w:rsid w:val="00AA3070"/>
    <w:rsid w:val="00AA3853"/>
    <w:rsid w:val="00AA4C90"/>
    <w:rsid w:val="00AA5778"/>
    <w:rsid w:val="00AA64E5"/>
    <w:rsid w:val="00AA6928"/>
    <w:rsid w:val="00AA7432"/>
    <w:rsid w:val="00AB0309"/>
    <w:rsid w:val="00AB294B"/>
    <w:rsid w:val="00AB2B9F"/>
    <w:rsid w:val="00AB47B1"/>
    <w:rsid w:val="00AB5639"/>
    <w:rsid w:val="00AB57C3"/>
    <w:rsid w:val="00AB5AC2"/>
    <w:rsid w:val="00AB71E6"/>
    <w:rsid w:val="00AC0136"/>
    <w:rsid w:val="00AC0F40"/>
    <w:rsid w:val="00AC30A3"/>
    <w:rsid w:val="00AC6214"/>
    <w:rsid w:val="00AC69FD"/>
    <w:rsid w:val="00AC7CB4"/>
    <w:rsid w:val="00AD05AD"/>
    <w:rsid w:val="00AD0BC2"/>
    <w:rsid w:val="00AD10A9"/>
    <w:rsid w:val="00AD1184"/>
    <w:rsid w:val="00AD2AC8"/>
    <w:rsid w:val="00AD53CE"/>
    <w:rsid w:val="00AD6072"/>
    <w:rsid w:val="00AD727E"/>
    <w:rsid w:val="00AE2121"/>
    <w:rsid w:val="00AE281A"/>
    <w:rsid w:val="00AE2F16"/>
    <w:rsid w:val="00AE337E"/>
    <w:rsid w:val="00AE4990"/>
    <w:rsid w:val="00AE57C2"/>
    <w:rsid w:val="00AE6B9D"/>
    <w:rsid w:val="00AF0FEC"/>
    <w:rsid w:val="00AF32FC"/>
    <w:rsid w:val="00AF356B"/>
    <w:rsid w:val="00AF40A0"/>
    <w:rsid w:val="00AF4469"/>
    <w:rsid w:val="00AF4673"/>
    <w:rsid w:val="00AF5261"/>
    <w:rsid w:val="00AF58DF"/>
    <w:rsid w:val="00AF6F8A"/>
    <w:rsid w:val="00AF7DDE"/>
    <w:rsid w:val="00B00E62"/>
    <w:rsid w:val="00B0175F"/>
    <w:rsid w:val="00B01EFD"/>
    <w:rsid w:val="00B02854"/>
    <w:rsid w:val="00B040D2"/>
    <w:rsid w:val="00B04DCA"/>
    <w:rsid w:val="00B060E6"/>
    <w:rsid w:val="00B067B5"/>
    <w:rsid w:val="00B068D5"/>
    <w:rsid w:val="00B06EEF"/>
    <w:rsid w:val="00B07EB6"/>
    <w:rsid w:val="00B102C3"/>
    <w:rsid w:val="00B117E6"/>
    <w:rsid w:val="00B11E24"/>
    <w:rsid w:val="00B12388"/>
    <w:rsid w:val="00B1267B"/>
    <w:rsid w:val="00B127E6"/>
    <w:rsid w:val="00B174CB"/>
    <w:rsid w:val="00B20737"/>
    <w:rsid w:val="00B20C88"/>
    <w:rsid w:val="00B22CA5"/>
    <w:rsid w:val="00B246AD"/>
    <w:rsid w:val="00B25369"/>
    <w:rsid w:val="00B260A8"/>
    <w:rsid w:val="00B34459"/>
    <w:rsid w:val="00B35AD6"/>
    <w:rsid w:val="00B3651C"/>
    <w:rsid w:val="00B42DB2"/>
    <w:rsid w:val="00B44CFD"/>
    <w:rsid w:val="00B46C5A"/>
    <w:rsid w:val="00B46EDF"/>
    <w:rsid w:val="00B47F66"/>
    <w:rsid w:val="00B51107"/>
    <w:rsid w:val="00B51947"/>
    <w:rsid w:val="00B52119"/>
    <w:rsid w:val="00B52AD1"/>
    <w:rsid w:val="00B542BC"/>
    <w:rsid w:val="00B577B8"/>
    <w:rsid w:val="00B5782F"/>
    <w:rsid w:val="00B57E00"/>
    <w:rsid w:val="00B60546"/>
    <w:rsid w:val="00B609AA"/>
    <w:rsid w:val="00B61960"/>
    <w:rsid w:val="00B62CE5"/>
    <w:rsid w:val="00B632F9"/>
    <w:rsid w:val="00B659A8"/>
    <w:rsid w:val="00B665BE"/>
    <w:rsid w:val="00B67BE1"/>
    <w:rsid w:val="00B7364E"/>
    <w:rsid w:val="00B73C87"/>
    <w:rsid w:val="00B73F37"/>
    <w:rsid w:val="00B76D93"/>
    <w:rsid w:val="00B807E9"/>
    <w:rsid w:val="00B85359"/>
    <w:rsid w:val="00B85DF0"/>
    <w:rsid w:val="00B86426"/>
    <w:rsid w:val="00B8672E"/>
    <w:rsid w:val="00B86FB6"/>
    <w:rsid w:val="00B90E19"/>
    <w:rsid w:val="00B911C4"/>
    <w:rsid w:val="00B921CF"/>
    <w:rsid w:val="00B92883"/>
    <w:rsid w:val="00B933B1"/>
    <w:rsid w:val="00B93514"/>
    <w:rsid w:val="00B935B2"/>
    <w:rsid w:val="00B94E9E"/>
    <w:rsid w:val="00B96424"/>
    <w:rsid w:val="00BA2BC1"/>
    <w:rsid w:val="00BA310B"/>
    <w:rsid w:val="00BA32A3"/>
    <w:rsid w:val="00BA53CC"/>
    <w:rsid w:val="00BA6AD3"/>
    <w:rsid w:val="00BA6F55"/>
    <w:rsid w:val="00BA77DF"/>
    <w:rsid w:val="00BB0BC8"/>
    <w:rsid w:val="00BB3FF2"/>
    <w:rsid w:val="00BB4429"/>
    <w:rsid w:val="00BB5C8D"/>
    <w:rsid w:val="00BB768C"/>
    <w:rsid w:val="00BB7EAD"/>
    <w:rsid w:val="00BC0691"/>
    <w:rsid w:val="00BC16C3"/>
    <w:rsid w:val="00BC1805"/>
    <w:rsid w:val="00BC3055"/>
    <w:rsid w:val="00BC4458"/>
    <w:rsid w:val="00BC570B"/>
    <w:rsid w:val="00BD0716"/>
    <w:rsid w:val="00BD0A24"/>
    <w:rsid w:val="00BD1440"/>
    <w:rsid w:val="00BD1AEC"/>
    <w:rsid w:val="00BD293F"/>
    <w:rsid w:val="00BD327B"/>
    <w:rsid w:val="00BD32FB"/>
    <w:rsid w:val="00BD4BE0"/>
    <w:rsid w:val="00BD4E5D"/>
    <w:rsid w:val="00BD574B"/>
    <w:rsid w:val="00BD65B0"/>
    <w:rsid w:val="00BD6F5A"/>
    <w:rsid w:val="00BD7E68"/>
    <w:rsid w:val="00BE041F"/>
    <w:rsid w:val="00BE6A98"/>
    <w:rsid w:val="00BE7877"/>
    <w:rsid w:val="00BF03C8"/>
    <w:rsid w:val="00BF0ED7"/>
    <w:rsid w:val="00BF1D1E"/>
    <w:rsid w:val="00BF1F2A"/>
    <w:rsid w:val="00BF1F42"/>
    <w:rsid w:val="00BF3657"/>
    <w:rsid w:val="00BF48F6"/>
    <w:rsid w:val="00BF59DF"/>
    <w:rsid w:val="00BF6220"/>
    <w:rsid w:val="00BF629C"/>
    <w:rsid w:val="00BF67A7"/>
    <w:rsid w:val="00BF7927"/>
    <w:rsid w:val="00C011BB"/>
    <w:rsid w:val="00C019C9"/>
    <w:rsid w:val="00C03BA4"/>
    <w:rsid w:val="00C0658D"/>
    <w:rsid w:val="00C06C8B"/>
    <w:rsid w:val="00C06D58"/>
    <w:rsid w:val="00C06DF8"/>
    <w:rsid w:val="00C07BD0"/>
    <w:rsid w:val="00C109F5"/>
    <w:rsid w:val="00C1146F"/>
    <w:rsid w:val="00C11707"/>
    <w:rsid w:val="00C11A4D"/>
    <w:rsid w:val="00C1209E"/>
    <w:rsid w:val="00C120E1"/>
    <w:rsid w:val="00C1395A"/>
    <w:rsid w:val="00C14B76"/>
    <w:rsid w:val="00C1588D"/>
    <w:rsid w:val="00C2108B"/>
    <w:rsid w:val="00C22A44"/>
    <w:rsid w:val="00C22B38"/>
    <w:rsid w:val="00C22E8B"/>
    <w:rsid w:val="00C257CD"/>
    <w:rsid w:val="00C27737"/>
    <w:rsid w:val="00C30EFC"/>
    <w:rsid w:val="00C32944"/>
    <w:rsid w:val="00C33184"/>
    <w:rsid w:val="00C34124"/>
    <w:rsid w:val="00C35166"/>
    <w:rsid w:val="00C3542E"/>
    <w:rsid w:val="00C355A3"/>
    <w:rsid w:val="00C35F00"/>
    <w:rsid w:val="00C36FD3"/>
    <w:rsid w:val="00C4184A"/>
    <w:rsid w:val="00C45280"/>
    <w:rsid w:val="00C4607C"/>
    <w:rsid w:val="00C46571"/>
    <w:rsid w:val="00C47000"/>
    <w:rsid w:val="00C47BDC"/>
    <w:rsid w:val="00C52C3F"/>
    <w:rsid w:val="00C52C8F"/>
    <w:rsid w:val="00C54C6F"/>
    <w:rsid w:val="00C55885"/>
    <w:rsid w:val="00C5603D"/>
    <w:rsid w:val="00C565BB"/>
    <w:rsid w:val="00C57072"/>
    <w:rsid w:val="00C57142"/>
    <w:rsid w:val="00C57B88"/>
    <w:rsid w:val="00C60503"/>
    <w:rsid w:val="00C614CD"/>
    <w:rsid w:val="00C63209"/>
    <w:rsid w:val="00C650B0"/>
    <w:rsid w:val="00C662B4"/>
    <w:rsid w:val="00C715C6"/>
    <w:rsid w:val="00C72619"/>
    <w:rsid w:val="00C7380B"/>
    <w:rsid w:val="00C73E55"/>
    <w:rsid w:val="00C74B04"/>
    <w:rsid w:val="00C7658C"/>
    <w:rsid w:val="00C775B0"/>
    <w:rsid w:val="00C77D5C"/>
    <w:rsid w:val="00C80227"/>
    <w:rsid w:val="00C81B68"/>
    <w:rsid w:val="00C81CFB"/>
    <w:rsid w:val="00C82AE0"/>
    <w:rsid w:val="00C838F2"/>
    <w:rsid w:val="00C83D0A"/>
    <w:rsid w:val="00C83D45"/>
    <w:rsid w:val="00C86103"/>
    <w:rsid w:val="00C9125E"/>
    <w:rsid w:val="00C926F3"/>
    <w:rsid w:val="00C951FF"/>
    <w:rsid w:val="00C95392"/>
    <w:rsid w:val="00C9582E"/>
    <w:rsid w:val="00C97480"/>
    <w:rsid w:val="00CA183D"/>
    <w:rsid w:val="00CA498C"/>
    <w:rsid w:val="00CA5B69"/>
    <w:rsid w:val="00CA602C"/>
    <w:rsid w:val="00CA6C58"/>
    <w:rsid w:val="00CA719B"/>
    <w:rsid w:val="00CA72D2"/>
    <w:rsid w:val="00CA78B7"/>
    <w:rsid w:val="00CB088E"/>
    <w:rsid w:val="00CB0BBE"/>
    <w:rsid w:val="00CB26CE"/>
    <w:rsid w:val="00CB5856"/>
    <w:rsid w:val="00CB6044"/>
    <w:rsid w:val="00CB68DE"/>
    <w:rsid w:val="00CB7CB8"/>
    <w:rsid w:val="00CC073E"/>
    <w:rsid w:val="00CC14BC"/>
    <w:rsid w:val="00CC1ADF"/>
    <w:rsid w:val="00CC4078"/>
    <w:rsid w:val="00CC6233"/>
    <w:rsid w:val="00CD05D6"/>
    <w:rsid w:val="00CD0DB9"/>
    <w:rsid w:val="00CD1A6B"/>
    <w:rsid w:val="00CD1E7B"/>
    <w:rsid w:val="00CD2873"/>
    <w:rsid w:val="00CD3AD6"/>
    <w:rsid w:val="00CD4399"/>
    <w:rsid w:val="00CD4787"/>
    <w:rsid w:val="00CD5BD2"/>
    <w:rsid w:val="00CD6CFD"/>
    <w:rsid w:val="00CD7947"/>
    <w:rsid w:val="00CD7C41"/>
    <w:rsid w:val="00CE0878"/>
    <w:rsid w:val="00CE2188"/>
    <w:rsid w:val="00CE222E"/>
    <w:rsid w:val="00CE4051"/>
    <w:rsid w:val="00CE44E0"/>
    <w:rsid w:val="00CE566E"/>
    <w:rsid w:val="00CE6316"/>
    <w:rsid w:val="00CE6482"/>
    <w:rsid w:val="00CE65F5"/>
    <w:rsid w:val="00CE68B0"/>
    <w:rsid w:val="00CF263C"/>
    <w:rsid w:val="00CF3565"/>
    <w:rsid w:val="00CF548A"/>
    <w:rsid w:val="00CF7BB5"/>
    <w:rsid w:val="00D006A1"/>
    <w:rsid w:val="00D02AA7"/>
    <w:rsid w:val="00D03D66"/>
    <w:rsid w:val="00D03E0E"/>
    <w:rsid w:val="00D04780"/>
    <w:rsid w:val="00D06047"/>
    <w:rsid w:val="00D061B7"/>
    <w:rsid w:val="00D06940"/>
    <w:rsid w:val="00D069C0"/>
    <w:rsid w:val="00D071EC"/>
    <w:rsid w:val="00D10DA6"/>
    <w:rsid w:val="00D114FF"/>
    <w:rsid w:val="00D13D82"/>
    <w:rsid w:val="00D142A8"/>
    <w:rsid w:val="00D146DC"/>
    <w:rsid w:val="00D14F97"/>
    <w:rsid w:val="00D16240"/>
    <w:rsid w:val="00D22B78"/>
    <w:rsid w:val="00D23E69"/>
    <w:rsid w:val="00D24E21"/>
    <w:rsid w:val="00D2677C"/>
    <w:rsid w:val="00D26C97"/>
    <w:rsid w:val="00D27055"/>
    <w:rsid w:val="00D279F3"/>
    <w:rsid w:val="00D3002F"/>
    <w:rsid w:val="00D3043D"/>
    <w:rsid w:val="00D3067F"/>
    <w:rsid w:val="00D30773"/>
    <w:rsid w:val="00D313D9"/>
    <w:rsid w:val="00D317B4"/>
    <w:rsid w:val="00D3221A"/>
    <w:rsid w:val="00D34AA7"/>
    <w:rsid w:val="00D357DF"/>
    <w:rsid w:val="00D3595B"/>
    <w:rsid w:val="00D364D4"/>
    <w:rsid w:val="00D405FA"/>
    <w:rsid w:val="00D4076B"/>
    <w:rsid w:val="00D42332"/>
    <w:rsid w:val="00D43E62"/>
    <w:rsid w:val="00D4569C"/>
    <w:rsid w:val="00D47970"/>
    <w:rsid w:val="00D50951"/>
    <w:rsid w:val="00D51026"/>
    <w:rsid w:val="00D5155F"/>
    <w:rsid w:val="00D5162E"/>
    <w:rsid w:val="00D51AB2"/>
    <w:rsid w:val="00D52321"/>
    <w:rsid w:val="00D52FD8"/>
    <w:rsid w:val="00D545C6"/>
    <w:rsid w:val="00D61874"/>
    <w:rsid w:val="00D62DA8"/>
    <w:rsid w:val="00D63772"/>
    <w:rsid w:val="00D64965"/>
    <w:rsid w:val="00D66263"/>
    <w:rsid w:val="00D66A8F"/>
    <w:rsid w:val="00D67DA6"/>
    <w:rsid w:val="00D704A1"/>
    <w:rsid w:val="00D7249C"/>
    <w:rsid w:val="00D729F3"/>
    <w:rsid w:val="00D7492D"/>
    <w:rsid w:val="00D75370"/>
    <w:rsid w:val="00D757F6"/>
    <w:rsid w:val="00D75E46"/>
    <w:rsid w:val="00D76694"/>
    <w:rsid w:val="00D768F2"/>
    <w:rsid w:val="00D76DA9"/>
    <w:rsid w:val="00D76F93"/>
    <w:rsid w:val="00D8030F"/>
    <w:rsid w:val="00D82647"/>
    <w:rsid w:val="00D831A0"/>
    <w:rsid w:val="00D839FE"/>
    <w:rsid w:val="00D84291"/>
    <w:rsid w:val="00D8434F"/>
    <w:rsid w:val="00D919DE"/>
    <w:rsid w:val="00D920E3"/>
    <w:rsid w:val="00D92855"/>
    <w:rsid w:val="00D952E1"/>
    <w:rsid w:val="00D95C2C"/>
    <w:rsid w:val="00D9705D"/>
    <w:rsid w:val="00D97A16"/>
    <w:rsid w:val="00D97E3B"/>
    <w:rsid w:val="00DA0E82"/>
    <w:rsid w:val="00DA1360"/>
    <w:rsid w:val="00DA208D"/>
    <w:rsid w:val="00DA3E96"/>
    <w:rsid w:val="00DA6A71"/>
    <w:rsid w:val="00DB1F44"/>
    <w:rsid w:val="00DB355E"/>
    <w:rsid w:val="00DB464F"/>
    <w:rsid w:val="00DB7331"/>
    <w:rsid w:val="00DC524D"/>
    <w:rsid w:val="00DC6914"/>
    <w:rsid w:val="00DC6D2A"/>
    <w:rsid w:val="00DC7E01"/>
    <w:rsid w:val="00DD0CEB"/>
    <w:rsid w:val="00DD0F64"/>
    <w:rsid w:val="00DD3B71"/>
    <w:rsid w:val="00DD5B94"/>
    <w:rsid w:val="00DD724D"/>
    <w:rsid w:val="00DE1A99"/>
    <w:rsid w:val="00DE23F9"/>
    <w:rsid w:val="00DE24D6"/>
    <w:rsid w:val="00DE3B6D"/>
    <w:rsid w:val="00DE4842"/>
    <w:rsid w:val="00DE5501"/>
    <w:rsid w:val="00DE5A0D"/>
    <w:rsid w:val="00DE5A36"/>
    <w:rsid w:val="00DE64E6"/>
    <w:rsid w:val="00DE6CFA"/>
    <w:rsid w:val="00DE6FA0"/>
    <w:rsid w:val="00DE7EE0"/>
    <w:rsid w:val="00DF00DE"/>
    <w:rsid w:val="00DF20B3"/>
    <w:rsid w:val="00DF502B"/>
    <w:rsid w:val="00DF58C0"/>
    <w:rsid w:val="00DF5D8A"/>
    <w:rsid w:val="00DF6263"/>
    <w:rsid w:val="00DF78C3"/>
    <w:rsid w:val="00E05E4D"/>
    <w:rsid w:val="00E10366"/>
    <w:rsid w:val="00E113B0"/>
    <w:rsid w:val="00E12759"/>
    <w:rsid w:val="00E13386"/>
    <w:rsid w:val="00E133EE"/>
    <w:rsid w:val="00E15035"/>
    <w:rsid w:val="00E1558B"/>
    <w:rsid w:val="00E15DF5"/>
    <w:rsid w:val="00E20C23"/>
    <w:rsid w:val="00E21B9C"/>
    <w:rsid w:val="00E22AD9"/>
    <w:rsid w:val="00E239BD"/>
    <w:rsid w:val="00E25E61"/>
    <w:rsid w:val="00E264EC"/>
    <w:rsid w:val="00E26D6A"/>
    <w:rsid w:val="00E26E62"/>
    <w:rsid w:val="00E30FD5"/>
    <w:rsid w:val="00E31615"/>
    <w:rsid w:val="00E338EF"/>
    <w:rsid w:val="00E362A8"/>
    <w:rsid w:val="00E36D33"/>
    <w:rsid w:val="00E428C1"/>
    <w:rsid w:val="00E428C6"/>
    <w:rsid w:val="00E42AEE"/>
    <w:rsid w:val="00E43AF9"/>
    <w:rsid w:val="00E460AD"/>
    <w:rsid w:val="00E4666E"/>
    <w:rsid w:val="00E5091D"/>
    <w:rsid w:val="00E50A07"/>
    <w:rsid w:val="00E52073"/>
    <w:rsid w:val="00E56F36"/>
    <w:rsid w:val="00E57E1F"/>
    <w:rsid w:val="00E62381"/>
    <w:rsid w:val="00E63812"/>
    <w:rsid w:val="00E641E4"/>
    <w:rsid w:val="00E662FB"/>
    <w:rsid w:val="00E66845"/>
    <w:rsid w:val="00E67578"/>
    <w:rsid w:val="00E70223"/>
    <w:rsid w:val="00E7126E"/>
    <w:rsid w:val="00E7410C"/>
    <w:rsid w:val="00E74D30"/>
    <w:rsid w:val="00E76848"/>
    <w:rsid w:val="00E804AC"/>
    <w:rsid w:val="00E827D3"/>
    <w:rsid w:val="00E84BBC"/>
    <w:rsid w:val="00E86C82"/>
    <w:rsid w:val="00E86E16"/>
    <w:rsid w:val="00E90372"/>
    <w:rsid w:val="00E91665"/>
    <w:rsid w:val="00E925B7"/>
    <w:rsid w:val="00E92CE5"/>
    <w:rsid w:val="00E92EFC"/>
    <w:rsid w:val="00E93E7A"/>
    <w:rsid w:val="00E94649"/>
    <w:rsid w:val="00E96A1E"/>
    <w:rsid w:val="00E971D5"/>
    <w:rsid w:val="00EA0B74"/>
    <w:rsid w:val="00EA2FF3"/>
    <w:rsid w:val="00EA313D"/>
    <w:rsid w:val="00EA3FA3"/>
    <w:rsid w:val="00EA568F"/>
    <w:rsid w:val="00EA6042"/>
    <w:rsid w:val="00EA72CB"/>
    <w:rsid w:val="00EB0219"/>
    <w:rsid w:val="00EB17D7"/>
    <w:rsid w:val="00EB1B0B"/>
    <w:rsid w:val="00EB2961"/>
    <w:rsid w:val="00EB2A86"/>
    <w:rsid w:val="00EB4DBB"/>
    <w:rsid w:val="00EB50B1"/>
    <w:rsid w:val="00EB5377"/>
    <w:rsid w:val="00EB6C82"/>
    <w:rsid w:val="00EC07C8"/>
    <w:rsid w:val="00EC14ED"/>
    <w:rsid w:val="00EC1669"/>
    <w:rsid w:val="00EC3C38"/>
    <w:rsid w:val="00EC4E8E"/>
    <w:rsid w:val="00ED1D0A"/>
    <w:rsid w:val="00ED21A9"/>
    <w:rsid w:val="00ED2410"/>
    <w:rsid w:val="00ED3320"/>
    <w:rsid w:val="00ED5506"/>
    <w:rsid w:val="00ED5B21"/>
    <w:rsid w:val="00ED6157"/>
    <w:rsid w:val="00ED6879"/>
    <w:rsid w:val="00ED7943"/>
    <w:rsid w:val="00ED7C1B"/>
    <w:rsid w:val="00EE16CB"/>
    <w:rsid w:val="00EE17D4"/>
    <w:rsid w:val="00EE24AD"/>
    <w:rsid w:val="00EE27B9"/>
    <w:rsid w:val="00EE3B80"/>
    <w:rsid w:val="00EE4A10"/>
    <w:rsid w:val="00EE5131"/>
    <w:rsid w:val="00EE540D"/>
    <w:rsid w:val="00EE56E5"/>
    <w:rsid w:val="00EE6FD9"/>
    <w:rsid w:val="00EE7C1C"/>
    <w:rsid w:val="00EF1BD4"/>
    <w:rsid w:val="00EF1EA6"/>
    <w:rsid w:val="00EF47F5"/>
    <w:rsid w:val="00EF48C8"/>
    <w:rsid w:val="00EF49BB"/>
    <w:rsid w:val="00EF5925"/>
    <w:rsid w:val="00EF5C39"/>
    <w:rsid w:val="00F03069"/>
    <w:rsid w:val="00F049C7"/>
    <w:rsid w:val="00F05B19"/>
    <w:rsid w:val="00F0725C"/>
    <w:rsid w:val="00F0794E"/>
    <w:rsid w:val="00F109D8"/>
    <w:rsid w:val="00F149E9"/>
    <w:rsid w:val="00F15172"/>
    <w:rsid w:val="00F1547A"/>
    <w:rsid w:val="00F15D60"/>
    <w:rsid w:val="00F1613D"/>
    <w:rsid w:val="00F16C16"/>
    <w:rsid w:val="00F17A52"/>
    <w:rsid w:val="00F17DAE"/>
    <w:rsid w:val="00F20E2B"/>
    <w:rsid w:val="00F218A8"/>
    <w:rsid w:val="00F25397"/>
    <w:rsid w:val="00F255DE"/>
    <w:rsid w:val="00F25BF1"/>
    <w:rsid w:val="00F27846"/>
    <w:rsid w:val="00F30417"/>
    <w:rsid w:val="00F30E4C"/>
    <w:rsid w:val="00F313E7"/>
    <w:rsid w:val="00F31B7A"/>
    <w:rsid w:val="00F32023"/>
    <w:rsid w:val="00F32777"/>
    <w:rsid w:val="00F33285"/>
    <w:rsid w:val="00F33C4E"/>
    <w:rsid w:val="00F33C69"/>
    <w:rsid w:val="00F3431A"/>
    <w:rsid w:val="00F34F08"/>
    <w:rsid w:val="00F37EB3"/>
    <w:rsid w:val="00F37F3A"/>
    <w:rsid w:val="00F4416C"/>
    <w:rsid w:val="00F44968"/>
    <w:rsid w:val="00F50B09"/>
    <w:rsid w:val="00F50B48"/>
    <w:rsid w:val="00F51496"/>
    <w:rsid w:val="00F54545"/>
    <w:rsid w:val="00F567BB"/>
    <w:rsid w:val="00F56E60"/>
    <w:rsid w:val="00F60BE3"/>
    <w:rsid w:val="00F60DE5"/>
    <w:rsid w:val="00F6293B"/>
    <w:rsid w:val="00F636D6"/>
    <w:rsid w:val="00F639C2"/>
    <w:rsid w:val="00F64490"/>
    <w:rsid w:val="00F64ECD"/>
    <w:rsid w:val="00F654D9"/>
    <w:rsid w:val="00F6626B"/>
    <w:rsid w:val="00F67E75"/>
    <w:rsid w:val="00F700C5"/>
    <w:rsid w:val="00F70AAD"/>
    <w:rsid w:val="00F70B6F"/>
    <w:rsid w:val="00F70E74"/>
    <w:rsid w:val="00F71584"/>
    <w:rsid w:val="00F72D5C"/>
    <w:rsid w:val="00F73118"/>
    <w:rsid w:val="00F76765"/>
    <w:rsid w:val="00F76C9F"/>
    <w:rsid w:val="00F76DF1"/>
    <w:rsid w:val="00F77938"/>
    <w:rsid w:val="00F802B7"/>
    <w:rsid w:val="00F8169A"/>
    <w:rsid w:val="00F82200"/>
    <w:rsid w:val="00F82F62"/>
    <w:rsid w:val="00F8332A"/>
    <w:rsid w:val="00F83E68"/>
    <w:rsid w:val="00F85A29"/>
    <w:rsid w:val="00F85B8D"/>
    <w:rsid w:val="00F85D48"/>
    <w:rsid w:val="00F86ACA"/>
    <w:rsid w:val="00F86BB7"/>
    <w:rsid w:val="00F87183"/>
    <w:rsid w:val="00F87556"/>
    <w:rsid w:val="00F87885"/>
    <w:rsid w:val="00F964CA"/>
    <w:rsid w:val="00F966E4"/>
    <w:rsid w:val="00F96F18"/>
    <w:rsid w:val="00FA025C"/>
    <w:rsid w:val="00FA1414"/>
    <w:rsid w:val="00FA1B80"/>
    <w:rsid w:val="00FA1EC2"/>
    <w:rsid w:val="00FA6264"/>
    <w:rsid w:val="00FA6429"/>
    <w:rsid w:val="00FA6B72"/>
    <w:rsid w:val="00FA6D53"/>
    <w:rsid w:val="00FA7442"/>
    <w:rsid w:val="00FA7E3A"/>
    <w:rsid w:val="00FB0559"/>
    <w:rsid w:val="00FB0A0F"/>
    <w:rsid w:val="00FB19F2"/>
    <w:rsid w:val="00FB5434"/>
    <w:rsid w:val="00FB543B"/>
    <w:rsid w:val="00FB5EA3"/>
    <w:rsid w:val="00FC01D8"/>
    <w:rsid w:val="00FC0A2C"/>
    <w:rsid w:val="00FC0A7D"/>
    <w:rsid w:val="00FC2D01"/>
    <w:rsid w:val="00FC3402"/>
    <w:rsid w:val="00FC36C1"/>
    <w:rsid w:val="00FC53B7"/>
    <w:rsid w:val="00FC552E"/>
    <w:rsid w:val="00FC7FA9"/>
    <w:rsid w:val="00FD1BB8"/>
    <w:rsid w:val="00FD4F86"/>
    <w:rsid w:val="00FD506B"/>
    <w:rsid w:val="00FD7A79"/>
    <w:rsid w:val="00FE0D96"/>
    <w:rsid w:val="00FE22AE"/>
    <w:rsid w:val="00FE28AF"/>
    <w:rsid w:val="00FE301F"/>
    <w:rsid w:val="00FE39BB"/>
    <w:rsid w:val="00FE3F2B"/>
    <w:rsid w:val="00FE401B"/>
    <w:rsid w:val="00FE4BD7"/>
    <w:rsid w:val="00FE5A09"/>
    <w:rsid w:val="00FE5E44"/>
    <w:rsid w:val="00FE6A32"/>
    <w:rsid w:val="00FE7330"/>
    <w:rsid w:val="00FE7B07"/>
    <w:rsid w:val="00FF1C59"/>
    <w:rsid w:val="00FF27BB"/>
    <w:rsid w:val="00FF2B13"/>
    <w:rsid w:val="00FF4896"/>
    <w:rsid w:val="00FF5058"/>
    <w:rsid w:val="00FF5154"/>
    <w:rsid w:val="00FF598A"/>
    <w:rsid w:val="00FF7E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5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character" w:styleId="CommentReference">
    <w:name w:val="annotation reference"/>
    <w:basedOn w:val="DefaultParagraphFont"/>
    <w:unhideWhenUsed/>
    <w:rsid w:val="00DE6CFA"/>
    <w:rPr>
      <w:sz w:val="16"/>
      <w:szCs w:val="16"/>
    </w:rPr>
  </w:style>
  <w:style w:type="paragraph" w:styleId="CommentText">
    <w:name w:val="annotation text"/>
    <w:basedOn w:val="Normal"/>
    <w:link w:val="CommentTextChar"/>
    <w:unhideWhenUsed/>
    <w:rsid w:val="00DE6CFA"/>
    <w:rPr>
      <w:sz w:val="20"/>
      <w:szCs w:val="20"/>
    </w:rPr>
  </w:style>
  <w:style w:type="character" w:customStyle="1" w:styleId="CommentTextChar">
    <w:name w:val="Comment Text Char"/>
    <w:basedOn w:val="DefaultParagraphFont"/>
    <w:link w:val="CommentText"/>
    <w:rsid w:val="00DE6CFA"/>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nhideWhenUsed/>
    <w:rsid w:val="00DE6CFA"/>
    <w:rPr>
      <w:b/>
      <w:bCs/>
    </w:rPr>
  </w:style>
  <w:style w:type="character" w:customStyle="1" w:styleId="CommentSubjectChar">
    <w:name w:val="Comment Subject Char"/>
    <w:basedOn w:val="CommentTextChar"/>
    <w:link w:val="CommentSubject"/>
    <w:rsid w:val="00DE6CFA"/>
    <w:rPr>
      <w:rFonts w:ascii="Times New Roman" w:hAnsi="Times New Roman" w:cs="Times New Roman"/>
      <w:b/>
      <w:bCs/>
      <w:sz w:val="20"/>
      <w:szCs w:val="20"/>
      <w:lang w:val="lv-LV"/>
    </w:rPr>
  </w:style>
  <w:style w:type="paragraph" w:styleId="BalloonText">
    <w:name w:val="Balloon Text"/>
    <w:basedOn w:val="Normal"/>
    <w:link w:val="BalloonTextChar"/>
    <w:unhideWhenUsed/>
    <w:rsid w:val="00DE6CFA"/>
    <w:pPr>
      <w:spacing w:before="0" w:after="0"/>
    </w:pPr>
    <w:rPr>
      <w:rFonts w:ascii="Tahoma" w:hAnsi="Tahoma" w:cs="Tahoma"/>
      <w:sz w:val="16"/>
      <w:szCs w:val="16"/>
    </w:rPr>
  </w:style>
  <w:style w:type="character" w:customStyle="1" w:styleId="BalloonTextChar">
    <w:name w:val="Balloon Text Char"/>
    <w:basedOn w:val="DefaultParagraphFont"/>
    <w:link w:val="BalloonText"/>
    <w:rsid w:val="00DE6CFA"/>
    <w:rPr>
      <w:rFonts w:ascii="Tahoma" w:hAnsi="Tahoma" w:cs="Tahoma"/>
      <w:sz w:val="16"/>
      <w:szCs w:val="16"/>
      <w:lang w:val="lv-LV"/>
    </w:rPr>
  </w:style>
  <w:style w:type="paragraph" w:styleId="Revision">
    <w:name w:val="Revision"/>
    <w:hidden/>
    <w:uiPriority w:val="99"/>
    <w:semiHidden/>
    <w:rsid w:val="00DE6CFA"/>
    <w:pPr>
      <w:spacing w:after="0" w:line="240" w:lineRule="auto"/>
    </w:pPr>
    <w:rPr>
      <w:rFonts w:ascii="Times New Roman" w:hAnsi="Times New Roman" w:cs="Times New Roman"/>
      <w:sz w:val="24"/>
    </w:rPr>
  </w:style>
  <w:style w:type="paragraph" w:styleId="ListBullet">
    <w:name w:val="List Bullet"/>
    <w:basedOn w:val="Normal"/>
    <w:unhideWhenUsed/>
    <w:rsid w:val="005D1F5C"/>
    <w:pPr>
      <w:numPr>
        <w:numId w:val="2"/>
      </w:numPr>
      <w:contextualSpacing/>
    </w:pPr>
  </w:style>
  <w:style w:type="paragraph" w:styleId="ListBullet2">
    <w:name w:val="List Bullet 2"/>
    <w:basedOn w:val="Normal"/>
    <w:unhideWhenUsed/>
    <w:rsid w:val="005D1F5C"/>
    <w:pPr>
      <w:numPr>
        <w:numId w:val="3"/>
      </w:numPr>
      <w:contextualSpacing/>
    </w:pPr>
  </w:style>
  <w:style w:type="paragraph" w:styleId="ListBullet3">
    <w:name w:val="List Bullet 3"/>
    <w:basedOn w:val="Normal"/>
    <w:unhideWhenUsed/>
    <w:rsid w:val="005D1F5C"/>
    <w:pPr>
      <w:numPr>
        <w:numId w:val="4"/>
      </w:numPr>
      <w:contextualSpacing/>
    </w:pPr>
  </w:style>
  <w:style w:type="paragraph" w:styleId="ListBullet4">
    <w:name w:val="List Bullet 4"/>
    <w:basedOn w:val="Normal"/>
    <w:unhideWhenUsed/>
    <w:rsid w:val="005D1F5C"/>
    <w:pPr>
      <w:numPr>
        <w:numId w:val="5"/>
      </w:numPr>
      <w:contextualSpacing/>
    </w:pPr>
  </w:style>
  <w:style w:type="character" w:styleId="Hyperlink">
    <w:name w:val="Hyperlink"/>
    <w:basedOn w:val="DefaultParagraphFont"/>
    <w:unhideWhenUsed/>
    <w:rsid w:val="00E74D30"/>
    <w:rPr>
      <w:color w:val="0000FF" w:themeColor="hyperlink"/>
      <w:u w:val="single"/>
    </w:rPr>
  </w:style>
  <w:style w:type="character" w:styleId="FollowedHyperlink">
    <w:name w:val="FollowedHyperlink"/>
    <w:basedOn w:val="DefaultParagraphFont"/>
    <w:unhideWhenUsed/>
    <w:rsid w:val="00E74D30"/>
    <w:rPr>
      <w:color w:val="800080" w:themeColor="followedHyperlink"/>
      <w:u w:val="single"/>
    </w:rPr>
  </w:style>
  <w:style w:type="character" w:customStyle="1" w:styleId="italic1">
    <w:name w:val="italic1"/>
    <w:basedOn w:val="DefaultParagraphFont"/>
    <w:rsid w:val="00247593"/>
    <w:rPr>
      <w:i/>
      <w:iCs/>
    </w:rPr>
  </w:style>
  <w:style w:type="paragraph" w:styleId="ListParagraph">
    <w:name w:val="List Paragraph"/>
    <w:aliases w:val="Table/Figure Heading,Listeafsnit"/>
    <w:basedOn w:val="Normal"/>
    <w:link w:val="ListParagraphChar"/>
    <w:uiPriority w:val="67"/>
    <w:qFormat/>
    <w:rsid w:val="00612219"/>
    <w:pPr>
      <w:ind w:left="720"/>
      <w:contextualSpacing/>
    </w:pPr>
  </w:style>
  <w:style w:type="paragraph" w:customStyle="1" w:styleId="CM1">
    <w:name w:val="CM1"/>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rsid w:val="00E57E1F"/>
    <w:pPr>
      <w:spacing w:before="100" w:beforeAutospacing="1" w:after="100" w:afterAutospacing="1"/>
      <w:jc w:val="left"/>
    </w:pPr>
    <w:rPr>
      <w:rFonts w:eastAsia="Times New Roman"/>
      <w:szCs w:val="24"/>
    </w:rPr>
  </w:style>
  <w:style w:type="paragraph" w:customStyle="1" w:styleId="stitle-article-norm">
    <w:name w:val="stitle-article-norm"/>
    <w:basedOn w:val="Normal"/>
    <w:rsid w:val="00E57E1F"/>
    <w:pPr>
      <w:spacing w:before="100" w:beforeAutospacing="1" w:after="100" w:afterAutospacing="1"/>
      <w:jc w:val="left"/>
    </w:pPr>
    <w:rPr>
      <w:rFonts w:eastAsia="Times New Roman"/>
      <w:szCs w:val="24"/>
    </w:rPr>
  </w:style>
  <w:style w:type="paragraph" w:customStyle="1" w:styleId="norm">
    <w:name w:val="norm"/>
    <w:basedOn w:val="Normal"/>
    <w:rsid w:val="00E57E1F"/>
    <w:pPr>
      <w:spacing w:before="100" w:beforeAutospacing="1" w:after="100" w:afterAutospacing="1"/>
      <w:jc w:val="left"/>
    </w:pPr>
    <w:rPr>
      <w:rFonts w:eastAsia="Times New Roman"/>
      <w:szCs w:val="24"/>
    </w:rPr>
  </w:style>
  <w:style w:type="paragraph" w:customStyle="1" w:styleId="CM4">
    <w:name w:val="CM4"/>
    <w:basedOn w:val="Normal"/>
    <w:next w:val="Normal"/>
    <w:uiPriority w:val="99"/>
    <w:rsid w:val="00623468"/>
    <w:pPr>
      <w:autoSpaceDE w:val="0"/>
      <w:autoSpaceDN w:val="0"/>
      <w:adjustRightInd w:val="0"/>
      <w:spacing w:before="0" w:after="0"/>
      <w:jc w:val="left"/>
    </w:pPr>
    <w:rPr>
      <w:rFonts w:ascii="EUAlbertina" w:hAnsi="EUAlbertina" w:cstheme="minorBidi"/>
      <w:szCs w:val="24"/>
    </w:rPr>
  </w:style>
  <w:style w:type="paragraph" w:customStyle="1" w:styleId="Default">
    <w:name w:val="Default"/>
    <w:rsid w:val="005C719E"/>
    <w:pPr>
      <w:autoSpaceDE w:val="0"/>
      <w:autoSpaceDN w:val="0"/>
      <w:adjustRightInd w:val="0"/>
      <w:spacing w:after="0" w:line="240" w:lineRule="auto"/>
    </w:pPr>
    <w:rPr>
      <w:rFonts w:ascii="EU Albertina" w:hAnsi="EU Albertina" w:cs="EU Albertina"/>
      <w:color w:val="000000"/>
      <w:sz w:val="24"/>
      <w:szCs w:val="24"/>
    </w:rPr>
  </w:style>
  <w:style w:type="paragraph" w:customStyle="1" w:styleId="Normal1">
    <w:name w:val="Normal1"/>
    <w:basedOn w:val="Normal"/>
    <w:rsid w:val="00322360"/>
    <w:pPr>
      <w:spacing w:before="100" w:beforeAutospacing="1" w:after="100" w:afterAutospacing="1"/>
      <w:jc w:val="left"/>
    </w:pPr>
    <w:rPr>
      <w:rFonts w:eastAsia="Times New Roman"/>
      <w:szCs w:val="24"/>
    </w:rPr>
  </w:style>
  <w:style w:type="paragraph" w:customStyle="1" w:styleId="sti-art">
    <w:name w:val="sti-art"/>
    <w:basedOn w:val="Normal"/>
    <w:rsid w:val="00CF548A"/>
    <w:pPr>
      <w:spacing w:before="100" w:beforeAutospacing="1" w:after="100" w:afterAutospacing="1"/>
      <w:jc w:val="left"/>
    </w:pPr>
    <w:rPr>
      <w:rFonts w:eastAsia="Times New Roman"/>
      <w:szCs w:val="24"/>
    </w:rPr>
  </w:style>
  <w:style w:type="paragraph" w:customStyle="1" w:styleId="ti-art">
    <w:name w:val="ti-art"/>
    <w:basedOn w:val="Normal"/>
    <w:rsid w:val="00D67DA6"/>
    <w:pPr>
      <w:spacing w:before="100" w:beforeAutospacing="1" w:after="100" w:afterAutospacing="1"/>
      <w:jc w:val="left"/>
    </w:pPr>
    <w:rPr>
      <w:rFonts w:eastAsia="Times New Roman"/>
      <w:szCs w:val="24"/>
    </w:rPr>
  </w:style>
  <w:style w:type="character" w:customStyle="1" w:styleId="italic">
    <w:name w:val="italic"/>
    <w:basedOn w:val="DefaultParagraphFont"/>
    <w:rsid w:val="009E2C39"/>
  </w:style>
  <w:style w:type="paragraph" w:customStyle="1" w:styleId="Corpo">
    <w:name w:val="Corpo"/>
    <w:rsid w:val="00B00E62"/>
    <w:pPr>
      <w:spacing w:after="120" w:line="240" w:lineRule="auto"/>
      <w:jc w:val="both"/>
    </w:pPr>
    <w:rPr>
      <w:rFonts w:ascii="Calibri" w:eastAsia="Calibri" w:hAnsi="Calibri" w:cs="Calibri"/>
      <w:color w:val="000000"/>
      <w:u w:color="000000"/>
    </w:rPr>
  </w:style>
  <w:style w:type="character" w:styleId="Strong">
    <w:name w:val="Strong"/>
    <w:basedOn w:val="DefaultParagraphFont"/>
    <w:uiPriority w:val="22"/>
    <w:qFormat/>
    <w:rsid w:val="00A72671"/>
    <w:rPr>
      <w:b/>
      <w:bCs/>
    </w:rPr>
  </w:style>
  <w:style w:type="paragraph" w:styleId="Caption">
    <w:name w:val="caption"/>
    <w:basedOn w:val="Normal"/>
    <w:next w:val="Normal"/>
    <w:unhideWhenUsed/>
    <w:qFormat/>
    <w:rsid w:val="0018450D"/>
    <w:pPr>
      <w:spacing w:before="0" w:after="200"/>
    </w:pPr>
    <w:rPr>
      <w:b/>
      <w:bCs/>
      <w:color w:val="4F81BD" w:themeColor="accent1"/>
      <w:sz w:val="18"/>
      <w:szCs w:val="18"/>
    </w:rPr>
  </w:style>
  <w:style w:type="paragraph" w:styleId="TableofFigures">
    <w:name w:val="table of figures"/>
    <w:basedOn w:val="Normal"/>
    <w:next w:val="Normal"/>
    <w:unhideWhenUsed/>
    <w:rsid w:val="0018450D"/>
    <w:pPr>
      <w:spacing w:after="0"/>
    </w:pPr>
  </w:style>
  <w:style w:type="paragraph" w:styleId="ListNumber">
    <w:name w:val="List Number"/>
    <w:basedOn w:val="Normal"/>
    <w:unhideWhenUsed/>
    <w:rsid w:val="0018450D"/>
    <w:pPr>
      <w:numPr>
        <w:numId w:val="23"/>
      </w:numPr>
      <w:contextualSpacing/>
    </w:pPr>
  </w:style>
  <w:style w:type="paragraph" w:styleId="ListNumber2">
    <w:name w:val="List Number 2"/>
    <w:basedOn w:val="Normal"/>
    <w:unhideWhenUsed/>
    <w:rsid w:val="0018450D"/>
    <w:pPr>
      <w:numPr>
        <w:numId w:val="24"/>
      </w:numPr>
      <w:contextualSpacing/>
    </w:pPr>
  </w:style>
  <w:style w:type="paragraph" w:styleId="ListNumber3">
    <w:name w:val="List Number 3"/>
    <w:basedOn w:val="Normal"/>
    <w:unhideWhenUsed/>
    <w:rsid w:val="0018450D"/>
    <w:pPr>
      <w:numPr>
        <w:numId w:val="25"/>
      </w:numPr>
      <w:contextualSpacing/>
    </w:pPr>
  </w:style>
  <w:style w:type="paragraph" w:styleId="ListNumber4">
    <w:name w:val="List Number 4"/>
    <w:basedOn w:val="Normal"/>
    <w:unhideWhenUsed/>
    <w:rsid w:val="0018450D"/>
    <w:pPr>
      <w:numPr>
        <w:numId w:val="26"/>
      </w:numPr>
      <w:contextualSpacing/>
    </w:pPr>
  </w:style>
  <w:style w:type="paragraph" w:customStyle="1" w:styleId="ListBullet1">
    <w:name w:val="List Bullet 1"/>
    <w:basedOn w:val="Normal"/>
    <w:rsid w:val="00D75E46"/>
    <w:pPr>
      <w:numPr>
        <w:numId w:val="30"/>
      </w:numPr>
    </w:pPr>
    <w:rPr>
      <w:rFonts w:eastAsia="Times New Roman"/>
    </w:rPr>
  </w:style>
  <w:style w:type="paragraph" w:customStyle="1" w:styleId="ListDash1">
    <w:name w:val="List Dash 1"/>
    <w:basedOn w:val="Normal"/>
    <w:rsid w:val="00D75E46"/>
    <w:pPr>
      <w:numPr>
        <w:numId w:val="31"/>
      </w:numPr>
    </w:pPr>
    <w:rPr>
      <w:rFonts w:eastAsia="Times New Roman"/>
    </w:rPr>
  </w:style>
  <w:style w:type="paragraph" w:customStyle="1" w:styleId="ListDash2">
    <w:name w:val="List Dash 2"/>
    <w:basedOn w:val="Normal"/>
    <w:rsid w:val="00D75E46"/>
    <w:pPr>
      <w:numPr>
        <w:numId w:val="32"/>
      </w:numPr>
    </w:pPr>
    <w:rPr>
      <w:rFonts w:eastAsia="Times New Roman"/>
    </w:rPr>
  </w:style>
  <w:style w:type="paragraph" w:customStyle="1" w:styleId="ListNumberLevel2">
    <w:name w:val="List Number (Level 2)"/>
    <w:basedOn w:val="Normal"/>
    <w:rsid w:val="00D75E46"/>
    <w:pPr>
      <w:tabs>
        <w:tab w:val="num" w:pos="1417"/>
      </w:tabs>
      <w:ind w:left="1417" w:hanging="708"/>
    </w:pPr>
    <w:rPr>
      <w:rFonts w:eastAsia="Times New Roman"/>
    </w:rPr>
  </w:style>
  <w:style w:type="paragraph" w:customStyle="1" w:styleId="ListNumberLevel3">
    <w:name w:val="List Number (Level 3)"/>
    <w:basedOn w:val="Normal"/>
    <w:rsid w:val="00D75E46"/>
    <w:pPr>
      <w:tabs>
        <w:tab w:val="num" w:pos="2126"/>
      </w:tabs>
      <w:ind w:left="2126" w:hanging="709"/>
    </w:pPr>
    <w:rPr>
      <w:rFonts w:eastAsia="Times New Roman"/>
    </w:rPr>
  </w:style>
  <w:style w:type="paragraph" w:customStyle="1" w:styleId="ListNumberLevel4">
    <w:name w:val="List Number (Level 4)"/>
    <w:basedOn w:val="Normal"/>
    <w:rsid w:val="00D75E46"/>
    <w:pPr>
      <w:tabs>
        <w:tab w:val="num" w:pos="2835"/>
      </w:tabs>
      <w:ind w:left="2835" w:hanging="709"/>
    </w:pPr>
    <w:rPr>
      <w:rFonts w:eastAsia="Times New Roman"/>
    </w:rPr>
  </w:style>
  <w:style w:type="numbering" w:customStyle="1" w:styleId="NoList1">
    <w:name w:val="No List1"/>
    <w:next w:val="NoList"/>
    <w:uiPriority w:val="99"/>
    <w:semiHidden/>
    <w:unhideWhenUsed/>
    <w:rsid w:val="00AD1184"/>
  </w:style>
  <w:style w:type="paragraph" w:customStyle="1" w:styleId="ListDash">
    <w:name w:val="List Dash"/>
    <w:basedOn w:val="Normal"/>
    <w:rsid w:val="00AD1184"/>
    <w:pPr>
      <w:numPr>
        <w:numId w:val="34"/>
      </w:numPr>
    </w:pPr>
    <w:rPr>
      <w:rFonts w:eastAsia="Times New Roman"/>
    </w:rPr>
  </w:style>
  <w:style w:type="paragraph" w:customStyle="1" w:styleId="AppendixH1">
    <w:name w:val="Appendix H1"/>
    <w:basedOn w:val="Normal"/>
    <w:qFormat/>
    <w:rsid w:val="00AD1184"/>
    <w:pPr>
      <w:numPr>
        <w:numId w:val="36"/>
      </w:numPr>
      <w:jc w:val="left"/>
    </w:pPr>
    <w:rPr>
      <w:b/>
      <w:szCs w:val="24"/>
    </w:rPr>
  </w:style>
  <w:style w:type="paragraph" w:customStyle="1" w:styleId="AppendixH3">
    <w:name w:val="Appendix H3"/>
    <w:basedOn w:val="Normal"/>
    <w:qFormat/>
    <w:rsid w:val="00AD1184"/>
    <w:pPr>
      <w:numPr>
        <w:ilvl w:val="2"/>
        <w:numId w:val="36"/>
      </w:numPr>
      <w:jc w:val="left"/>
    </w:pPr>
    <w:rPr>
      <w:i/>
      <w:szCs w:val="24"/>
    </w:rPr>
  </w:style>
  <w:style w:type="numbering" w:customStyle="1" w:styleId="appendix">
    <w:name w:val="appendix"/>
    <w:uiPriority w:val="99"/>
    <w:rsid w:val="00AD1184"/>
    <w:pPr>
      <w:numPr>
        <w:numId w:val="35"/>
      </w:numPr>
    </w:pPr>
  </w:style>
  <w:style w:type="character" w:customStyle="1" w:styleId="ListParagraphChar">
    <w:name w:val="List Paragraph Char"/>
    <w:aliases w:val="Table/Figure Heading Char,Listeafsnit Char"/>
    <w:link w:val="ListParagraph"/>
    <w:uiPriority w:val="34"/>
    <w:locked/>
    <w:rsid w:val="00FF598A"/>
    <w:rPr>
      <w:rFonts w:ascii="Times New Roman" w:hAnsi="Times New Roman" w:cs="Times New Roman"/>
      <w:sz w:val="24"/>
      <w:lang w:val="lv-LV"/>
    </w:rPr>
  </w:style>
  <w:style w:type="paragraph" w:styleId="Header">
    <w:name w:val="header"/>
    <w:basedOn w:val="Normal"/>
    <w:link w:val="HeaderChar"/>
    <w:uiPriority w:val="99"/>
    <w:unhideWhenUsed/>
    <w:rsid w:val="00FE5A0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E5A09"/>
    <w:rPr>
      <w:rFonts w:ascii="Times New Roman" w:hAnsi="Times New Roman" w:cs="Times New Roman"/>
      <w:sz w:val="24"/>
      <w:lang w:eastAsia="en-US" w:bidi="ar-SA"/>
    </w:rPr>
  </w:style>
  <w:style w:type="paragraph" w:styleId="Footer">
    <w:name w:val="footer"/>
    <w:basedOn w:val="Normal"/>
    <w:link w:val="FooterChar"/>
    <w:uiPriority w:val="99"/>
    <w:unhideWhenUsed/>
    <w:rsid w:val="00FE5A09"/>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FE5A0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FE5A09"/>
    <w:pPr>
      <w:tabs>
        <w:tab w:val="center" w:pos="7285"/>
        <w:tab w:val="right" w:pos="14003"/>
      </w:tabs>
      <w:spacing w:before="0"/>
    </w:pPr>
    <w:rPr>
      <w:lang w:eastAsia="en-US" w:bidi="ar-SA"/>
    </w:rPr>
  </w:style>
  <w:style w:type="paragraph" w:customStyle="1" w:styleId="FooterLandscape">
    <w:name w:val="FooterLandscape"/>
    <w:basedOn w:val="Normal"/>
    <w:rsid w:val="00FE5A09"/>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FE5A09"/>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FE5A09"/>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46"/>
      </w:numPr>
    </w:pPr>
  </w:style>
  <w:style w:type="paragraph" w:customStyle="1" w:styleId="Tiret1">
    <w:name w:val="Tiret 1"/>
    <w:basedOn w:val="Point1"/>
    <w:rsid w:val="00877878"/>
    <w:pPr>
      <w:numPr>
        <w:numId w:val="47"/>
      </w:numPr>
    </w:pPr>
  </w:style>
  <w:style w:type="paragraph" w:customStyle="1" w:styleId="Tiret2">
    <w:name w:val="Tiret 2"/>
    <w:basedOn w:val="Point2"/>
    <w:rsid w:val="00877878"/>
    <w:pPr>
      <w:numPr>
        <w:numId w:val="48"/>
      </w:numPr>
    </w:pPr>
  </w:style>
  <w:style w:type="paragraph" w:customStyle="1" w:styleId="Tiret3">
    <w:name w:val="Tiret 3"/>
    <w:basedOn w:val="Point3"/>
    <w:rsid w:val="00877878"/>
    <w:pPr>
      <w:numPr>
        <w:numId w:val="49"/>
      </w:numPr>
    </w:pPr>
  </w:style>
  <w:style w:type="paragraph" w:customStyle="1" w:styleId="Tiret4">
    <w:name w:val="Tiret 4"/>
    <w:basedOn w:val="Point4"/>
    <w:rsid w:val="00877878"/>
    <w:pPr>
      <w:numPr>
        <w:numId w:val="5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51"/>
      </w:numPr>
    </w:pPr>
  </w:style>
  <w:style w:type="paragraph" w:customStyle="1" w:styleId="NumPar2">
    <w:name w:val="NumPar 2"/>
    <w:basedOn w:val="Normal"/>
    <w:next w:val="Text1"/>
    <w:rsid w:val="00877878"/>
    <w:pPr>
      <w:numPr>
        <w:ilvl w:val="1"/>
        <w:numId w:val="51"/>
      </w:numPr>
    </w:pPr>
  </w:style>
  <w:style w:type="paragraph" w:customStyle="1" w:styleId="NumPar3">
    <w:name w:val="NumPar 3"/>
    <w:basedOn w:val="Normal"/>
    <w:next w:val="Text1"/>
    <w:rsid w:val="00877878"/>
    <w:pPr>
      <w:numPr>
        <w:ilvl w:val="2"/>
        <w:numId w:val="51"/>
      </w:numPr>
    </w:pPr>
  </w:style>
  <w:style w:type="paragraph" w:customStyle="1" w:styleId="NumPar4">
    <w:name w:val="NumPar 4"/>
    <w:basedOn w:val="Normal"/>
    <w:next w:val="Text1"/>
    <w:rsid w:val="00877878"/>
    <w:pPr>
      <w:numPr>
        <w:ilvl w:val="3"/>
        <w:numId w:val="5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53"/>
      </w:numPr>
    </w:pPr>
  </w:style>
  <w:style w:type="paragraph" w:customStyle="1" w:styleId="Point1number">
    <w:name w:val="Point 1 (number)"/>
    <w:basedOn w:val="Normal"/>
    <w:rsid w:val="00877878"/>
    <w:pPr>
      <w:numPr>
        <w:ilvl w:val="2"/>
        <w:numId w:val="53"/>
      </w:numPr>
    </w:pPr>
  </w:style>
  <w:style w:type="paragraph" w:customStyle="1" w:styleId="Point2number">
    <w:name w:val="Point 2 (number)"/>
    <w:basedOn w:val="Normal"/>
    <w:rsid w:val="00877878"/>
    <w:pPr>
      <w:numPr>
        <w:ilvl w:val="4"/>
        <w:numId w:val="53"/>
      </w:numPr>
    </w:pPr>
  </w:style>
  <w:style w:type="paragraph" w:customStyle="1" w:styleId="Point3number">
    <w:name w:val="Point 3 (number)"/>
    <w:basedOn w:val="Normal"/>
    <w:rsid w:val="00877878"/>
    <w:pPr>
      <w:numPr>
        <w:ilvl w:val="6"/>
        <w:numId w:val="53"/>
      </w:numPr>
    </w:pPr>
  </w:style>
  <w:style w:type="paragraph" w:customStyle="1" w:styleId="Point0letter">
    <w:name w:val="Point 0 (letter)"/>
    <w:basedOn w:val="Normal"/>
    <w:rsid w:val="00877878"/>
    <w:pPr>
      <w:numPr>
        <w:ilvl w:val="1"/>
        <w:numId w:val="53"/>
      </w:numPr>
    </w:pPr>
  </w:style>
  <w:style w:type="paragraph" w:customStyle="1" w:styleId="Point1letter">
    <w:name w:val="Point 1 (letter)"/>
    <w:basedOn w:val="Normal"/>
    <w:rsid w:val="00877878"/>
    <w:pPr>
      <w:numPr>
        <w:ilvl w:val="3"/>
        <w:numId w:val="53"/>
      </w:numPr>
    </w:pPr>
  </w:style>
  <w:style w:type="paragraph" w:customStyle="1" w:styleId="Point2letter">
    <w:name w:val="Point 2 (letter)"/>
    <w:basedOn w:val="Normal"/>
    <w:rsid w:val="00877878"/>
    <w:pPr>
      <w:numPr>
        <w:ilvl w:val="5"/>
        <w:numId w:val="53"/>
      </w:numPr>
    </w:pPr>
  </w:style>
  <w:style w:type="paragraph" w:customStyle="1" w:styleId="Point3letter">
    <w:name w:val="Point 3 (letter)"/>
    <w:basedOn w:val="Normal"/>
    <w:rsid w:val="00877878"/>
    <w:pPr>
      <w:numPr>
        <w:ilvl w:val="7"/>
        <w:numId w:val="53"/>
      </w:numPr>
    </w:pPr>
  </w:style>
  <w:style w:type="paragraph" w:customStyle="1" w:styleId="Point4letter">
    <w:name w:val="Point 4 (letter)"/>
    <w:basedOn w:val="Normal"/>
    <w:rsid w:val="00877878"/>
    <w:pPr>
      <w:numPr>
        <w:ilvl w:val="8"/>
        <w:numId w:val="53"/>
      </w:numPr>
    </w:pPr>
  </w:style>
  <w:style w:type="paragraph" w:customStyle="1" w:styleId="Bullet0">
    <w:name w:val="Bullet 0"/>
    <w:basedOn w:val="Normal"/>
    <w:rsid w:val="00877878"/>
    <w:pPr>
      <w:numPr>
        <w:numId w:val="54"/>
      </w:numPr>
    </w:pPr>
  </w:style>
  <w:style w:type="paragraph" w:customStyle="1" w:styleId="Bullet1">
    <w:name w:val="Bullet 1"/>
    <w:basedOn w:val="Normal"/>
    <w:rsid w:val="00877878"/>
    <w:pPr>
      <w:numPr>
        <w:numId w:val="55"/>
      </w:numPr>
    </w:pPr>
  </w:style>
  <w:style w:type="paragraph" w:customStyle="1" w:styleId="Bullet2">
    <w:name w:val="Bullet 2"/>
    <w:basedOn w:val="Normal"/>
    <w:rsid w:val="00877878"/>
    <w:pPr>
      <w:numPr>
        <w:numId w:val="56"/>
      </w:numPr>
    </w:pPr>
  </w:style>
  <w:style w:type="paragraph" w:customStyle="1" w:styleId="Bullet3">
    <w:name w:val="Bullet 3"/>
    <w:basedOn w:val="Normal"/>
    <w:rsid w:val="00877878"/>
    <w:pPr>
      <w:numPr>
        <w:numId w:val="57"/>
      </w:numPr>
    </w:pPr>
  </w:style>
  <w:style w:type="paragraph" w:customStyle="1" w:styleId="Bullet4">
    <w:name w:val="Bullet 4"/>
    <w:basedOn w:val="Normal"/>
    <w:rsid w:val="00877878"/>
    <w:pPr>
      <w:numPr>
        <w:numId w:val="5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5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character" w:styleId="CommentReference">
    <w:name w:val="annotation reference"/>
    <w:basedOn w:val="DefaultParagraphFont"/>
    <w:unhideWhenUsed/>
    <w:rsid w:val="00DE6CFA"/>
    <w:rPr>
      <w:sz w:val="16"/>
      <w:szCs w:val="16"/>
    </w:rPr>
  </w:style>
  <w:style w:type="paragraph" w:styleId="CommentText">
    <w:name w:val="annotation text"/>
    <w:basedOn w:val="Normal"/>
    <w:link w:val="CommentTextChar"/>
    <w:unhideWhenUsed/>
    <w:rsid w:val="00DE6CFA"/>
    <w:rPr>
      <w:sz w:val="20"/>
      <w:szCs w:val="20"/>
    </w:rPr>
  </w:style>
  <w:style w:type="character" w:customStyle="1" w:styleId="CommentTextChar">
    <w:name w:val="Comment Text Char"/>
    <w:basedOn w:val="DefaultParagraphFont"/>
    <w:link w:val="CommentText"/>
    <w:rsid w:val="00DE6CFA"/>
    <w:rPr>
      <w:rFonts w:ascii="Times New Roman" w:hAnsi="Times New Roman" w:cs="Times New Roman"/>
      <w:sz w:val="20"/>
      <w:szCs w:val="20"/>
      <w:lang w:val="lv-LV"/>
    </w:rPr>
  </w:style>
  <w:style w:type="paragraph" w:styleId="CommentSubject">
    <w:name w:val="annotation subject"/>
    <w:basedOn w:val="CommentText"/>
    <w:next w:val="CommentText"/>
    <w:link w:val="CommentSubjectChar"/>
    <w:unhideWhenUsed/>
    <w:rsid w:val="00DE6CFA"/>
    <w:rPr>
      <w:b/>
      <w:bCs/>
    </w:rPr>
  </w:style>
  <w:style w:type="character" w:customStyle="1" w:styleId="CommentSubjectChar">
    <w:name w:val="Comment Subject Char"/>
    <w:basedOn w:val="CommentTextChar"/>
    <w:link w:val="CommentSubject"/>
    <w:rsid w:val="00DE6CFA"/>
    <w:rPr>
      <w:rFonts w:ascii="Times New Roman" w:hAnsi="Times New Roman" w:cs="Times New Roman"/>
      <w:b/>
      <w:bCs/>
      <w:sz w:val="20"/>
      <w:szCs w:val="20"/>
      <w:lang w:val="lv-LV"/>
    </w:rPr>
  </w:style>
  <w:style w:type="paragraph" w:styleId="BalloonText">
    <w:name w:val="Balloon Text"/>
    <w:basedOn w:val="Normal"/>
    <w:link w:val="BalloonTextChar"/>
    <w:unhideWhenUsed/>
    <w:rsid w:val="00DE6CFA"/>
    <w:pPr>
      <w:spacing w:before="0" w:after="0"/>
    </w:pPr>
    <w:rPr>
      <w:rFonts w:ascii="Tahoma" w:hAnsi="Tahoma" w:cs="Tahoma"/>
      <w:sz w:val="16"/>
      <w:szCs w:val="16"/>
    </w:rPr>
  </w:style>
  <w:style w:type="character" w:customStyle="1" w:styleId="BalloonTextChar">
    <w:name w:val="Balloon Text Char"/>
    <w:basedOn w:val="DefaultParagraphFont"/>
    <w:link w:val="BalloonText"/>
    <w:rsid w:val="00DE6CFA"/>
    <w:rPr>
      <w:rFonts w:ascii="Tahoma" w:hAnsi="Tahoma" w:cs="Tahoma"/>
      <w:sz w:val="16"/>
      <w:szCs w:val="16"/>
      <w:lang w:val="lv-LV"/>
    </w:rPr>
  </w:style>
  <w:style w:type="paragraph" w:styleId="Revision">
    <w:name w:val="Revision"/>
    <w:hidden/>
    <w:uiPriority w:val="99"/>
    <w:semiHidden/>
    <w:rsid w:val="00DE6CFA"/>
    <w:pPr>
      <w:spacing w:after="0" w:line="240" w:lineRule="auto"/>
    </w:pPr>
    <w:rPr>
      <w:rFonts w:ascii="Times New Roman" w:hAnsi="Times New Roman" w:cs="Times New Roman"/>
      <w:sz w:val="24"/>
    </w:rPr>
  </w:style>
  <w:style w:type="paragraph" w:styleId="ListBullet">
    <w:name w:val="List Bullet"/>
    <w:basedOn w:val="Normal"/>
    <w:unhideWhenUsed/>
    <w:rsid w:val="005D1F5C"/>
    <w:pPr>
      <w:numPr>
        <w:numId w:val="2"/>
      </w:numPr>
      <w:contextualSpacing/>
    </w:pPr>
  </w:style>
  <w:style w:type="paragraph" w:styleId="ListBullet2">
    <w:name w:val="List Bullet 2"/>
    <w:basedOn w:val="Normal"/>
    <w:unhideWhenUsed/>
    <w:rsid w:val="005D1F5C"/>
    <w:pPr>
      <w:numPr>
        <w:numId w:val="3"/>
      </w:numPr>
      <w:contextualSpacing/>
    </w:pPr>
  </w:style>
  <w:style w:type="paragraph" w:styleId="ListBullet3">
    <w:name w:val="List Bullet 3"/>
    <w:basedOn w:val="Normal"/>
    <w:unhideWhenUsed/>
    <w:rsid w:val="005D1F5C"/>
    <w:pPr>
      <w:numPr>
        <w:numId w:val="4"/>
      </w:numPr>
      <w:contextualSpacing/>
    </w:pPr>
  </w:style>
  <w:style w:type="paragraph" w:styleId="ListBullet4">
    <w:name w:val="List Bullet 4"/>
    <w:basedOn w:val="Normal"/>
    <w:unhideWhenUsed/>
    <w:rsid w:val="005D1F5C"/>
    <w:pPr>
      <w:numPr>
        <w:numId w:val="5"/>
      </w:numPr>
      <w:contextualSpacing/>
    </w:pPr>
  </w:style>
  <w:style w:type="character" w:styleId="Hyperlink">
    <w:name w:val="Hyperlink"/>
    <w:basedOn w:val="DefaultParagraphFont"/>
    <w:unhideWhenUsed/>
    <w:rsid w:val="00E74D30"/>
    <w:rPr>
      <w:color w:val="0000FF" w:themeColor="hyperlink"/>
      <w:u w:val="single"/>
    </w:rPr>
  </w:style>
  <w:style w:type="character" w:styleId="FollowedHyperlink">
    <w:name w:val="FollowedHyperlink"/>
    <w:basedOn w:val="DefaultParagraphFont"/>
    <w:unhideWhenUsed/>
    <w:rsid w:val="00E74D30"/>
    <w:rPr>
      <w:color w:val="800080" w:themeColor="followedHyperlink"/>
      <w:u w:val="single"/>
    </w:rPr>
  </w:style>
  <w:style w:type="character" w:customStyle="1" w:styleId="italic1">
    <w:name w:val="italic1"/>
    <w:basedOn w:val="DefaultParagraphFont"/>
    <w:rsid w:val="00247593"/>
    <w:rPr>
      <w:i/>
      <w:iCs/>
    </w:rPr>
  </w:style>
  <w:style w:type="paragraph" w:styleId="ListParagraph">
    <w:name w:val="List Paragraph"/>
    <w:aliases w:val="Table/Figure Heading,Listeafsnit"/>
    <w:basedOn w:val="Normal"/>
    <w:link w:val="ListParagraphChar"/>
    <w:uiPriority w:val="67"/>
    <w:qFormat/>
    <w:rsid w:val="00612219"/>
    <w:pPr>
      <w:ind w:left="720"/>
      <w:contextualSpacing/>
    </w:pPr>
  </w:style>
  <w:style w:type="paragraph" w:customStyle="1" w:styleId="CM1">
    <w:name w:val="CM1"/>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rsid w:val="00AD53CE"/>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rsid w:val="00E57E1F"/>
    <w:pPr>
      <w:spacing w:before="100" w:beforeAutospacing="1" w:after="100" w:afterAutospacing="1"/>
      <w:jc w:val="left"/>
    </w:pPr>
    <w:rPr>
      <w:rFonts w:eastAsia="Times New Roman"/>
      <w:szCs w:val="24"/>
    </w:rPr>
  </w:style>
  <w:style w:type="paragraph" w:customStyle="1" w:styleId="stitle-article-norm">
    <w:name w:val="stitle-article-norm"/>
    <w:basedOn w:val="Normal"/>
    <w:rsid w:val="00E57E1F"/>
    <w:pPr>
      <w:spacing w:before="100" w:beforeAutospacing="1" w:after="100" w:afterAutospacing="1"/>
      <w:jc w:val="left"/>
    </w:pPr>
    <w:rPr>
      <w:rFonts w:eastAsia="Times New Roman"/>
      <w:szCs w:val="24"/>
    </w:rPr>
  </w:style>
  <w:style w:type="paragraph" w:customStyle="1" w:styleId="norm">
    <w:name w:val="norm"/>
    <w:basedOn w:val="Normal"/>
    <w:rsid w:val="00E57E1F"/>
    <w:pPr>
      <w:spacing w:before="100" w:beforeAutospacing="1" w:after="100" w:afterAutospacing="1"/>
      <w:jc w:val="left"/>
    </w:pPr>
    <w:rPr>
      <w:rFonts w:eastAsia="Times New Roman"/>
      <w:szCs w:val="24"/>
    </w:rPr>
  </w:style>
  <w:style w:type="paragraph" w:customStyle="1" w:styleId="CM4">
    <w:name w:val="CM4"/>
    <w:basedOn w:val="Normal"/>
    <w:next w:val="Normal"/>
    <w:uiPriority w:val="99"/>
    <w:rsid w:val="00623468"/>
    <w:pPr>
      <w:autoSpaceDE w:val="0"/>
      <w:autoSpaceDN w:val="0"/>
      <w:adjustRightInd w:val="0"/>
      <w:spacing w:before="0" w:after="0"/>
      <w:jc w:val="left"/>
    </w:pPr>
    <w:rPr>
      <w:rFonts w:ascii="EUAlbertina" w:hAnsi="EUAlbertina" w:cstheme="minorBidi"/>
      <w:szCs w:val="24"/>
    </w:rPr>
  </w:style>
  <w:style w:type="paragraph" w:customStyle="1" w:styleId="Default">
    <w:name w:val="Default"/>
    <w:rsid w:val="005C719E"/>
    <w:pPr>
      <w:autoSpaceDE w:val="0"/>
      <w:autoSpaceDN w:val="0"/>
      <w:adjustRightInd w:val="0"/>
      <w:spacing w:after="0" w:line="240" w:lineRule="auto"/>
    </w:pPr>
    <w:rPr>
      <w:rFonts w:ascii="EU Albertina" w:hAnsi="EU Albertina" w:cs="EU Albertina"/>
      <w:color w:val="000000"/>
      <w:sz w:val="24"/>
      <w:szCs w:val="24"/>
    </w:rPr>
  </w:style>
  <w:style w:type="paragraph" w:customStyle="1" w:styleId="Normal1">
    <w:name w:val="Normal1"/>
    <w:basedOn w:val="Normal"/>
    <w:rsid w:val="00322360"/>
    <w:pPr>
      <w:spacing w:before="100" w:beforeAutospacing="1" w:after="100" w:afterAutospacing="1"/>
      <w:jc w:val="left"/>
    </w:pPr>
    <w:rPr>
      <w:rFonts w:eastAsia="Times New Roman"/>
      <w:szCs w:val="24"/>
    </w:rPr>
  </w:style>
  <w:style w:type="paragraph" w:customStyle="1" w:styleId="sti-art">
    <w:name w:val="sti-art"/>
    <w:basedOn w:val="Normal"/>
    <w:rsid w:val="00CF548A"/>
    <w:pPr>
      <w:spacing w:before="100" w:beforeAutospacing="1" w:after="100" w:afterAutospacing="1"/>
      <w:jc w:val="left"/>
    </w:pPr>
    <w:rPr>
      <w:rFonts w:eastAsia="Times New Roman"/>
      <w:szCs w:val="24"/>
    </w:rPr>
  </w:style>
  <w:style w:type="paragraph" w:customStyle="1" w:styleId="ti-art">
    <w:name w:val="ti-art"/>
    <w:basedOn w:val="Normal"/>
    <w:rsid w:val="00D67DA6"/>
    <w:pPr>
      <w:spacing w:before="100" w:beforeAutospacing="1" w:after="100" w:afterAutospacing="1"/>
      <w:jc w:val="left"/>
    </w:pPr>
    <w:rPr>
      <w:rFonts w:eastAsia="Times New Roman"/>
      <w:szCs w:val="24"/>
    </w:rPr>
  </w:style>
  <w:style w:type="character" w:customStyle="1" w:styleId="italic">
    <w:name w:val="italic"/>
    <w:basedOn w:val="DefaultParagraphFont"/>
    <w:rsid w:val="009E2C39"/>
  </w:style>
  <w:style w:type="paragraph" w:customStyle="1" w:styleId="Corpo">
    <w:name w:val="Corpo"/>
    <w:rsid w:val="00B00E62"/>
    <w:pPr>
      <w:spacing w:after="120" w:line="240" w:lineRule="auto"/>
      <w:jc w:val="both"/>
    </w:pPr>
    <w:rPr>
      <w:rFonts w:ascii="Calibri" w:eastAsia="Calibri" w:hAnsi="Calibri" w:cs="Calibri"/>
      <w:color w:val="000000"/>
      <w:u w:color="000000"/>
    </w:rPr>
  </w:style>
  <w:style w:type="character" w:styleId="Strong">
    <w:name w:val="Strong"/>
    <w:basedOn w:val="DefaultParagraphFont"/>
    <w:uiPriority w:val="22"/>
    <w:qFormat/>
    <w:rsid w:val="00A72671"/>
    <w:rPr>
      <w:b/>
      <w:bCs/>
    </w:rPr>
  </w:style>
  <w:style w:type="paragraph" w:styleId="Caption">
    <w:name w:val="caption"/>
    <w:basedOn w:val="Normal"/>
    <w:next w:val="Normal"/>
    <w:unhideWhenUsed/>
    <w:qFormat/>
    <w:rsid w:val="0018450D"/>
    <w:pPr>
      <w:spacing w:before="0" w:after="200"/>
    </w:pPr>
    <w:rPr>
      <w:b/>
      <w:bCs/>
      <w:color w:val="4F81BD" w:themeColor="accent1"/>
      <w:sz w:val="18"/>
      <w:szCs w:val="18"/>
    </w:rPr>
  </w:style>
  <w:style w:type="paragraph" w:styleId="TableofFigures">
    <w:name w:val="table of figures"/>
    <w:basedOn w:val="Normal"/>
    <w:next w:val="Normal"/>
    <w:unhideWhenUsed/>
    <w:rsid w:val="0018450D"/>
    <w:pPr>
      <w:spacing w:after="0"/>
    </w:pPr>
  </w:style>
  <w:style w:type="paragraph" w:styleId="ListNumber">
    <w:name w:val="List Number"/>
    <w:basedOn w:val="Normal"/>
    <w:unhideWhenUsed/>
    <w:rsid w:val="0018450D"/>
    <w:pPr>
      <w:numPr>
        <w:numId w:val="23"/>
      </w:numPr>
      <w:contextualSpacing/>
    </w:pPr>
  </w:style>
  <w:style w:type="paragraph" w:styleId="ListNumber2">
    <w:name w:val="List Number 2"/>
    <w:basedOn w:val="Normal"/>
    <w:unhideWhenUsed/>
    <w:rsid w:val="0018450D"/>
    <w:pPr>
      <w:numPr>
        <w:numId w:val="24"/>
      </w:numPr>
      <w:contextualSpacing/>
    </w:pPr>
  </w:style>
  <w:style w:type="paragraph" w:styleId="ListNumber3">
    <w:name w:val="List Number 3"/>
    <w:basedOn w:val="Normal"/>
    <w:unhideWhenUsed/>
    <w:rsid w:val="0018450D"/>
    <w:pPr>
      <w:numPr>
        <w:numId w:val="25"/>
      </w:numPr>
      <w:contextualSpacing/>
    </w:pPr>
  </w:style>
  <w:style w:type="paragraph" w:styleId="ListNumber4">
    <w:name w:val="List Number 4"/>
    <w:basedOn w:val="Normal"/>
    <w:unhideWhenUsed/>
    <w:rsid w:val="0018450D"/>
    <w:pPr>
      <w:numPr>
        <w:numId w:val="26"/>
      </w:numPr>
      <w:contextualSpacing/>
    </w:pPr>
  </w:style>
  <w:style w:type="paragraph" w:customStyle="1" w:styleId="ListBullet1">
    <w:name w:val="List Bullet 1"/>
    <w:basedOn w:val="Normal"/>
    <w:rsid w:val="00D75E46"/>
    <w:pPr>
      <w:numPr>
        <w:numId w:val="30"/>
      </w:numPr>
    </w:pPr>
    <w:rPr>
      <w:rFonts w:eastAsia="Times New Roman"/>
    </w:rPr>
  </w:style>
  <w:style w:type="paragraph" w:customStyle="1" w:styleId="ListDash1">
    <w:name w:val="List Dash 1"/>
    <w:basedOn w:val="Normal"/>
    <w:rsid w:val="00D75E46"/>
    <w:pPr>
      <w:numPr>
        <w:numId w:val="31"/>
      </w:numPr>
    </w:pPr>
    <w:rPr>
      <w:rFonts w:eastAsia="Times New Roman"/>
    </w:rPr>
  </w:style>
  <w:style w:type="paragraph" w:customStyle="1" w:styleId="ListDash2">
    <w:name w:val="List Dash 2"/>
    <w:basedOn w:val="Normal"/>
    <w:rsid w:val="00D75E46"/>
    <w:pPr>
      <w:numPr>
        <w:numId w:val="32"/>
      </w:numPr>
    </w:pPr>
    <w:rPr>
      <w:rFonts w:eastAsia="Times New Roman"/>
    </w:rPr>
  </w:style>
  <w:style w:type="paragraph" w:customStyle="1" w:styleId="ListNumberLevel2">
    <w:name w:val="List Number (Level 2)"/>
    <w:basedOn w:val="Normal"/>
    <w:rsid w:val="00D75E46"/>
    <w:pPr>
      <w:tabs>
        <w:tab w:val="num" w:pos="1417"/>
      </w:tabs>
      <w:ind w:left="1417" w:hanging="708"/>
    </w:pPr>
    <w:rPr>
      <w:rFonts w:eastAsia="Times New Roman"/>
    </w:rPr>
  </w:style>
  <w:style w:type="paragraph" w:customStyle="1" w:styleId="ListNumberLevel3">
    <w:name w:val="List Number (Level 3)"/>
    <w:basedOn w:val="Normal"/>
    <w:rsid w:val="00D75E46"/>
    <w:pPr>
      <w:tabs>
        <w:tab w:val="num" w:pos="2126"/>
      </w:tabs>
      <w:ind w:left="2126" w:hanging="709"/>
    </w:pPr>
    <w:rPr>
      <w:rFonts w:eastAsia="Times New Roman"/>
    </w:rPr>
  </w:style>
  <w:style w:type="paragraph" w:customStyle="1" w:styleId="ListNumberLevel4">
    <w:name w:val="List Number (Level 4)"/>
    <w:basedOn w:val="Normal"/>
    <w:rsid w:val="00D75E46"/>
    <w:pPr>
      <w:tabs>
        <w:tab w:val="num" w:pos="2835"/>
      </w:tabs>
      <w:ind w:left="2835" w:hanging="709"/>
    </w:pPr>
    <w:rPr>
      <w:rFonts w:eastAsia="Times New Roman"/>
    </w:rPr>
  </w:style>
  <w:style w:type="numbering" w:customStyle="1" w:styleId="NoList1">
    <w:name w:val="No List1"/>
    <w:next w:val="NoList"/>
    <w:uiPriority w:val="99"/>
    <w:semiHidden/>
    <w:unhideWhenUsed/>
    <w:rsid w:val="00AD1184"/>
  </w:style>
  <w:style w:type="paragraph" w:customStyle="1" w:styleId="ListDash">
    <w:name w:val="List Dash"/>
    <w:basedOn w:val="Normal"/>
    <w:rsid w:val="00AD1184"/>
    <w:pPr>
      <w:numPr>
        <w:numId w:val="34"/>
      </w:numPr>
    </w:pPr>
    <w:rPr>
      <w:rFonts w:eastAsia="Times New Roman"/>
    </w:rPr>
  </w:style>
  <w:style w:type="paragraph" w:customStyle="1" w:styleId="AppendixH1">
    <w:name w:val="Appendix H1"/>
    <w:basedOn w:val="Normal"/>
    <w:qFormat/>
    <w:rsid w:val="00AD1184"/>
    <w:pPr>
      <w:numPr>
        <w:numId w:val="36"/>
      </w:numPr>
      <w:jc w:val="left"/>
    </w:pPr>
    <w:rPr>
      <w:b/>
      <w:szCs w:val="24"/>
    </w:rPr>
  </w:style>
  <w:style w:type="paragraph" w:customStyle="1" w:styleId="AppendixH3">
    <w:name w:val="Appendix H3"/>
    <w:basedOn w:val="Normal"/>
    <w:qFormat/>
    <w:rsid w:val="00AD1184"/>
    <w:pPr>
      <w:numPr>
        <w:ilvl w:val="2"/>
        <w:numId w:val="36"/>
      </w:numPr>
      <w:jc w:val="left"/>
    </w:pPr>
    <w:rPr>
      <w:i/>
      <w:szCs w:val="24"/>
    </w:rPr>
  </w:style>
  <w:style w:type="numbering" w:customStyle="1" w:styleId="appendix">
    <w:name w:val="appendix"/>
    <w:uiPriority w:val="99"/>
    <w:rsid w:val="00AD1184"/>
    <w:pPr>
      <w:numPr>
        <w:numId w:val="35"/>
      </w:numPr>
    </w:pPr>
  </w:style>
  <w:style w:type="character" w:customStyle="1" w:styleId="ListParagraphChar">
    <w:name w:val="List Paragraph Char"/>
    <w:aliases w:val="Table/Figure Heading Char,Listeafsnit Char"/>
    <w:link w:val="ListParagraph"/>
    <w:uiPriority w:val="34"/>
    <w:locked/>
    <w:rsid w:val="00FF598A"/>
    <w:rPr>
      <w:rFonts w:ascii="Times New Roman" w:hAnsi="Times New Roman" w:cs="Times New Roman"/>
      <w:sz w:val="24"/>
      <w:lang w:val="lv-LV"/>
    </w:rPr>
  </w:style>
  <w:style w:type="paragraph" w:styleId="Header">
    <w:name w:val="header"/>
    <w:basedOn w:val="Normal"/>
    <w:link w:val="HeaderChar"/>
    <w:uiPriority w:val="99"/>
    <w:unhideWhenUsed/>
    <w:rsid w:val="00FE5A0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E5A09"/>
    <w:rPr>
      <w:rFonts w:ascii="Times New Roman" w:hAnsi="Times New Roman" w:cs="Times New Roman"/>
      <w:sz w:val="24"/>
      <w:lang w:eastAsia="en-US" w:bidi="ar-SA"/>
    </w:rPr>
  </w:style>
  <w:style w:type="paragraph" w:styleId="Footer">
    <w:name w:val="footer"/>
    <w:basedOn w:val="Normal"/>
    <w:link w:val="FooterChar"/>
    <w:uiPriority w:val="99"/>
    <w:unhideWhenUsed/>
    <w:rsid w:val="00FE5A09"/>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FE5A0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FE5A09"/>
    <w:pPr>
      <w:tabs>
        <w:tab w:val="center" w:pos="7285"/>
        <w:tab w:val="right" w:pos="14003"/>
      </w:tabs>
      <w:spacing w:before="0"/>
    </w:pPr>
    <w:rPr>
      <w:lang w:eastAsia="en-US" w:bidi="ar-SA"/>
    </w:rPr>
  </w:style>
  <w:style w:type="paragraph" w:customStyle="1" w:styleId="FooterLandscape">
    <w:name w:val="FooterLandscape"/>
    <w:basedOn w:val="Normal"/>
    <w:rsid w:val="00FE5A09"/>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FE5A09"/>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FE5A09"/>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46"/>
      </w:numPr>
    </w:pPr>
  </w:style>
  <w:style w:type="paragraph" w:customStyle="1" w:styleId="Tiret1">
    <w:name w:val="Tiret 1"/>
    <w:basedOn w:val="Point1"/>
    <w:rsid w:val="00877878"/>
    <w:pPr>
      <w:numPr>
        <w:numId w:val="47"/>
      </w:numPr>
    </w:pPr>
  </w:style>
  <w:style w:type="paragraph" w:customStyle="1" w:styleId="Tiret2">
    <w:name w:val="Tiret 2"/>
    <w:basedOn w:val="Point2"/>
    <w:rsid w:val="00877878"/>
    <w:pPr>
      <w:numPr>
        <w:numId w:val="48"/>
      </w:numPr>
    </w:pPr>
  </w:style>
  <w:style w:type="paragraph" w:customStyle="1" w:styleId="Tiret3">
    <w:name w:val="Tiret 3"/>
    <w:basedOn w:val="Point3"/>
    <w:rsid w:val="00877878"/>
    <w:pPr>
      <w:numPr>
        <w:numId w:val="49"/>
      </w:numPr>
    </w:pPr>
  </w:style>
  <w:style w:type="paragraph" w:customStyle="1" w:styleId="Tiret4">
    <w:name w:val="Tiret 4"/>
    <w:basedOn w:val="Point4"/>
    <w:rsid w:val="00877878"/>
    <w:pPr>
      <w:numPr>
        <w:numId w:val="5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51"/>
      </w:numPr>
    </w:pPr>
  </w:style>
  <w:style w:type="paragraph" w:customStyle="1" w:styleId="NumPar2">
    <w:name w:val="NumPar 2"/>
    <w:basedOn w:val="Normal"/>
    <w:next w:val="Text1"/>
    <w:rsid w:val="00877878"/>
    <w:pPr>
      <w:numPr>
        <w:ilvl w:val="1"/>
        <w:numId w:val="51"/>
      </w:numPr>
    </w:pPr>
  </w:style>
  <w:style w:type="paragraph" w:customStyle="1" w:styleId="NumPar3">
    <w:name w:val="NumPar 3"/>
    <w:basedOn w:val="Normal"/>
    <w:next w:val="Text1"/>
    <w:rsid w:val="00877878"/>
    <w:pPr>
      <w:numPr>
        <w:ilvl w:val="2"/>
        <w:numId w:val="51"/>
      </w:numPr>
    </w:pPr>
  </w:style>
  <w:style w:type="paragraph" w:customStyle="1" w:styleId="NumPar4">
    <w:name w:val="NumPar 4"/>
    <w:basedOn w:val="Normal"/>
    <w:next w:val="Text1"/>
    <w:rsid w:val="00877878"/>
    <w:pPr>
      <w:numPr>
        <w:ilvl w:val="3"/>
        <w:numId w:val="5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53"/>
      </w:numPr>
    </w:pPr>
  </w:style>
  <w:style w:type="paragraph" w:customStyle="1" w:styleId="Point1number">
    <w:name w:val="Point 1 (number)"/>
    <w:basedOn w:val="Normal"/>
    <w:rsid w:val="00877878"/>
    <w:pPr>
      <w:numPr>
        <w:ilvl w:val="2"/>
        <w:numId w:val="53"/>
      </w:numPr>
    </w:pPr>
  </w:style>
  <w:style w:type="paragraph" w:customStyle="1" w:styleId="Point2number">
    <w:name w:val="Point 2 (number)"/>
    <w:basedOn w:val="Normal"/>
    <w:rsid w:val="00877878"/>
    <w:pPr>
      <w:numPr>
        <w:ilvl w:val="4"/>
        <w:numId w:val="53"/>
      </w:numPr>
    </w:pPr>
  </w:style>
  <w:style w:type="paragraph" w:customStyle="1" w:styleId="Point3number">
    <w:name w:val="Point 3 (number)"/>
    <w:basedOn w:val="Normal"/>
    <w:rsid w:val="00877878"/>
    <w:pPr>
      <w:numPr>
        <w:ilvl w:val="6"/>
        <w:numId w:val="53"/>
      </w:numPr>
    </w:pPr>
  </w:style>
  <w:style w:type="paragraph" w:customStyle="1" w:styleId="Point0letter">
    <w:name w:val="Point 0 (letter)"/>
    <w:basedOn w:val="Normal"/>
    <w:rsid w:val="00877878"/>
    <w:pPr>
      <w:numPr>
        <w:ilvl w:val="1"/>
        <w:numId w:val="53"/>
      </w:numPr>
    </w:pPr>
  </w:style>
  <w:style w:type="paragraph" w:customStyle="1" w:styleId="Point1letter">
    <w:name w:val="Point 1 (letter)"/>
    <w:basedOn w:val="Normal"/>
    <w:rsid w:val="00877878"/>
    <w:pPr>
      <w:numPr>
        <w:ilvl w:val="3"/>
        <w:numId w:val="53"/>
      </w:numPr>
    </w:pPr>
  </w:style>
  <w:style w:type="paragraph" w:customStyle="1" w:styleId="Point2letter">
    <w:name w:val="Point 2 (letter)"/>
    <w:basedOn w:val="Normal"/>
    <w:rsid w:val="00877878"/>
    <w:pPr>
      <w:numPr>
        <w:ilvl w:val="5"/>
        <w:numId w:val="53"/>
      </w:numPr>
    </w:pPr>
  </w:style>
  <w:style w:type="paragraph" w:customStyle="1" w:styleId="Point3letter">
    <w:name w:val="Point 3 (letter)"/>
    <w:basedOn w:val="Normal"/>
    <w:rsid w:val="00877878"/>
    <w:pPr>
      <w:numPr>
        <w:ilvl w:val="7"/>
        <w:numId w:val="53"/>
      </w:numPr>
    </w:pPr>
  </w:style>
  <w:style w:type="paragraph" w:customStyle="1" w:styleId="Point4letter">
    <w:name w:val="Point 4 (letter)"/>
    <w:basedOn w:val="Normal"/>
    <w:rsid w:val="00877878"/>
    <w:pPr>
      <w:numPr>
        <w:ilvl w:val="8"/>
        <w:numId w:val="53"/>
      </w:numPr>
    </w:pPr>
  </w:style>
  <w:style w:type="paragraph" w:customStyle="1" w:styleId="Bullet0">
    <w:name w:val="Bullet 0"/>
    <w:basedOn w:val="Normal"/>
    <w:rsid w:val="00877878"/>
    <w:pPr>
      <w:numPr>
        <w:numId w:val="54"/>
      </w:numPr>
    </w:pPr>
  </w:style>
  <w:style w:type="paragraph" w:customStyle="1" w:styleId="Bullet1">
    <w:name w:val="Bullet 1"/>
    <w:basedOn w:val="Normal"/>
    <w:rsid w:val="00877878"/>
    <w:pPr>
      <w:numPr>
        <w:numId w:val="55"/>
      </w:numPr>
    </w:pPr>
  </w:style>
  <w:style w:type="paragraph" w:customStyle="1" w:styleId="Bullet2">
    <w:name w:val="Bullet 2"/>
    <w:basedOn w:val="Normal"/>
    <w:rsid w:val="00877878"/>
    <w:pPr>
      <w:numPr>
        <w:numId w:val="56"/>
      </w:numPr>
    </w:pPr>
  </w:style>
  <w:style w:type="paragraph" w:customStyle="1" w:styleId="Bullet3">
    <w:name w:val="Bullet 3"/>
    <w:basedOn w:val="Normal"/>
    <w:rsid w:val="00877878"/>
    <w:pPr>
      <w:numPr>
        <w:numId w:val="57"/>
      </w:numPr>
    </w:pPr>
  </w:style>
  <w:style w:type="paragraph" w:customStyle="1" w:styleId="Bullet4">
    <w:name w:val="Bullet 4"/>
    <w:basedOn w:val="Normal"/>
    <w:rsid w:val="00877878"/>
    <w:pPr>
      <w:numPr>
        <w:numId w:val="5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5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343871922">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15867018">
      <w:bodyDiv w:val="1"/>
      <w:marLeft w:val="0"/>
      <w:marRight w:val="0"/>
      <w:marTop w:val="0"/>
      <w:marBottom w:val="0"/>
      <w:divBdr>
        <w:top w:val="none" w:sz="0" w:space="0" w:color="auto"/>
        <w:left w:val="none" w:sz="0" w:space="0" w:color="auto"/>
        <w:bottom w:val="none" w:sz="0" w:space="0" w:color="auto"/>
        <w:right w:val="none" w:sz="0" w:space="0" w:color="auto"/>
      </w:divBdr>
    </w:div>
    <w:div w:id="685596417">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723522419">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1210608600">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729183320">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926107469">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 w:id="20805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eur-lex.europa.eu/legal-content/EN/TXT/PDF/?uri=CELEX:52017SC0355&amp;from=EN" TargetMode="External"/><Relationship Id="rId1" Type="http://schemas.openxmlformats.org/officeDocument/2006/relationships/hyperlink" Target="http://eur-lex.europa.eu/legal-content/EN/TXT/PDF/?uri=CELEX:52017SC0355&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1499-BE44-4231-899A-DEC9D1BA9F5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4.xml><?xml version="1.0" encoding="utf-8"?>
<ds:datastoreItem xmlns:ds="http://schemas.openxmlformats.org/officeDocument/2006/customXml" ds:itemID="{037B7DA1-0EC1-4227-8434-F8B06F22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47</Pages>
  <Words>16003</Words>
  <Characters>94902</Characters>
  <Application>Microsoft Office Word</Application>
  <DocSecurity>0</DocSecurity>
  <Lines>2314</Lines>
  <Paragraphs>964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109941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7</cp:revision>
  <cp:lastPrinted>2018-05-31T13:40:00Z</cp:lastPrinted>
  <dcterms:created xsi:type="dcterms:W3CDTF">2018-06-06T14:59:00Z</dcterms:created>
  <dcterms:modified xsi:type="dcterms:W3CDTF">2018-06-11T08:02:00Z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Yellow (DQC version 03)</vt:lpwstr>
  </property>
</Properties>
</file>