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9B4" w:rsidRDefault="00A54173" w:rsidP="00A5417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05BC42D-2A96-4FF7-BD58-B11E0CBB7BA9" style="width:450.75pt;height:422.25pt">
            <v:imagedata r:id="rId12" o:title=""/>
          </v:shape>
        </w:pict>
      </w:r>
    </w:p>
    <w:p w:rsidR="008209B4" w:rsidRDefault="008209B4">
      <w:pPr>
        <w:rPr>
          <w:noProof/>
        </w:rPr>
        <w:sectPr w:rsidR="008209B4" w:rsidSect="00A54173">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rsidR="008209B4" w:rsidRDefault="00A54173">
      <w:pPr>
        <w:pStyle w:val="Exposdesmotifstitre"/>
        <w:rPr>
          <w:noProof/>
        </w:rPr>
      </w:pPr>
      <w:bookmarkStart w:id="0" w:name="_GoBack"/>
      <w:bookmarkEnd w:id="0"/>
      <w:r>
        <w:rPr>
          <w:noProof/>
        </w:rPr>
        <w:lastRenderedPageBreak/>
        <w:t>ОБЯСНИТЕЛЕН МЕМОРАНДУМ</w:t>
      </w:r>
    </w:p>
    <w:p w:rsidR="008209B4" w:rsidRDefault="00A54173">
      <w:pPr>
        <w:pStyle w:val="ManualHeading1"/>
        <w:rPr>
          <w:noProof/>
        </w:rPr>
      </w:pPr>
      <w:r>
        <w:rPr>
          <w:noProof/>
        </w:rPr>
        <w:t>1.</w:t>
      </w:r>
      <w:r>
        <w:rPr>
          <w:noProof/>
        </w:rPr>
        <w:tab/>
        <w:t>КОНТЕКСТ НА ПРЕДЛОЖЕНИЕТО</w:t>
      </w:r>
    </w:p>
    <w:p w:rsidR="008209B4" w:rsidRDefault="008209B4">
      <w:pPr>
        <w:ind w:left="851"/>
        <w:rPr>
          <w:noProof/>
          <w:szCs w:val="24"/>
        </w:rPr>
      </w:pPr>
    </w:p>
    <w:p w:rsidR="008209B4" w:rsidRDefault="00A54173">
      <w:pPr>
        <w:pStyle w:val="ManualHeading2"/>
        <w:rPr>
          <w:rFonts w:eastAsia="Arial Unicode MS"/>
          <w:noProof/>
          <w:color w:val="000000"/>
          <w:u w:color="000000"/>
          <w:bdr w:val="nil"/>
        </w:rPr>
      </w:pPr>
      <w:r>
        <w:rPr>
          <w:noProof/>
          <w:color w:val="000000"/>
          <w:u w:color="000000"/>
          <w:bdr w:val="nil"/>
        </w:rPr>
        <w:t>•</w:t>
      </w:r>
      <w:r>
        <w:rPr>
          <w:noProof/>
        </w:rPr>
        <w:tab/>
      </w:r>
      <w:r>
        <w:rPr>
          <w:noProof/>
          <w:color w:val="000000"/>
          <w:u w:color="000000"/>
          <w:bdr w:val="nil"/>
        </w:rPr>
        <w:t xml:space="preserve">Основания и цели </w:t>
      </w:r>
    </w:p>
    <w:p w:rsidR="008209B4" w:rsidRDefault="00A54173">
      <w:pPr>
        <w:pBdr>
          <w:top w:val="nil"/>
          <w:left w:val="nil"/>
          <w:bottom w:val="nil"/>
          <w:right w:val="nil"/>
          <w:between w:val="nil"/>
          <w:bar w:val="nil"/>
        </w:pBdr>
        <w:rPr>
          <w:noProof/>
          <w:szCs w:val="24"/>
        </w:rPr>
      </w:pPr>
      <w:r>
        <w:rPr>
          <w:noProof/>
        </w:rPr>
        <w:t xml:space="preserve">Предложението за „Хоризонт Европа“ е изцяло в съответствие с предложението на </w:t>
      </w:r>
      <w:r>
        <w:rPr>
          <w:noProof/>
        </w:rPr>
        <w:t>Комисията за следващия дългосрочен бюджет на Съюза за 2021—2027 г. и с приоритетите на Комисията, определени в нейната Програма за работни места, растеж, справедливост и демократична промяна, както и с приоритетите на глобалната политика (Целите за устойчи</w:t>
      </w:r>
      <w:r>
        <w:rPr>
          <w:noProof/>
        </w:rPr>
        <w:t>во развитие). То подкрепя програмата на Съюза за периода след 2020 г., договорена в Римската декларация от 25 март 2017 г.</w:t>
      </w:r>
    </w:p>
    <w:p w:rsidR="008209B4" w:rsidRDefault="00A54173">
      <w:pPr>
        <w:pBdr>
          <w:top w:val="nil"/>
          <w:left w:val="nil"/>
          <w:bottom w:val="nil"/>
          <w:right w:val="nil"/>
          <w:between w:val="nil"/>
          <w:bar w:val="nil"/>
        </w:pBdr>
        <w:rPr>
          <w:noProof/>
          <w:szCs w:val="24"/>
        </w:rPr>
      </w:pPr>
      <w:r>
        <w:rPr>
          <w:noProof/>
        </w:rPr>
        <w:t xml:space="preserve">Предложението изхожда от предпоставката, че научните изследвания и иновациите (НИИ) допринасят за осъществяването на приоритетите на </w:t>
      </w:r>
      <w:r>
        <w:rPr>
          <w:noProof/>
        </w:rPr>
        <w:t>гражданите, стимулират производителността и конкурентоспособността на Съюза и са от решаващо значение за съхраняването на социално-икономическия модел и ценностите ни и за намирането на решения, които да ни помогнат да подходим към предизвикателствата по п</w:t>
      </w:r>
      <w:r>
        <w:rPr>
          <w:noProof/>
        </w:rPr>
        <w:t>о-системен начин.</w:t>
      </w:r>
    </w:p>
    <w:p w:rsidR="008209B4" w:rsidRDefault="00A54173">
      <w:pPr>
        <w:pBdr>
          <w:top w:val="nil"/>
          <w:left w:val="nil"/>
          <w:bottom w:val="nil"/>
          <w:right w:val="nil"/>
          <w:between w:val="nil"/>
          <w:bar w:val="nil"/>
        </w:pBdr>
        <w:rPr>
          <w:noProof/>
          <w:szCs w:val="24"/>
        </w:rPr>
      </w:pPr>
      <w:r>
        <w:rPr>
          <w:noProof/>
        </w:rPr>
        <w:t>Съгласно член 182 от Договора за функционирането на Европейския съюз („ДФЕС“) рамковата програма се осъществява посредством специфични програми, които определят подробни правила за нейното осъществяване, определят своята продължителност и</w:t>
      </w:r>
      <w:r>
        <w:rPr>
          <w:noProof/>
        </w:rPr>
        <w:t xml:space="preserve"> предвиждат средствата, които се считат за необходими. Програма „Хоризонт Европа“ ще се осъществява чрез специфичната програма, установена с настоящото решение, и специфичната програма за научни изследвания в областта на отбраната.</w:t>
      </w:r>
    </w:p>
    <w:p w:rsidR="008209B4" w:rsidRDefault="00A54173">
      <w:pPr>
        <w:pBdr>
          <w:top w:val="nil"/>
          <w:left w:val="nil"/>
          <w:bottom w:val="nil"/>
          <w:right w:val="nil"/>
          <w:between w:val="nil"/>
          <w:bar w:val="nil"/>
        </w:pBdr>
        <w:rPr>
          <w:rFonts w:eastAsia="Arial Unicode MS"/>
          <w:noProof/>
          <w:szCs w:val="24"/>
        </w:rPr>
      </w:pPr>
      <w:r>
        <w:rPr>
          <w:noProof/>
        </w:rPr>
        <w:t>Специфичната програма, у</w:t>
      </w:r>
      <w:r>
        <w:rPr>
          <w:noProof/>
        </w:rPr>
        <w:t>становена с настоящото решение, се основава както на член 182 от ДФЕС, така и, поради решителна си подкрепа за иновациите, на член 173 от ДФЕС.</w:t>
      </w:r>
    </w:p>
    <w:p w:rsidR="008209B4" w:rsidRDefault="00A54173">
      <w:pPr>
        <w:rPr>
          <w:noProof/>
          <w:szCs w:val="24"/>
        </w:rPr>
      </w:pPr>
      <w:r>
        <w:rPr>
          <w:noProof/>
        </w:rPr>
        <w:t>За повече информация относно цялостното предложение „Хоризонт Европа“ вж. обяснителния меморандум към базовия пр</w:t>
      </w:r>
      <w:r>
        <w:rPr>
          <w:noProof/>
        </w:rPr>
        <w:t xml:space="preserve">авен акт (предложение за регламент за създаване на Рамковата програма за научни изследвания и иновации „Хоризонт Европа“ и за определяне нейните правила за участие и разпространение на резултатите). </w:t>
      </w:r>
    </w:p>
    <w:p w:rsidR="008209B4" w:rsidRDefault="00A54173">
      <w:pPr>
        <w:rPr>
          <w:noProof/>
          <w:szCs w:val="24"/>
        </w:rPr>
      </w:pPr>
      <w:r>
        <w:rPr>
          <w:noProof/>
        </w:rPr>
        <w:t xml:space="preserve">В настоящото предложение се предвижда дата на прилагане </w:t>
      </w:r>
      <w:r>
        <w:rPr>
          <w:noProof/>
        </w:rPr>
        <w:t>от 1 януари 2021 г., като същото се представя с оглед на Съюз с 27 държави членки в съответствие с нотификацията от страна на Обединеното кралство за намерението на държавата да се оттегли от Европейския съюз и от Евратом на основание член 50 от Договора з</w:t>
      </w:r>
      <w:r>
        <w:rPr>
          <w:noProof/>
        </w:rPr>
        <w:t xml:space="preserve">а Европейския съюз, получена от Европейския съвет на 29 март 2017 г. В следващия раздел се дават специфичните точки от настоящото предложение. </w:t>
      </w:r>
    </w:p>
    <w:p w:rsidR="008209B4" w:rsidRDefault="00A54173">
      <w:pPr>
        <w:pStyle w:val="ManualHeading1"/>
        <w:rPr>
          <w:noProof/>
        </w:rPr>
      </w:pPr>
      <w:r>
        <w:rPr>
          <w:noProof/>
        </w:rPr>
        <w:t>2.</w:t>
      </w:r>
      <w:r>
        <w:rPr>
          <w:noProof/>
        </w:rPr>
        <w:tab/>
        <w:t>ДРУГИ ЕЛЕМЕНТИ</w:t>
      </w:r>
    </w:p>
    <w:p w:rsidR="008209B4" w:rsidRDefault="008209B4">
      <w:pPr>
        <w:pStyle w:val="Text1"/>
        <w:spacing w:after="0"/>
        <w:ind w:left="851"/>
        <w:rPr>
          <w:noProof/>
        </w:rPr>
      </w:pPr>
    </w:p>
    <w:p w:rsidR="008209B4" w:rsidRDefault="00A54173">
      <w:pPr>
        <w:pStyle w:val="ManualHeading2"/>
        <w:spacing w:before="0"/>
        <w:ind w:left="851" w:hanging="851"/>
        <w:rPr>
          <w:rFonts w:eastAsia="Arial Unicode MS"/>
          <w:noProof/>
          <w:color w:val="000000"/>
          <w:u w:color="000000"/>
          <w:bdr w:val="nil"/>
        </w:rPr>
      </w:pPr>
      <w:r>
        <w:rPr>
          <w:noProof/>
          <w:color w:val="000000"/>
          <w:u w:color="000000"/>
          <w:bdr w:val="nil"/>
        </w:rPr>
        <w:t>•</w:t>
      </w:r>
      <w:r>
        <w:rPr>
          <w:noProof/>
        </w:rPr>
        <w:tab/>
      </w:r>
      <w:r>
        <w:rPr>
          <w:noProof/>
          <w:color w:val="000000"/>
          <w:u w:color="000000"/>
          <w:bdr w:val="nil"/>
        </w:rPr>
        <w:t>Подробно разяснение на специфичните разпоредби на предложението</w:t>
      </w:r>
    </w:p>
    <w:p w:rsidR="008209B4" w:rsidRDefault="00A54173">
      <w:pPr>
        <w:rPr>
          <w:noProof/>
        </w:rPr>
      </w:pPr>
      <w:r>
        <w:rPr>
          <w:noProof/>
        </w:rPr>
        <w:t xml:space="preserve">Предложението за Рамковата </w:t>
      </w:r>
      <w:r>
        <w:rPr>
          <w:noProof/>
        </w:rPr>
        <w:t xml:space="preserve">програма (Рамкова програма за научни изследвания и иновации, наречена „Хоризонт Европа“, включително за определяне нейните правила за участие и разпространение на резултатите), определя общите и специфичните цели на „Хоризонт Европа“, структурата и общата </w:t>
      </w:r>
      <w:r>
        <w:rPr>
          <w:noProof/>
        </w:rPr>
        <w:t xml:space="preserve">насоченост на дейностите, които трябва </w:t>
      </w:r>
      <w:r>
        <w:rPr>
          <w:noProof/>
        </w:rPr>
        <w:lastRenderedPageBreak/>
        <w:t xml:space="preserve">да бъдат осъществени, докато настоящото решение следва да определи оперативните цели и дейностите, които са специфични за части на „Хоризонт Европа“. </w:t>
      </w:r>
    </w:p>
    <w:p w:rsidR="008209B4" w:rsidRDefault="00A54173">
      <w:pPr>
        <w:pBdr>
          <w:top w:val="nil"/>
          <w:left w:val="nil"/>
          <w:bottom w:val="nil"/>
          <w:right w:val="nil"/>
          <w:between w:val="nil"/>
          <w:bar w:val="nil"/>
        </w:pBdr>
        <w:spacing w:after="240"/>
        <w:rPr>
          <w:rFonts w:eastAsia="Arial Unicode MS"/>
          <w:noProof/>
        </w:rPr>
      </w:pPr>
      <w:r>
        <w:rPr>
          <w:noProof/>
        </w:rPr>
        <w:t>Настоящият правен акт съдържа специфични разпоредби за осъществява</w:t>
      </w:r>
      <w:r>
        <w:rPr>
          <w:noProof/>
        </w:rPr>
        <w:t>не и програмиране по отношение на рамковата програма, особено за</w:t>
      </w:r>
    </w:p>
    <w:p w:rsidR="008209B4" w:rsidRDefault="00A54173">
      <w:pPr>
        <w:pStyle w:val="Bullet0"/>
        <w:numPr>
          <w:ilvl w:val="0"/>
          <w:numId w:val="14"/>
        </w:numPr>
        <w:rPr>
          <w:noProof/>
        </w:rPr>
      </w:pPr>
      <w:r>
        <w:rPr>
          <w:noProof/>
        </w:rPr>
        <w:t xml:space="preserve">Мисии (в рамките на стълб „Глобални предизвикателства и конкурентоспособност на промишлеността“); </w:t>
      </w:r>
    </w:p>
    <w:p w:rsidR="008209B4" w:rsidRDefault="00A54173">
      <w:pPr>
        <w:pStyle w:val="Bullet0"/>
        <w:rPr>
          <w:noProof/>
        </w:rPr>
      </w:pPr>
      <w:r>
        <w:rPr>
          <w:noProof/>
        </w:rPr>
        <w:t>Европейски научноизследователски съвет (ЕНС);</w:t>
      </w:r>
    </w:p>
    <w:p w:rsidR="008209B4" w:rsidRDefault="00A54173">
      <w:pPr>
        <w:pStyle w:val="Bullet0"/>
        <w:rPr>
          <w:noProof/>
        </w:rPr>
      </w:pPr>
      <w:r>
        <w:rPr>
          <w:noProof/>
        </w:rPr>
        <w:t>Европейски съвет по иновациите (ЕСИ);</w:t>
      </w:r>
    </w:p>
    <w:p w:rsidR="008209B4" w:rsidRDefault="00A54173">
      <w:pPr>
        <w:pStyle w:val="Bullet0"/>
        <w:rPr>
          <w:noProof/>
        </w:rPr>
      </w:pPr>
      <w:r>
        <w:rPr>
          <w:noProof/>
        </w:rPr>
        <w:t xml:space="preserve">работни </w:t>
      </w:r>
      <w:r>
        <w:rPr>
          <w:noProof/>
        </w:rPr>
        <w:t>програми;</w:t>
      </w:r>
    </w:p>
    <w:p w:rsidR="008209B4" w:rsidRDefault="00A54173">
      <w:pPr>
        <w:pStyle w:val="Bullet0"/>
        <w:rPr>
          <w:noProof/>
        </w:rPr>
      </w:pPr>
      <w:r>
        <w:rPr>
          <w:noProof/>
        </w:rPr>
        <w:t>процедура на комитет.</w:t>
      </w:r>
    </w:p>
    <w:p w:rsidR="008209B4" w:rsidRDefault="00A54173">
      <w:pPr>
        <w:keepNext/>
        <w:pBdr>
          <w:top w:val="nil"/>
          <w:left w:val="nil"/>
          <w:bottom w:val="nil"/>
          <w:right w:val="nil"/>
          <w:between w:val="nil"/>
          <w:bar w:val="nil"/>
        </w:pBdr>
        <w:spacing w:before="360"/>
        <w:rPr>
          <w:b/>
          <w:i/>
          <w:noProof/>
          <w:szCs w:val="24"/>
        </w:rPr>
      </w:pPr>
      <w:r>
        <w:rPr>
          <w:b/>
          <w:i/>
          <w:noProof/>
        </w:rPr>
        <w:t>Стратегическо планиране</w:t>
      </w:r>
    </w:p>
    <w:p w:rsidR="008209B4" w:rsidRDefault="00A54173">
      <w:pPr>
        <w:pBdr>
          <w:top w:val="nil"/>
          <w:left w:val="nil"/>
          <w:bottom w:val="nil"/>
          <w:right w:val="nil"/>
          <w:between w:val="nil"/>
          <w:bar w:val="nil"/>
        </w:pBdr>
        <w:spacing w:after="240"/>
        <w:rPr>
          <w:noProof/>
          <w:szCs w:val="24"/>
        </w:rPr>
      </w:pPr>
      <w:r>
        <w:rPr>
          <w:noProof/>
        </w:rPr>
        <w:t xml:space="preserve">Осъществяването на програма „Хоризонт Европа“ ще се ръководи от приобщаващ и прозрачен процес на </w:t>
      </w:r>
      <w:r>
        <w:rPr>
          <w:b/>
          <w:noProof/>
        </w:rPr>
        <w:t>стратегическо планиране</w:t>
      </w:r>
      <w:r>
        <w:rPr>
          <w:noProof/>
        </w:rPr>
        <w:t xml:space="preserve"> на научноизследователските и иновационните дейности, които ще се финансират от </w:t>
      </w:r>
      <w:r>
        <w:rPr>
          <w:noProof/>
        </w:rPr>
        <w:t>програмата. Той ще е в резултат от широкообхватни консултации и обмен с държавите членки, с Европейския парламент, когато е целесъобразно, а също и с различни заинтересовани страни, включително организации на гражданското общество, относно приоритетите (вк</w:t>
      </w:r>
      <w:r>
        <w:rPr>
          <w:noProof/>
        </w:rPr>
        <w:t xml:space="preserve">лючително мисии в рамките на стълб „Глобални предизвикателства и конкурентоспособност на промишлеността“) и подходящите видове действия и форми на осъществяване, по-специално европейски партньорства. </w:t>
      </w:r>
    </w:p>
    <w:p w:rsidR="008209B4" w:rsidRDefault="00A54173">
      <w:pPr>
        <w:pBdr>
          <w:top w:val="nil"/>
          <w:left w:val="nil"/>
          <w:bottom w:val="nil"/>
          <w:right w:val="nil"/>
          <w:between w:val="nil"/>
          <w:bar w:val="nil"/>
        </w:pBdr>
        <w:spacing w:after="240"/>
        <w:rPr>
          <w:noProof/>
          <w:szCs w:val="24"/>
        </w:rPr>
      </w:pPr>
      <w:r>
        <w:rPr>
          <w:noProof/>
        </w:rPr>
        <w:t xml:space="preserve">При </w:t>
      </w:r>
      <w:r>
        <w:rPr>
          <w:b/>
          <w:noProof/>
        </w:rPr>
        <w:t>стратегическото планиране</w:t>
      </w:r>
      <w:r>
        <w:rPr>
          <w:noProof/>
        </w:rPr>
        <w:t xml:space="preserve"> ще бъде определена многог</w:t>
      </w:r>
      <w:r>
        <w:rPr>
          <w:noProof/>
        </w:rPr>
        <w:t xml:space="preserve">одишна стратегия за разработването на съдържанието на </w:t>
      </w:r>
      <w:r>
        <w:rPr>
          <w:b/>
          <w:noProof/>
        </w:rPr>
        <w:t>работната програма</w:t>
      </w:r>
      <w:r>
        <w:rPr>
          <w:noProof/>
        </w:rPr>
        <w:t xml:space="preserve"> (както е предвидено в член 11), макар че тя ще остане достатъчно гъвкава, за да отговаря бързо на неочаквани потребности и кризи, както и приоритетите на политиката, определени в цикъ</w:t>
      </w:r>
      <w:r>
        <w:rPr>
          <w:noProof/>
        </w:rPr>
        <w:t>ла на работната програма на Комисията. Тя ще постави втория стълб — Глобални предизвикателства и конкурентоспособност на промишлеността — като център на тежестта за това планиране.</w:t>
      </w:r>
    </w:p>
    <w:p w:rsidR="008209B4" w:rsidRDefault="00A54173">
      <w:pPr>
        <w:pBdr>
          <w:top w:val="nil"/>
          <w:left w:val="nil"/>
          <w:bottom w:val="nil"/>
          <w:right w:val="nil"/>
          <w:between w:val="nil"/>
          <w:bar w:val="nil"/>
        </w:pBdr>
        <w:spacing w:after="240"/>
        <w:rPr>
          <w:noProof/>
          <w:szCs w:val="24"/>
        </w:rPr>
      </w:pPr>
      <w:r>
        <w:rPr>
          <w:noProof/>
        </w:rPr>
        <w:t>Приоритетите на „Хоризонт Европа“ ще бъдат много тясно съгласувани с общите</w:t>
      </w:r>
      <w:r>
        <w:rPr>
          <w:noProof/>
        </w:rPr>
        <w:t xml:space="preserve"> стратегически приоритети на Съюза и неговите политики. Стратегическото планиране ще се основава на прогнозни дейности, проучвания и други научни доказателства, и ще бъде съобразено със съществуващите относими инициативи на равнището на Съюза и на национал</w:t>
      </w:r>
      <w:r>
        <w:rPr>
          <w:noProof/>
        </w:rPr>
        <w:t xml:space="preserve">но равнище. То ще включва интердисциплинарни и междусекторни гледни точки и ще гарантира, че всички дейности в рамките на „Хоризонт Европа“ са координирани по ефективен начин. </w:t>
      </w:r>
    </w:p>
    <w:p w:rsidR="008209B4" w:rsidRDefault="00A54173">
      <w:pPr>
        <w:pBdr>
          <w:top w:val="nil"/>
          <w:left w:val="nil"/>
          <w:bottom w:val="nil"/>
          <w:right w:val="nil"/>
          <w:between w:val="nil"/>
          <w:bar w:val="nil"/>
        </w:pBdr>
        <w:spacing w:after="240"/>
        <w:rPr>
          <w:rFonts w:eastAsia="Arial Unicode MS"/>
          <w:noProof/>
        </w:rPr>
      </w:pPr>
      <w:r>
        <w:rPr>
          <w:noProof/>
        </w:rPr>
        <w:t>То също така ще бъде съгласувано тясно с други програми на Съюза, не на последн</w:t>
      </w:r>
      <w:r>
        <w:rPr>
          <w:noProof/>
        </w:rPr>
        <w:t xml:space="preserve">о място за да се насърчи по-бързото разпространение на резултатите и възприемането на резултатите от инвестициите в научни изследвания и иновации.  </w:t>
      </w:r>
    </w:p>
    <w:p w:rsidR="008209B4" w:rsidRDefault="00A54173">
      <w:pPr>
        <w:spacing w:after="240"/>
        <w:rPr>
          <w:noProof/>
        </w:rPr>
      </w:pPr>
      <w:r>
        <w:rPr>
          <w:noProof/>
        </w:rPr>
        <w:t>Предложението на Комисията за многогодишната финансова рамка за периода 2021—2027 г. определя по-амбициозна</w:t>
      </w:r>
      <w:r>
        <w:rPr>
          <w:noProof/>
        </w:rPr>
        <w:t xml:space="preserve"> цел за включване на целите във връзка с климата във всички програми на ЕС, като общата целева стойност е 25 % от бюджетните разходи на ЕС да допринасят за цели във връзка с климата. Приносът на тази програма за постигане на посочената обща целева стойност</w:t>
      </w:r>
      <w:r>
        <w:rPr>
          <w:noProof/>
        </w:rPr>
        <w:t xml:space="preserve"> ще бъде проследяван чрез система на ЕС от маркери за климата на подходящо ниво на разбивка, включително използване на по-точни методики, когато има такива. Комисията ще продължи да представя информацията ежегодно от гледна точка на бюджетните кредити за п</w:t>
      </w:r>
      <w:r>
        <w:rPr>
          <w:noProof/>
        </w:rPr>
        <w:t xml:space="preserve">оети задължения в контекста на годишния проектобюджет. </w:t>
      </w:r>
    </w:p>
    <w:p w:rsidR="008209B4" w:rsidRDefault="00A54173">
      <w:pPr>
        <w:spacing w:after="240"/>
        <w:rPr>
          <w:noProof/>
        </w:rPr>
      </w:pPr>
      <w:r>
        <w:rPr>
          <w:noProof/>
        </w:rPr>
        <w:t>За да подкрепи пълното оползотворяване на потенциала на програмата да допринесе за целите във връзка с климата, Комисията ще работи за определянето на съответните действия при изготвянето на програмат</w:t>
      </w:r>
      <w:r>
        <w:rPr>
          <w:noProof/>
        </w:rPr>
        <w:t xml:space="preserve">а и в процеса на нейното осъществяване, преглед и оценка. </w:t>
      </w:r>
    </w:p>
    <w:p w:rsidR="008209B4" w:rsidRDefault="00A54173">
      <w:pPr>
        <w:keepNext/>
        <w:spacing w:before="360"/>
        <w:rPr>
          <w:b/>
          <w:i/>
          <w:noProof/>
        </w:rPr>
      </w:pPr>
      <w:r>
        <w:rPr>
          <w:b/>
          <w:i/>
          <w:noProof/>
        </w:rPr>
        <w:t>Стълбове</w:t>
      </w:r>
    </w:p>
    <w:p w:rsidR="008209B4" w:rsidRDefault="00A54173">
      <w:pPr>
        <w:rPr>
          <w:noProof/>
        </w:rPr>
      </w:pPr>
      <w:r>
        <w:rPr>
          <w:noProof/>
        </w:rPr>
        <w:t>„Хоризонт Европа“ ще се състои от 3 направления или „стълбове“:</w:t>
      </w:r>
    </w:p>
    <w:p w:rsidR="008209B4" w:rsidRDefault="00A54173">
      <w:pPr>
        <w:pStyle w:val="Point0"/>
        <w:rPr>
          <w:noProof/>
        </w:rPr>
      </w:pPr>
      <w:r>
        <w:rPr>
          <w:noProof/>
        </w:rPr>
        <w:t>I.</w:t>
      </w:r>
      <w:r>
        <w:rPr>
          <w:noProof/>
        </w:rPr>
        <w:tab/>
        <w:t>„Отворена наука“;</w:t>
      </w:r>
    </w:p>
    <w:p w:rsidR="008209B4" w:rsidRDefault="00A54173">
      <w:pPr>
        <w:pStyle w:val="Point0"/>
        <w:rPr>
          <w:noProof/>
        </w:rPr>
      </w:pPr>
      <w:r>
        <w:rPr>
          <w:noProof/>
        </w:rPr>
        <w:t>II.</w:t>
      </w:r>
      <w:r>
        <w:rPr>
          <w:noProof/>
        </w:rPr>
        <w:tab/>
        <w:t>„Глобални предизвикателства и конкурентоспособност на промишлеността“;</w:t>
      </w:r>
    </w:p>
    <w:p w:rsidR="008209B4" w:rsidRDefault="00A54173">
      <w:pPr>
        <w:pStyle w:val="Point0"/>
        <w:rPr>
          <w:noProof/>
        </w:rPr>
      </w:pPr>
      <w:r>
        <w:rPr>
          <w:noProof/>
        </w:rPr>
        <w:t>III.</w:t>
      </w:r>
      <w:r>
        <w:rPr>
          <w:noProof/>
        </w:rPr>
        <w:tab/>
        <w:t>„Отворени иновации“.</w:t>
      </w:r>
    </w:p>
    <w:p w:rsidR="008209B4" w:rsidRDefault="00A54173">
      <w:pPr>
        <w:keepNext/>
        <w:spacing w:before="360"/>
        <w:rPr>
          <w:noProof/>
        </w:rPr>
      </w:pPr>
      <w:r>
        <w:rPr>
          <w:b/>
          <w:noProof/>
        </w:rPr>
        <w:t xml:space="preserve">Стълб I – </w:t>
      </w:r>
      <w:r>
        <w:rPr>
          <w:noProof/>
        </w:rPr>
        <w:t>„</w:t>
      </w:r>
      <w:r>
        <w:rPr>
          <w:b/>
          <w:noProof/>
        </w:rPr>
        <w:t>Open Science</w:t>
      </w:r>
      <w:r>
        <w:rPr>
          <w:noProof/>
        </w:rPr>
        <w:t xml:space="preserve">“ </w:t>
      </w:r>
    </w:p>
    <w:p w:rsidR="008209B4" w:rsidRDefault="00A54173">
      <w:pPr>
        <w:rPr>
          <w:noProof/>
        </w:rPr>
      </w:pPr>
      <w:r>
        <w:rPr>
          <w:noProof/>
        </w:rPr>
        <w:t>Този стълб се основава на успеха на Европейския научноизследователски съвет, действията „Мария Склодовска-Кюри“ и компонента „Изследователски инфраструктури “ в текущата рамкова програма. За специфичните правила относно Европейски</w:t>
      </w:r>
      <w:r>
        <w:rPr>
          <w:noProof/>
        </w:rPr>
        <w:t>я научноизследователски съвет вж. членове 6—8.</w:t>
      </w:r>
    </w:p>
    <w:p w:rsidR="008209B4" w:rsidRDefault="008209B4">
      <w:pPr>
        <w:autoSpaceDE w:val="0"/>
        <w:autoSpaceDN w:val="0"/>
        <w:adjustRightInd w:val="0"/>
        <w:rPr>
          <w:b/>
          <w:noProof/>
          <w:szCs w:val="24"/>
        </w:rPr>
      </w:pPr>
    </w:p>
    <w:p w:rsidR="008209B4" w:rsidRDefault="00A54173">
      <w:pPr>
        <w:keepNext/>
        <w:autoSpaceDE w:val="0"/>
        <w:autoSpaceDN w:val="0"/>
        <w:adjustRightInd w:val="0"/>
        <w:rPr>
          <w:noProof/>
          <w:szCs w:val="24"/>
        </w:rPr>
      </w:pPr>
      <w:r>
        <w:rPr>
          <w:b/>
          <w:noProof/>
        </w:rPr>
        <w:t xml:space="preserve">Стълб II – </w:t>
      </w:r>
      <w:r>
        <w:rPr>
          <w:noProof/>
        </w:rPr>
        <w:t>„</w:t>
      </w:r>
      <w:r>
        <w:rPr>
          <w:b/>
          <w:noProof/>
        </w:rPr>
        <w:t>Глобални предизвикателства и конкурентоспособност на промишлеността</w:t>
      </w:r>
      <w:r>
        <w:rPr>
          <w:noProof/>
        </w:rPr>
        <w:t xml:space="preserve">“ </w:t>
      </w:r>
    </w:p>
    <w:p w:rsidR="008209B4" w:rsidRDefault="00A54173">
      <w:pPr>
        <w:autoSpaceDE w:val="0"/>
        <w:autoSpaceDN w:val="0"/>
        <w:adjustRightInd w:val="0"/>
        <w:rPr>
          <w:noProof/>
          <w:szCs w:val="24"/>
        </w:rPr>
      </w:pPr>
      <w:r>
        <w:rPr>
          <w:noProof/>
        </w:rPr>
        <w:t>Този стълб включва пет тематични клъстера, които разглеждат пълния спектър на глобалните предизвикателства чрез съвместни дейн</w:t>
      </w:r>
      <w:r>
        <w:rPr>
          <w:noProof/>
        </w:rPr>
        <w:t>ости по НИИ „отгоре надолу“.</w:t>
      </w:r>
    </w:p>
    <w:p w:rsidR="008209B4" w:rsidRDefault="00A54173">
      <w:pPr>
        <w:pStyle w:val="Bullet0"/>
        <w:rPr>
          <w:noProof/>
        </w:rPr>
      </w:pPr>
      <w:r>
        <w:rPr>
          <w:noProof/>
        </w:rPr>
        <w:t>„Здравеопазване“;</w:t>
      </w:r>
    </w:p>
    <w:p w:rsidR="008209B4" w:rsidRDefault="00A54173">
      <w:pPr>
        <w:pStyle w:val="Bullet0"/>
        <w:rPr>
          <w:noProof/>
        </w:rPr>
      </w:pPr>
      <w:r>
        <w:rPr>
          <w:noProof/>
        </w:rPr>
        <w:t xml:space="preserve">„Приобщаващо и сигурно общество“; </w:t>
      </w:r>
    </w:p>
    <w:p w:rsidR="008209B4" w:rsidRDefault="00A54173">
      <w:pPr>
        <w:pStyle w:val="Bullet0"/>
        <w:rPr>
          <w:noProof/>
        </w:rPr>
      </w:pPr>
      <w:r>
        <w:rPr>
          <w:noProof/>
        </w:rPr>
        <w:t xml:space="preserve">„Цифрова сфера и промишленост“; </w:t>
      </w:r>
    </w:p>
    <w:p w:rsidR="008209B4" w:rsidRDefault="00A54173">
      <w:pPr>
        <w:pStyle w:val="Bullet0"/>
        <w:rPr>
          <w:noProof/>
        </w:rPr>
      </w:pPr>
      <w:r>
        <w:rPr>
          <w:noProof/>
        </w:rPr>
        <w:t xml:space="preserve">„Климат, енергия и мобилност“; </w:t>
      </w:r>
    </w:p>
    <w:p w:rsidR="008209B4" w:rsidRDefault="00A54173">
      <w:pPr>
        <w:pStyle w:val="Bullet0"/>
        <w:rPr>
          <w:noProof/>
        </w:rPr>
      </w:pPr>
      <w:r>
        <w:rPr>
          <w:noProof/>
        </w:rPr>
        <w:t xml:space="preserve">„Храни и природни ресурси“. </w:t>
      </w:r>
    </w:p>
    <w:p w:rsidR="008209B4" w:rsidRDefault="00A54173">
      <w:pPr>
        <w:autoSpaceDE w:val="0"/>
        <w:autoSpaceDN w:val="0"/>
        <w:adjustRightInd w:val="0"/>
        <w:rPr>
          <w:noProof/>
          <w:szCs w:val="24"/>
        </w:rPr>
      </w:pPr>
      <w:r>
        <w:rPr>
          <w:noProof/>
        </w:rPr>
        <w:t>Клъстерите — с подкрепа по области на интервенция — надхвърлят обичайните границ</w:t>
      </w:r>
      <w:r>
        <w:rPr>
          <w:noProof/>
        </w:rPr>
        <w:t>и между дисциплините, отраслите и областите на политиката и ще доведат до по-голямо сътрудничество и увеличено въздействие по отношение на Съюза и приоритетите на глобалната политика.</w:t>
      </w:r>
    </w:p>
    <w:p w:rsidR="008209B4" w:rsidRDefault="00A54173">
      <w:pPr>
        <w:rPr>
          <w:noProof/>
          <w:szCs w:val="24"/>
        </w:rPr>
      </w:pPr>
      <w:r>
        <w:rPr>
          <w:noProof/>
        </w:rPr>
        <w:t>Целият стълб е проектиран така, че да е повече ориентиран към въздействи</w:t>
      </w:r>
      <w:r>
        <w:rPr>
          <w:noProof/>
        </w:rPr>
        <w:t xml:space="preserve">ето. </w:t>
      </w:r>
    </w:p>
    <w:p w:rsidR="008209B4" w:rsidRDefault="00A54173">
      <w:pPr>
        <w:rPr>
          <w:i/>
          <w:noProof/>
          <w:szCs w:val="24"/>
        </w:rPr>
      </w:pPr>
      <w:r>
        <w:rPr>
          <w:i/>
          <w:noProof/>
        </w:rPr>
        <w:t>Мисии</w:t>
      </w:r>
    </w:p>
    <w:p w:rsidR="008209B4" w:rsidRDefault="00A54173">
      <w:pPr>
        <w:rPr>
          <w:noProof/>
        </w:rPr>
      </w:pPr>
      <w:r>
        <w:rPr>
          <w:noProof/>
        </w:rPr>
        <w:t xml:space="preserve">Малко на брой </w:t>
      </w:r>
      <w:r>
        <w:rPr>
          <w:b/>
          <w:noProof/>
        </w:rPr>
        <w:t>мисии</w:t>
      </w:r>
      <w:r>
        <w:rPr>
          <w:noProof/>
        </w:rPr>
        <w:t xml:space="preserve"> със специфични цели ще бъде стартирани в рамките на стълба, като те установяват всеобхватен портфейл от проекти, но също така се ползват от съответните дейности и крайни продукти от други части на програмата. Специфичните разпоредби относно мисиите са пос</w:t>
      </w:r>
      <w:r>
        <w:rPr>
          <w:noProof/>
        </w:rPr>
        <w:t xml:space="preserve">очени в член 5. </w:t>
      </w:r>
    </w:p>
    <w:p w:rsidR="008209B4" w:rsidRDefault="00A54173">
      <w:pPr>
        <w:spacing w:after="0"/>
        <w:rPr>
          <w:noProof/>
          <w:szCs w:val="24"/>
        </w:rPr>
      </w:pPr>
      <w:r>
        <w:rPr>
          <w:noProof/>
        </w:rPr>
        <w:t>Решение за мисиите ще бъде взето и те ще бъдат съвместно разработени като част от процеса на стратегическо планиране по „Хоризонт Европа“, който ще включва съвместни усилия от страна на съответните служби на Комисията, държавите членки, Ев</w:t>
      </w:r>
      <w:r>
        <w:rPr>
          <w:noProof/>
        </w:rPr>
        <w:t>ропейския парламент и относимите заинтересовани страни.</w:t>
      </w:r>
    </w:p>
    <w:p w:rsidR="008209B4" w:rsidRDefault="00A54173">
      <w:pPr>
        <w:rPr>
          <w:noProof/>
          <w:szCs w:val="24"/>
        </w:rPr>
      </w:pPr>
      <w:r>
        <w:rPr>
          <w:noProof/>
        </w:rPr>
        <w:t>Няма да има отделен бюджет за мисии, въпреки че мисиите ще разполагат с бюджет, разпределен чрез работната програма. Обичайно се очаква, че мисиите са хоризонтални по своя характер и следователно полу</w:t>
      </w:r>
      <w:r>
        <w:rPr>
          <w:noProof/>
        </w:rPr>
        <w:t>чават бюджет от повече от един клъстер.</w:t>
      </w:r>
    </w:p>
    <w:p w:rsidR="008209B4" w:rsidRDefault="00A54173">
      <w:pPr>
        <w:rPr>
          <w:i/>
          <w:iCs/>
          <w:noProof/>
          <w:color w:val="1F497D"/>
        </w:rPr>
      </w:pPr>
      <w:r>
        <w:rPr>
          <w:noProof/>
        </w:rPr>
        <w:t>Първите няколко мисии ще бъдат въведени в първия процес на стратегическо планиране. Въз основа на опита от първите две години броят и мащабът на мисиите могат да бъдат увеличени в следващите работни програми. Въпреки</w:t>
      </w:r>
      <w:r>
        <w:rPr>
          <w:noProof/>
        </w:rPr>
        <w:t xml:space="preserve"> че не се очаква продължителността на подкрепата от Съюза за мисии да надхвърли 10 години и ще подлежи на редовен преглед (през цикъла на работната програма), времевата рамка за очакваното въздействие на мисиите може да надхвърли този срок.</w:t>
      </w:r>
    </w:p>
    <w:p w:rsidR="008209B4" w:rsidRDefault="00A54173">
      <w:pPr>
        <w:rPr>
          <w:noProof/>
          <w:color w:val="C00000"/>
        </w:rPr>
      </w:pPr>
      <w:r>
        <w:rPr>
          <w:noProof/>
        </w:rPr>
        <w:t xml:space="preserve"> За съвместно р</w:t>
      </w:r>
      <w:r>
        <w:rPr>
          <w:noProof/>
        </w:rPr>
        <w:t xml:space="preserve">азработване на мисиите и за ръководство на осъществяването им, Комисията може да създаде </w:t>
      </w:r>
      <w:r>
        <w:rPr>
          <w:i/>
          <w:noProof/>
        </w:rPr>
        <w:t>комитети за мисиите</w:t>
      </w:r>
      <w:r>
        <w:rPr>
          <w:noProof/>
        </w:rPr>
        <w:t>. Те ще предоставят консултации относно потенциалните мисии с голямо въздействие, като при това разчитат на процес на разработване, който включва вс</w:t>
      </w:r>
      <w:r>
        <w:rPr>
          <w:noProof/>
        </w:rPr>
        <w:t>ички заинтересовани страни и съдържа обществени кампании. Комитетите за мисиите ще бъдат съставени от заинтересовани страни, включително крайни потребители, за да се осигури техният ангажимент, и от служби на Комисията, за да се осигурят връзки с политикит</w:t>
      </w:r>
      <w:r>
        <w:rPr>
          <w:noProof/>
        </w:rPr>
        <w:t>е на Съюза. Членовете на комитетите за мисиите обикновено се назначават от Комисията след открита покана за изразяване на интерес, и като се отчита необходимостта от баланс по отношение на експертните познания, пола, възрастта и географското разпределение.</w:t>
      </w:r>
      <w:r>
        <w:rPr>
          <w:noProof/>
        </w:rPr>
        <w:t xml:space="preserve"> Независимо от това, ако е уместно, съществуващи управленски структури също биха могли да бъдат използвани като комитети за мисиите.</w:t>
      </w:r>
    </w:p>
    <w:p w:rsidR="008209B4" w:rsidRDefault="00A54173">
      <w:pPr>
        <w:spacing w:after="0"/>
        <w:rPr>
          <w:bCs/>
          <w:noProof/>
          <w:szCs w:val="24"/>
        </w:rPr>
      </w:pPr>
      <w:r>
        <w:rPr>
          <w:i/>
          <w:noProof/>
        </w:rPr>
        <w:t>Ръководителите на мисии</w:t>
      </w:r>
      <w:r>
        <w:rPr>
          <w:noProof/>
        </w:rPr>
        <w:t xml:space="preserve"> могат да бъдат наемани от Комисията, за да се гарантира, че се използват най-добрите налични познан</w:t>
      </w:r>
      <w:r>
        <w:rPr>
          <w:noProof/>
        </w:rPr>
        <w:t>ия за изпълнение и постигане на поставените цели.</w:t>
      </w:r>
    </w:p>
    <w:p w:rsidR="008209B4" w:rsidRDefault="00A54173">
      <w:pPr>
        <w:spacing w:after="0"/>
        <w:rPr>
          <w:noProof/>
          <w:szCs w:val="24"/>
        </w:rPr>
      </w:pPr>
      <w:r>
        <w:rPr>
          <w:noProof/>
        </w:rPr>
        <w:t>Разпоредбите за изпълнение ще дадат възможност за „портфейлен подход“, при който предложенията ще бъдат оценявани и подбирани в рамките на портфейл от действия, а не поотделно, като по същия начин ще се упр</w:t>
      </w:r>
      <w:r>
        <w:rPr>
          <w:noProof/>
        </w:rPr>
        <w:t>авляват и проектите.</w:t>
      </w:r>
    </w:p>
    <w:p w:rsidR="008209B4" w:rsidRDefault="00A54173">
      <w:pPr>
        <w:spacing w:after="0"/>
        <w:rPr>
          <w:noProof/>
          <w:szCs w:val="24"/>
        </w:rPr>
      </w:pPr>
      <w:r>
        <w:rPr>
          <w:noProof/>
        </w:rPr>
        <w:t>Оценката на предложенията ще се извършва с помощта на независими оценители, които ще отговарят за предлагането на портфейл от проекти, които третират съвместно дадена мисия.</w:t>
      </w:r>
    </w:p>
    <w:p w:rsidR="008209B4" w:rsidRDefault="00A54173">
      <w:pPr>
        <w:spacing w:after="0"/>
        <w:rPr>
          <w:noProof/>
          <w:szCs w:val="24"/>
        </w:rPr>
      </w:pPr>
      <w:r>
        <w:rPr>
          <w:noProof/>
        </w:rPr>
        <w:t>Приложимите критерии за оценка и подбор, както и методът за о</w:t>
      </w:r>
      <w:r>
        <w:rPr>
          <w:noProof/>
        </w:rPr>
        <w:t xml:space="preserve">ценка за мисиите (напр. осигуряване на портфейлен подход), ще бъдат определени в работната програма. Целта ще е да се оценят на колективно равнище високите постижения и въздействието. </w:t>
      </w:r>
    </w:p>
    <w:p w:rsidR="008209B4" w:rsidRDefault="00A54173">
      <w:pPr>
        <w:spacing w:after="0"/>
        <w:rPr>
          <w:noProof/>
          <w:szCs w:val="24"/>
        </w:rPr>
      </w:pPr>
      <w:r>
        <w:rPr>
          <w:noProof/>
        </w:rPr>
        <w:t>Други относими проекти, които могат да допринесат за успеха на мисиите,</w:t>
      </w:r>
      <w:r>
        <w:rPr>
          <w:noProof/>
        </w:rPr>
        <w:t xml:space="preserve"> могат да бъдат включени в портфейлния подход, както и своя принос могат да дадат и широк кръг от участници, като например фондации.</w:t>
      </w:r>
    </w:p>
    <w:p w:rsidR="008209B4" w:rsidRDefault="00A54173">
      <w:pPr>
        <w:spacing w:after="0"/>
        <w:rPr>
          <w:noProof/>
          <w:szCs w:val="24"/>
        </w:rPr>
      </w:pPr>
      <w:r>
        <w:rPr>
          <w:noProof/>
        </w:rPr>
        <w:t>Водещите инициативи по „Бъдещи и нововъзникващи технологии“ (FET) по „Хоризонт 2020“ имат сходни характеристики с концепция</w:t>
      </w:r>
      <w:r>
        <w:rPr>
          <w:noProof/>
        </w:rPr>
        <w:t>та за мисиите. Поради тази причина, както и за да се опрости финансирането, всички водещи инициативи по FET, планирани по линия на „Хоризонт Европа“ ще бъдат създадени като мисии в съответствие с критериите за мисиите, и ще се осъществяват като се прилагат</w:t>
      </w:r>
      <w:r>
        <w:rPr>
          <w:noProof/>
        </w:rPr>
        <w:t xml:space="preserve"> същите ред и условия. </w:t>
      </w:r>
    </w:p>
    <w:p w:rsidR="008209B4" w:rsidRDefault="00A54173">
      <w:pPr>
        <w:keepNext/>
        <w:spacing w:before="360"/>
        <w:rPr>
          <w:b/>
          <w:noProof/>
          <w:szCs w:val="24"/>
        </w:rPr>
      </w:pPr>
      <w:r>
        <w:rPr>
          <w:b/>
          <w:noProof/>
        </w:rPr>
        <w:t xml:space="preserve">Стълб III – </w:t>
      </w:r>
      <w:r>
        <w:rPr>
          <w:noProof/>
        </w:rPr>
        <w:t>„</w:t>
      </w:r>
      <w:r>
        <w:rPr>
          <w:b/>
          <w:noProof/>
        </w:rPr>
        <w:t>Отворени иновации</w:t>
      </w:r>
      <w:r>
        <w:rPr>
          <w:noProof/>
        </w:rPr>
        <w:t>“</w:t>
      </w:r>
      <w:r>
        <w:rPr>
          <w:b/>
          <w:noProof/>
        </w:rPr>
        <w:t xml:space="preserve"> </w:t>
      </w:r>
    </w:p>
    <w:p w:rsidR="008209B4" w:rsidRDefault="00A54173">
      <w:pPr>
        <w:rPr>
          <w:noProof/>
          <w:szCs w:val="24"/>
        </w:rPr>
      </w:pPr>
      <w:r>
        <w:rPr>
          <w:b/>
          <w:noProof/>
        </w:rPr>
        <w:t xml:space="preserve">Този </w:t>
      </w:r>
      <w:r>
        <w:rPr>
          <w:noProof/>
        </w:rPr>
        <w:t xml:space="preserve">стълб ще бъде съсредоточен най-вече върху: </w:t>
      </w:r>
    </w:p>
    <w:p w:rsidR="008209B4" w:rsidRDefault="00A54173">
      <w:pPr>
        <w:pStyle w:val="Tiret0"/>
        <w:numPr>
          <w:ilvl w:val="0"/>
          <w:numId w:val="17"/>
        </w:numPr>
        <w:rPr>
          <w:noProof/>
          <w:szCs w:val="24"/>
        </w:rPr>
      </w:pPr>
      <w:r>
        <w:rPr>
          <w:noProof/>
        </w:rPr>
        <w:t xml:space="preserve">разширяване на мащаба на водещите до пробив иновации и иновациите, които създават нови пазари чрез нов </w:t>
      </w:r>
      <w:r>
        <w:rPr>
          <w:b/>
          <w:noProof/>
        </w:rPr>
        <w:t>Европейски съвет по иновациите</w:t>
      </w:r>
      <w:r>
        <w:rPr>
          <w:noProof/>
        </w:rPr>
        <w:t xml:space="preserve"> (ЕСИ — вж. членове 9 и 10); и </w:t>
      </w:r>
    </w:p>
    <w:p w:rsidR="008209B4" w:rsidRDefault="00A54173">
      <w:pPr>
        <w:pStyle w:val="Tiret0"/>
        <w:rPr>
          <w:noProof/>
          <w:szCs w:val="24"/>
        </w:rPr>
      </w:pPr>
      <w:r>
        <w:rPr>
          <w:noProof/>
        </w:rPr>
        <w:t xml:space="preserve">дейности, насочени към укрепване и развиване на общата европейската иновационна среда, включително подкрепа за </w:t>
      </w:r>
      <w:r>
        <w:rPr>
          <w:b/>
          <w:noProof/>
          <w:color w:val="000000"/>
        </w:rPr>
        <w:t>Европейския институт за иновации и технологии</w:t>
      </w:r>
      <w:r>
        <w:rPr>
          <w:noProof/>
        </w:rPr>
        <w:t xml:space="preserve"> (EIT).</w:t>
      </w:r>
    </w:p>
    <w:p w:rsidR="008209B4" w:rsidRDefault="00A54173">
      <w:pPr>
        <w:rPr>
          <w:noProof/>
        </w:rPr>
      </w:pPr>
      <w:r>
        <w:rPr>
          <w:noProof/>
        </w:rPr>
        <w:t>За работата на ЕСИ Комисията ще създаде комитет на високо ни</w:t>
      </w:r>
      <w:r>
        <w:rPr>
          <w:noProof/>
        </w:rPr>
        <w:t xml:space="preserve">во („комитет на ЕСИ“), който, наред с другото, ще предоставя консултации по отношение на общата стратегия, целите, дейностите, критериите за оценка и подбора на експерти. Работната програма за изпълнение на действията на ЕСИ ще бъде изготвена от Комисията </w:t>
      </w:r>
      <w:r>
        <w:rPr>
          <w:noProof/>
        </w:rPr>
        <w:t>въз основа на становището на комитета на ЕСИ.</w:t>
      </w:r>
    </w:p>
    <w:p w:rsidR="008209B4" w:rsidRDefault="00A54173">
      <w:pPr>
        <w:rPr>
          <w:noProof/>
        </w:rPr>
      </w:pPr>
      <w:r>
        <w:rPr>
          <w:noProof/>
        </w:rPr>
        <w:t>Европейският съвет по иновациите ще бъде единственият канал за подкрепата от Съюза за водещите до пробив иновации, които създават нови пазари. Той ще ръководи относимите дейности, които преди това са извършвани</w:t>
      </w:r>
      <w:r>
        <w:rPr>
          <w:noProof/>
        </w:rPr>
        <w:t xml:space="preserve"> в рамките на „Хоризонт 2020“, като например „Иновации в МСП“ и „Бъдещи и нововъзникващи технологии (FET Open и FET Proactive), и „Достъп до рисково финансиране“ (понастоящем съгласувано с регламента за фонда InvestEU). </w:t>
      </w:r>
    </w:p>
    <w:p w:rsidR="008209B4" w:rsidRDefault="00A54173">
      <w:pPr>
        <w:rPr>
          <w:noProof/>
        </w:rPr>
      </w:pPr>
      <w:r>
        <w:rPr>
          <w:noProof/>
        </w:rPr>
        <w:t>Комисията може да наеме ръководител</w:t>
      </w:r>
      <w:r>
        <w:rPr>
          <w:noProof/>
        </w:rPr>
        <w:t xml:space="preserve">и на програми след открита и прозрачна процедура за подбор за работата на ЕСИ. </w:t>
      </w:r>
    </w:p>
    <w:p w:rsidR="008209B4" w:rsidRDefault="00A54173">
      <w:pPr>
        <w:rPr>
          <w:noProof/>
        </w:rPr>
      </w:pPr>
      <w:r>
        <w:rPr>
          <w:noProof/>
        </w:rPr>
        <w:t xml:space="preserve">ЕСИ ще предоставя пряка съобразена с нуждите подкрепа за новаторите чрез два основни инструмента за финансиране — </w:t>
      </w:r>
      <w:r>
        <w:rPr>
          <w:i/>
          <w:noProof/>
        </w:rPr>
        <w:t>„Изследвач“</w:t>
      </w:r>
      <w:r>
        <w:rPr>
          <w:noProof/>
        </w:rPr>
        <w:t xml:space="preserve"> и </w:t>
      </w:r>
      <w:r>
        <w:rPr>
          <w:i/>
          <w:noProof/>
        </w:rPr>
        <w:t>„Ускорител“</w:t>
      </w:r>
      <w:r>
        <w:rPr>
          <w:noProof/>
        </w:rPr>
        <w:t>, — които ще се съсредоточат, чрез пр</w:t>
      </w:r>
      <w:r>
        <w:rPr>
          <w:noProof/>
        </w:rPr>
        <w:t xml:space="preserve">едимно високорисков подход „отдолу нагоре“, върху водещите до пробив иновации; върху потребностите на новаторите, и ще бъдат проактивно управлявани. </w:t>
      </w:r>
    </w:p>
    <w:p w:rsidR="008209B4" w:rsidRDefault="00A54173">
      <w:pPr>
        <w:rPr>
          <w:noProof/>
          <w:szCs w:val="20"/>
        </w:rPr>
      </w:pPr>
      <w:r>
        <w:rPr>
          <w:i/>
          <w:noProof/>
        </w:rPr>
        <w:t>Изследвач за авангардни научни изследвания</w:t>
      </w:r>
      <w:r>
        <w:rPr>
          <w:noProof/>
        </w:rPr>
        <w:t xml:space="preserve"> ще осигури безвъзмездни средства от ранен етап на технологията (включително доказване на концепции, валидиране на технологии) до ранния етап на пазара (ранно демонстриране, разработване на икономическа обосновка и стратегия). </w:t>
      </w:r>
    </w:p>
    <w:p w:rsidR="008209B4" w:rsidRDefault="00A54173">
      <w:pPr>
        <w:rPr>
          <w:noProof/>
          <w:szCs w:val="20"/>
        </w:rPr>
      </w:pPr>
      <w:r>
        <w:rPr>
          <w:i/>
          <w:noProof/>
        </w:rPr>
        <w:t>„Ускорител“</w:t>
      </w:r>
      <w:r>
        <w:rPr>
          <w:noProof/>
        </w:rPr>
        <w:t xml:space="preserve"> ще подкрепи по-н</w:t>
      </w:r>
      <w:r>
        <w:rPr>
          <w:noProof/>
        </w:rPr>
        <w:t>ататъшното разработване и внедряване на пазара на водещите до пробив иновации и иновациите, които създават нови пазари, до етап, в който те могат да бъдат финансирани от инвеститорите при нормални търговски условия (например от демонстрацията, потребителск</w:t>
      </w:r>
      <w:r>
        <w:rPr>
          <w:noProof/>
        </w:rPr>
        <w:t xml:space="preserve">и тестове, предпазарно производство, включително разширяване). Той ще предостави на  ЕСИ смесено финансиране (т.е. безвъзмездни средства, комбиниращи пряка капиталова инвестиция и достъп до финансови гаранции). </w:t>
      </w:r>
    </w:p>
    <w:p w:rsidR="008209B4" w:rsidRDefault="00A54173">
      <w:pPr>
        <w:rPr>
          <w:noProof/>
          <w:szCs w:val="20"/>
        </w:rPr>
      </w:pPr>
      <w:r>
        <w:rPr>
          <w:noProof/>
        </w:rPr>
        <w:t>„Ускорител“ ще постави особен акцент върху и</w:t>
      </w:r>
      <w:r>
        <w:rPr>
          <w:noProof/>
        </w:rPr>
        <w:t>новациите, генерирани в рамките на „Изследвач“, макар че ще финансира също  и проекти от други части на „Хоризонт Европа“, като Европейския научноизследователски съвет или „</w:t>
      </w:r>
      <w:r>
        <w:rPr>
          <w:i/>
          <w:noProof/>
        </w:rPr>
        <w:t>Общности на знание и иновации</w:t>
      </w:r>
      <w:r>
        <w:rPr>
          <w:noProof/>
        </w:rPr>
        <w:t xml:space="preserve">“ на Европейския институт за иновации и технологии. </w:t>
      </w:r>
    </w:p>
    <w:p w:rsidR="008209B4" w:rsidRDefault="00A54173">
      <w:pPr>
        <w:rPr>
          <w:noProof/>
        </w:rPr>
      </w:pPr>
      <w:r>
        <w:rPr>
          <w:noProof/>
        </w:rPr>
        <w:t>Д</w:t>
      </w:r>
      <w:r>
        <w:rPr>
          <w:noProof/>
        </w:rPr>
        <w:t>руга характеристика на стълба „Отворени иновации“ е засиленото сътрудничество с иновационни екосистеми, насочено към подобряване на околната среда, в рамките на което иновациите могат да се развиват, по-специално чрез EIT (но не изключително чрез него), ко</w:t>
      </w:r>
      <w:r>
        <w:rPr>
          <w:noProof/>
        </w:rPr>
        <w:t xml:space="preserve">йто ще насърчава устойчиви иновационни екосистеми и ще развива предприемаческите и иновационните умения в приоритетни области посредством своите общности на знание и иновации. </w:t>
      </w:r>
    </w:p>
    <w:p w:rsidR="008209B4" w:rsidRDefault="00A54173">
      <w:pPr>
        <w:keepNext/>
        <w:spacing w:before="360"/>
        <w:rPr>
          <w:b/>
          <w:noProof/>
        </w:rPr>
      </w:pPr>
      <w:r>
        <w:rPr>
          <w:b/>
          <w:noProof/>
        </w:rPr>
        <w:t xml:space="preserve">Част </w:t>
      </w:r>
      <w:r>
        <w:rPr>
          <w:noProof/>
        </w:rPr>
        <w:t>„</w:t>
      </w:r>
      <w:r>
        <w:rPr>
          <w:b/>
          <w:noProof/>
        </w:rPr>
        <w:t>Укрепване на европейското научноизследователско пространство</w:t>
      </w:r>
      <w:r>
        <w:rPr>
          <w:noProof/>
        </w:rPr>
        <w:t>“</w:t>
      </w:r>
    </w:p>
    <w:p w:rsidR="008209B4" w:rsidRDefault="00A54173">
      <w:pPr>
        <w:rPr>
          <w:noProof/>
          <w:szCs w:val="24"/>
        </w:rPr>
      </w:pPr>
      <w:r>
        <w:rPr>
          <w:noProof/>
        </w:rPr>
        <w:t>Основните к</w:t>
      </w:r>
      <w:r>
        <w:rPr>
          <w:noProof/>
        </w:rPr>
        <w:t>омпоненти на тази конкретна част са: „обмен на високи постижения“; и „реформиране и засилване на европейската система за НИИ“, която обхваща следващото поколение на механизъм за подкрепа в областта на политиките.</w:t>
      </w:r>
    </w:p>
    <w:p w:rsidR="008209B4" w:rsidRDefault="00A54173">
      <w:pPr>
        <w:rPr>
          <w:noProof/>
          <w:szCs w:val="24"/>
        </w:rPr>
      </w:pPr>
      <w:r>
        <w:rPr>
          <w:noProof/>
        </w:rPr>
        <w:t>Тази част ще включва също така дейности, св</w:t>
      </w:r>
      <w:r>
        <w:rPr>
          <w:noProof/>
        </w:rPr>
        <w:t>ързани с: прогнозиране, мониторинг и оценка на рамковата програма и разпространение и използване на резултатите, модернизиране на европейските университети, подкрепа за разширяването на международното сътрудничество, както и с науката, обществото и граждан</w:t>
      </w:r>
      <w:r>
        <w:rPr>
          <w:noProof/>
        </w:rPr>
        <w:t>ите.</w:t>
      </w:r>
    </w:p>
    <w:p w:rsidR="008209B4" w:rsidRDefault="00A54173">
      <w:pPr>
        <w:keepNext/>
        <w:spacing w:before="360"/>
        <w:rPr>
          <w:b/>
          <w:noProof/>
        </w:rPr>
      </w:pPr>
      <w:r>
        <w:rPr>
          <w:b/>
          <w:noProof/>
        </w:rPr>
        <w:t>Осъществяване</w:t>
      </w:r>
    </w:p>
    <w:p w:rsidR="008209B4" w:rsidRDefault="00A54173">
      <w:pPr>
        <w:rPr>
          <w:noProof/>
        </w:rPr>
      </w:pPr>
      <w:r>
        <w:rPr>
          <w:noProof/>
        </w:rPr>
        <w:t xml:space="preserve">При осъществяването на „Хоризонт Европа“ Комисията ще се подпомага от </w:t>
      </w:r>
      <w:r>
        <w:rPr>
          <w:b/>
          <w:noProof/>
        </w:rPr>
        <w:t>комитет</w:t>
      </w:r>
      <w:r>
        <w:rPr>
          <w:noProof/>
        </w:rPr>
        <w:t xml:space="preserve"> (вж. член 12) по смисъла на Регламент (ЕС) № 182/2011. Той ще заседава в различни състави (вж. приложение II към настоящото решение), в зависимост от темите за</w:t>
      </w:r>
      <w:r>
        <w:rPr>
          <w:noProof/>
        </w:rPr>
        <w:t xml:space="preserve"> обсъждане. </w:t>
      </w:r>
    </w:p>
    <w:p w:rsidR="008209B4" w:rsidRDefault="00A54173">
      <w:pPr>
        <w:keepNext/>
        <w:spacing w:before="360"/>
        <w:rPr>
          <w:b/>
          <w:noProof/>
        </w:rPr>
      </w:pPr>
      <w:r>
        <w:rPr>
          <w:b/>
          <w:noProof/>
        </w:rPr>
        <w:t>Дейности по програмата</w:t>
      </w:r>
    </w:p>
    <w:p w:rsidR="008209B4" w:rsidRDefault="00A54173">
      <w:pPr>
        <w:rPr>
          <w:noProof/>
        </w:rPr>
      </w:pPr>
      <w:r>
        <w:rPr>
          <w:noProof/>
        </w:rPr>
        <w:t>Вж. приложение I към настоящото предложение за повече подробности относно областите, финансирани по всеки от стълбовете, и относно дейностите по програмата. Това включва договорености за осъществяване и общи принципи, съ</w:t>
      </w:r>
      <w:r>
        <w:rPr>
          <w:noProof/>
        </w:rPr>
        <w:t>с специален акцент върху стратегическото планиране, разпространението на резултатите и комуникациите, използването и възприемането от пазара, подкрепата за разработването на политики и международното сътрудничество.</w:t>
      </w:r>
      <w:r>
        <w:rPr>
          <w:noProof/>
        </w:rPr>
        <w:tab/>
      </w:r>
    </w:p>
    <w:p w:rsidR="008209B4" w:rsidRDefault="008209B4">
      <w:pPr>
        <w:rPr>
          <w:noProof/>
        </w:rPr>
      </w:pPr>
    </w:p>
    <w:p w:rsidR="008209B4" w:rsidRDefault="008209B4">
      <w:pPr>
        <w:rPr>
          <w:noProof/>
        </w:rPr>
        <w:sectPr w:rsidR="008209B4" w:rsidSect="00A54173">
          <w:footerReference w:type="default" r:id="rId19"/>
          <w:footerReference w:type="first" r:id="rId20"/>
          <w:pgSz w:w="11907" w:h="16839"/>
          <w:pgMar w:top="1134" w:right="1417" w:bottom="1134" w:left="1417" w:header="709" w:footer="709" w:gutter="0"/>
          <w:cols w:space="708"/>
          <w:docGrid w:linePitch="360"/>
        </w:sectPr>
      </w:pPr>
    </w:p>
    <w:p w:rsidR="008209B4" w:rsidRDefault="00A54173" w:rsidP="00A54173">
      <w:pPr>
        <w:pStyle w:val="Rfrenceinterinstitutionnelle"/>
        <w:rPr>
          <w:noProof/>
        </w:rPr>
      </w:pPr>
      <w:r w:rsidRPr="00A54173">
        <w:t>2018/0225 (COD)</w:t>
      </w:r>
    </w:p>
    <w:p w:rsidR="008209B4" w:rsidRDefault="00A54173" w:rsidP="00A54173">
      <w:pPr>
        <w:pStyle w:val="Statut"/>
        <w:rPr>
          <w:noProof/>
        </w:rPr>
      </w:pPr>
      <w:r w:rsidRPr="00A54173">
        <w:t>Предложение за</w:t>
      </w:r>
    </w:p>
    <w:p w:rsidR="008209B4" w:rsidRDefault="00A54173" w:rsidP="00A54173">
      <w:pPr>
        <w:pStyle w:val="Typedudocument"/>
        <w:rPr>
          <w:noProof/>
        </w:rPr>
      </w:pPr>
      <w:r w:rsidRPr="00A54173">
        <w:t>РЕШЕНИЕ НА ЕВРОПЕЙСКИЯ ПАРЛАМЕНТ И НА СЪВЕТА</w:t>
      </w:r>
    </w:p>
    <w:p w:rsidR="008209B4" w:rsidRDefault="00A54173" w:rsidP="00A54173">
      <w:pPr>
        <w:pStyle w:val="Titreobjet"/>
        <w:rPr>
          <w:noProof/>
        </w:rPr>
      </w:pPr>
      <w:r w:rsidRPr="00A54173">
        <w:t xml:space="preserve">за създаване на специфична програма за осъществяване на Рамковата програма за научни изследвания и иновации „Хоризонт Европа“ </w:t>
      </w:r>
    </w:p>
    <w:p w:rsidR="008209B4" w:rsidRDefault="00A54173" w:rsidP="00A54173">
      <w:pPr>
        <w:pStyle w:val="IntrtEEE"/>
        <w:rPr>
          <w:noProof/>
        </w:rPr>
      </w:pPr>
      <w:r w:rsidRPr="00A54173">
        <w:t>(текст от значение за ЕИП)</w:t>
      </w:r>
    </w:p>
    <w:p w:rsidR="008209B4" w:rsidRDefault="00A54173">
      <w:pPr>
        <w:pStyle w:val="Institutionquiagit"/>
        <w:rPr>
          <w:noProof/>
        </w:rPr>
      </w:pPr>
      <w:r>
        <w:rPr>
          <w:noProof/>
        </w:rPr>
        <w:t>ЕВРОПЕЙСКИЯТ ПАРЛАМЕНТ И СЪВЕТЪТ НА ЕВРОПЕЙСКИЯ СЪЮЗ,</w:t>
      </w:r>
    </w:p>
    <w:p w:rsidR="008209B4" w:rsidRDefault="00A54173">
      <w:pPr>
        <w:rPr>
          <w:noProof/>
        </w:rPr>
      </w:pPr>
      <w:r>
        <w:rPr>
          <w:noProof/>
        </w:rPr>
        <w:t xml:space="preserve">като взеха предвид Договора за функционирането на Европейския съюз, и по-специално член 173, параграф 3 и член 182, параграф 4 от него, </w:t>
      </w:r>
    </w:p>
    <w:p w:rsidR="008209B4" w:rsidRDefault="00A54173">
      <w:pPr>
        <w:rPr>
          <w:noProof/>
        </w:rPr>
      </w:pPr>
      <w:r>
        <w:rPr>
          <w:noProof/>
        </w:rPr>
        <w:t>като взеха предвид предложението на Европейската комисия,</w:t>
      </w:r>
    </w:p>
    <w:p w:rsidR="008209B4" w:rsidRDefault="00A54173">
      <w:pPr>
        <w:rPr>
          <w:noProof/>
        </w:rPr>
      </w:pPr>
      <w:r>
        <w:rPr>
          <w:noProof/>
        </w:rPr>
        <w:t>след пр</w:t>
      </w:r>
      <w:r>
        <w:rPr>
          <w:noProof/>
        </w:rPr>
        <w:t>едаване на проекта на законодателния акт на националните парламенти,</w:t>
      </w:r>
    </w:p>
    <w:p w:rsidR="008209B4" w:rsidRDefault="00A54173">
      <w:pPr>
        <w:rPr>
          <w:noProof/>
        </w:rPr>
      </w:pPr>
      <w:r>
        <w:rPr>
          <w:noProof/>
        </w:rPr>
        <w:t>като взеха предвид становището на Европейския икономически и социален комитет</w:t>
      </w:r>
      <w:r>
        <w:rPr>
          <w:rStyle w:val="FootnoteReference"/>
          <w:noProof/>
        </w:rPr>
        <w:footnoteReference w:id="2"/>
      </w:r>
      <w:r>
        <w:rPr>
          <w:noProof/>
        </w:rPr>
        <w:t xml:space="preserve">, </w:t>
      </w:r>
    </w:p>
    <w:p w:rsidR="008209B4" w:rsidRDefault="00A54173">
      <w:pPr>
        <w:rPr>
          <w:noProof/>
        </w:rPr>
      </w:pPr>
      <w:r>
        <w:rPr>
          <w:noProof/>
        </w:rPr>
        <w:t>като взеха предвид становището на Комитета на регионите</w:t>
      </w:r>
      <w:r>
        <w:rPr>
          <w:rStyle w:val="FootnoteReference"/>
          <w:noProof/>
        </w:rPr>
        <w:footnoteReference w:id="3"/>
      </w:r>
      <w:r>
        <w:rPr>
          <w:noProof/>
        </w:rPr>
        <w:t xml:space="preserve">, </w:t>
      </w:r>
    </w:p>
    <w:p w:rsidR="008209B4" w:rsidRDefault="00A54173">
      <w:pPr>
        <w:rPr>
          <w:noProof/>
        </w:rPr>
      </w:pPr>
      <w:r>
        <w:rPr>
          <w:noProof/>
        </w:rPr>
        <w:t xml:space="preserve">в съответствие с обикновената законодателна </w:t>
      </w:r>
      <w:r>
        <w:rPr>
          <w:noProof/>
        </w:rPr>
        <w:t>процедура,</w:t>
      </w:r>
    </w:p>
    <w:p w:rsidR="008209B4" w:rsidRDefault="00A54173">
      <w:pPr>
        <w:rPr>
          <w:noProof/>
        </w:rPr>
      </w:pPr>
      <w:r>
        <w:rPr>
          <w:noProof/>
        </w:rPr>
        <w:t>като имат предвид, че:</w:t>
      </w:r>
    </w:p>
    <w:p w:rsidR="008209B4" w:rsidRDefault="00A54173">
      <w:pPr>
        <w:pStyle w:val="ManualConsidrant"/>
        <w:rPr>
          <w:noProof/>
        </w:rPr>
      </w:pPr>
      <w:r>
        <w:t>(1)</w:t>
      </w:r>
      <w:r>
        <w:tab/>
      </w:r>
      <w:r>
        <w:rPr>
          <w:noProof/>
        </w:rPr>
        <w:t xml:space="preserve">В съответствие с член 182, параграф 3 от Договора за функционирането на Европейския съюз (ДФЕС) рамковата програма за научни изследвания и иновации („Хоризонт Европа“), създадена с Регламент (ЕС) № </w:t>
      </w:r>
      <w:r>
        <w:rPr>
          <w:i/>
          <w:noProof/>
        </w:rPr>
        <w:t>FP/RfP</w:t>
      </w:r>
      <w:r>
        <w:rPr>
          <w:noProof/>
        </w:rPr>
        <w:t xml:space="preserve"> на Европейски</w:t>
      </w:r>
      <w:r>
        <w:rPr>
          <w:noProof/>
        </w:rPr>
        <w:t>я парламент и на Съвета от ...</w:t>
      </w:r>
      <w:r>
        <w:rPr>
          <w:rStyle w:val="FootnoteReference"/>
          <w:noProof/>
        </w:rPr>
        <w:footnoteReference w:id="4"/>
      </w:r>
      <w:r>
        <w:rPr>
          <w:noProof/>
        </w:rPr>
        <w:t xml:space="preserve"> трябва да се осъществява посредством специфични програми, в които се определят подробни правила за тяхното осъществяване, задава се тяхната продължителност и се предоставят средствата, които се считат за необходими.</w:t>
      </w:r>
    </w:p>
    <w:p w:rsidR="008209B4" w:rsidRDefault="00A54173">
      <w:pPr>
        <w:pStyle w:val="ManualConsidrant"/>
        <w:rPr>
          <w:noProof/>
        </w:rPr>
      </w:pPr>
      <w:r>
        <w:t>(2)</w:t>
      </w:r>
      <w:r>
        <w:tab/>
      </w:r>
      <w:r>
        <w:rPr>
          <w:noProof/>
        </w:rPr>
        <w:t>Регл</w:t>
      </w:r>
      <w:r>
        <w:rPr>
          <w:noProof/>
        </w:rPr>
        <w:t xml:space="preserve">амент (ЕС) № </w:t>
      </w:r>
      <w:r>
        <w:rPr>
          <w:i/>
          <w:noProof/>
        </w:rPr>
        <w:t>FP/RfP</w:t>
      </w:r>
      <w:r>
        <w:rPr>
          <w:noProof/>
        </w:rPr>
        <w:t xml:space="preserve"> определя общите и специфичните цели на „Хоризонт Европа“, структурата и общата насоченост на дейностите, които трябва да бъдат извършени, докато настоящата специфична програма за осъществяване на Рамковата програма за научни изследвания</w:t>
      </w:r>
      <w:r>
        <w:rPr>
          <w:noProof/>
        </w:rPr>
        <w:t xml:space="preserve"> и иновации „Хоризонт Европа“ следва да определи оперативните цели и дейностите, които са специфични за части от „Хоризонт Европа“. Разпоредбите за осъществяването, определени в Регламент (ЕС) № ... </w:t>
      </w:r>
      <w:r>
        <w:rPr>
          <w:i/>
          <w:noProof/>
        </w:rPr>
        <w:t>FP/RfP</w:t>
      </w:r>
      <w:r>
        <w:rPr>
          <w:noProof/>
        </w:rPr>
        <w:t>, се прилагат изцяло за специфичната програма, вклю</w:t>
      </w:r>
      <w:r>
        <w:rPr>
          <w:noProof/>
        </w:rPr>
        <w:t>чително тези, отнасящи се до етичните принципи.</w:t>
      </w:r>
    </w:p>
    <w:p w:rsidR="008209B4" w:rsidRDefault="00A54173">
      <w:pPr>
        <w:pStyle w:val="ManualConsidrant"/>
        <w:rPr>
          <w:noProof/>
        </w:rPr>
      </w:pPr>
      <w:r>
        <w:t>(3)</w:t>
      </w:r>
      <w:r>
        <w:tab/>
      </w:r>
      <w:r>
        <w:rPr>
          <w:noProof/>
        </w:rPr>
        <w:t xml:space="preserve">За да се осигурят еднакви условия за осъществяването на специфичната програма, на Комисията следва да бъдат предоставени правомощия да приема работни програми за осъществяването на специфичната програма. </w:t>
      </w:r>
      <w:r>
        <w:rPr>
          <w:noProof/>
        </w:rPr>
        <w:t>Тези правомощия следва да бъдат упражнявани в съответствие с Регламент (ЕС) № 182/2011 на Европейския парламент и на Съвета</w:t>
      </w:r>
      <w:r>
        <w:rPr>
          <w:rStyle w:val="FootnoteReference"/>
          <w:noProof/>
        </w:rPr>
        <w:footnoteReference w:id="5"/>
      </w:r>
      <w:r>
        <w:rPr>
          <w:noProof/>
        </w:rPr>
        <w:t>.</w:t>
      </w:r>
    </w:p>
    <w:p w:rsidR="008209B4" w:rsidRDefault="00A54173">
      <w:pPr>
        <w:pStyle w:val="ManualConsidrant"/>
        <w:rPr>
          <w:noProof/>
        </w:rPr>
      </w:pPr>
      <w:r>
        <w:t>(4)</w:t>
      </w:r>
      <w:r>
        <w:tab/>
      </w:r>
      <w:r>
        <w:rPr>
          <w:noProof/>
        </w:rPr>
        <w:t>Управителният съвет на Съвместния изследователски център („JRC“), създаден с Решение 96/282/Евратом</w:t>
      </w:r>
      <w:r>
        <w:rPr>
          <w:rStyle w:val="FootnoteReference"/>
          <w:noProof/>
        </w:rPr>
        <w:footnoteReference w:id="6"/>
      </w:r>
      <w:r>
        <w:rPr>
          <w:noProof/>
        </w:rPr>
        <w:t xml:space="preserve"> на Комисията, бе консулти</w:t>
      </w:r>
      <w:r>
        <w:rPr>
          <w:noProof/>
        </w:rPr>
        <w:t>ран относно научно-техническото съдържание на специфичната програма за преките дейности на съвместния изследователски център извън ядрената област;</w:t>
      </w:r>
    </w:p>
    <w:p w:rsidR="008209B4" w:rsidRDefault="00A54173">
      <w:pPr>
        <w:pStyle w:val="ManualConsidrant"/>
        <w:rPr>
          <w:noProof/>
        </w:rPr>
      </w:pPr>
      <w:r>
        <w:t>(5)</w:t>
      </w:r>
      <w:r>
        <w:tab/>
      </w:r>
      <w:r>
        <w:rPr>
          <w:noProof/>
        </w:rPr>
        <w:t>Отразявайки значението на борбата срещу изменението на климата съгласно ангажиментите на Съюза за прилаг</w:t>
      </w:r>
      <w:r>
        <w:rPr>
          <w:noProof/>
        </w:rPr>
        <w:t>ане на Парижкото споразумение и целите на ООН за устойчиво развитие, тази специфична програма ще допринесе за интегриране на действията по климата и постигане на обща целева стойност за изразходване на 25 % от бюджета на ЕС в подкрепа на целите, свързани с</w:t>
      </w:r>
      <w:r>
        <w:rPr>
          <w:noProof/>
        </w:rPr>
        <w:t xml:space="preserve"> климата. Действията по настоящата програма се очаква да имат финансов принос от 35 % от общия финансов пакет на специфичната програма за цели в областта на климата. Относими действия ще бъдат определени по време на подготовката и осъществяването на специф</w:t>
      </w:r>
      <w:r>
        <w:rPr>
          <w:noProof/>
        </w:rPr>
        <w:t>ичната програма, и ще бъдат повторно оценени в контекста на относимите оценки и процеси по преглед.</w:t>
      </w:r>
    </w:p>
    <w:p w:rsidR="008209B4" w:rsidRDefault="00A54173">
      <w:pPr>
        <w:pStyle w:val="ManualConsidrant"/>
        <w:rPr>
          <w:noProof/>
        </w:rPr>
      </w:pPr>
      <w:r>
        <w:t>(6)</w:t>
      </w:r>
      <w:r>
        <w:tab/>
      </w:r>
      <w:r>
        <w:rPr>
          <w:noProof/>
        </w:rPr>
        <w:t>Действията по специфичната програма следва да се използват за справяне със случаи на неефективност на пазара или с неоптимални по отношение на инвестици</w:t>
      </w:r>
      <w:r>
        <w:rPr>
          <w:noProof/>
        </w:rPr>
        <w:t>ите ситуации, по пропорционален начин, без да се дублира или да се изтласква частното финансиране, и да имат отчетлива европейска добавена стойност.</w:t>
      </w:r>
    </w:p>
    <w:p w:rsidR="008209B4" w:rsidRDefault="00A54173">
      <w:pPr>
        <w:pStyle w:val="ManualConsidrant"/>
        <w:rPr>
          <w:noProof/>
        </w:rPr>
      </w:pPr>
      <w:r>
        <w:t>(7)</w:t>
      </w:r>
      <w:r>
        <w:tab/>
      </w:r>
      <w:r>
        <w:rPr>
          <w:noProof/>
        </w:rPr>
        <w:t>Отразявайки важния принос, който следва да имат научните изследвания и иновациите за справяне с предизв</w:t>
      </w:r>
      <w:r>
        <w:rPr>
          <w:noProof/>
        </w:rPr>
        <w:t>икателствата в областта на храните, селското стопанство, развитието на селските райони и биоикономиката, и с оглед възползване от съответстващите възможности за научни изследвания и иновации в тясно полезно взаимодействие с общата селскостопанска политика,</w:t>
      </w:r>
      <w:r>
        <w:rPr>
          <w:noProof/>
        </w:rPr>
        <w:t xml:space="preserve"> относимите действия по специфичната програма ще бъдат подкрепени с 10 млрд. евро за клъстер „Храни и природни ресурси“ за периода 2021—2027 г.</w:t>
      </w:r>
    </w:p>
    <w:p w:rsidR="008209B4" w:rsidRDefault="00A54173">
      <w:pPr>
        <w:pStyle w:val="ManualConsidrant"/>
        <w:rPr>
          <w:noProof/>
        </w:rPr>
      </w:pPr>
      <w:r>
        <w:t>(8)</w:t>
      </w:r>
      <w:r>
        <w:tab/>
      </w:r>
      <w:r>
        <w:rPr>
          <w:noProof/>
        </w:rPr>
        <w:t>Завършването на изграждането на  цифровия единен пазар и нарастващите възможности от конвергенцията на цифро</w:t>
      </w:r>
      <w:r>
        <w:rPr>
          <w:noProof/>
        </w:rPr>
        <w:t>вите и физическите технологии изисква увеличаване на инвестициите. Програма „Хоризонт Европа“ ще даде своя принос към тези усилия със съществено увеличение на разходите в основни дейности за научни изследвания и иновации в цифровата сфера в сравнение с Рам</w:t>
      </w:r>
      <w:r>
        <w:rPr>
          <w:noProof/>
        </w:rPr>
        <w:t>ковата програма за научни изследвания и иновации „Хоризонт 2020“</w:t>
      </w:r>
      <w:r>
        <w:rPr>
          <w:rStyle w:val="FootnoteReference"/>
          <w:noProof/>
        </w:rPr>
        <w:footnoteReference w:id="7"/>
      </w:r>
      <w:r>
        <w:rPr>
          <w:noProof/>
        </w:rPr>
        <w:t>. Това трябва да гарантира, че Европа продължава да заема водеща позиция в световен мащаб в научните изследвания и иновациите в областта на цифровите технологии.</w:t>
      </w:r>
    </w:p>
    <w:p w:rsidR="008209B4" w:rsidRDefault="00A54173">
      <w:pPr>
        <w:pStyle w:val="ManualConsidrant"/>
        <w:rPr>
          <w:noProof/>
        </w:rPr>
      </w:pPr>
      <w:r>
        <w:t>(9)</w:t>
      </w:r>
      <w:r>
        <w:tab/>
      </w:r>
      <w:r>
        <w:rPr>
          <w:noProof/>
        </w:rPr>
        <w:t>Видовете финансиране и ме</w:t>
      </w:r>
      <w:r>
        <w:rPr>
          <w:noProof/>
        </w:rPr>
        <w:t xml:space="preserve">тодите за изпълнение по настоящото Решение следва да се избират в зависимост от способността им за осъществяване на специфичните цели на действията и за постигане на резултати, като се вземат предвид по-специално разходите за проверките, административната </w:t>
      </w:r>
      <w:r>
        <w:rPr>
          <w:noProof/>
        </w:rPr>
        <w:t>тежест и очакваният риск от неспазване. По отношение на безвъзмездните средства това следва да включва разглеждане на възможността за използването на еднократни суми, единни ставки и таблици за разходите за единица продукт,</w:t>
      </w:r>
    </w:p>
    <w:p w:rsidR="008209B4" w:rsidRDefault="008209B4">
      <w:pPr>
        <w:rPr>
          <w:noProof/>
        </w:rPr>
      </w:pPr>
    </w:p>
    <w:p w:rsidR="008209B4" w:rsidRDefault="00A54173">
      <w:pPr>
        <w:pStyle w:val="Formuledadoption"/>
        <w:rPr>
          <w:noProof/>
        </w:rPr>
      </w:pPr>
      <w:r>
        <w:rPr>
          <w:noProof/>
        </w:rPr>
        <w:t>ПРИЕХА НАСТОЯЩОТО РЕШЕНИЕ:</w:t>
      </w:r>
    </w:p>
    <w:p w:rsidR="008209B4" w:rsidRDefault="00A54173">
      <w:pPr>
        <w:keepNext/>
        <w:jc w:val="center"/>
        <w:rPr>
          <w:noProof/>
        </w:rPr>
      </w:pPr>
      <w:r>
        <w:rPr>
          <w:noProof/>
        </w:rPr>
        <w:t>ГЛАВ</w:t>
      </w:r>
      <w:r>
        <w:rPr>
          <w:noProof/>
        </w:rPr>
        <w:t>А І</w:t>
      </w:r>
    </w:p>
    <w:p w:rsidR="008209B4" w:rsidRDefault="00A54173">
      <w:pPr>
        <w:keepNext/>
        <w:jc w:val="center"/>
        <w:rPr>
          <w:b/>
          <w:noProof/>
        </w:rPr>
      </w:pPr>
      <w:r>
        <w:rPr>
          <w:b/>
          <w:noProof/>
        </w:rPr>
        <w:t>ОБЩИ РАЗПОРЕДБИ</w:t>
      </w:r>
    </w:p>
    <w:p w:rsidR="008209B4" w:rsidRDefault="00A54173">
      <w:pPr>
        <w:pStyle w:val="Titrearticle"/>
        <w:rPr>
          <w:noProof/>
        </w:rPr>
      </w:pPr>
      <w:r>
        <w:rPr>
          <w:noProof/>
        </w:rPr>
        <w:t>Член 1</w:t>
      </w:r>
    </w:p>
    <w:p w:rsidR="008209B4" w:rsidRDefault="00A54173">
      <w:pPr>
        <w:keepNext/>
        <w:jc w:val="center"/>
        <w:rPr>
          <w:b/>
          <w:noProof/>
        </w:rPr>
      </w:pPr>
      <w:r>
        <w:rPr>
          <w:b/>
          <w:noProof/>
        </w:rPr>
        <w:t>Предмет</w:t>
      </w:r>
    </w:p>
    <w:p w:rsidR="008209B4" w:rsidRDefault="00A54173">
      <w:pPr>
        <w:rPr>
          <w:noProof/>
        </w:rPr>
      </w:pPr>
      <w:r>
        <w:rPr>
          <w:noProof/>
        </w:rPr>
        <w:t>С настоящото решение се създава специфична програма за осъществяване на Рамковата програма за научни изследвания и иновации „Хоризонт Европа“ (наричана по-долу „специфичната програма“), както е посочено в член 1, параграф</w:t>
      </w:r>
      <w:r>
        <w:rPr>
          <w:noProof/>
        </w:rPr>
        <w:t xml:space="preserve"> 3, буква а) от Регламент (ЕС) .../... </w:t>
      </w:r>
      <w:r>
        <w:rPr>
          <w:i/>
          <w:noProof/>
        </w:rPr>
        <w:t>FP/RfP</w:t>
      </w:r>
      <w:r>
        <w:rPr>
          <w:noProof/>
        </w:rPr>
        <w:t xml:space="preserve">. </w:t>
      </w:r>
    </w:p>
    <w:p w:rsidR="008209B4" w:rsidRDefault="00A54173">
      <w:pPr>
        <w:rPr>
          <w:noProof/>
        </w:rPr>
      </w:pPr>
      <w:r>
        <w:rPr>
          <w:noProof/>
        </w:rPr>
        <w:t>В него се определят оперативните цели на специфичната програма, бюджетът за периода 2021—2027 г., правилата за осъществяване на специфичната програма и дейностите, които следва да бъдат извършени по специфичн</w:t>
      </w:r>
      <w:r>
        <w:rPr>
          <w:noProof/>
        </w:rPr>
        <w:t xml:space="preserve">ата програма.  </w:t>
      </w:r>
    </w:p>
    <w:p w:rsidR="008209B4" w:rsidRDefault="008209B4">
      <w:pPr>
        <w:rPr>
          <w:noProof/>
        </w:rPr>
      </w:pPr>
    </w:p>
    <w:p w:rsidR="008209B4" w:rsidRDefault="00A54173">
      <w:pPr>
        <w:pStyle w:val="Titrearticle"/>
        <w:rPr>
          <w:noProof/>
        </w:rPr>
      </w:pPr>
      <w:r>
        <w:rPr>
          <w:noProof/>
        </w:rPr>
        <w:t>Член 2</w:t>
      </w:r>
    </w:p>
    <w:p w:rsidR="008209B4" w:rsidRDefault="00A54173">
      <w:pPr>
        <w:keepNext/>
        <w:jc w:val="center"/>
        <w:rPr>
          <w:b/>
          <w:noProof/>
        </w:rPr>
      </w:pPr>
      <w:r>
        <w:rPr>
          <w:b/>
          <w:noProof/>
        </w:rPr>
        <w:t xml:space="preserve">Оперативни цели </w:t>
      </w:r>
    </w:p>
    <w:p w:rsidR="008209B4" w:rsidRDefault="00A54173">
      <w:pPr>
        <w:pStyle w:val="ManualNumPar1"/>
        <w:rPr>
          <w:noProof/>
        </w:rPr>
      </w:pPr>
      <w:r>
        <w:rPr>
          <w:noProof/>
        </w:rPr>
        <w:t>1.</w:t>
      </w:r>
      <w:r>
        <w:rPr>
          <w:noProof/>
        </w:rPr>
        <w:tab/>
        <w:t xml:space="preserve">Специфичната програма допринася за постигането на общите и специфичните цели, предвидени в член 3 от Регламент... </w:t>
      </w:r>
      <w:r>
        <w:rPr>
          <w:i/>
          <w:noProof/>
        </w:rPr>
        <w:t>FP/RfP Regulation</w:t>
      </w:r>
      <w:r>
        <w:rPr>
          <w:noProof/>
        </w:rPr>
        <w:t>.</w:t>
      </w:r>
    </w:p>
    <w:p w:rsidR="008209B4" w:rsidRDefault="00A54173">
      <w:pPr>
        <w:pStyle w:val="ManualNumPar1"/>
        <w:rPr>
          <w:noProof/>
        </w:rPr>
      </w:pPr>
      <w:r>
        <w:rPr>
          <w:noProof/>
        </w:rPr>
        <w:t>2.</w:t>
      </w:r>
      <w:r>
        <w:rPr>
          <w:noProof/>
        </w:rPr>
        <w:tab/>
        <w:t>Специфичната програма има следните оперативни цели:</w:t>
      </w:r>
    </w:p>
    <w:p w:rsidR="008209B4" w:rsidRDefault="00A54173">
      <w:pPr>
        <w:pStyle w:val="Point1"/>
        <w:rPr>
          <w:noProof/>
        </w:rPr>
      </w:pPr>
      <w:r>
        <w:rPr>
          <w:noProof/>
        </w:rPr>
        <w:t>а)</w:t>
      </w:r>
      <w:r>
        <w:rPr>
          <w:noProof/>
        </w:rPr>
        <w:tab/>
        <w:t xml:space="preserve">укрепване и </w:t>
      </w:r>
      <w:r>
        <w:rPr>
          <w:noProof/>
        </w:rPr>
        <w:t>разпространяване на върхови постижения;</w:t>
      </w:r>
    </w:p>
    <w:p w:rsidR="008209B4" w:rsidRDefault="00A54173">
      <w:pPr>
        <w:pStyle w:val="Point1"/>
        <w:rPr>
          <w:noProof/>
        </w:rPr>
      </w:pPr>
      <w:r>
        <w:rPr>
          <w:noProof/>
        </w:rPr>
        <w:t>б)</w:t>
      </w:r>
      <w:r>
        <w:rPr>
          <w:noProof/>
        </w:rPr>
        <w:tab/>
        <w:t>засилване на сътрудничеството между различните сектори и дисциплини;</w:t>
      </w:r>
    </w:p>
    <w:p w:rsidR="008209B4" w:rsidRDefault="00A54173">
      <w:pPr>
        <w:pStyle w:val="Point1"/>
        <w:rPr>
          <w:noProof/>
        </w:rPr>
      </w:pPr>
      <w:r>
        <w:rPr>
          <w:noProof/>
        </w:rPr>
        <w:t>в)</w:t>
      </w:r>
      <w:r>
        <w:rPr>
          <w:noProof/>
        </w:rPr>
        <w:tab/>
        <w:t>свързване и разработване на научноизследователски инфраструктури в рамките на европейското научноизследователско пространство;</w:t>
      </w:r>
    </w:p>
    <w:p w:rsidR="008209B4" w:rsidRDefault="00A54173">
      <w:pPr>
        <w:pStyle w:val="Point1"/>
        <w:rPr>
          <w:noProof/>
        </w:rPr>
      </w:pPr>
      <w:r>
        <w:rPr>
          <w:noProof/>
        </w:rPr>
        <w:t>г)</w:t>
      </w:r>
      <w:r>
        <w:rPr>
          <w:noProof/>
        </w:rPr>
        <w:tab/>
        <w:t>засилване н</w:t>
      </w:r>
      <w:r>
        <w:rPr>
          <w:noProof/>
        </w:rPr>
        <w:t xml:space="preserve">а международното сътрудничество; </w:t>
      </w:r>
    </w:p>
    <w:p w:rsidR="008209B4" w:rsidRDefault="00A54173">
      <w:pPr>
        <w:pStyle w:val="Point1"/>
        <w:rPr>
          <w:noProof/>
        </w:rPr>
      </w:pPr>
      <w:r>
        <w:rPr>
          <w:noProof/>
        </w:rPr>
        <w:t>д)</w:t>
      </w:r>
      <w:r>
        <w:rPr>
          <w:noProof/>
        </w:rPr>
        <w:tab/>
        <w:t>привличане, обучение и задържане на работа на изследователи и новатори в европейското научноизследователско пространство, включително чрез мобилност на изследователите;</w:t>
      </w:r>
    </w:p>
    <w:p w:rsidR="008209B4" w:rsidRDefault="00A54173">
      <w:pPr>
        <w:pStyle w:val="Point1"/>
        <w:rPr>
          <w:noProof/>
        </w:rPr>
      </w:pPr>
      <w:r>
        <w:rPr>
          <w:noProof/>
        </w:rPr>
        <w:t>е)</w:t>
      </w:r>
      <w:r>
        <w:rPr>
          <w:noProof/>
        </w:rPr>
        <w:tab/>
        <w:t>насърчаване на отворената наука и осигуряване н</w:t>
      </w:r>
      <w:r>
        <w:rPr>
          <w:noProof/>
        </w:rPr>
        <w:t>а видимост за обществеността и открит достъп до резултати;</w:t>
      </w:r>
    </w:p>
    <w:p w:rsidR="008209B4" w:rsidRDefault="00A54173">
      <w:pPr>
        <w:pStyle w:val="Point1"/>
        <w:rPr>
          <w:noProof/>
        </w:rPr>
      </w:pPr>
      <w:r>
        <w:rPr>
          <w:noProof/>
        </w:rPr>
        <w:t>ж)</w:t>
      </w:r>
      <w:r>
        <w:rPr>
          <w:noProof/>
        </w:rPr>
        <w:tab/>
        <w:t xml:space="preserve">активно разпространение и използване на резултати, по-специално за разработване на политики; </w:t>
      </w:r>
    </w:p>
    <w:p w:rsidR="008209B4" w:rsidRDefault="00A54173">
      <w:pPr>
        <w:pStyle w:val="Point1"/>
        <w:rPr>
          <w:noProof/>
        </w:rPr>
      </w:pPr>
      <w:r>
        <w:rPr>
          <w:noProof/>
        </w:rPr>
        <w:t>з)</w:t>
      </w:r>
      <w:r>
        <w:rPr>
          <w:noProof/>
        </w:rPr>
        <w:tab/>
        <w:t>подкрепа за осъществяването на приоритетите на политиката на ЕС;</w:t>
      </w:r>
    </w:p>
    <w:p w:rsidR="008209B4" w:rsidRDefault="00A54173">
      <w:pPr>
        <w:pStyle w:val="Point1"/>
        <w:rPr>
          <w:noProof/>
        </w:rPr>
      </w:pPr>
      <w:r>
        <w:rPr>
          <w:noProof/>
        </w:rPr>
        <w:t>и)</w:t>
      </w:r>
      <w:r>
        <w:rPr>
          <w:noProof/>
        </w:rPr>
        <w:tab/>
        <w:t xml:space="preserve">укрепване на връзката между </w:t>
      </w:r>
      <w:r>
        <w:rPr>
          <w:noProof/>
        </w:rPr>
        <w:t>научните изследвания и иновациите и други политики, в това число и Целите за устойчиво развитие;</w:t>
      </w:r>
    </w:p>
    <w:p w:rsidR="008209B4" w:rsidRDefault="00A54173">
      <w:pPr>
        <w:pStyle w:val="Point1"/>
        <w:rPr>
          <w:noProof/>
        </w:rPr>
      </w:pPr>
      <w:r>
        <w:rPr>
          <w:noProof/>
        </w:rPr>
        <w:t>й)</w:t>
      </w:r>
      <w:r>
        <w:rPr>
          <w:noProof/>
        </w:rPr>
        <w:tab/>
        <w:t>допринасяне, чрез мисии за научни изследвания и иновации („НИИ“), за постигането на амбициозни цели в рамките на определен срок;</w:t>
      </w:r>
    </w:p>
    <w:p w:rsidR="008209B4" w:rsidRDefault="00A54173">
      <w:pPr>
        <w:pStyle w:val="Point1"/>
        <w:rPr>
          <w:noProof/>
        </w:rPr>
      </w:pPr>
      <w:r>
        <w:rPr>
          <w:noProof/>
        </w:rPr>
        <w:t>к)</w:t>
      </w:r>
      <w:r>
        <w:rPr>
          <w:noProof/>
        </w:rPr>
        <w:tab/>
        <w:t xml:space="preserve">включване на гражданите </w:t>
      </w:r>
      <w:r>
        <w:rPr>
          <w:noProof/>
        </w:rPr>
        <w:t>и крайните потребители в съвместното проектиране и в процесите на съвместно създаване;</w:t>
      </w:r>
    </w:p>
    <w:p w:rsidR="008209B4" w:rsidRDefault="00A54173">
      <w:pPr>
        <w:pStyle w:val="Point1"/>
        <w:rPr>
          <w:noProof/>
        </w:rPr>
      </w:pPr>
      <w:r>
        <w:rPr>
          <w:noProof/>
        </w:rPr>
        <w:t>л)</w:t>
      </w:r>
      <w:r>
        <w:rPr>
          <w:noProof/>
        </w:rPr>
        <w:tab/>
        <w:t>подобряване на научната комуникация.</w:t>
      </w:r>
    </w:p>
    <w:p w:rsidR="008209B4" w:rsidRDefault="00A54173">
      <w:pPr>
        <w:pStyle w:val="Point1"/>
        <w:rPr>
          <w:noProof/>
        </w:rPr>
      </w:pPr>
      <w:r>
        <w:rPr>
          <w:noProof/>
        </w:rPr>
        <w:t>м)</w:t>
      </w:r>
      <w:r>
        <w:rPr>
          <w:noProof/>
        </w:rPr>
        <w:tab/>
        <w:t>ускоряване на трансформацията на промишлеността;</w:t>
      </w:r>
    </w:p>
    <w:p w:rsidR="008209B4" w:rsidRDefault="00A54173">
      <w:pPr>
        <w:pStyle w:val="Point1"/>
        <w:rPr>
          <w:noProof/>
        </w:rPr>
      </w:pPr>
      <w:r>
        <w:rPr>
          <w:noProof/>
        </w:rPr>
        <w:t>н)</w:t>
      </w:r>
      <w:r>
        <w:rPr>
          <w:noProof/>
        </w:rPr>
        <w:tab/>
        <w:t xml:space="preserve">подобряване на уменията за иновации; </w:t>
      </w:r>
    </w:p>
    <w:p w:rsidR="008209B4" w:rsidRDefault="00A54173">
      <w:pPr>
        <w:pStyle w:val="Point1"/>
        <w:rPr>
          <w:noProof/>
        </w:rPr>
      </w:pPr>
      <w:r>
        <w:rPr>
          <w:noProof/>
        </w:rPr>
        <w:t>о)</w:t>
      </w:r>
      <w:r>
        <w:rPr>
          <w:noProof/>
        </w:rPr>
        <w:tab/>
        <w:t>насърчаване на създаването и разр</w:t>
      </w:r>
      <w:r>
        <w:rPr>
          <w:noProof/>
        </w:rPr>
        <w:t>астването на иновационни дружества, по-специално МСП;</w:t>
      </w:r>
    </w:p>
    <w:p w:rsidR="008209B4" w:rsidRDefault="00A54173">
      <w:pPr>
        <w:pStyle w:val="Point1"/>
        <w:rPr>
          <w:noProof/>
        </w:rPr>
      </w:pPr>
      <w:r>
        <w:rPr>
          <w:noProof/>
        </w:rPr>
        <w:t>п)</w:t>
      </w:r>
      <w:r>
        <w:rPr>
          <w:noProof/>
        </w:rPr>
        <w:tab/>
        <w:t xml:space="preserve">подобряване на достъпа до рисково финансиране, по-специално когато пазарът не осигурява надеждно финансиране. </w:t>
      </w:r>
    </w:p>
    <w:p w:rsidR="008209B4" w:rsidRDefault="00A54173">
      <w:pPr>
        <w:pStyle w:val="ManualNumPar1"/>
        <w:rPr>
          <w:noProof/>
        </w:rPr>
      </w:pPr>
      <w:r>
        <w:rPr>
          <w:noProof/>
        </w:rPr>
        <w:t>3.</w:t>
      </w:r>
      <w:r>
        <w:rPr>
          <w:noProof/>
        </w:rPr>
        <w:tab/>
        <w:t>В рамките на целите, посочени в параграф 2, могат да се вземат предвид нови и непредв</w:t>
      </w:r>
      <w:r>
        <w:rPr>
          <w:noProof/>
        </w:rPr>
        <w:t>идени потребности, възникващи в хода на осъществяване на специфичната програма. Когато е надлежно обосновано, това може да включва реагиране на нововъзникващи възможности, кризи и заплахи, както и на потребности във връзка с разработването на нови политики</w:t>
      </w:r>
      <w:r>
        <w:rPr>
          <w:noProof/>
        </w:rPr>
        <w:t xml:space="preserve"> на Съюза.</w:t>
      </w:r>
    </w:p>
    <w:p w:rsidR="008209B4" w:rsidRDefault="008209B4">
      <w:pPr>
        <w:pStyle w:val="Text1"/>
        <w:rPr>
          <w:noProof/>
        </w:rPr>
      </w:pPr>
    </w:p>
    <w:p w:rsidR="008209B4" w:rsidRDefault="00A54173">
      <w:pPr>
        <w:keepNext/>
        <w:jc w:val="center"/>
        <w:rPr>
          <w:i/>
          <w:noProof/>
        </w:rPr>
      </w:pPr>
      <w:r>
        <w:rPr>
          <w:i/>
          <w:noProof/>
        </w:rPr>
        <w:t>Член 3</w:t>
      </w:r>
    </w:p>
    <w:p w:rsidR="008209B4" w:rsidRDefault="00A54173">
      <w:pPr>
        <w:keepNext/>
        <w:spacing w:after="0"/>
        <w:jc w:val="center"/>
        <w:rPr>
          <w:b/>
          <w:noProof/>
          <w:szCs w:val="24"/>
        </w:rPr>
      </w:pPr>
      <w:r>
        <w:rPr>
          <w:b/>
          <w:noProof/>
        </w:rPr>
        <w:t>Структура</w:t>
      </w:r>
    </w:p>
    <w:p w:rsidR="008209B4" w:rsidRDefault="00A54173">
      <w:pPr>
        <w:pStyle w:val="ManualNumPar1"/>
        <w:rPr>
          <w:noProof/>
        </w:rPr>
      </w:pPr>
      <w:r>
        <w:rPr>
          <w:noProof/>
        </w:rPr>
        <w:t>1.</w:t>
      </w:r>
      <w:r>
        <w:rPr>
          <w:noProof/>
        </w:rPr>
        <w:tab/>
        <w:t xml:space="preserve">В съответствие с член 4, параграф 1 от Регламент... </w:t>
      </w:r>
      <w:r>
        <w:rPr>
          <w:i/>
          <w:noProof/>
        </w:rPr>
        <w:t>FP/RfP</w:t>
      </w:r>
      <w:r>
        <w:rPr>
          <w:noProof/>
        </w:rPr>
        <w:t xml:space="preserve">  специфичната програма се състои от следните части:</w:t>
      </w:r>
    </w:p>
    <w:p w:rsidR="008209B4" w:rsidRDefault="00A54173">
      <w:pPr>
        <w:pStyle w:val="Point1number"/>
        <w:numPr>
          <w:ilvl w:val="2"/>
          <w:numId w:val="16"/>
        </w:numPr>
        <w:rPr>
          <w:noProof/>
        </w:rPr>
      </w:pPr>
      <w:r>
        <w:rPr>
          <w:noProof/>
        </w:rPr>
        <w:t>Стълб I „Отворена наука“ със следните компоненти:</w:t>
      </w:r>
    </w:p>
    <w:p w:rsidR="008209B4" w:rsidRDefault="00A54173">
      <w:pPr>
        <w:pStyle w:val="Point2"/>
        <w:rPr>
          <w:noProof/>
        </w:rPr>
      </w:pPr>
      <w:r>
        <w:rPr>
          <w:noProof/>
        </w:rPr>
        <w:t>а)</w:t>
      </w:r>
      <w:r>
        <w:rPr>
          <w:noProof/>
        </w:rPr>
        <w:tab/>
      </w:r>
      <w:r>
        <w:rPr>
          <w:noProof/>
        </w:rPr>
        <w:t xml:space="preserve">Европейски научноизследователски съвет (ЕНС), както е описан в приложение I, стълб I, раздел 1; </w:t>
      </w:r>
    </w:p>
    <w:p w:rsidR="008209B4" w:rsidRDefault="00A54173">
      <w:pPr>
        <w:pStyle w:val="Point2"/>
        <w:rPr>
          <w:noProof/>
        </w:rPr>
      </w:pPr>
      <w:r>
        <w:rPr>
          <w:noProof/>
        </w:rPr>
        <w:t>б)</w:t>
      </w:r>
      <w:r>
        <w:rPr>
          <w:noProof/>
        </w:rPr>
        <w:tab/>
        <w:t>действия „Мария Склодовска-Кюри“ (МСК), както са описани в приложение I, стълб I, раздел 2;</w:t>
      </w:r>
    </w:p>
    <w:p w:rsidR="008209B4" w:rsidRDefault="00A54173">
      <w:pPr>
        <w:pStyle w:val="Point2"/>
        <w:rPr>
          <w:noProof/>
        </w:rPr>
      </w:pPr>
      <w:r>
        <w:rPr>
          <w:noProof/>
        </w:rPr>
        <w:t>в)</w:t>
      </w:r>
      <w:r>
        <w:rPr>
          <w:noProof/>
        </w:rPr>
        <w:tab/>
        <w:t>научноизследователски инфраструктури, както са описани в прил</w:t>
      </w:r>
      <w:r>
        <w:rPr>
          <w:noProof/>
        </w:rPr>
        <w:t>ожение I, стълб I, раздел 3;</w:t>
      </w:r>
    </w:p>
    <w:p w:rsidR="008209B4" w:rsidRDefault="00A54173">
      <w:pPr>
        <w:pStyle w:val="Point1number"/>
        <w:rPr>
          <w:noProof/>
        </w:rPr>
      </w:pPr>
      <w:r>
        <w:rPr>
          <w:noProof/>
        </w:rPr>
        <w:t>Стълб II „Глобални предизвикателства и конкурентоспособност на промишлеността“ със следните компоненти:</w:t>
      </w:r>
    </w:p>
    <w:p w:rsidR="008209B4" w:rsidRDefault="00A54173">
      <w:pPr>
        <w:pStyle w:val="Point2"/>
        <w:rPr>
          <w:noProof/>
        </w:rPr>
      </w:pPr>
      <w:r>
        <w:rPr>
          <w:noProof/>
        </w:rPr>
        <w:t>а)</w:t>
      </w:r>
      <w:r>
        <w:rPr>
          <w:noProof/>
        </w:rPr>
        <w:tab/>
        <w:t>клъстер „Здравеопазване“, както е описан в приложение I, стълб II, раздел 1;</w:t>
      </w:r>
    </w:p>
    <w:p w:rsidR="008209B4" w:rsidRDefault="00A54173">
      <w:pPr>
        <w:pStyle w:val="Point2"/>
        <w:rPr>
          <w:noProof/>
        </w:rPr>
      </w:pPr>
      <w:r>
        <w:rPr>
          <w:noProof/>
        </w:rPr>
        <w:t>б)</w:t>
      </w:r>
      <w:r>
        <w:rPr>
          <w:noProof/>
        </w:rPr>
        <w:tab/>
        <w:t>клъстер „Приобщаващо и сигурно общество“</w:t>
      </w:r>
      <w:r>
        <w:rPr>
          <w:noProof/>
        </w:rPr>
        <w:t>, както е описан в приложение I, стълб II, раздел 2;</w:t>
      </w:r>
    </w:p>
    <w:p w:rsidR="008209B4" w:rsidRDefault="00A54173">
      <w:pPr>
        <w:pStyle w:val="Point2"/>
        <w:rPr>
          <w:noProof/>
        </w:rPr>
      </w:pPr>
      <w:r>
        <w:rPr>
          <w:noProof/>
        </w:rPr>
        <w:t>в)</w:t>
      </w:r>
      <w:r>
        <w:rPr>
          <w:noProof/>
        </w:rPr>
        <w:tab/>
        <w:t>клъстер „Цифрова сфера и промишленост“, както е описан в приложение I, стълб II, раздел 3;</w:t>
      </w:r>
    </w:p>
    <w:p w:rsidR="008209B4" w:rsidRDefault="00A54173">
      <w:pPr>
        <w:pStyle w:val="Point2"/>
        <w:rPr>
          <w:noProof/>
        </w:rPr>
      </w:pPr>
      <w:r>
        <w:rPr>
          <w:noProof/>
        </w:rPr>
        <w:t>г)</w:t>
      </w:r>
      <w:r>
        <w:rPr>
          <w:noProof/>
        </w:rPr>
        <w:tab/>
        <w:t>клъстер „Климат, енергия и мобилност“, както е описан в приложение I, стълб II, раздел 4;</w:t>
      </w:r>
    </w:p>
    <w:p w:rsidR="008209B4" w:rsidRDefault="00A54173">
      <w:pPr>
        <w:pStyle w:val="Point2"/>
        <w:rPr>
          <w:noProof/>
        </w:rPr>
      </w:pPr>
      <w:r>
        <w:rPr>
          <w:noProof/>
        </w:rPr>
        <w:t>д)</w:t>
      </w:r>
      <w:r>
        <w:rPr>
          <w:noProof/>
        </w:rPr>
        <w:tab/>
        <w:t>клъстер „Хран</w:t>
      </w:r>
      <w:r>
        <w:rPr>
          <w:noProof/>
        </w:rPr>
        <w:t>и и природни ресурси“, както е описан в приложение I, стълб II, раздел 5;</w:t>
      </w:r>
    </w:p>
    <w:p w:rsidR="008209B4" w:rsidRDefault="00A54173">
      <w:pPr>
        <w:pStyle w:val="Point2"/>
        <w:rPr>
          <w:noProof/>
        </w:rPr>
      </w:pPr>
      <w:r>
        <w:rPr>
          <w:noProof/>
        </w:rPr>
        <w:t>е)</w:t>
      </w:r>
      <w:r>
        <w:rPr>
          <w:noProof/>
        </w:rPr>
        <w:tab/>
        <w:t>преки дейности на Съвместния изследователски център (JRC) извън ядрената област, както е описано в приложение I, стълб II, раздел 6;</w:t>
      </w:r>
    </w:p>
    <w:p w:rsidR="008209B4" w:rsidRDefault="00A54173">
      <w:pPr>
        <w:pStyle w:val="Point1number"/>
        <w:keepNext/>
        <w:rPr>
          <w:noProof/>
        </w:rPr>
      </w:pPr>
      <w:r>
        <w:rPr>
          <w:noProof/>
        </w:rPr>
        <w:t>Стълб III „Отворени иновации“ със следните ком</w:t>
      </w:r>
      <w:r>
        <w:rPr>
          <w:noProof/>
        </w:rPr>
        <w:t>поненти:</w:t>
      </w:r>
    </w:p>
    <w:p w:rsidR="008209B4" w:rsidRDefault="00A54173">
      <w:pPr>
        <w:pStyle w:val="Point2"/>
        <w:rPr>
          <w:noProof/>
        </w:rPr>
      </w:pPr>
      <w:r>
        <w:rPr>
          <w:noProof/>
        </w:rPr>
        <w:t>а)</w:t>
      </w:r>
      <w:r>
        <w:rPr>
          <w:noProof/>
        </w:rPr>
        <w:tab/>
        <w:t>Европейски съвет по иновациите (ЕСИ), както е описан в приложение I, стълб III, раздел 1;</w:t>
      </w:r>
    </w:p>
    <w:p w:rsidR="008209B4" w:rsidRDefault="00A54173">
      <w:pPr>
        <w:pStyle w:val="Point2"/>
        <w:rPr>
          <w:noProof/>
        </w:rPr>
      </w:pPr>
      <w:r>
        <w:rPr>
          <w:noProof/>
        </w:rPr>
        <w:t>б)</w:t>
      </w:r>
      <w:r>
        <w:rPr>
          <w:noProof/>
        </w:rPr>
        <w:tab/>
        <w:t xml:space="preserve">Европейски иновационни екосистеми, както са описани в приложение I, стълб III, раздел 2; </w:t>
      </w:r>
    </w:p>
    <w:p w:rsidR="008209B4" w:rsidRDefault="00A54173">
      <w:pPr>
        <w:pStyle w:val="Point2"/>
        <w:rPr>
          <w:noProof/>
        </w:rPr>
      </w:pPr>
      <w:r>
        <w:rPr>
          <w:noProof/>
        </w:rPr>
        <w:t>в)</w:t>
      </w:r>
      <w:r>
        <w:rPr>
          <w:noProof/>
        </w:rPr>
        <w:tab/>
        <w:t xml:space="preserve">Европейски институт за иновации и технологии (EIT), както </w:t>
      </w:r>
      <w:r>
        <w:rPr>
          <w:noProof/>
        </w:rPr>
        <w:t>е описан в приложение I, стълб III, раздел 3.</w:t>
      </w:r>
    </w:p>
    <w:p w:rsidR="008209B4" w:rsidRDefault="00A54173">
      <w:pPr>
        <w:pStyle w:val="Point1number"/>
        <w:rPr>
          <w:noProof/>
        </w:rPr>
      </w:pPr>
      <w:r>
        <w:rPr>
          <w:noProof/>
        </w:rPr>
        <w:t>Част „Укрепване на европейското научноизследователско пространство“ със следните компоненти:</w:t>
      </w:r>
    </w:p>
    <w:p w:rsidR="008209B4" w:rsidRDefault="00A54173">
      <w:pPr>
        <w:pStyle w:val="Point2"/>
        <w:rPr>
          <w:noProof/>
        </w:rPr>
      </w:pPr>
      <w:r>
        <w:rPr>
          <w:noProof/>
        </w:rPr>
        <w:t>а)</w:t>
      </w:r>
      <w:r>
        <w:rPr>
          <w:noProof/>
        </w:rPr>
        <w:tab/>
        <w:t xml:space="preserve">обмен на високи постижения, както е описано в приложение I, част „Укрепване на европейското научноизследователско </w:t>
      </w:r>
      <w:r>
        <w:rPr>
          <w:noProof/>
        </w:rPr>
        <w:t>пространство“, раздел 1;</w:t>
      </w:r>
    </w:p>
    <w:p w:rsidR="008209B4" w:rsidRDefault="00A54173">
      <w:pPr>
        <w:pStyle w:val="Point2"/>
        <w:rPr>
          <w:noProof/>
        </w:rPr>
      </w:pPr>
      <w:r>
        <w:rPr>
          <w:noProof/>
        </w:rPr>
        <w:t>б)</w:t>
      </w:r>
      <w:r>
        <w:rPr>
          <w:noProof/>
        </w:rPr>
        <w:tab/>
        <w:t>реформиране и засилване на европейската система за НИИ, както е описано в приложение I, част „Укрепване на европейското научноизследователско пространство“, раздел 2.</w:t>
      </w:r>
    </w:p>
    <w:p w:rsidR="008209B4" w:rsidRDefault="00A54173">
      <w:pPr>
        <w:pStyle w:val="ManualNumPar1"/>
        <w:rPr>
          <w:noProof/>
        </w:rPr>
      </w:pPr>
      <w:r>
        <w:rPr>
          <w:noProof/>
        </w:rPr>
        <w:t>2.</w:t>
      </w:r>
      <w:r>
        <w:rPr>
          <w:noProof/>
        </w:rPr>
        <w:tab/>
        <w:t>Дейностите, които трябва да бъдат извършени съгласно части</w:t>
      </w:r>
      <w:r>
        <w:rPr>
          <w:noProof/>
        </w:rPr>
        <w:t>те, посочени в параграф 1, са посочени в приложение I.</w:t>
      </w:r>
    </w:p>
    <w:p w:rsidR="008209B4" w:rsidRDefault="008209B4">
      <w:pPr>
        <w:spacing w:after="0"/>
        <w:jc w:val="center"/>
        <w:rPr>
          <w:i/>
          <w:noProof/>
          <w:szCs w:val="24"/>
        </w:rPr>
      </w:pPr>
    </w:p>
    <w:p w:rsidR="008209B4" w:rsidRDefault="00A54173">
      <w:pPr>
        <w:keepNext/>
        <w:spacing w:after="0"/>
        <w:jc w:val="center"/>
        <w:rPr>
          <w:noProof/>
          <w:szCs w:val="24"/>
        </w:rPr>
      </w:pPr>
      <w:r>
        <w:rPr>
          <w:i/>
          <w:noProof/>
        </w:rPr>
        <w:t>Член 4</w:t>
      </w:r>
    </w:p>
    <w:p w:rsidR="008209B4" w:rsidRDefault="00A54173">
      <w:pPr>
        <w:keepNext/>
        <w:spacing w:after="0"/>
        <w:jc w:val="center"/>
        <w:rPr>
          <w:b/>
          <w:noProof/>
          <w:szCs w:val="24"/>
        </w:rPr>
      </w:pPr>
      <w:r>
        <w:rPr>
          <w:b/>
          <w:noProof/>
        </w:rPr>
        <w:t>Бюджет</w:t>
      </w:r>
    </w:p>
    <w:p w:rsidR="008209B4" w:rsidRDefault="00A54173">
      <w:pPr>
        <w:pStyle w:val="ManualNumPar1"/>
        <w:rPr>
          <w:noProof/>
        </w:rPr>
      </w:pPr>
      <w:r>
        <w:rPr>
          <w:noProof/>
        </w:rPr>
        <w:t>1.</w:t>
      </w:r>
      <w:r>
        <w:rPr>
          <w:noProof/>
        </w:rPr>
        <w:tab/>
        <w:t xml:space="preserve">В съответствие с член 9, параграф 1 от Регламент ... </w:t>
      </w:r>
      <w:r>
        <w:rPr>
          <w:i/>
          <w:noProof/>
        </w:rPr>
        <w:t>FP/RfP</w:t>
      </w:r>
      <w:r>
        <w:rPr>
          <w:noProof/>
        </w:rPr>
        <w:t xml:space="preserve"> финансовият пакет за осъществяването на специфичната програма за периода 2021—2027 г. е 94 100 000 000 евро по текущи цени. </w:t>
      </w:r>
    </w:p>
    <w:p w:rsidR="008209B4" w:rsidRDefault="008209B4">
      <w:pPr>
        <w:rPr>
          <w:noProof/>
        </w:rPr>
      </w:pPr>
    </w:p>
    <w:p w:rsidR="008209B4" w:rsidRDefault="00A54173">
      <w:pPr>
        <w:pStyle w:val="ManualNumPar1"/>
        <w:rPr>
          <w:noProof/>
        </w:rPr>
      </w:pPr>
      <w:r>
        <w:rPr>
          <w:noProof/>
        </w:rPr>
        <w:t>2.</w:t>
      </w:r>
      <w:r>
        <w:rPr>
          <w:noProof/>
        </w:rPr>
        <w:tab/>
        <w:t>Сумата, посочена в параграф 1 от настоящия член, се разпределя между компонентите, определени в член 3, параграф 1 от настоящо</w:t>
      </w:r>
      <w:r>
        <w:rPr>
          <w:noProof/>
        </w:rPr>
        <w:t xml:space="preserve">то решение, в съответствие с член 9, параграф 2 от Регламент </w:t>
      </w:r>
      <w:r>
        <w:rPr>
          <w:i/>
          <w:noProof/>
        </w:rPr>
        <w:t>FP/RfP</w:t>
      </w:r>
      <w:r>
        <w:rPr>
          <w:noProof/>
        </w:rPr>
        <w:t>. Прилагат се разпоредбите на член 9, параграфи 3—8 от Регламент... FP/RfP.</w:t>
      </w:r>
    </w:p>
    <w:p w:rsidR="008209B4" w:rsidRDefault="008209B4">
      <w:pPr>
        <w:pStyle w:val="Text1"/>
        <w:rPr>
          <w:noProof/>
        </w:rPr>
      </w:pPr>
    </w:p>
    <w:p w:rsidR="008209B4" w:rsidRDefault="00A54173">
      <w:pPr>
        <w:keepNext/>
        <w:jc w:val="center"/>
        <w:rPr>
          <w:noProof/>
        </w:rPr>
      </w:pPr>
      <w:r>
        <w:rPr>
          <w:noProof/>
        </w:rPr>
        <w:t>ГЛАВА II</w:t>
      </w:r>
    </w:p>
    <w:p w:rsidR="008209B4" w:rsidRDefault="00A54173">
      <w:pPr>
        <w:keepNext/>
        <w:jc w:val="center"/>
        <w:rPr>
          <w:b/>
          <w:noProof/>
        </w:rPr>
      </w:pPr>
      <w:r>
        <w:rPr>
          <w:b/>
          <w:noProof/>
        </w:rPr>
        <w:t xml:space="preserve">ОСЪЩЕСТВЯВАНЕ И ПРОГРАМИРАНЕ </w:t>
      </w:r>
    </w:p>
    <w:p w:rsidR="008209B4" w:rsidRDefault="00A54173">
      <w:pPr>
        <w:pStyle w:val="Titrearticle"/>
        <w:rPr>
          <w:noProof/>
        </w:rPr>
      </w:pPr>
      <w:r>
        <w:rPr>
          <w:noProof/>
        </w:rPr>
        <w:t>Член 5</w:t>
      </w:r>
    </w:p>
    <w:p w:rsidR="008209B4" w:rsidRDefault="00A54173">
      <w:pPr>
        <w:keepNext/>
        <w:spacing w:after="0"/>
        <w:jc w:val="center"/>
        <w:rPr>
          <w:b/>
          <w:noProof/>
          <w:szCs w:val="24"/>
        </w:rPr>
      </w:pPr>
      <w:r>
        <w:rPr>
          <w:b/>
          <w:noProof/>
        </w:rPr>
        <w:t>Мисии</w:t>
      </w:r>
    </w:p>
    <w:p w:rsidR="008209B4" w:rsidRDefault="008209B4">
      <w:pPr>
        <w:rPr>
          <w:noProof/>
        </w:rPr>
      </w:pPr>
    </w:p>
    <w:p w:rsidR="008209B4" w:rsidRDefault="00A54173">
      <w:pPr>
        <w:pStyle w:val="ManualNumPar1"/>
        <w:rPr>
          <w:noProof/>
        </w:rPr>
      </w:pPr>
      <w:r>
        <w:rPr>
          <w:noProof/>
        </w:rPr>
        <w:t>1.</w:t>
      </w:r>
      <w:r>
        <w:rPr>
          <w:noProof/>
        </w:rPr>
        <w:tab/>
        <w:t>За всяка мисия може да бъде създаден комитет за мисията.</w:t>
      </w:r>
      <w:r>
        <w:rPr>
          <w:noProof/>
        </w:rPr>
        <w:t xml:space="preserve"> Той се състои от около 15 високопоставени лица, включително относими представители на крайните потребители. Комитетът за мисията предоставя консултации по отношение на следното:</w:t>
      </w:r>
    </w:p>
    <w:p w:rsidR="008209B4" w:rsidRDefault="00A54173">
      <w:pPr>
        <w:pStyle w:val="Point1"/>
        <w:rPr>
          <w:noProof/>
        </w:rPr>
      </w:pPr>
      <w:r>
        <w:rPr>
          <w:noProof/>
        </w:rPr>
        <w:t>а)</w:t>
      </w:r>
      <w:r>
        <w:rPr>
          <w:noProof/>
        </w:rPr>
        <w:tab/>
        <w:t>съдържанието на работните програми и тяхното преразглеждане, доколкото е н</w:t>
      </w:r>
      <w:r>
        <w:rPr>
          <w:noProof/>
        </w:rPr>
        <w:t>еобходимо за постигането на целите на мисията, разработени съвместно със заинтересованите страни и обществеността, когато е относимо;</w:t>
      </w:r>
    </w:p>
    <w:p w:rsidR="008209B4" w:rsidRDefault="00A54173">
      <w:pPr>
        <w:pStyle w:val="Point1"/>
        <w:rPr>
          <w:noProof/>
        </w:rPr>
      </w:pPr>
      <w:r>
        <w:rPr>
          <w:noProof/>
        </w:rPr>
        <w:t>б)</w:t>
      </w:r>
      <w:r>
        <w:rPr>
          <w:noProof/>
        </w:rPr>
        <w:tab/>
        <w:t>действия по коригиране или прекратяване, ако е целесъобразно, въз основа на оценки за изпълнение на мисията;</w:t>
      </w:r>
    </w:p>
    <w:p w:rsidR="008209B4" w:rsidRDefault="00A54173">
      <w:pPr>
        <w:pStyle w:val="Point1"/>
        <w:rPr>
          <w:noProof/>
        </w:rPr>
      </w:pPr>
      <w:r>
        <w:rPr>
          <w:noProof/>
        </w:rPr>
        <w:t>в)</w:t>
      </w:r>
      <w:r>
        <w:rPr>
          <w:noProof/>
        </w:rPr>
        <w:tab/>
        <w:t xml:space="preserve">подбор </w:t>
      </w:r>
      <w:r>
        <w:rPr>
          <w:noProof/>
        </w:rPr>
        <w:t>на експерти оценители, брифинг на експерти оценители и критерии за оценка и тяхната относителна тежест;</w:t>
      </w:r>
    </w:p>
    <w:p w:rsidR="008209B4" w:rsidRDefault="00A54173">
      <w:pPr>
        <w:pStyle w:val="Point1"/>
        <w:rPr>
          <w:noProof/>
        </w:rPr>
      </w:pPr>
      <w:r>
        <w:rPr>
          <w:noProof/>
        </w:rPr>
        <w:t>г)</w:t>
      </w:r>
      <w:r>
        <w:rPr>
          <w:noProof/>
        </w:rPr>
        <w:tab/>
        <w:t>рамкови условия, които допринасят за постигане на целите на мисията;</w:t>
      </w:r>
    </w:p>
    <w:p w:rsidR="008209B4" w:rsidRDefault="00A54173">
      <w:pPr>
        <w:pStyle w:val="Point1"/>
        <w:rPr>
          <w:noProof/>
        </w:rPr>
      </w:pPr>
      <w:r>
        <w:rPr>
          <w:noProof/>
        </w:rPr>
        <w:t>д)</w:t>
      </w:r>
      <w:r>
        <w:rPr>
          <w:noProof/>
        </w:rPr>
        <w:tab/>
        <w:t>комуникация.</w:t>
      </w:r>
    </w:p>
    <w:p w:rsidR="008209B4" w:rsidRDefault="00A54173">
      <w:pPr>
        <w:pStyle w:val="ManualNumPar1"/>
        <w:rPr>
          <w:noProof/>
        </w:rPr>
      </w:pPr>
      <w:r>
        <w:rPr>
          <w:noProof/>
        </w:rPr>
        <w:t>2.</w:t>
      </w:r>
      <w:r>
        <w:rPr>
          <w:noProof/>
        </w:rPr>
        <w:tab/>
        <w:t>Специфични разпоредби за даване на възможност за ефикасен и г</w:t>
      </w:r>
      <w:r>
        <w:rPr>
          <w:noProof/>
        </w:rPr>
        <w:t>ъвкав портфейлен подход могат да бъдат установени в работната програма, предвидена в член 11.</w:t>
      </w:r>
    </w:p>
    <w:p w:rsidR="008209B4" w:rsidRDefault="008209B4">
      <w:pPr>
        <w:rPr>
          <w:noProof/>
        </w:rPr>
      </w:pPr>
    </w:p>
    <w:p w:rsidR="008209B4" w:rsidRDefault="00A54173">
      <w:pPr>
        <w:pStyle w:val="Titrearticle"/>
        <w:rPr>
          <w:noProof/>
        </w:rPr>
      </w:pPr>
      <w:r>
        <w:rPr>
          <w:noProof/>
        </w:rPr>
        <w:t>Член 6</w:t>
      </w:r>
    </w:p>
    <w:p w:rsidR="008209B4" w:rsidRDefault="00A54173">
      <w:pPr>
        <w:keepNext/>
        <w:jc w:val="center"/>
        <w:rPr>
          <w:b/>
          <w:noProof/>
        </w:rPr>
      </w:pPr>
      <w:r>
        <w:rPr>
          <w:b/>
          <w:noProof/>
        </w:rPr>
        <w:t>Европейски научноизследователски съвет</w:t>
      </w:r>
    </w:p>
    <w:p w:rsidR="008209B4" w:rsidRDefault="00A54173">
      <w:pPr>
        <w:pStyle w:val="ManualNumPar1"/>
        <w:rPr>
          <w:noProof/>
        </w:rPr>
      </w:pPr>
      <w:r>
        <w:rPr>
          <w:noProof/>
        </w:rPr>
        <w:t>1.</w:t>
      </w:r>
      <w:r>
        <w:rPr>
          <w:noProof/>
        </w:rPr>
        <w:tab/>
        <w:t>Комисията създава Европейски научноизследователски съвет („ЕНС“) за осъществяване на действията по стълб I, „Отв</w:t>
      </w:r>
      <w:r>
        <w:rPr>
          <w:noProof/>
        </w:rPr>
        <w:t>орена наука“, които се отнасят до ЕНС. ЕНС е правоприемник на ЕНС, създаден с Решение C(2013) 1895</w:t>
      </w:r>
      <w:r>
        <w:rPr>
          <w:rStyle w:val="FootnoteReference"/>
          <w:noProof/>
        </w:rPr>
        <w:footnoteReference w:id="8"/>
      </w:r>
      <w:r>
        <w:rPr>
          <w:noProof/>
        </w:rPr>
        <w:t>.</w:t>
      </w:r>
    </w:p>
    <w:p w:rsidR="008209B4" w:rsidRDefault="00A54173">
      <w:pPr>
        <w:pStyle w:val="ManualNumPar1"/>
        <w:rPr>
          <w:noProof/>
        </w:rPr>
      </w:pPr>
      <w:r>
        <w:rPr>
          <w:noProof/>
        </w:rPr>
        <w:t>2.</w:t>
      </w:r>
      <w:r>
        <w:rPr>
          <w:noProof/>
        </w:rPr>
        <w:tab/>
        <w:t xml:space="preserve">ЕНС се състои от независим научен съвет, предвиден в член 7, и от специализирана изпълнителна структура, предвидена в член 8. </w:t>
      </w:r>
    </w:p>
    <w:p w:rsidR="008209B4" w:rsidRDefault="00A54173">
      <w:pPr>
        <w:pStyle w:val="ManualNumPar1"/>
        <w:rPr>
          <w:noProof/>
        </w:rPr>
      </w:pPr>
      <w:r>
        <w:rPr>
          <w:noProof/>
        </w:rPr>
        <w:t>3.</w:t>
      </w:r>
      <w:r>
        <w:rPr>
          <w:noProof/>
        </w:rPr>
        <w:tab/>
        <w:t>ЕНС има председател, к</w:t>
      </w:r>
      <w:r>
        <w:rPr>
          <w:noProof/>
        </w:rPr>
        <w:t xml:space="preserve">ойто се избира сред утвърдени и международно признати учени. </w:t>
      </w:r>
    </w:p>
    <w:p w:rsidR="008209B4" w:rsidRDefault="00A54173">
      <w:pPr>
        <w:pStyle w:val="Text1"/>
        <w:rPr>
          <w:noProof/>
        </w:rPr>
      </w:pPr>
      <w:r>
        <w:rPr>
          <w:noProof/>
        </w:rPr>
        <w:t>Председателят се назначава от Комисията въз основа на прозрачна процедура, включваща специален независим комитет по подбора, за период от четири години, който може да бъде подновен еднократно. П</w:t>
      </w:r>
      <w:r>
        <w:rPr>
          <w:noProof/>
        </w:rPr>
        <w:t xml:space="preserve">роцедурата по подбор и избраният кандидат следва да бъдат одобрени от научния съвет. </w:t>
      </w:r>
    </w:p>
    <w:p w:rsidR="008209B4" w:rsidRDefault="00A54173">
      <w:pPr>
        <w:pStyle w:val="Text1"/>
        <w:rPr>
          <w:noProof/>
        </w:rPr>
      </w:pPr>
      <w:r>
        <w:rPr>
          <w:noProof/>
        </w:rPr>
        <w:t>Председателят е същевременно председател на научния съвет и осигурява неговото ръководство и връзка със специализираната изпълнителна структура, и го представлява в научн</w:t>
      </w:r>
      <w:r>
        <w:rPr>
          <w:noProof/>
        </w:rPr>
        <w:t xml:space="preserve">ата общност. </w:t>
      </w:r>
    </w:p>
    <w:p w:rsidR="008209B4" w:rsidRDefault="00A54173">
      <w:pPr>
        <w:pStyle w:val="ManualNumPar1"/>
        <w:rPr>
          <w:noProof/>
        </w:rPr>
      </w:pPr>
      <w:r>
        <w:rPr>
          <w:noProof/>
        </w:rPr>
        <w:t>4.</w:t>
      </w:r>
      <w:r>
        <w:rPr>
          <w:noProof/>
        </w:rPr>
        <w:tab/>
        <w:t xml:space="preserve">ЕНС функционира съгласно принципите за високи научни постижения, автономност, ефикасност, ефективност, прозрачност и отчетност. Той гарантира непрекъснатост на дейностите, провеждани от ЕНС по силата на Решение .../ЕО. </w:t>
      </w:r>
    </w:p>
    <w:p w:rsidR="008209B4" w:rsidRDefault="00A54173">
      <w:pPr>
        <w:pStyle w:val="ManualNumPar1"/>
        <w:rPr>
          <w:noProof/>
        </w:rPr>
      </w:pPr>
      <w:r>
        <w:rPr>
          <w:noProof/>
        </w:rPr>
        <w:t>5.</w:t>
      </w:r>
      <w:r>
        <w:rPr>
          <w:noProof/>
        </w:rPr>
        <w:tab/>
        <w:t>Дейностите на ЕН</w:t>
      </w:r>
      <w:r>
        <w:rPr>
          <w:noProof/>
        </w:rPr>
        <w:t xml:space="preserve">С подкрепят научни изследвания, извършвани във всички области, от самостоятелни и международни екипи в условията на конкуренция на европейско равнище. </w:t>
      </w:r>
    </w:p>
    <w:p w:rsidR="008209B4" w:rsidRDefault="00A54173">
      <w:pPr>
        <w:pStyle w:val="ManualNumPar1"/>
        <w:rPr>
          <w:noProof/>
        </w:rPr>
      </w:pPr>
      <w:r>
        <w:rPr>
          <w:noProof/>
        </w:rPr>
        <w:t>6.</w:t>
      </w:r>
      <w:r>
        <w:rPr>
          <w:noProof/>
        </w:rPr>
        <w:tab/>
        <w:t>Комисията действа като гарант на автономността и почтеността на ЕНС и гарантира, че той изпълнява пра</w:t>
      </w:r>
      <w:r>
        <w:rPr>
          <w:noProof/>
        </w:rPr>
        <w:t xml:space="preserve">вилно възложените му задачи. </w:t>
      </w:r>
    </w:p>
    <w:p w:rsidR="008209B4" w:rsidRDefault="00A54173">
      <w:pPr>
        <w:pStyle w:val="Text1"/>
        <w:rPr>
          <w:noProof/>
        </w:rPr>
      </w:pPr>
      <w:r>
        <w:rPr>
          <w:noProof/>
        </w:rPr>
        <w:t>Комисията гарантира, че осъществяването на действията на ЕНС е в съответствие с принципите, установени в параграф 4 от настоящия член, както и с общата стратегия на ЕНС, посочена в член 7, параграф 2, буква а), установена от н</w:t>
      </w:r>
      <w:r>
        <w:rPr>
          <w:noProof/>
        </w:rPr>
        <w:t xml:space="preserve">аучния съвет. </w:t>
      </w:r>
    </w:p>
    <w:p w:rsidR="008209B4" w:rsidRDefault="00A54173">
      <w:pPr>
        <w:pStyle w:val="Titrearticle"/>
        <w:rPr>
          <w:noProof/>
          <w:color w:val="0000FF"/>
          <w:szCs w:val="24"/>
        </w:rPr>
      </w:pPr>
      <w:r>
        <w:rPr>
          <w:noProof/>
        </w:rPr>
        <w:t>Член 7</w:t>
      </w:r>
    </w:p>
    <w:p w:rsidR="008209B4" w:rsidRDefault="00A54173">
      <w:pPr>
        <w:keepNext/>
        <w:jc w:val="center"/>
        <w:rPr>
          <w:b/>
          <w:noProof/>
        </w:rPr>
      </w:pPr>
      <w:r>
        <w:rPr>
          <w:b/>
          <w:noProof/>
        </w:rPr>
        <w:t>Научен съвет на ЕНС</w:t>
      </w:r>
    </w:p>
    <w:p w:rsidR="008209B4" w:rsidRDefault="00A54173">
      <w:pPr>
        <w:pStyle w:val="ManualNumPar1"/>
        <w:rPr>
          <w:noProof/>
        </w:rPr>
      </w:pPr>
      <w:r>
        <w:rPr>
          <w:noProof/>
        </w:rPr>
        <w:t>1.</w:t>
      </w:r>
      <w:r>
        <w:rPr>
          <w:noProof/>
        </w:rPr>
        <w:tab/>
      </w:r>
      <w:r>
        <w:rPr>
          <w:noProof/>
        </w:rPr>
        <w:t>Научният съвет е съставен от учени, инженери и представители на академичната общност, които са най-реномирани и с подходящ опит, както от жени, така и от мъже от различни възрастови групи, представляващи разнообразни научноизследователски области и действа</w:t>
      </w:r>
      <w:r>
        <w:rPr>
          <w:noProof/>
        </w:rPr>
        <w:t xml:space="preserve">щи в лично качество, независими от външни интереси. </w:t>
      </w:r>
    </w:p>
    <w:p w:rsidR="008209B4" w:rsidRDefault="00A54173">
      <w:pPr>
        <w:pStyle w:val="Text1"/>
        <w:rPr>
          <w:noProof/>
        </w:rPr>
      </w:pPr>
      <w:r>
        <w:rPr>
          <w:noProof/>
        </w:rPr>
        <w:t>Членовете на научния съвет се назначават от Комисията след независима и прозрачна процедура за тяхното определяне, съгласувана с научния съвет, включително след консултация с научната общност и доклад до</w:t>
      </w:r>
      <w:r>
        <w:rPr>
          <w:noProof/>
        </w:rPr>
        <w:t xml:space="preserve"> Европейския парламент и до Съвета. </w:t>
      </w:r>
    </w:p>
    <w:p w:rsidR="008209B4" w:rsidRDefault="00A54173">
      <w:pPr>
        <w:pStyle w:val="Text1"/>
        <w:rPr>
          <w:noProof/>
        </w:rPr>
      </w:pPr>
      <w:r>
        <w:rPr>
          <w:noProof/>
        </w:rPr>
        <w:t xml:space="preserve">Мандатът им е ограничен до четири години и може да бъде подновен веднъж на основата на ротационна система, която гарантира приемственост на работата на научния съвет. </w:t>
      </w:r>
    </w:p>
    <w:p w:rsidR="008209B4" w:rsidRDefault="00A54173">
      <w:pPr>
        <w:pStyle w:val="ManualNumPar1"/>
        <w:rPr>
          <w:noProof/>
        </w:rPr>
      </w:pPr>
      <w:r>
        <w:rPr>
          <w:noProof/>
        </w:rPr>
        <w:t>2.</w:t>
      </w:r>
      <w:r>
        <w:rPr>
          <w:noProof/>
        </w:rPr>
        <w:tab/>
        <w:t xml:space="preserve">Научният съвет определя: </w:t>
      </w:r>
    </w:p>
    <w:p w:rsidR="008209B4" w:rsidRDefault="00A54173">
      <w:pPr>
        <w:pStyle w:val="Point1"/>
        <w:rPr>
          <w:noProof/>
        </w:rPr>
      </w:pPr>
      <w:r>
        <w:rPr>
          <w:noProof/>
        </w:rPr>
        <w:t>а)</w:t>
      </w:r>
      <w:r>
        <w:rPr>
          <w:noProof/>
        </w:rPr>
        <w:tab/>
        <w:t>цялостната стратеги</w:t>
      </w:r>
      <w:r>
        <w:rPr>
          <w:noProof/>
        </w:rPr>
        <w:t xml:space="preserve">я за ЕНС; </w:t>
      </w:r>
    </w:p>
    <w:p w:rsidR="008209B4" w:rsidRDefault="00A54173">
      <w:pPr>
        <w:pStyle w:val="Point1"/>
        <w:rPr>
          <w:noProof/>
        </w:rPr>
      </w:pPr>
      <w:r>
        <w:rPr>
          <w:noProof/>
        </w:rPr>
        <w:t>б)</w:t>
      </w:r>
      <w:r>
        <w:rPr>
          <w:noProof/>
        </w:rPr>
        <w:tab/>
        <w:t xml:space="preserve">работната програма за изпълнение на дейностите на ЕНС; </w:t>
      </w:r>
    </w:p>
    <w:p w:rsidR="008209B4" w:rsidRDefault="00A54173">
      <w:pPr>
        <w:pStyle w:val="Point1"/>
        <w:rPr>
          <w:noProof/>
        </w:rPr>
      </w:pPr>
      <w:r>
        <w:rPr>
          <w:noProof/>
        </w:rPr>
        <w:t>в)</w:t>
      </w:r>
      <w:r>
        <w:rPr>
          <w:noProof/>
        </w:rPr>
        <w:tab/>
        <w:t xml:space="preserve">методите и процедурите за партньорска проверка и за оценка на предложенията, въз основа на които се определят предложенията, които ще бъдат финансирани; </w:t>
      </w:r>
    </w:p>
    <w:p w:rsidR="008209B4" w:rsidRDefault="00A54173">
      <w:pPr>
        <w:pStyle w:val="Point1"/>
        <w:rPr>
          <w:noProof/>
        </w:rPr>
      </w:pPr>
      <w:r>
        <w:rPr>
          <w:noProof/>
        </w:rPr>
        <w:t xml:space="preserve">г) </w:t>
      </w:r>
      <w:r>
        <w:rPr>
          <w:noProof/>
        </w:rPr>
        <w:tab/>
        <w:t>позицията си по всеки въп</w:t>
      </w:r>
      <w:r>
        <w:rPr>
          <w:noProof/>
        </w:rPr>
        <w:t xml:space="preserve">рос, който от научна гледна точка може да подобри постиженията и въздействието на ЕНС, както и качеството на извършваните научни изследвания; </w:t>
      </w:r>
    </w:p>
    <w:p w:rsidR="008209B4" w:rsidRDefault="00A54173">
      <w:pPr>
        <w:pStyle w:val="Point1"/>
        <w:rPr>
          <w:noProof/>
        </w:rPr>
      </w:pPr>
      <w:r>
        <w:rPr>
          <w:noProof/>
        </w:rPr>
        <w:t>д)</w:t>
      </w:r>
      <w:r>
        <w:rPr>
          <w:noProof/>
        </w:rPr>
        <w:tab/>
        <w:t>кодекс на поведение, отнасящ се, наред с другото, до избягването на конфликти на интереси.</w:t>
      </w:r>
    </w:p>
    <w:p w:rsidR="008209B4" w:rsidRDefault="00A54173">
      <w:pPr>
        <w:pStyle w:val="Text1"/>
        <w:rPr>
          <w:noProof/>
        </w:rPr>
      </w:pPr>
      <w:r>
        <w:rPr>
          <w:noProof/>
        </w:rPr>
        <w:t>Комисията се отклон</w:t>
      </w:r>
      <w:r>
        <w:rPr>
          <w:noProof/>
        </w:rPr>
        <w:t>ява от позициите на научния съвет, определени в съответствие с първа алинея, букви а), в), г) и д), само когато счита, че разпоредбите на настоящото решение не са спазени. В този случай Комисията приема мерки за запазване на непрекъснатостта на осъществява</w:t>
      </w:r>
      <w:r>
        <w:rPr>
          <w:noProof/>
        </w:rPr>
        <w:t xml:space="preserve">нето на специфичната програма и за постигане на нейните цели, като посочва точките на отклонение от позициите на научния съвет и надлежно ги обосновава. </w:t>
      </w:r>
    </w:p>
    <w:p w:rsidR="008209B4" w:rsidRDefault="00A54173">
      <w:pPr>
        <w:pStyle w:val="ManualNumPar1"/>
        <w:rPr>
          <w:noProof/>
        </w:rPr>
      </w:pPr>
      <w:r>
        <w:rPr>
          <w:noProof/>
        </w:rPr>
        <w:t>3.</w:t>
      </w:r>
      <w:r>
        <w:rPr>
          <w:noProof/>
        </w:rPr>
        <w:tab/>
        <w:t xml:space="preserve">Научният съвет действа в съответствие с мандата, определен в приложение I, стълб I, раздел 1. </w:t>
      </w:r>
    </w:p>
    <w:p w:rsidR="008209B4" w:rsidRDefault="00A54173">
      <w:pPr>
        <w:pStyle w:val="ManualNumPar1"/>
        <w:rPr>
          <w:noProof/>
        </w:rPr>
      </w:pPr>
      <w:r>
        <w:rPr>
          <w:noProof/>
        </w:rPr>
        <w:t>4.</w:t>
      </w:r>
      <w:r>
        <w:rPr>
          <w:noProof/>
        </w:rPr>
        <w:tab/>
      </w:r>
      <w:r>
        <w:rPr>
          <w:noProof/>
        </w:rPr>
        <w:t xml:space="preserve">Научният съвет действа изключително в интерес на постигането на целите на ЕНС, в съответствие с принципите, определени в член 6. Той действа почтено и неподкупно и изпълнява ефикасно своята работа с възможно най-голяма степен на прозрачност. </w:t>
      </w:r>
    </w:p>
    <w:p w:rsidR="008209B4" w:rsidRDefault="00A54173">
      <w:pPr>
        <w:pStyle w:val="Titrearticle"/>
        <w:rPr>
          <w:noProof/>
          <w:color w:val="0000FF"/>
          <w:szCs w:val="24"/>
        </w:rPr>
      </w:pPr>
      <w:r>
        <w:rPr>
          <w:noProof/>
        </w:rPr>
        <w:t>Член 8</w:t>
      </w:r>
    </w:p>
    <w:p w:rsidR="008209B4" w:rsidRDefault="00A54173">
      <w:pPr>
        <w:keepNext/>
        <w:jc w:val="center"/>
        <w:rPr>
          <w:b/>
          <w:noProof/>
        </w:rPr>
      </w:pPr>
      <w:r>
        <w:rPr>
          <w:b/>
          <w:noProof/>
        </w:rPr>
        <w:t>Специа</w:t>
      </w:r>
      <w:r>
        <w:rPr>
          <w:b/>
          <w:noProof/>
        </w:rPr>
        <w:t xml:space="preserve">лизирана изпълнителна структура на ЕНС </w:t>
      </w:r>
    </w:p>
    <w:p w:rsidR="008209B4" w:rsidRDefault="00A54173">
      <w:pPr>
        <w:pStyle w:val="ManualNumPar1"/>
        <w:rPr>
          <w:noProof/>
        </w:rPr>
      </w:pPr>
      <w:r>
        <w:rPr>
          <w:noProof/>
        </w:rPr>
        <w:t>1.</w:t>
      </w:r>
      <w:r>
        <w:rPr>
          <w:noProof/>
        </w:rPr>
        <w:tab/>
        <w:t>Специализираната изпълнителна структура отговаря за административното прилагане и изпълнението на програмата, както е описано в приложение I, стълб I, раздел 1. Тя предоставя подкрепа на научния съвет на ЕНС при и</w:t>
      </w:r>
      <w:r>
        <w:rPr>
          <w:noProof/>
        </w:rPr>
        <w:t xml:space="preserve">зпълнението на всички негови задачи. </w:t>
      </w:r>
    </w:p>
    <w:p w:rsidR="008209B4" w:rsidRDefault="00A54173">
      <w:pPr>
        <w:pStyle w:val="ManualNumPar1"/>
        <w:rPr>
          <w:noProof/>
        </w:rPr>
      </w:pPr>
      <w:r>
        <w:rPr>
          <w:noProof/>
        </w:rPr>
        <w:t>2.</w:t>
      </w:r>
      <w:r>
        <w:rPr>
          <w:noProof/>
        </w:rPr>
        <w:tab/>
        <w:t>Комисията гарантира, че специализираната изпълнителна структура следва стриктно, ефикасно и с необходимата гъвкавост единствено целите и изискванията на ЕНС.</w:t>
      </w:r>
    </w:p>
    <w:p w:rsidR="008209B4" w:rsidRDefault="00A54173">
      <w:pPr>
        <w:pStyle w:val="Titrearticle"/>
        <w:rPr>
          <w:noProof/>
        </w:rPr>
      </w:pPr>
      <w:r>
        <w:rPr>
          <w:noProof/>
        </w:rPr>
        <w:t xml:space="preserve">Член 9 </w:t>
      </w:r>
    </w:p>
    <w:p w:rsidR="008209B4" w:rsidRDefault="00A54173">
      <w:pPr>
        <w:keepNext/>
        <w:jc w:val="center"/>
        <w:rPr>
          <w:b/>
          <w:noProof/>
        </w:rPr>
      </w:pPr>
      <w:r>
        <w:rPr>
          <w:b/>
          <w:noProof/>
        </w:rPr>
        <w:t>Европейски съвет по иновациите</w:t>
      </w:r>
    </w:p>
    <w:p w:rsidR="008209B4" w:rsidRDefault="00A54173">
      <w:pPr>
        <w:pStyle w:val="ManualNumPar1"/>
        <w:rPr>
          <w:noProof/>
        </w:rPr>
      </w:pPr>
      <w:r>
        <w:rPr>
          <w:noProof/>
        </w:rPr>
        <w:t>1.</w:t>
      </w:r>
      <w:r>
        <w:rPr>
          <w:noProof/>
        </w:rPr>
        <w:tab/>
        <w:t>Комисията създа</w:t>
      </w:r>
      <w:r>
        <w:rPr>
          <w:noProof/>
        </w:rPr>
        <w:t>ва Европейски съвет по иновациите („ЕСИ“) за осъществяване на действията по стълб III „Отворени иновации“, които се отнасят до ЕСИ. ЕСИ функционира в съответствие със следните принципи: съсредоточаване върху водещите до пробив и дисруптивните иновации, сам</w:t>
      </w:r>
      <w:r>
        <w:rPr>
          <w:noProof/>
        </w:rPr>
        <w:t xml:space="preserve">остоятелност, способност за поемане на риск, ефикасност, ефективност, прозрачност и отчетност. </w:t>
      </w:r>
    </w:p>
    <w:p w:rsidR="008209B4" w:rsidRDefault="00A54173">
      <w:pPr>
        <w:pStyle w:val="ManualNumPar1"/>
        <w:rPr>
          <w:noProof/>
        </w:rPr>
      </w:pPr>
      <w:r>
        <w:rPr>
          <w:noProof/>
        </w:rPr>
        <w:t>2.</w:t>
      </w:r>
      <w:r>
        <w:rPr>
          <w:noProof/>
        </w:rPr>
        <w:tab/>
        <w:t xml:space="preserve">ЕСИ включва комитет на високо равнище („комитет на ЕСИ“), предвиден в член 10. . </w:t>
      </w:r>
    </w:p>
    <w:p w:rsidR="008209B4" w:rsidRDefault="00A54173">
      <w:pPr>
        <w:pStyle w:val="ManualNumPar1"/>
        <w:rPr>
          <w:noProof/>
        </w:rPr>
      </w:pPr>
      <w:r>
        <w:rPr>
          <w:noProof/>
        </w:rPr>
        <w:t>3.</w:t>
      </w:r>
      <w:r>
        <w:rPr>
          <w:noProof/>
        </w:rPr>
        <w:tab/>
        <w:t>Комисията гарантира, че работата на ЕСИ:</w:t>
      </w:r>
    </w:p>
    <w:p w:rsidR="008209B4" w:rsidRDefault="00A54173">
      <w:pPr>
        <w:pStyle w:val="Point1"/>
        <w:rPr>
          <w:noProof/>
        </w:rPr>
      </w:pPr>
      <w:r>
        <w:rPr>
          <w:noProof/>
        </w:rPr>
        <w:t>а)</w:t>
      </w:r>
      <w:r>
        <w:rPr>
          <w:noProof/>
        </w:rPr>
        <w:tab/>
        <w:t>е в съответствие с принципит</w:t>
      </w:r>
      <w:r>
        <w:rPr>
          <w:noProof/>
        </w:rPr>
        <w:t>е, установени в параграф 1 от настоящия член, като взема надлежно предвид становището на комитета на ЕСИ относно общата стратегия за ЕСИ, посочена в член 10, параграф 1, буква а); и</w:t>
      </w:r>
    </w:p>
    <w:p w:rsidR="008209B4" w:rsidRDefault="00A54173">
      <w:pPr>
        <w:pStyle w:val="Point1"/>
        <w:rPr>
          <w:noProof/>
        </w:rPr>
      </w:pPr>
      <w:r>
        <w:rPr>
          <w:noProof/>
        </w:rPr>
        <w:t>б)</w:t>
      </w:r>
      <w:r>
        <w:rPr>
          <w:noProof/>
        </w:rPr>
        <w:tab/>
        <w:t xml:space="preserve">не води до нарушения на конкуренцията в ущърб на общия интерес. </w:t>
      </w:r>
    </w:p>
    <w:p w:rsidR="008209B4" w:rsidRDefault="00A54173">
      <w:pPr>
        <w:pStyle w:val="ManualNumPar1"/>
        <w:rPr>
          <w:noProof/>
        </w:rPr>
      </w:pPr>
      <w:r>
        <w:rPr>
          <w:noProof/>
        </w:rPr>
        <w:t>4.</w:t>
      </w:r>
      <w:r>
        <w:rPr>
          <w:noProof/>
        </w:rPr>
        <w:tab/>
        <w:t xml:space="preserve">За </w:t>
      </w:r>
      <w:r>
        <w:rPr>
          <w:noProof/>
        </w:rPr>
        <w:t>целите на управлението на смесеното финансиране на ЕСИ Комисията използва непряко управление, или, когато това е невъзможно, може да създаде дружество със специално предназначение. Комисията ще се стреми да осигури участие на други публични и частни инвест</w:t>
      </w:r>
      <w:r>
        <w:rPr>
          <w:noProof/>
        </w:rPr>
        <w:t xml:space="preserve">итори. Когато това е невъзможно при първоначалното създаване, дружеството със специално предназначение се структурира по такъв начин, че да може да привлича други публични или частни инвеститори с цел увеличаване на ефекта на ливъридж от финансовия принос </w:t>
      </w:r>
      <w:r>
        <w:rPr>
          <w:noProof/>
        </w:rPr>
        <w:t>на Съюза.</w:t>
      </w:r>
    </w:p>
    <w:p w:rsidR="008209B4" w:rsidRDefault="008209B4">
      <w:pPr>
        <w:pStyle w:val="Text1"/>
        <w:rPr>
          <w:noProof/>
        </w:rPr>
      </w:pPr>
    </w:p>
    <w:p w:rsidR="008209B4" w:rsidRDefault="00A54173">
      <w:pPr>
        <w:pStyle w:val="Titrearticle"/>
        <w:rPr>
          <w:noProof/>
        </w:rPr>
      </w:pPr>
      <w:r>
        <w:rPr>
          <w:noProof/>
        </w:rPr>
        <w:t>Член 10</w:t>
      </w:r>
    </w:p>
    <w:p w:rsidR="008209B4" w:rsidRDefault="00A54173">
      <w:pPr>
        <w:keepNext/>
        <w:jc w:val="center"/>
        <w:rPr>
          <w:b/>
          <w:noProof/>
        </w:rPr>
      </w:pPr>
      <w:r>
        <w:rPr>
          <w:b/>
          <w:noProof/>
        </w:rPr>
        <w:t>Комитет на ЕСИ</w:t>
      </w:r>
    </w:p>
    <w:p w:rsidR="008209B4" w:rsidRDefault="00A54173">
      <w:pPr>
        <w:pStyle w:val="ManualNumPar1"/>
        <w:rPr>
          <w:noProof/>
        </w:rPr>
      </w:pPr>
      <w:r>
        <w:rPr>
          <w:noProof/>
        </w:rPr>
        <w:t>1.</w:t>
      </w:r>
      <w:r>
        <w:rPr>
          <w:noProof/>
        </w:rPr>
        <w:tab/>
        <w:t>Комитетът на ЕСИ предоставя консултации на Комисията по отношение на:</w:t>
      </w:r>
    </w:p>
    <w:p w:rsidR="008209B4" w:rsidRDefault="00A54173">
      <w:pPr>
        <w:pStyle w:val="Point1"/>
        <w:rPr>
          <w:noProof/>
        </w:rPr>
      </w:pPr>
      <w:r>
        <w:rPr>
          <w:noProof/>
        </w:rPr>
        <w:t>а)</w:t>
      </w:r>
      <w:r>
        <w:rPr>
          <w:noProof/>
        </w:rPr>
        <w:tab/>
        <w:t>цялостната стратегия за компонента ЕСИ по стълб III „Отворени иновации“;</w:t>
      </w:r>
    </w:p>
    <w:p w:rsidR="008209B4" w:rsidRDefault="00A54173">
      <w:pPr>
        <w:pStyle w:val="Point1"/>
        <w:rPr>
          <w:noProof/>
        </w:rPr>
      </w:pPr>
      <w:r>
        <w:rPr>
          <w:noProof/>
        </w:rPr>
        <w:t>б)</w:t>
      </w:r>
      <w:r>
        <w:rPr>
          <w:noProof/>
        </w:rPr>
        <w:tab/>
        <w:t>работната програма за изпълнение на действията на ЕСИ;</w:t>
      </w:r>
    </w:p>
    <w:p w:rsidR="008209B4" w:rsidRDefault="00A54173">
      <w:pPr>
        <w:pStyle w:val="Point1"/>
        <w:rPr>
          <w:noProof/>
        </w:rPr>
      </w:pPr>
      <w:r>
        <w:rPr>
          <w:noProof/>
        </w:rPr>
        <w:t>в)</w:t>
      </w:r>
      <w:r>
        <w:rPr>
          <w:noProof/>
        </w:rPr>
        <w:tab/>
        <w:t xml:space="preserve">критериите </w:t>
      </w:r>
      <w:r>
        <w:rPr>
          <w:noProof/>
        </w:rPr>
        <w:t>за оценка на иновативността и рисковия профил на предложенията и подходящия баланс на безвъзмездните средства, собствения капитал и другите форми на финансиране за „Ускорител“ на ЕСИ;</w:t>
      </w:r>
    </w:p>
    <w:p w:rsidR="008209B4" w:rsidRDefault="00A54173">
      <w:pPr>
        <w:pStyle w:val="Point1"/>
        <w:rPr>
          <w:noProof/>
        </w:rPr>
      </w:pPr>
      <w:r>
        <w:rPr>
          <w:noProof/>
        </w:rPr>
        <w:t>г)</w:t>
      </w:r>
      <w:r>
        <w:rPr>
          <w:noProof/>
        </w:rPr>
        <w:tab/>
        <w:t>установяването на стратегически портфейл от проекти;</w:t>
      </w:r>
    </w:p>
    <w:p w:rsidR="008209B4" w:rsidRDefault="00A54173">
      <w:pPr>
        <w:pStyle w:val="Point1"/>
        <w:rPr>
          <w:noProof/>
        </w:rPr>
      </w:pPr>
      <w:r>
        <w:rPr>
          <w:noProof/>
        </w:rPr>
        <w:t>д)</w:t>
      </w:r>
      <w:r>
        <w:rPr>
          <w:noProof/>
        </w:rPr>
        <w:tab/>
        <w:t>профила на ръ</w:t>
      </w:r>
      <w:r>
        <w:rPr>
          <w:noProof/>
        </w:rPr>
        <w:t>ководители на програми.</w:t>
      </w:r>
    </w:p>
    <w:p w:rsidR="008209B4" w:rsidRDefault="00A54173">
      <w:pPr>
        <w:pStyle w:val="ManualNumPar1"/>
        <w:rPr>
          <w:noProof/>
        </w:rPr>
      </w:pPr>
      <w:r>
        <w:rPr>
          <w:noProof/>
        </w:rPr>
        <w:t>2.</w:t>
      </w:r>
      <w:r>
        <w:rPr>
          <w:noProof/>
        </w:rPr>
        <w:tab/>
        <w:t>При поискване комитетът на ЕСИ може да отправя препоръки към Комисията относно:</w:t>
      </w:r>
    </w:p>
    <w:p w:rsidR="008209B4" w:rsidRDefault="00A54173">
      <w:pPr>
        <w:pStyle w:val="Point1"/>
        <w:rPr>
          <w:noProof/>
        </w:rPr>
      </w:pPr>
      <w:r>
        <w:rPr>
          <w:noProof/>
        </w:rPr>
        <w:t>а)</w:t>
      </w:r>
      <w:r>
        <w:rPr>
          <w:noProof/>
        </w:rPr>
        <w:tab/>
        <w:t>всеки въпрос, който от гледна точка на иновациите може да укрепи и насърчи иновационните екосистеми в цяла Европа, постиженията и въздействието на</w:t>
      </w:r>
      <w:r>
        <w:rPr>
          <w:noProof/>
        </w:rPr>
        <w:t xml:space="preserve"> целите на компонента ЕСИ и на капацитета на новаторските предприятия да разгърнат решенията си;</w:t>
      </w:r>
    </w:p>
    <w:p w:rsidR="008209B4" w:rsidRDefault="00A54173">
      <w:pPr>
        <w:pStyle w:val="Point1"/>
        <w:rPr>
          <w:noProof/>
        </w:rPr>
      </w:pPr>
      <w:r>
        <w:rPr>
          <w:noProof/>
        </w:rPr>
        <w:t>б)</w:t>
      </w:r>
      <w:r>
        <w:rPr>
          <w:noProof/>
        </w:rPr>
        <w:tab/>
        <w:t>установяването, в сътрудничество със съответните служби на Комисията, на възможни регулаторни пречки, пред които са изправени предприемачите, по-специално т</w:t>
      </w:r>
      <w:r>
        <w:rPr>
          <w:noProof/>
        </w:rPr>
        <w:t>ези, които са получили подкрепа в рамките на компонента ЕСИ;</w:t>
      </w:r>
    </w:p>
    <w:p w:rsidR="008209B4" w:rsidRDefault="00A54173">
      <w:pPr>
        <w:pStyle w:val="Point1"/>
        <w:rPr>
          <w:noProof/>
        </w:rPr>
      </w:pPr>
      <w:r>
        <w:rPr>
          <w:noProof/>
        </w:rPr>
        <w:t>в)</w:t>
      </w:r>
      <w:r>
        <w:rPr>
          <w:noProof/>
        </w:rPr>
        <w:tab/>
        <w:t>тенденциите при нововъзникващите технологии от портфейла на ЕСИ, с оглед осигуряване на информация за програмирането в други части на специфичната програма;</w:t>
      </w:r>
    </w:p>
    <w:p w:rsidR="008209B4" w:rsidRDefault="00A54173">
      <w:pPr>
        <w:pStyle w:val="Point1"/>
        <w:rPr>
          <w:noProof/>
        </w:rPr>
      </w:pPr>
      <w:r>
        <w:rPr>
          <w:noProof/>
        </w:rPr>
        <w:t>г)</w:t>
      </w:r>
      <w:r>
        <w:rPr>
          <w:noProof/>
        </w:rPr>
        <w:tab/>
        <w:t>определянето на конкретни въпрос</w:t>
      </w:r>
      <w:r>
        <w:rPr>
          <w:noProof/>
        </w:rPr>
        <w:t>и, при които е необходима консултация с комитета на ЕСИ.</w:t>
      </w:r>
    </w:p>
    <w:p w:rsidR="008209B4" w:rsidRDefault="008209B4">
      <w:pPr>
        <w:pStyle w:val="Point1"/>
        <w:rPr>
          <w:noProof/>
        </w:rPr>
      </w:pPr>
    </w:p>
    <w:p w:rsidR="008209B4" w:rsidRDefault="00A54173">
      <w:pPr>
        <w:pStyle w:val="Text1"/>
        <w:rPr>
          <w:noProof/>
        </w:rPr>
      </w:pPr>
      <w:r>
        <w:rPr>
          <w:noProof/>
        </w:rPr>
        <w:t xml:space="preserve">Комитетът на ЕСИ действа в интерес на постигане на целите на компонента ЕСИ. Той действа почтено и неподкупно и изпълнява своята работа ефикасно и по прозрачен начин. </w:t>
      </w:r>
    </w:p>
    <w:p w:rsidR="008209B4" w:rsidRDefault="00A54173">
      <w:pPr>
        <w:pStyle w:val="Text1"/>
        <w:rPr>
          <w:noProof/>
        </w:rPr>
      </w:pPr>
      <w:r>
        <w:rPr>
          <w:noProof/>
        </w:rPr>
        <w:t>Комитетът на ЕСИ действа в съо</w:t>
      </w:r>
      <w:r>
        <w:rPr>
          <w:noProof/>
        </w:rPr>
        <w:t>тветствие с мандата си, определен в приложение I, стълб III, раздел 1.</w:t>
      </w:r>
    </w:p>
    <w:p w:rsidR="008209B4" w:rsidRDefault="00A54173">
      <w:pPr>
        <w:pStyle w:val="ManualNumPar1"/>
        <w:rPr>
          <w:noProof/>
        </w:rPr>
      </w:pPr>
      <w:r>
        <w:rPr>
          <w:noProof/>
        </w:rPr>
        <w:t>3.</w:t>
      </w:r>
      <w:r>
        <w:rPr>
          <w:noProof/>
        </w:rPr>
        <w:tab/>
        <w:t xml:space="preserve">Комитетът на ЕСИ се състои от 15 до 20 високопоставени лица от различни части на иновационната екосистема на Европа, включително предприемачи, корпоративни ръководители, инвеститори </w:t>
      </w:r>
      <w:r>
        <w:rPr>
          <w:noProof/>
        </w:rPr>
        <w:t>и изследователи. Той допринася за действията за популяризиране, като членовете на комитета на ЕСИ се стремят да повишат престижа на марката ЕСИ.</w:t>
      </w:r>
    </w:p>
    <w:p w:rsidR="008209B4" w:rsidRDefault="00A54173">
      <w:pPr>
        <w:pStyle w:val="Text1"/>
        <w:rPr>
          <w:noProof/>
        </w:rPr>
      </w:pPr>
      <w:r>
        <w:rPr>
          <w:noProof/>
        </w:rPr>
        <w:t>Членовете на комитета на ЕСИ се назначават от Комисията след открита покана за представяне на кандидатури или п</w:t>
      </w:r>
      <w:r>
        <w:rPr>
          <w:noProof/>
        </w:rPr>
        <w:t>окана за изразяване на интерес, или и двете, което от двете бъде сметнато за по-подходящо от Комисията, и като се отчита необходимостта от баланс по отношение на експертните познания, пола, възрастта и географското разпределение.</w:t>
      </w:r>
    </w:p>
    <w:p w:rsidR="008209B4" w:rsidRDefault="00A54173">
      <w:pPr>
        <w:pStyle w:val="Text1"/>
        <w:rPr>
          <w:noProof/>
        </w:rPr>
      </w:pPr>
      <w:r>
        <w:rPr>
          <w:noProof/>
        </w:rPr>
        <w:t>Техният мандат е ограничен</w:t>
      </w:r>
      <w:r>
        <w:rPr>
          <w:noProof/>
        </w:rPr>
        <w:t xml:space="preserve"> до две години, като може да бъде двукратно подновяван, със система за непрекъснато обновяване на назначенията (назначаване на членове на всеки две години). </w:t>
      </w:r>
    </w:p>
    <w:p w:rsidR="008209B4" w:rsidRDefault="00A54173">
      <w:pPr>
        <w:pStyle w:val="ManualNumPar1"/>
        <w:rPr>
          <w:noProof/>
        </w:rPr>
      </w:pPr>
      <w:r>
        <w:rPr>
          <w:noProof/>
        </w:rPr>
        <w:t>4.</w:t>
      </w:r>
      <w:r>
        <w:rPr>
          <w:noProof/>
        </w:rPr>
        <w:tab/>
        <w:t>Комитетът на ЕСИ има председател, който се назначава от Комисията след прозрачна процедура по п</w:t>
      </w:r>
      <w:r>
        <w:rPr>
          <w:noProof/>
        </w:rPr>
        <w:t>одбор. Председателят е широкоизвестна публична личност, свързана със сферата на иновациите.</w:t>
      </w:r>
    </w:p>
    <w:p w:rsidR="008209B4" w:rsidRDefault="00A54173">
      <w:pPr>
        <w:pStyle w:val="Text1"/>
        <w:rPr>
          <w:noProof/>
        </w:rPr>
      </w:pPr>
      <w:r>
        <w:rPr>
          <w:noProof/>
        </w:rPr>
        <w:t xml:space="preserve">Председателят се назначава за срок от четири години, който може да се подновява веднъж. </w:t>
      </w:r>
    </w:p>
    <w:p w:rsidR="008209B4" w:rsidRDefault="00A54173">
      <w:pPr>
        <w:pStyle w:val="Text1"/>
        <w:rPr>
          <w:noProof/>
        </w:rPr>
      </w:pPr>
      <w:r>
        <w:rPr>
          <w:noProof/>
        </w:rPr>
        <w:t>Председателят председателства комитета на ЕСИ, подготвя заседанията му, въз</w:t>
      </w:r>
      <w:r>
        <w:rPr>
          <w:noProof/>
        </w:rPr>
        <w:t>лага задачи на членовете и може да създава специализирани подгрупи, по-специално за установяване на тенденции при нововъзникващи технологии от портфейла на ЕСИ. Той/тя популяризира ЕСИ, действа като участник в диалога с Комисията и представлява ЕСИ в сфера</w:t>
      </w:r>
      <w:r>
        <w:rPr>
          <w:noProof/>
        </w:rPr>
        <w:t>та на иновациите. Комисията може да предвиди административна подкрепа за председателя на Европейския съвет с оглед поемането на неговите задължения.</w:t>
      </w:r>
    </w:p>
    <w:p w:rsidR="008209B4" w:rsidRDefault="00A54173">
      <w:pPr>
        <w:pStyle w:val="ManualNumPar1"/>
        <w:rPr>
          <w:noProof/>
        </w:rPr>
      </w:pPr>
      <w:r>
        <w:rPr>
          <w:noProof/>
        </w:rPr>
        <w:t>5.</w:t>
      </w:r>
      <w:r>
        <w:rPr>
          <w:noProof/>
        </w:rPr>
        <w:tab/>
        <w:t>Комисията установява кодекс на поведение, отнасящ се, наред с другото, до избягването на конфликти на ин</w:t>
      </w:r>
      <w:r>
        <w:rPr>
          <w:noProof/>
        </w:rPr>
        <w:t>тереси. Очаква се членовете на комитета на ЕСИ да приемат кодекса на поведение при встъпването си в длъжност.</w:t>
      </w:r>
    </w:p>
    <w:p w:rsidR="008209B4" w:rsidRDefault="008209B4">
      <w:pPr>
        <w:pStyle w:val="Text1"/>
        <w:rPr>
          <w:noProof/>
        </w:rPr>
      </w:pPr>
    </w:p>
    <w:p w:rsidR="008209B4" w:rsidRDefault="00A54173">
      <w:pPr>
        <w:keepNext/>
        <w:jc w:val="center"/>
        <w:rPr>
          <w:i/>
          <w:noProof/>
        </w:rPr>
      </w:pPr>
      <w:r>
        <w:rPr>
          <w:i/>
          <w:noProof/>
        </w:rPr>
        <w:t>Член 11</w:t>
      </w:r>
    </w:p>
    <w:p w:rsidR="008209B4" w:rsidRDefault="00A54173">
      <w:pPr>
        <w:keepNext/>
        <w:jc w:val="center"/>
        <w:rPr>
          <w:b/>
          <w:noProof/>
        </w:rPr>
      </w:pPr>
      <w:r>
        <w:rPr>
          <w:b/>
          <w:noProof/>
        </w:rPr>
        <w:t>Работни програми</w:t>
      </w:r>
    </w:p>
    <w:p w:rsidR="008209B4" w:rsidRDefault="00A54173">
      <w:pPr>
        <w:pStyle w:val="ManualNumPar1"/>
        <w:rPr>
          <w:noProof/>
        </w:rPr>
      </w:pPr>
      <w:r>
        <w:rPr>
          <w:noProof/>
        </w:rPr>
        <w:t>1.</w:t>
      </w:r>
      <w:r>
        <w:rPr>
          <w:noProof/>
        </w:rPr>
        <w:tab/>
        <w:t xml:space="preserve">Програмата се осъществява чрез работните програми, посочени в член 110 от Финансовия регламент. Те следва да бъдат </w:t>
      </w:r>
      <w:r>
        <w:rPr>
          <w:noProof/>
        </w:rPr>
        <w:t>изготвени след процес на стратегическо планиране, както е описано в приложение I към настоящото решение.</w:t>
      </w:r>
    </w:p>
    <w:p w:rsidR="008209B4" w:rsidRDefault="00A54173">
      <w:pPr>
        <w:pStyle w:val="Text1"/>
        <w:rPr>
          <w:noProof/>
        </w:rPr>
      </w:pPr>
      <w:r>
        <w:rPr>
          <w:noProof/>
        </w:rPr>
        <w:t>В работните програми се определя, когато това е уместно, общата сума, запазена за операции за смесено финансиране.</w:t>
      </w:r>
    </w:p>
    <w:p w:rsidR="008209B4" w:rsidRDefault="00A54173">
      <w:pPr>
        <w:pStyle w:val="ManualNumPar1"/>
        <w:rPr>
          <w:noProof/>
        </w:rPr>
      </w:pPr>
      <w:r>
        <w:rPr>
          <w:noProof/>
        </w:rPr>
        <w:t>2.</w:t>
      </w:r>
      <w:r>
        <w:rPr>
          <w:noProof/>
        </w:rPr>
        <w:tab/>
        <w:t>Комисията приема, посредством акт</w:t>
      </w:r>
      <w:r>
        <w:rPr>
          <w:noProof/>
        </w:rPr>
        <w:t>ове за изпълнение, отделни работни програми за изпълнението на действия в рамките на следните компоненти, както е посочено в член 3, параграф 1 от настоящото решение:</w:t>
      </w:r>
    </w:p>
    <w:p w:rsidR="008209B4" w:rsidRDefault="00A54173">
      <w:pPr>
        <w:pStyle w:val="Point1"/>
        <w:rPr>
          <w:noProof/>
        </w:rPr>
      </w:pPr>
      <w:r>
        <w:rPr>
          <w:noProof/>
        </w:rPr>
        <w:t>а)</w:t>
      </w:r>
      <w:r>
        <w:rPr>
          <w:noProof/>
        </w:rPr>
        <w:tab/>
        <w:t xml:space="preserve">ЕСИ, за който работната програма е установена от научния съвет по член 7, параграф 2, </w:t>
      </w:r>
      <w:r>
        <w:rPr>
          <w:noProof/>
        </w:rPr>
        <w:t>буква б), в съответствие с процедурата по консултиране, посочена в член 12, параграф 3. Комисията се отклонява от работната програма, установена от научния съвет, само когато счита, че тя не е в съответствие с разпоредбите на настоящото решение. В този слу</w:t>
      </w:r>
      <w:r>
        <w:rPr>
          <w:noProof/>
        </w:rPr>
        <w:t xml:space="preserve">чай Комисията приема работната програма посредством акт за изпълнение в съответствие с процедурата по разглеждане, посочена в член 12, параграф 4. Комисията надлежно обосновава тази мярка; </w:t>
      </w:r>
    </w:p>
    <w:p w:rsidR="008209B4" w:rsidRDefault="00A54173">
      <w:pPr>
        <w:pStyle w:val="Point1"/>
        <w:rPr>
          <w:noProof/>
        </w:rPr>
      </w:pPr>
      <w:r>
        <w:rPr>
          <w:noProof/>
        </w:rPr>
        <w:t>б)</w:t>
      </w:r>
      <w:r>
        <w:rPr>
          <w:noProof/>
        </w:rPr>
        <w:tab/>
        <w:t xml:space="preserve">всички клъстери в рамките на стълб „Глобални предизвикателства </w:t>
      </w:r>
      <w:r>
        <w:rPr>
          <w:noProof/>
        </w:rPr>
        <w:t>и конкурентоспособност на промишлеността“, МСК, научноизследователските инфраструктури, подкрепата за иновационни екосистеми, споделяне на високи постижения и реформиране и подобряване на европейската система за НИИ, в съответствие с процедурата по разглеж</w:t>
      </w:r>
      <w:r>
        <w:rPr>
          <w:noProof/>
        </w:rPr>
        <w:t xml:space="preserve">дане, посочена в член 12, параграф 4; </w:t>
      </w:r>
    </w:p>
    <w:p w:rsidR="008209B4" w:rsidRDefault="00A54173">
      <w:pPr>
        <w:pStyle w:val="Point1"/>
        <w:rPr>
          <w:noProof/>
        </w:rPr>
      </w:pPr>
      <w:r>
        <w:rPr>
          <w:noProof/>
        </w:rPr>
        <w:t>в)</w:t>
      </w:r>
      <w:r>
        <w:rPr>
          <w:noProof/>
        </w:rPr>
        <w:tab/>
        <w:t>ЕСИ, за който работната програма се изготвя след консултация с комитета на ЕСИ по член 10, параграф 1, буква б), в съответствие с процедурата по разглеждане, посочена в член 12, параграф 4.</w:t>
      </w:r>
    </w:p>
    <w:p w:rsidR="008209B4" w:rsidRDefault="00A54173">
      <w:pPr>
        <w:pStyle w:val="Point1"/>
        <w:rPr>
          <w:noProof/>
        </w:rPr>
      </w:pPr>
      <w:r>
        <w:rPr>
          <w:noProof/>
        </w:rPr>
        <w:t>г)</w:t>
      </w:r>
      <w:r>
        <w:rPr>
          <w:noProof/>
        </w:rPr>
        <w:tab/>
        <w:t xml:space="preserve">JRC, за който </w:t>
      </w:r>
      <w:r>
        <w:rPr>
          <w:noProof/>
        </w:rPr>
        <w:t>многогодишната работна програма взема предвид становището на управителния съвет на JRC, посочен в Решение 96/282/Евратом.</w:t>
      </w:r>
    </w:p>
    <w:p w:rsidR="008209B4" w:rsidRDefault="00A54173">
      <w:pPr>
        <w:pStyle w:val="ManualNumPar1"/>
        <w:rPr>
          <w:noProof/>
        </w:rPr>
      </w:pPr>
      <w:r>
        <w:rPr>
          <w:noProof/>
        </w:rPr>
        <w:t>3.</w:t>
      </w:r>
      <w:r>
        <w:rPr>
          <w:noProof/>
        </w:rPr>
        <w:tab/>
        <w:t>В допълнение към изискването по член 110 от Финансовия регламент работните програми, посочени в параграф 2 от настоящия член, в зав</w:t>
      </w:r>
      <w:r>
        <w:rPr>
          <w:noProof/>
        </w:rPr>
        <w:t>исимост от случая, включват:</w:t>
      </w:r>
    </w:p>
    <w:p w:rsidR="008209B4" w:rsidRDefault="00A54173">
      <w:pPr>
        <w:pStyle w:val="Point1"/>
        <w:rPr>
          <w:noProof/>
        </w:rPr>
      </w:pPr>
      <w:r>
        <w:rPr>
          <w:noProof/>
        </w:rPr>
        <w:t>а)</w:t>
      </w:r>
      <w:r>
        <w:rPr>
          <w:noProof/>
        </w:rPr>
        <w:tab/>
        <w:t>посочване на сумата, разпределена за всяко действие и мисия, и индикативен график за изпълнение;</w:t>
      </w:r>
    </w:p>
    <w:p w:rsidR="008209B4" w:rsidRDefault="00A54173">
      <w:pPr>
        <w:pStyle w:val="Point1"/>
        <w:rPr>
          <w:noProof/>
        </w:rPr>
      </w:pPr>
      <w:r>
        <w:rPr>
          <w:noProof/>
        </w:rPr>
        <w:t>б)</w:t>
      </w:r>
      <w:r>
        <w:rPr>
          <w:noProof/>
        </w:rPr>
        <w:tab/>
        <w:t>за безвъзмездни средства — приоритетите, критериите за подбор и възлагане и относителната тежест на различните критерии за в</w:t>
      </w:r>
      <w:r>
        <w:rPr>
          <w:noProof/>
        </w:rPr>
        <w:t xml:space="preserve">ъзлагане, както и максималният дял на финансирането от общия размер на допустимите разходи; </w:t>
      </w:r>
    </w:p>
    <w:p w:rsidR="008209B4" w:rsidRDefault="00A54173">
      <w:pPr>
        <w:pStyle w:val="Point1"/>
        <w:rPr>
          <w:noProof/>
        </w:rPr>
      </w:pPr>
      <w:r>
        <w:rPr>
          <w:noProof/>
        </w:rPr>
        <w:t xml:space="preserve">в) </w:t>
      </w:r>
      <w:r>
        <w:rPr>
          <w:noProof/>
        </w:rPr>
        <w:tab/>
        <w:t xml:space="preserve">сумата, разпределена за смесено финансиране в съответствие с членове 41—43 от Регламент … </w:t>
      </w:r>
      <w:r>
        <w:rPr>
          <w:i/>
          <w:noProof/>
        </w:rPr>
        <w:t>FP/RfP</w:t>
      </w:r>
      <w:r>
        <w:rPr>
          <w:noProof/>
        </w:rPr>
        <w:t>;</w:t>
      </w:r>
    </w:p>
    <w:p w:rsidR="008209B4" w:rsidRDefault="00A54173">
      <w:pPr>
        <w:pStyle w:val="Point1"/>
        <w:rPr>
          <w:noProof/>
        </w:rPr>
      </w:pPr>
      <w:r>
        <w:rPr>
          <w:noProof/>
        </w:rPr>
        <w:t>г)</w:t>
      </w:r>
      <w:r>
        <w:rPr>
          <w:noProof/>
        </w:rPr>
        <w:tab/>
        <w:t>всякакви допълнителни задължения за бенефициерите, в съотв</w:t>
      </w:r>
      <w:r>
        <w:rPr>
          <w:noProof/>
        </w:rPr>
        <w:t xml:space="preserve">етствие с членове 35 и 37 от Регламент … </w:t>
      </w:r>
      <w:r>
        <w:rPr>
          <w:i/>
          <w:noProof/>
        </w:rPr>
        <w:t>FP/RfP</w:t>
      </w:r>
      <w:r>
        <w:rPr>
          <w:noProof/>
        </w:rPr>
        <w:t>.</w:t>
      </w:r>
    </w:p>
    <w:p w:rsidR="008209B4" w:rsidRDefault="00A54173">
      <w:pPr>
        <w:pStyle w:val="Titrearticle"/>
        <w:rPr>
          <w:noProof/>
        </w:rPr>
      </w:pPr>
      <w:r>
        <w:rPr>
          <w:noProof/>
        </w:rPr>
        <w:t>Член 12</w:t>
      </w:r>
    </w:p>
    <w:p w:rsidR="008209B4" w:rsidRDefault="00A54173">
      <w:pPr>
        <w:keepNext/>
        <w:contextualSpacing/>
        <w:jc w:val="center"/>
        <w:rPr>
          <w:b/>
          <w:noProof/>
        </w:rPr>
      </w:pPr>
      <w:r>
        <w:rPr>
          <w:b/>
          <w:noProof/>
        </w:rPr>
        <w:t>Процедура на комитет</w:t>
      </w:r>
    </w:p>
    <w:p w:rsidR="008209B4" w:rsidRDefault="00A54173">
      <w:pPr>
        <w:pStyle w:val="ManualNumPar1"/>
        <w:rPr>
          <w:noProof/>
        </w:rPr>
      </w:pPr>
      <w:r>
        <w:rPr>
          <w:noProof/>
        </w:rPr>
        <w:t>1.</w:t>
      </w:r>
      <w:r>
        <w:rPr>
          <w:noProof/>
        </w:rPr>
        <w:tab/>
        <w:t>Комисията се подпомага от комитет</w:t>
      </w:r>
      <w:r>
        <w:rPr>
          <w:rStyle w:val="FootnoteReference"/>
          <w:noProof/>
        </w:rPr>
        <w:footnoteReference w:id="9"/>
      </w:r>
      <w:r>
        <w:rPr>
          <w:noProof/>
        </w:rPr>
        <w:t>. Този комитет е комитет по смисъла на Регламент (ЕС) № 182/2011.</w:t>
      </w:r>
    </w:p>
    <w:p w:rsidR="008209B4" w:rsidRDefault="00A54173">
      <w:pPr>
        <w:pStyle w:val="ManualNumPar1"/>
        <w:rPr>
          <w:noProof/>
        </w:rPr>
      </w:pPr>
      <w:r>
        <w:rPr>
          <w:noProof/>
        </w:rPr>
        <w:t>2.</w:t>
      </w:r>
      <w:r>
        <w:rPr>
          <w:noProof/>
        </w:rPr>
        <w:tab/>
        <w:t>Комитетът заседава в различни състави, както е определено в приложение I</w:t>
      </w:r>
      <w:r>
        <w:rPr>
          <w:noProof/>
        </w:rPr>
        <w:t>I, в зависимост от темата, която ще се обсъжда.</w:t>
      </w:r>
    </w:p>
    <w:p w:rsidR="008209B4" w:rsidRDefault="00A54173">
      <w:pPr>
        <w:pStyle w:val="ManualNumPar1"/>
        <w:rPr>
          <w:noProof/>
        </w:rPr>
      </w:pPr>
      <w:r>
        <w:rPr>
          <w:noProof/>
        </w:rPr>
        <w:t>3.</w:t>
      </w:r>
      <w:r>
        <w:rPr>
          <w:noProof/>
        </w:rPr>
        <w:tab/>
        <w:t>При позоваване на настоящия параграф се прилага член 4 от Регламент (ЕС) № 182/2011.</w:t>
      </w:r>
    </w:p>
    <w:p w:rsidR="008209B4" w:rsidRDefault="00A54173">
      <w:pPr>
        <w:pStyle w:val="ManualNumPar1"/>
        <w:rPr>
          <w:noProof/>
        </w:rPr>
      </w:pPr>
      <w:r>
        <w:rPr>
          <w:noProof/>
        </w:rPr>
        <w:t>4.</w:t>
      </w:r>
      <w:r>
        <w:rPr>
          <w:noProof/>
        </w:rPr>
        <w:tab/>
        <w:t>При позоваване на настоящия параграф се прилага член 5 от Регламент (ЕС) № 182/2011.</w:t>
      </w:r>
    </w:p>
    <w:p w:rsidR="008209B4" w:rsidRDefault="00A54173">
      <w:pPr>
        <w:pStyle w:val="ManualNumPar1"/>
        <w:rPr>
          <w:noProof/>
        </w:rPr>
      </w:pPr>
      <w:r>
        <w:rPr>
          <w:noProof/>
        </w:rPr>
        <w:t>5.</w:t>
      </w:r>
      <w:r>
        <w:rPr>
          <w:noProof/>
        </w:rPr>
        <w:tab/>
        <w:t>Когато становището на комитет</w:t>
      </w:r>
      <w:r>
        <w:rPr>
          <w:noProof/>
        </w:rPr>
        <w:t>а трябва да бъде получено по писмена процедура, тази процедура се прекратява без резултат, ако в рамките на срока за даване на становище председателят на комитета вземе такова решение или обикновено мнозинство от членовете на комитета отправят такова искан</w:t>
      </w:r>
      <w:r>
        <w:rPr>
          <w:noProof/>
        </w:rPr>
        <w:t xml:space="preserve">е. </w:t>
      </w:r>
    </w:p>
    <w:p w:rsidR="008209B4" w:rsidRDefault="00A54173">
      <w:pPr>
        <w:pStyle w:val="ManualNumPar1"/>
        <w:rPr>
          <w:noProof/>
        </w:rPr>
      </w:pPr>
      <w:r>
        <w:rPr>
          <w:noProof/>
        </w:rPr>
        <w:t>6.</w:t>
      </w:r>
      <w:r>
        <w:rPr>
          <w:noProof/>
        </w:rPr>
        <w:tab/>
        <w:t xml:space="preserve">Комисията информира редовно комитета относно общия напредък на осъществяването на специфичната програма и му предоставя навременна информация относно всички действия, които са предложени или финансирани по „Хоризонт Европа“, така както е посочено в </w:t>
      </w:r>
      <w:r>
        <w:rPr>
          <w:noProof/>
        </w:rPr>
        <w:t>приложение III.</w:t>
      </w:r>
    </w:p>
    <w:p w:rsidR="008209B4" w:rsidRDefault="008209B4">
      <w:pPr>
        <w:pStyle w:val="Text1"/>
        <w:rPr>
          <w:noProof/>
        </w:rPr>
      </w:pPr>
    </w:p>
    <w:p w:rsidR="008209B4" w:rsidRDefault="00A54173">
      <w:pPr>
        <w:keepNext/>
        <w:jc w:val="center"/>
        <w:rPr>
          <w:noProof/>
        </w:rPr>
      </w:pPr>
      <w:r>
        <w:rPr>
          <w:noProof/>
        </w:rPr>
        <w:t>ГЛАВА III</w:t>
      </w:r>
    </w:p>
    <w:p w:rsidR="008209B4" w:rsidRDefault="00A54173">
      <w:pPr>
        <w:jc w:val="center"/>
        <w:rPr>
          <w:b/>
          <w:noProof/>
        </w:rPr>
      </w:pPr>
      <w:r>
        <w:rPr>
          <w:b/>
          <w:noProof/>
        </w:rPr>
        <w:t>ПРЕХОДНИ И ЗАКЛЮЧИТЕЛНИ РАЗПОРЕДБИ</w:t>
      </w:r>
    </w:p>
    <w:p w:rsidR="008209B4" w:rsidRDefault="00A54173">
      <w:pPr>
        <w:pStyle w:val="Titrearticle"/>
        <w:rPr>
          <w:noProof/>
        </w:rPr>
      </w:pPr>
      <w:r>
        <w:rPr>
          <w:noProof/>
        </w:rPr>
        <w:t>Член 13</w:t>
      </w:r>
    </w:p>
    <w:p w:rsidR="008209B4" w:rsidRDefault="00A54173">
      <w:pPr>
        <w:keepNext/>
        <w:jc w:val="center"/>
        <w:rPr>
          <w:b/>
          <w:noProof/>
        </w:rPr>
      </w:pPr>
      <w:r>
        <w:rPr>
          <w:b/>
          <w:noProof/>
        </w:rPr>
        <w:t>Отмяна</w:t>
      </w:r>
    </w:p>
    <w:p w:rsidR="008209B4" w:rsidRDefault="00A54173">
      <w:pPr>
        <w:snapToGrid w:val="0"/>
        <w:rPr>
          <w:noProof/>
        </w:rPr>
      </w:pPr>
      <w:r>
        <w:rPr>
          <w:noProof/>
        </w:rPr>
        <w:t>Решение 2013/743/ЕС се отменя, считано от 1 януари 2021 г.</w:t>
      </w:r>
    </w:p>
    <w:p w:rsidR="008209B4" w:rsidRDefault="00A54173">
      <w:pPr>
        <w:pStyle w:val="Titrearticle"/>
        <w:rPr>
          <w:noProof/>
        </w:rPr>
      </w:pPr>
      <w:r>
        <w:rPr>
          <w:noProof/>
        </w:rPr>
        <w:t>Член 14</w:t>
      </w:r>
    </w:p>
    <w:p w:rsidR="008209B4" w:rsidRDefault="00A54173">
      <w:pPr>
        <w:keepNext/>
        <w:jc w:val="center"/>
        <w:rPr>
          <w:b/>
          <w:noProof/>
        </w:rPr>
      </w:pPr>
      <w:r>
        <w:rPr>
          <w:b/>
          <w:noProof/>
        </w:rPr>
        <w:t>Преходни разпоредби</w:t>
      </w:r>
    </w:p>
    <w:p w:rsidR="008209B4" w:rsidRDefault="00A54173">
      <w:pPr>
        <w:pStyle w:val="ManualNumPar1"/>
        <w:rPr>
          <w:noProof/>
        </w:rPr>
      </w:pPr>
      <w:r>
        <w:rPr>
          <w:noProof/>
        </w:rPr>
        <w:t>1.</w:t>
      </w:r>
      <w:r>
        <w:rPr>
          <w:noProof/>
        </w:rPr>
        <w:tab/>
        <w:t>Настоящото решение не засяга продължаването или изменението на засегнатите действия до тя</w:t>
      </w:r>
      <w:r>
        <w:rPr>
          <w:noProof/>
        </w:rPr>
        <w:t>хното приключване, по</w:t>
      </w:r>
      <w:r>
        <w:rPr>
          <w:noProof/>
        </w:rPr>
        <w:tab/>
        <w:t xml:space="preserve"> Решение 2013/743/ЕС, което продължава да се прилага към засегнатите действия до тяхното приключване. </w:t>
      </w:r>
    </w:p>
    <w:p w:rsidR="008209B4" w:rsidRDefault="00A54173">
      <w:pPr>
        <w:pStyle w:val="Text1"/>
        <w:rPr>
          <w:noProof/>
        </w:rPr>
      </w:pPr>
      <w:r>
        <w:rPr>
          <w:noProof/>
        </w:rPr>
        <w:t xml:space="preserve">При необходимост всички неприключени задачи на комитета, създаден по силата на Решение 2013/743/ЕС, се поемат от комитета, посочен </w:t>
      </w:r>
      <w:r>
        <w:rPr>
          <w:noProof/>
        </w:rPr>
        <w:t>в член 12 от настоящото решение.</w:t>
      </w:r>
    </w:p>
    <w:p w:rsidR="008209B4" w:rsidRDefault="00A54173">
      <w:pPr>
        <w:pStyle w:val="ManualNumPar1"/>
        <w:rPr>
          <w:rFonts w:cs="EUAlbertina"/>
          <w:noProof/>
          <w:szCs w:val="24"/>
        </w:rPr>
      </w:pPr>
      <w:r>
        <w:rPr>
          <w:noProof/>
        </w:rPr>
        <w:t>2.</w:t>
      </w:r>
      <w:r>
        <w:rPr>
          <w:noProof/>
        </w:rPr>
        <w:tab/>
        <w:t>Финансовият пакет за специфичната програма може да обхваща и разходи за техническа и административна помощ, необходими за гарантиране на прехода между специфичната програма и мерките, приети по нейния предшественик, Реше</w:t>
      </w:r>
      <w:r>
        <w:rPr>
          <w:noProof/>
        </w:rPr>
        <w:t xml:space="preserve">ние 2013/743/ЕС. </w:t>
      </w:r>
    </w:p>
    <w:p w:rsidR="008209B4" w:rsidRDefault="008209B4">
      <w:pPr>
        <w:pStyle w:val="Text1"/>
        <w:rPr>
          <w:noProof/>
        </w:rPr>
      </w:pPr>
    </w:p>
    <w:p w:rsidR="008209B4" w:rsidRDefault="00A54173">
      <w:pPr>
        <w:keepNext/>
        <w:jc w:val="center"/>
        <w:rPr>
          <w:i/>
          <w:noProof/>
        </w:rPr>
      </w:pPr>
      <w:r>
        <w:rPr>
          <w:i/>
          <w:noProof/>
        </w:rPr>
        <w:t>Член 15</w:t>
      </w:r>
    </w:p>
    <w:p w:rsidR="008209B4" w:rsidRDefault="00A54173">
      <w:pPr>
        <w:keepNext/>
        <w:jc w:val="center"/>
        <w:rPr>
          <w:b/>
          <w:noProof/>
        </w:rPr>
      </w:pPr>
      <w:r>
        <w:rPr>
          <w:b/>
          <w:noProof/>
        </w:rPr>
        <w:t>Влизане в сила</w:t>
      </w:r>
    </w:p>
    <w:p w:rsidR="008209B4" w:rsidRDefault="00A54173">
      <w:pPr>
        <w:rPr>
          <w:noProof/>
        </w:rPr>
      </w:pPr>
      <w:r>
        <w:rPr>
          <w:noProof/>
        </w:rPr>
        <w:t xml:space="preserve">Настоящото решение влиза в сила на двадесетия ден след деня на публикуването му в </w:t>
      </w:r>
      <w:r>
        <w:rPr>
          <w:i/>
          <w:noProof/>
        </w:rPr>
        <w:t>Официален вестник на Европейския съюз</w:t>
      </w:r>
      <w:r>
        <w:rPr>
          <w:noProof/>
        </w:rPr>
        <w:t>.</w:t>
      </w:r>
    </w:p>
    <w:p w:rsidR="008209B4" w:rsidRDefault="00A54173">
      <w:pPr>
        <w:rPr>
          <w:noProof/>
        </w:rPr>
      </w:pPr>
      <w:r>
        <w:rPr>
          <w:noProof/>
        </w:rPr>
        <w:t xml:space="preserve">Адресати на настоящото решение са държавите членки. </w:t>
      </w:r>
    </w:p>
    <w:p w:rsidR="008209B4" w:rsidRDefault="00A54173" w:rsidP="00A54173">
      <w:pPr>
        <w:pStyle w:val="Fait"/>
        <w:rPr>
          <w:noProof/>
        </w:rPr>
      </w:pPr>
      <w:r w:rsidRPr="00A54173">
        <w:t xml:space="preserve">Съставено в Брюксел на </w:t>
      </w:r>
      <w:r w:rsidRPr="00A54173">
        <w:rPr>
          <w:rStyle w:val="Marker"/>
        </w:rPr>
        <w:t>[…]</w:t>
      </w:r>
      <w:r w:rsidRPr="00A54173">
        <w:t xml:space="preserve"> година.</w:t>
      </w:r>
    </w:p>
    <w:p w:rsidR="008209B4" w:rsidRDefault="00A54173">
      <w:pPr>
        <w:pStyle w:val="Institutionquisigne"/>
        <w:rPr>
          <w:noProof/>
        </w:rPr>
      </w:pPr>
      <w:r>
        <w:rPr>
          <w:noProof/>
        </w:rPr>
        <w:t xml:space="preserve">За </w:t>
      </w:r>
      <w:r>
        <w:rPr>
          <w:noProof/>
        </w:rPr>
        <w:t>Европейския парламент</w:t>
      </w:r>
      <w:r>
        <w:rPr>
          <w:noProof/>
        </w:rPr>
        <w:tab/>
        <w:t>За Съвета</w:t>
      </w:r>
    </w:p>
    <w:p w:rsidR="008209B4" w:rsidRDefault="00A54173">
      <w:pPr>
        <w:pStyle w:val="Personnequisigne"/>
        <w:rPr>
          <w:noProof/>
        </w:rPr>
      </w:pPr>
      <w:r>
        <w:rPr>
          <w:noProof/>
        </w:rPr>
        <w:t>Председател</w:t>
      </w:r>
      <w:r>
        <w:rPr>
          <w:noProof/>
        </w:rPr>
        <w:tab/>
        <w:t>Председател</w:t>
      </w:r>
    </w:p>
    <w:p w:rsidR="008209B4" w:rsidRDefault="008209B4">
      <w:pPr>
        <w:pStyle w:val="Institutionquisigne"/>
        <w:rPr>
          <w:noProof/>
        </w:rPr>
        <w:sectPr w:rsidR="008209B4" w:rsidSect="00A54173">
          <w:headerReference w:type="default" r:id="rId21"/>
          <w:footerReference w:type="default" r:id="rId22"/>
          <w:headerReference w:type="first" r:id="rId23"/>
          <w:footerReference w:type="first" r:id="rId24"/>
          <w:pgSz w:w="11907" w:h="16840" w:code="9"/>
          <w:pgMar w:top="709" w:right="992" w:bottom="851" w:left="993" w:header="709" w:footer="709" w:gutter="0"/>
          <w:cols w:space="720"/>
          <w:docGrid w:linePitch="360"/>
        </w:sectPr>
      </w:pPr>
    </w:p>
    <w:p w:rsidR="008209B4" w:rsidRDefault="00A54173">
      <w:pPr>
        <w:pStyle w:val="Fichefinanciretitre"/>
        <w:rPr>
          <w:noProof/>
        </w:rPr>
      </w:pPr>
      <w:r>
        <w:rPr>
          <w:noProof/>
        </w:rPr>
        <w:t>Работен документ за подготовката на основните актове за периода след 2020 г.</w:t>
      </w:r>
    </w:p>
    <w:p w:rsidR="008209B4" w:rsidRDefault="00A54173">
      <w:pPr>
        <w:pStyle w:val="NormalCentered"/>
        <w:rPr>
          <w:b/>
          <w:i/>
          <w:noProof/>
        </w:rPr>
      </w:pPr>
      <w:r>
        <w:rPr>
          <w:b/>
          <w:i/>
          <w:noProof/>
        </w:rPr>
        <w:t xml:space="preserve">Законодателна финансова обосновка </w:t>
      </w:r>
    </w:p>
    <w:p w:rsidR="008209B4" w:rsidRDefault="00A54173">
      <w:pPr>
        <w:pStyle w:val="NormalCentered"/>
        <w:rPr>
          <w:b/>
          <w:i/>
          <w:noProof/>
        </w:rPr>
      </w:pPr>
      <w:r>
        <w:rPr>
          <w:b/>
          <w:i/>
          <w:noProof/>
        </w:rPr>
        <w:t>приложена към специфичната п</w:t>
      </w:r>
      <w:r>
        <w:rPr>
          <w:b/>
          <w:i/>
          <w:noProof/>
        </w:rPr>
        <w:t>рограма за осъществяване на „Хоризонт Европа“</w:t>
      </w:r>
    </w:p>
    <w:p w:rsidR="008209B4" w:rsidRDefault="008209B4">
      <w:pPr>
        <w:spacing w:before="0" w:after="0"/>
        <w:jc w:val="left"/>
        <w:rPr>
          <w:noProof/>
        </w:rPr>
      </w:pPr>
    </w:p>
    <w:p w:rsidR="008209B4" w:rsidRDefault="008209B4">
      <w:pPr>
        <w:spacing w:before="0" w:after="0"/>
        <w:jc w:val="left"/>
        <w:rPr>
          <w:noProof/>
        </w:rPr>
      </w:pPr>
    </w:p>
    <w:p w:rsidR="008209B4" w:rsidRDefault="00A54173">
      <w:pPr>
        <w:pStyle w:val="ManualHeading1"/>
        <w:rPr>
          <w:noProof/>
        </w:rPr>
      </w:pPr>
      <w:r>
        <w:rPr>
          <w:noProof/>
        </w:rPr>
        <w:t>1.</w:t>
      </w:r>
      <w:r>
        <w:rPr>
          <w:noProof/>
        </w:rPr>
        <w:tab/>
        <w:t xml:space="preserve">РАМКА НА ПРЕДЛОЖЕНИЕТО/ИНИЦИАТИВАТА </w:t>
      </w:r>
    </w:p>
    <w:p w:rsidR="008209B4" w:rsidRDefault="00A54173">
      <w:pPr>
        <w:pStyle w:val="ManualHeading2"/>
        <w:rPr>
          <w:b w:val="0"/>
          <w:noProof/>
        </w:rPr>
      </w:pPr>
      <w:r>
        <w:rPr>
          <w:noProof/>
        </w:rPr>
        <w:tab/>
      </w:r>
      <w:r>
        <w:rPr>
          <w:b w:val="0"/>
          <w:noProof/>
        </w:rPr>
        <w:t>1.1.</w:t>
      </w:r>
      <w:r>
        <w:rPr>
          <w:noProof/>
        </w:rPr>
        <w:tab/>
      </w:r>
      <w:r>
        <w:rPr>
          <w:b w:val="0"/>
          <w:noProof/>
        </w:rPr>
        <w:t xml:space="preserve">Наименование на предложението/инициативата </w:t>
      </w:r>
    </w:p>
    <w:p w:rsidR="008209B4" w:rsidRDefault="00A54173">
      <w:pPr>
        <w:pStyle w:val="ManualHeading2"/>
        <w:rPr>
          <w:b w:val="0"/>
          <w:noProof/>
        </w:rPr>
      </w:pPr>
      <w:r>
        <w:rPr>
          <w:noProof/>
        </w:rPr>
        <w:tab/>
      </w:r>
      <w:r>
        <w:rPr>
          <w:b w:val="0"/>
          <w:noProof/>
        </w:rPr>
        <w:t>1.2.</w:t>
      </w:r>
      <w:r>
        <w:rPr>
          <w:noProof/>
        </w:rPr>
        <w:tab/>
      </w:r>
      <w:r>
        <w:rPr>
          <w:b w:val="0"/>
          <w:noProof/>
        </w:rPr>
        <w:t xml:space="preserve">Съответни области на политиката </w:t>
      </w:r>
      <w:r>
        <w:rPr>
          <w:b w:val="0"/>
          <w:i/>
          <w:noProof/>
        </w:rPr>
        <w:t>(програмен клъстер)</w:t>
      </w:r>
    </w:p>
    <w:p w:rsidR="008209B4" w:rsidRDefault="00A54173">
      <w:pPr>
        <w:pStyle w:val="ManualHeading2"/>
        <w:rPr>
          <w:b w:val="0"/>
          <w:noProof/>
        </w:rPr>
      </w:pPr>
      <w:r>
        <w:rPr>
          <w:noProof/>
        </w:rPr>
        <w:tab/>
      </w:r>
      <w:r>
        <w:rPr>
          <w:b w:val="0"/>
          <w:noProof/>
        </w:rPr>
        <w:t>1.3.</w:t>
      </w:r>
      <w:r>
        <w:rPr>
          <w:noProof/>
        </w:rPr>
        <w:tab/>
      </w:r>
      <w:r>
        <w:rPr>
          <w:b w:val="0"/>
          <w:noProof/>
        </w:rPr>
        <w:t xml:space="preserve">Естество на предложението/инициативата </w:t>
      </w:r>
    </w:p>
    <w:p w:rsidR="008209B4" w:rsidRDefault="00A54173">
      <w:pPr>
        <w:pStyle w:val="ManualHeading2"/>
        <w:rPr>
          <w:b w:val="0"/>
          <w:noProof/>
        </w:rPr>
      </w:pPr>
      <w:r>
        <w:rPr>
          <w:noProof/>
        </w:rPr>
        <w:tab/>
      </w:r>
      <w:r>
        <w:rPr>
          <w:b w:val="0"/>
          <w:noProof/>
        </w:rPr>
        <w:t>1.4.</w:t>
      </w:r>
      <w:r>
        <w:rPr>
          <w:noProof/>
        </w:rPr>
        <w:tab/>
      </w:r>
      <w:r>
        <w:rPr>
          <w:b w:val="0"/>
          <w:noProof/>
        </w:rPr>
        <w:t>Мотиви з</w:t>
      </w:r>
      <w:r>
        <w:rPr>
          <w:b w:val="0"/>
          <w:noProof/>
        </w:rPr>
        <w:t xml:space="preserve">а предложението/инициативата </w:t>
      </w:r>
    </w:p>
    <w:p w:rsidR="008209B4" w:rsidRDefault="00A54173">
      <w:pPr>
        <w:pStyle w:val="ManualHeading2"/>
        <w:rPr>
          <w:b w:val="0"/>
          <w:noProof/>
        </w:rPr>
      </w:pPr>
      <w:r>
        <w:rPr>
          <w:noProof/>
        </w:rPr>
        <w:tab/>
      </w:r>
      <w:r>
        <w:rPr>
          <w:b w:val="0"/>
          <w:noProof/>
        </w:rPr>
        <w:t>1.5.</w:t>
      </w:r>
      <w:r>
        <w:rPr>
          <w:noProof/>
        </w:rPr>
        <w:tab/>
      </w:r>
      <w:r>
        <w:rPr>
          <w:b w:val="0"/>
          <w:noProof/>
        </w:rPr>
        <w:t xml:space="preserve">Срок на действие и финансово отражение </w:t>
      </w:r>
    </w:p>
    <w:p w:rsidR="008209B4" w:rsidRDefault="00A54173">
      <w:pPr>
        <w:pStyle w:val="ManualHeading2"/>
        <w:rPr>
          <w:b w:val="0"/>
          <w:noProof/>
        </w:rPr>
      </w:pPr>
      <w:r>
        <w:rPr>
          <w:noProof/>
        </w:rPr>
        <w:tab/>
      </w:r>
      <w:r>
        <w:rPr>
          <w:b w:val="0"/>
          <w:noProof/>
        </w:rPr>
        <w:t>1.6.</w:t>
      </w:r>
      <w:r>
        <w:rPr>
          <w:noProof/>
        </w:rPr>
        <w:tab/>
      </w:r>
      <w:r>
        <w:rPr>
          <w:b w:val="0"/>
          <w:noProof/>
        </w:rPr>
        <w:t xml:space="preserve">Планирани методи на управление </w:t>
      </w:r>
    </w:p>
    <w:p w:rsidR="008209B4" w:rsidRDefault="00A54173">
      <w:pPr>
        <w:pStyle w:val="ManualHeading1"/>
        <w:rPr>
          <w:noProof/>
        </w:rPr>
      </w:pPr>
      <w:r>
        <w:rPr>
          <w:noProof/>
        </w:rPr>
        <w:t>2.</w:t>
      </w:r>
      <w:r>
        <w:rPr>
          <w:noProof/>
        </w:rPr>
        <w:tab/>
        <w:t xml:space="preserve">МЕРКИ ЗА УПРАВЛЕНИЕ </w:t>
      </w:r>
    </w:p>
    <w:p w:rsidR="008209B4" w:rsidRDefault="00A54173">
      <w:pPr>
        <w:pStyle w:val="ManualHeading2"/>
        <w:rPr>
          <w:b w:val="0"/>
          <w:noProof/>
        </w:rPr>
      </w:pPr>
      <w:r>
        <w:rPr>
          <w:noProof/>
        </w:rPr>
        <w:tab/>
      </w:r>
      <w:r>
        <w:rPr>
          <w:b w:val="0"/>
          <w:noProof/>
        </w:rPr>
        <w:t>2.1.</w:t>
      </w:r>
      <w:r>
        <w:rPr>
          <w:noProof/>
        </w:rPr>
        <w:tab/>
      </w:r>
      <w:r>
        <w:rPr>
          <w:b w:val="0"/>
          <w:noProof/>
        </w:rPr>
        <w:t xml:space="preserve">Правила за мониторинг и докладване </w:t>
      </w:r>
    </w:p>
    <w:p w:rsidR="008209B4" w:rsidRDefault="00A54173">
      <w:pPr>
        <w:pStyle w:val="ManualHeading2"/>
        <w:rPr>
          <w:b w:val="0"/>
          <w:noProof/>
        </w:rPr>
      </w:pPr>
      <w:r>
        <w:rPr>
          <w:noProof/>
        </w:rPr>
        <w:tab/>
      </w:r>
      <w:r>
        <w:rPr>
          <w:b w:val="0"/>
          <w:noProof/>
        </w:rPr>
        <w:t>2.2.</w:t>
      </w:r>
      <w:r>
        <w:rPr>
          <w:noProof/>
        </w:rPr>
        <w:tab/>
      </w:r>
      <w:r>
        <w:rPr>
          <w:b w:val="0"/>
          <w:noProof/>
        </w:rPr>
        <w:t xml:space="preserve">Система за управление и контрол </w:t>
      </w:r>
    </w:p>
    <w:p w:rsidR="008209B4" w:rsidRDefault="00A54173">
      <w:pPr>
        <w:pStyle w:val="ManualHeading2"/>
        <w:rPr>
          <w:b w:val="0"/>
          <w:noProof/>
        </w:rPr>
      </w:pPr>
      <w:r>
        <w:rPr>
          <w:noProof/>
        </w:rPr>
        <w:tab/>
      </w:r>
      <w:r>
        <w:rPr>
          <w:b w:val="0"/>
          <w:noProof/>
        </w:rPr>
        <w:t>2.3.</w:t>
      </w:r>
      <w:r>
        <w:rPr>
          <w:noProof/>
        </w:rPr>
        <w:tab/>
      </w:r>
      <w:r>
        <w:rPr>
          <w:b w:val="0"/>
          <w:noProof/>
        </w:rPr>
        <w:t xml:space="preserve">Мерки за предотвратяване на измами и нередности </w:t>
      </w:r>
    </w:p>
    <w:p w:rsidR="008209B4" w:rsidRDefault="00A54173">
      <w:pPr>
        <w:pStyle w:val="ManualHeading1"/>
        <w:rPr>
          <w:noProof/>
        </w:rPr>
      </w:pPr>
      <w:r>
        <w:rPr>
          <w:noProof/>
        </w:rPr>
        <w:t>3.</w:t>
      </w:r>
      <w:r>
        <w:rPr>
          <w:noProof/>
        </w:rPr>
        <w:tab/>
        <w:t xml:space="preserve">ОЧАКВАНО ФИНАНСОВО ОТРАЖЕНИЕ НА ПРЕДЛОЖЕНИЕТО/ИНИЦИАТИВАТА </w:t>
      </w:r>
    </w:p>
    <w:p w:rsidR="008209B4" w:rsidRDefault="00A54173">
      <w:pPr>
        <w:pStyle w:val="ManualHeading2"/>
        <w:rPr>
          <w:b w:val="0"/>
          <w:noProof/>
        </w:rPr>
      </w:pPr>
      <w:r>
        <w:rPr>
          <w:noProof/>
        </w:rPr>
        <w:tab/>
      </w:r>
      <w:r>
        <w:rPr>
          <w:b w:val="0"/>
          <w:noProof/>
        </w:rPr>
        <w:t>3.1.</w:t>
      </w:r>
      <w:r>
        <w:rPr>
          <w:noProof/>
        </w:rPr>
        <w:tab/>
      </w:r>
      <w:r>
        <w:rPr>
          <w:b w:val="0"/>
          <w:noProof/>
        </w:rPr>
        <w:t xml:space="preserve">Съответни функции от многогодишната финансова рамка и разходни бюджетни редове </w:t>
      </w:r>
    </w:p>
    <w:p w:rsidR="008209B4" w:rsidRDefault="00A54173">
      <w:pPr>
        <w:pStyle w:val="ManualHeading2"/>
        <w:rPr>
          <w:noProof/>
        </w:rPr>
      </w:pPr>
      <w:r>
        <w:rPr>
          <w:noProof/>
        </w:rPr>
        <w:tab/>
      </w:r>
      <w:r>
        <w:rPr>
          <w:b w:val="0"/>
          <w:noProof/>
        </w:rPr>
        <w:t>3.2.</w:t>
      </w:r>
      <w:r>
        <w:rPr>
          <w:noProof/>
        </w:rPr>
        <w:tab/>
      </w:r>
      <w:r>
        <w:rPr>
          <w:b w:val="0"/>
          <w:noProof/>
        </w:rPr>
        <w:t>Очаквано отражение върху разходите</w:t>
      </w:r>
      <w:r>
        <w:rPr>
          <w:noProof/>
        </w:rPr>
        <w:t xml:space="preserve"> </w:t>
      </w:r>
    </w:p>
    <w:p w:rsidR="008209B4" w:rsidRDefault="00A54173">
      <w:pPr>
        <w:pStyle w:val="ManualHeading3"/>
        <w:rPr>
          <w:noProof/>
        </w:rPr>
      </w:pPr>
      <w:r>
        <w:rPr>
          <w:noProof/>
        </w:rPr>
        <w:tab/>
        <w:t>3.2.1.</w:t>
      </w:r>
      <w:r>
        <w:rPr>
          <w:noProof/>
        </w:rPr>
        <w:tab/>
        <w:t>Обобщени</w:t>
      </w:r>
      <w:r>
        <w:rPr>
          <w:noProof/>
        </w:rPr>
        <w:t xml:space="preserve">е на очакваното отражение върху разходите </w:t>
      </w:r>
    </w:p>
    <w:p w:rsidR="008209B4" w:rsidRDefault="00A54173">
      <w:pPr>
        <w:pStyle w:val="ManualHeading3"/>
        <w:rPr>
          <w:noProof/>
        </w:rPr>
      </w:pPr>
      <w:r>
        <w:rPr>
          <w:noProof/>
        </w:rPr>
        <w:tab/>
        <w:t>3.2.2.</w:t>
      </w:r>
      <w:r>
        <w:rPr>
          <w:noProof/>
        </w:rPr>
        <w:tab/>
        <w:t>Очаквано отражение върху бюджетните кредити за административни разходи</w:t>
      </w:r>
    </w:p>
    <w:p w:rsidR="008209B4" w:rsidRDefault="00A54173">
      <w:pPr>
        <w:pStyle w:val="ManualHeading3"/>
        <w:rPr>
          <w:noProof/>
        </w:rPr>
      </w:pPr>
      <w:r>
        <w:rPr>
          <w:noProof/>
        </w:rPr>
        <w:tab/>
        <w:t>3.2.3.</w:t>
      </w:r>
      <w:r>
        <w:rPr>
          <w:noProof/>
        </w:rPr>
        <w:tab/>
        <w:t xml:space="preserve">Финансов принос от трети страни </w:t>
      </w:r>
    </w:p>
    <w:p w:rsidR="008209B4" w:rsidRDefault="00A54173">
      <w:pPr>
        <w:pStyle w:val="ManualHeading2"/>
        <w:jc w:val="left"/>
        <w:rPr>
          <w:b w:val="0"/>
          <w:noProof/>
        </w:rPr>
        <w:sectPr w:rsidR="008209B4" w:rsidSect="00A54173">
          <w:pgSz w:w="11907" w:h="16840" w:code="9"/>
          <w:pgMar w:top="709" w:right="992" w:bottom="851" w:left="993" w:header="709" w:footer="709" w:gutter="0"/>
          <w:cols w:space="720"/>
          <w:docGrid w:linePitch="360"/>
        </w:sectPr>
      </w:pPr>
      <w:r>
        <w:rPr>
          <w:noProof/>
        </w:rPr>
        <w:tab/>
      </w:r>
      <w:r>
        <w:rPr>
          <w:b w:val="0"/>
          <w:noProof/>
        </w:rPr>
        <w:t>3.3.</w:t>
      </w:r>
      <w:r>
        <w:rPr>
          <w:noProof/>
        </w:rPr>
        <w:tab/>
      </w:r>
      <w:r>
        <w:rPr>
          <w:b w:val="0"/>
          <w:noProof/>
        </w:rPr>
        <w:t>Очаквано отражение върху приходите</w:t>
      </w:r>
    </w:p>
    <w:p w:rsidR="008209B4" w:rsidRDefault="008209B4">
      <w:pPr>
        <w:jc w:val="center"/>
        <w:rPr>
          <w:b/>
          <w:noProof/>
          <w:u w:val="single"/>
        </w:rPr>
      </w:pPr>
    </w:p>
    <w:p w:rsidR="008209B4" w:rsidRDefault="00A54173">
      <w:pPr>
        <w:jc w:val="center"/>
        <w:rPr>
          <w:b/>
          <w:noProof/>
          <w:u w:val="single"/>
        </w:rPr>
      </w:pPr>
      <w:r>
        <w:rPr>
          <w:b/>
          <w:noProof/>
          <w:u w:val="single"/>
        </w:rPr>
        <w:t>ЗАКОНОДАТЕЛНА ФИНАНСОВА ОБОСНО</w:t>
      </w:r>
      <w:r>
        <w:rPr>
          <w:b/>
          <w:noProof/>
          <w:u w:val="single"/>
        </w:rPr>
        <w:t>ВКА</w:t>
      </w:r>
    </w:p>
    <w:p w:rsidR="008209B4" w:rsidRDefault="00A54173">
      <w:pPr>
        <w:pStyle w:val="ManualHeading1"/>
        <w:rPr>
          <w:noProof/>
        </w:rPr>
      </w:pPr>
      <w:r>
        <w:rPr>
          <w:noProof/>
        </w:rPr>
        <w:t>1.</w:t>
      </w:r>
      <w:r>
        <w:rPr>
          <w:noProof/>
        </w:rPr>
        <w:tab/>
        <w:t xml:space="preserve">РАМКА НА ПРЕДЛОЖЕНИЕТО/ИНИЦИАТИВАТА </w:t>
      </w:r>
    </w:p>
    <w:p w:rsidR="008209B4" w:rsidRDefault="00A54173">
      <w:pPr>
        <w:pStyle w:val="ManualHeading2"/>
        <w:rPr>
          <w:noProof/>
        </w:rPr>
      </w:pPr>
      <w:r>
        <w:rPr>
          <w:noProof/>
        </w:rPr>
        <w:t>1.1.</w:t>
      </w:r>
      <w:r>
        <w:rPr>
          <w:noProof/>
        </w:rPr>
        <w:tab/>
        <w:t xml:space="preserve">Наименование на предложението/инициативата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Специфична програма за осъществяване на „Хоризонт Европа“</w:t>
      </w:r>
    </w:p>
    <w:p w:rsidR="008209B4" w:rsidRDefault="00A54173">
      <w:pPr>
        <w:pStyle w:val="ManualHeading2"/>
        <w:rPr>
          <w:noProof/>
          <w:szCs w:val="24"/>
        </w:rPr>
      </w:pPr>
      <w:r>
        <w:rPr>
          <w:noProof/>
        </w:rPr>
        <w:t>1.2.</w:t>
      </w:r>
      <w:r>
        <w:rPr>
          <w:noProof/>
        </w:rPr>
        <w:tab/>
        <w:t xml:space="preserve">Съответни области на политиката </w:t>
      </w:r>
      <w:r>
        <w:rPr>
          <w:i/>
          <w:noProof/>
        </w:rPr>
        <w:t>(програмен клъстер)</w:t>
      </w:r>
      <w:r>
        <w:rPr>
          <w:noProof/>
        </w:rPr>
        <w:t xml:space="preserve">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01 — Научни изследвания и иновации</w:t>
      </w:r>
    </w:p>
    <w:p w:rsidR="008209B4" w:rsidRDefault="00A54173">
      <w:pPr>
        <w:pStyle w:val="ManualHeading2"/>
        <w:rPr>
          <w:bCs/>
          <w:noProof/>
          <w:szCs w:val="24"/>
        </w:rPr>
      </w:pPr>
      <w:r>
        <w:rPr>
          <w:noProof/>
        </w:rPr>
        <w:t>1.3.</w:t>
      </w:r>
      <w:r>
        <w:rPr>
          <w:noProof/>
        </w:rPr>
        <w:tab/>
        <w:t>Предлож</w:t>
      </w:r>
      <w:r>
        <w:rPr>
          <w:noProof/>
        </w:rPr>
        <w:t xml:space="preserve">ението/инициативата е във връзка с: </w:t>
      </w:r>
    </w:p>
    <w:p w:rsidR="008209B4" w:rsidRDefault="00A54173">
      <w:pPr>
        <w:pStyle w:val="Text1"/>
        <w:rPr>
          <w:b/>
          <w:noProof/>
          <w:sz w:val="22"/>
        </w:rPr>
      </w:pPr>
      <w:r>
        <w:rPr>
          <w:noProof/>
          <w:sz w:val="22"/>
        </w:rPr>
        <w:sym w:font="Wingdings" w:char="F0FE"/>
      </w:r>
      <w:r>
        <w:rPr>
          <w:b/>
          <w:i/>
          <w:noProof/>
          <w:sz w:val="22"/>
        </w:rPr>
        <w:t xml:space="preserve"> </w:t>
      </w:r>
      <w:r>
        <w:rPr>
          <w:b/>
          <w:noProof/>
        </w:rPr>
        <w:t>ново действие</w:t>
      </w:r>
      <w:r>
        <w:rPr>
          <w:b/>
          <w:noProof/>
          <w:sz w:val="22"/>
        </w:rPr>
        <w:t xml:space="preserve"> </w:t>
      </w:r>
    </w:p>
    <w:p w:rsidR="008209B4" w:rsidRDefault="00A54173">
      <w:pPr>
        <w:pStyle w:val="Text1"/>
        <w:rPr>
          <w:noProof/>
          <w:sz w:val="22"/>
        </w:rPr>
      </w:pPr>
      <w:r>
        <w:rPr>
          <w:noProof/>
          <w:sz w:val="22"/>
        </w:rPr>
        <w:sym w:font="Wingdings" w:char="F0A8"/>
      </w:r>
      <w:r>
        <w:rPr>
          <w:i/>
          <w:noProof/>
          <w:sz w:val="22"/>
        </w:rPr>
        <w:t xml:space="preserve"> </w:t>
      </w:r>
      <w:r>
        <w:rPr>
          <w:b/>
          <w:noProof/>
        </w:rPr>
        <w:t>ново действие след пилотен проект/подготвително действие</w:t>
      </w:r>
      <w:r>
        <w:rPr>
          <w:rStyle w:val="FootnoteReference"/>
          <w:noProof/>
        </w:rPr>
        <w:footnoteReference w:id="10"/>
      </w:r>
      <w:r>
        <w:rPr>
          <w:noProof/>
          <w:sz w:val="22"/>
        </w:rPr>
        <w:t xml:space="preserve"> </w:t>
      </w:r>
    </w:p>
    <w:p w:rsidR="008209B4" w:rsidRDefault="00A54173">
      <w:pPr>
        <w:pStyle w:val="Text1"/>
        <w:rPr>
          <w:noProof/>
          <w:sz w:val="22"/>
        </w:rPr>
      </w:pPr>
      <w:r>
        <w:rPr>
          <w:noProof/>
          <w:sz w:val="22"/>
        </w:rPr>
        <w:sym w:font="Wingdings" w:char="F0A8"/>
      </w:r>
      <w:r>
        <w:rPr>
          <w:b/>
          <w:noProof/>
        </w:rPr>
        <w:t xml:space="preserve"> продължаване на съществуващо действие</w:t>
      </w:r>
      <w:r>
        <w:rPr>
          <w:noProof/>
          <w:sz w:val="22"/>
        </w:rPr>
        <w:t xml:space="preserve"> </w:t>
      </w:r>
    </w:p>
    <w:p w:rsidR="008209B4" w:rsidRDefault="00A54173">
      <w:pPr>
        <w:pStyle w:val="Text1"/>
        <w:rPr>
          <w:noProof/>
        </w:rPr>
      </w:pPr>
      <w:r>
        <w:rPr>
          <w:noProof/>
          <w:sz w:val="22"/>
        </w:rPr>
        <w:sym w:font="Wingdings" w:char="F0A8"/>
      </w:r>
      <w:r>
        <w:rPr>
          <w:i/>
          <w:noProof/>
          <w:sz w:val="22"/>
        </w:rPr>
        <w:t xml:space="preserve"> </w:t>
      </w:r>
      <w:r>
        <w:rPr>
          <w:b/>
          <w:noProof/>
        </w:rPr>
        <w:t>сливане или пренасочване на едно или няколко действия към друго/ново действие</w:t>
      </w:r>
      <w:r>
        <w:rPr>
          <w:noProof/>
        </w:rPr>
        <w:t xml:space="preserve"> </w:t>
      </w:r>
    </w:p>
    <w:p w:rsidR="008209B4" w:rsidRDefault="00A54173">
      <w:pPr>
        <w:pStyle w:val="ManualHeading2"/>
        <w:rPr>
          <w:bCs/>
          <w:noProof/>
          <w:szCs w:val="24"/>
        </w:rPr>
      </w:pPr>
      <w:r>
        <w:rPr>
          <w:noProof/>
        </w:rPr>
        <w:t>1.4.</w:t>
      </w:r>
      <w:r>
        <w:rPr>
          <w:noProof/>
        </w:rPr>
        <w:tab/>
      </w:r>
      <w:r>
        <w:rPr>
          <w:noProof/>
        </w:rPr>
        <w:t xml:space="preserve">Мотиви за предложението/инициативата </w:t>
      </w:r>
    </w:p>
    <w:p w:rsidR="008209B4" w:rsidRDefault="00A54173">
      <w:pPr>
        <w:pStyle w:val="ManualHeading3"/>
        <w:rPr>
          <w:noProof/>
        </w:rPr>
      </w:pPr>
      <w:r>
        <w:rPr>
          <w:noProof/>
        </w:rPr>
        <w:t>1.4.1.</w:t>
      </w:r>
      <w:r>
        <w:rPr>
          <w:noProof/>
        </w:rPr>
        <w:tab/>
        <w:t xml:space="preserve">Изисквания, които трябва да бъдат изпълнени в краткосрочна или дългосрочна перспектива, включително подробен график за изпълнението на инициативата </w:t>
      </w:r>
    </w:p>
    <w:p w:rsidR="008209B4" w:rsidRDefault="00A54173">
      <w:pPr>
        <w:pStyle w:val="Tiret1"/>
        <w:numPr>
          <w:ilvl w:val="0"/>
          <w:numId w:val="15"/>
        </w:numPr>
        <w:pBdr>
          <w:top w:val="single" w:sz="4" w:space="1" w:color="auto"/>
          <w:left w:val="single" w:sz="4" w:space="4" w:color="auto"/>
          <w:bottom w:val="single" w:sz="4" w:space="1" w:color="auto"/>
          <w:right w:val="single" w:sz="4" w:space="4" w:color="auto"/>
        </w:pBdr>
        <w:rPr>
          <w:noProof/>
        </w:rPr>
      </w:pPr>
      <w:r>
        <w:rPr>
          <w:noProof/>
        </w:rPr>
        <w:t>да се подпомогне създаването и разпространението на висококаче</w:t>
      </w:r>
      <w:r>
        <w:rPr>
          <w:noProof/>
        </w:rPr>
        <w:t>ствени нови знания, технологии и решения на глобалните предизвикателства;</w:t>
      </w:r>
    </w:p>
    <w:p w:rsidR="008209B4" w:rsidRDefault="00A54173">
      <w:pPr>
        <w:pStyle w:val="Tiret1"/>
        <w:pBdr>
          <w:top w:val="single" w:sz="4" w:space="1" w:color="auto"/>
          <w:left w:val="single" w:sz="4" w:space="4" w:color="auto"/>
          <w:bottom w:val="single" w:sz="4" w:space="1" w:color="auto"/>
          <w:right w:val="single" w:sz="4" w:space="4" w:color="auto"/>
        </w:pBdr>
        <w:rPr>
          <w:noProof/>
        </w:rPr>
      </w:pPr>
      <w:r>
        <w:rPr>
          <w:noProof/>
        </w:rPr>
        <w:t>да се засили въздействието на научните изследвания и иновациите в разработването, подкрепата и прилагането на политиките на ЕС, и възприемането на новаторски решения в промишлеността</w:t>
      </w:r>
      <w:r>
        <w:rPr>
          <w:noProof/>
        </w:rPr>
        <w:t xml:space="preserve"> и обществото, чрез които да се атакуват глобалните предизвикателства;</w:t>
      </w:r>
    </w:p>
    <w:p w:rsidR="008209B4" w:rsidRDefault="00A54173">
      <w:pPr>
        <w:pStyle w:val="Tiret1"/>
        <w:pBdr>
          <w:top w:val="single" w:sz="4" w:space="1" w:color="auto"/>
          <w:left w:val="single" w:sz="4" w:space="4" w:color="auto"/>
          <w:bottom w:val="single" w:sz="4" w:space="1" w:color="auto"/>
          <w:right w:val="single" w:sz="4" w:space="4" w:color="auto"/>
        </w:pBdr>
        <w:rPr>
          <w:noProof/>
        </w:rPr>
      </w:pPr>
      <w:r>
        <w:rPr>
          <w:noProof/>
        </w:rPr>
        <w:t>да се насърчат всички форми на иновации, включително водещите до пробив иновации, и да се засили пазарното внедряване на новаторски решения;</w:t>
      </w:r>
    </w:p>
    <w:p w:rsidR="008209B4" w:rsidRDefault="00A54173">
      <w:pPr>
        <w:pStyle w:val="Tiret1"/>
        <w:pBdr>
          <w:top w:val="single" w:sz="4" w:space="1" w:color="auto"/>
          <w:left w:val="single" w:sz="4" w:space="4" w:color="auto"/>
          <w:bottom w:val="single" w:sz="4" w:space="1" w:color="auto"/>
          <w:right w:val="single" w:sz="4" w:space="4" w:color="auto"/>
        </w:pBdr>
        <w:rPr>
          <w:noProof/>
        </w:rPr>
      </w:pPr>
      <w:r>
        <w:rPr>
          <w:noProof/>
        </w:rPr>
        <w:t xml:space="preserve">да се оптимизират престациите по Програмата </w:t>
      </w:r>
      <w:r>
        <w:rPr>
          <w:noProof/>
        </w:rPr>
        <w:t>с оглед на въздействието.</w:t>
      </w:r>
    </w:p>
    <w:p w:rsidR="008209B4" w:rsidRDefault="00A54173">
      <w:pPr>
        <w:pStyle w:val="ManualHeading3"/>
        <w:rPr>
          <w:bCs/>
          <w:noProof/>
          <w:szCs w:val="24"/>
        </w:rPr>
      </w:pPr>
      <w:r>
        <w:rPr>
          <w:noProof/>
        </w:rPr>
        <w:t>1.4.2.</w:t>
      </w:r>
      <w:r>
        <w:rPr>
          <w:noProof/>
        </w:rPr>
        <w:tab/>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w:t>
      </w:r>
      <w:r>
        <w:rPr>
          <w:noProof/>
        </w:rPr>
        <w:t xml:space="preserve">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Научните изследвания и иновациите (НИИ) са ключова част от основаното на знан</w:t>
      </w:r>
      <w:r>
        <w:rPr>
          <w:noProof/>
        </w:rPr>
        <w:t>ия общество, както и област, в която благодарение на силното европейско измерение е възможно да бъдат привлечени допълнителни средства на национално равнище без доказателства за заместване. Обичайно проектите в областта на НИИ, избрани за финансиране от ЕС</w:t>
      </w:r>
      <w:r>
        <w:rPr>
          <w:noProof/>
        </w:rPr>
        <w:t xml:space="preserve">, се възползват от по-високото равнище на сътрудничество на равнище ЕС или на международното равнище и са с мащаб, обхват и степен на сложност, които биха попречили на осъществяването им единствено с национално финансиране (83 % от проектите в областта на </w:t>
      </w:r>
      <w:r>
        <w:rPr>
          <w:noProof/>
        </w:rPr>
        <w:t>НИИ в ЕС не биха били осъществени без подпомагането от ЕС). В свят, в който конкуренцията в областта на технологиите е висока, липсата на инвестиции в НИИ на равнище ЕС би довела до спад на глобалната конкурентоспособност на ЕС с предвидими икономически, с</w:t>
      </w:r>
      <w:r>
        <w:rPr>
          <w:noProof/>
        </w:rPr>
        <w:t>оциални и екологични въздействия.</w:t>
      </w:r>
    </w:p>
    <w:tbl>
      <w:tblPr>
        <w:tblStyle w:val="TableGrid"/>
        <w:tblW w:w="0" w:type="auto"/>
        <w:tblInd w:w="850" w:type="dxa"/>
        <w:tblBorders>
          <w:insideH w:val="none" w:sz="0" w:space="0" w:color="auto"/>
          <w:insideV w:val="none" w:sz="0" w:space="0" w:color="auto"/>
        </w:tblBorders>
        <w:tblLook w:val="04A0" w:firstRow="1" w:lastRow="0" w:firstColumn="1" w:lastColumn="0" w:noHBand="0" w:noVBand="1"/>
      </w:tblPr>
      <w:tblGrid>
        <w:gridCol w:w="8437"/>
      </w:tblGrid>
      <w:tr w:rsidR="008209B4">
        <w:tc>
          <w:tcPr>
            <w:tcW w:w="9287" w:type="dxa"/>
          </w:tcPr>
          <w:p w:rsidR="008209B4" w:rsidRDefault="00A54173">
            <w:pPr>
              <w:pStyle w:val="Text1"/>
              <w:ind w:left="0"/>
              <w:rPr>
                <w:noProof/>
              </w:rPr>
            </w:pPr>
            <w:r>
              <w:rPr>
                <w:noProof/>
              </w:rPr>
              <w:t xml:space="preserve">Конкретните ползи от инвестициите на ЕС в областта на НИИ са: </w:t>
            </w:r>
          </w:p>
          <w:p w:rsidR="008209B4" w:rsidRDefault="00A54173">
            <w:pPr>
              <w:pStyle w:val="Bullet0"/>
              <w:rPr>
                <w:noProof/>
              </w:rPr>
            </w:pPr>
            <w:r>
              <w:rPr>
                <w:noProof/>
              </w:rPr>
              <w:t>повишаване на конкурентоспособността на ЕС чрез създаването на транснационални и мултидисциплинарни мрежи и нови пазари, с положително разпространение на знани</w:t>
            </w:r>
            <w:r>
              <w:rPr>
                <w:noProof/>
              </w:rPr>
              <w:t>я и трансфер на технологии в целия Съюз, с оглед подготовка внедряването на нови продукти и услуги (при финансираните от ЕС екипи в областта на НИИ има с 40 % по-голяма вероятност от екипите, които не са финансирани от ЕС, да им бъдат предоставени патенти,</w:t>
            </w:r>
            <w:r>
              <w:rPr>
                <w:noProof/>
              </w:rPr>
              <w:t xml:space="preserve"> които също така са с по-високо качество и търговска стойност);</w:t>
            </w:r>
          </w:p>
          <w:p w:rsidR="008209B4" w:rsidRDefault="00A54173">
            <w:pPr>
              <w:pStyle w:val="Bullet0"/>
              <w:rPr>
                <w:noProof/>
              </w:rPr>
            </w:pPr>
            <w:r>
              <w:rPr>
                <w:noProof/>
              </w:rPr>
              <w:t>обединяване на публични и частни ресурси и знания за достигане на критична маса за преодоляването на глобалните предизвикателства и за заемане на водещи позиции в ЕС и на световните пазари (на</w:t>
            </w:r>
            <w:r>
              <w:rPr>
                <w:noProof/>
              </w:rPr>
              <w:t>пример само действие на равнище ЕС може да допринесе за преодоляване на неравномерното разпределение на пациенти, засегнати от редки заболявания, както и липсата на стандартизация и данни);</w:t>
            </w:r>
          </w:p>
          <w:p w:rsidR="008209B4" w:rsidRDefault="00A54173">
            <w:pPr>
              <w:pStyle w:val="Bullet0"/>
              <w:rPr>
                <w:noProof/>
              </w:rPr>
            </w:pPr>
            <w:r>
              <w:rPr>
                <w:noProof/>
              </w:rPr>
              <w:t>укрепване на високите научни постижения чрез конкуренция и сътрудн</w:t>
            </w:r>
            <w:r>
              <w:rPr>
                <w:noProof/>
              </w:rPr>
              <w:t xml:space="preserve">ичество в рамките на целия ЕС (финансираните от ЕС рецензирани публикации са цитирани над два пъти повече от средното в световен мащаб); </w:t>
            </w:r>
          </w:p>
          <w:p w:rsidR="008209B4" w:rsidRDefault="00A54173">
            <w:pPr>
              <w:pStyle w:val="Bullet0"/>
              <w:rPr>
                <w:noProof/>
              </w:rPr>
            </w:pPr>
            <w:r>
              <w:rPr>
                <w:noProof/>
              </w:rPr>
              <w:t xml:space="preserve">засилване на подкрепата за създаването и разгръщането на водещи до пробив иновации с потенциал за създаване на пазари </w:t>
            </w:r>
            <w:r>
              <w:rPr>
                <w:noProof/>
              </w:rPr>
              <w:t xml:space="preserve">(МСП, подпомагани чрез финансиране от ЕС за НИИ, се разрастват по-бързо, отколкото сравними МСП, които не са финансирани от ЕС); </w:t>
            </w:r>
          </w:p>
          <w:p w:rsidR="008209B4" w:rsidRDefault="00A54173">
            <w:pPr>
              <w:pStyle w:val="Bullet0"/>
              <w:rPr>
                <w:noProof/>
              </w:rPr>
            </w:pPr>
            <w:r>
              <w:rPr>
                <w:noProof/>
              </w:rPr>
              <w:t xml:space="preserve">увеличаване на привлекателността на ЕС като място за образование, научни изследвания, иновации и бизнес (финансираните от ЕС екипи се разрастват по-бързо и привличат в два пъти по-голяма степен сътрудничество с екипи извън ЕС); </w:t>
            </w:r>
          </w:p>
          <w:p w:rsidR="008209B4" w:rsidRDefault="00A54173">
            <w:pPr>
              <w:pStyle w:val="Bullet0"/>
              <w:rPr>
                <w:noProof/>
              </w:rPr>
            </w:pPr>
            <w:r>
              <w:rPr>
                <w:noProof/>
              </w:rPr>
              <w:t>оказване на положителен стр</w:t>
            </w:r>
            <w:r>
              <w:rPr>
                <w:noProof/>
              </w:rPr>
              <w:t>уктуриращ ефект върху националните НИИ екосистеми (Европейският научноизследователски съвет се превърна в символ на високи постижения в световен мащаб, като предизвиква национални и институционални промени за подкрепа и привличане на своите получатели на б</w:t>
            </w:r>
            <w:r>
              <w:rPr>
                <w:noProof/>
              </w:rPr>
              <w:t xml:space="preserve">езвъзмездни средства); </w:t>
            </w:r>
          </w:p>
          <w:p w:rsidR="008209B4" w:rsidRDefault="00A54173">
            <w:pPr>
              <w:pStyle w:val="Bullet0"/>
              <w:rPr>
                <w:noProof/>
              </w:rPr>
            </w:pPr>
            <w:r>
              <w:rPr>
                <w:noProof/>
              </w:rPr>
              <w:t>осигуряване солидна база от знания за създаването на политики (например работата на Междуправителствения комитет на ООН по изменение на климата разчита в значителна степен на финансирани от ЕС научни изследвания).</w:t>
            </w:r>
          </w:p>
        </w:tc>
      </w:tr>
    </w:tbl>
    <w:p w:rsidR="008209B4" w:rsidRDefault="00A54173">
      <w:pPr>
        <w:pStyle w:val="ManualHeading3"/>
        <w:rPr>
          <w:noProof/>
        </w:rPr>
      </w:pPr>
      <w:r>
        <w:rPr>
          <w:noProof/>
        </w:rPr>
        <w:t>1.4.3.</w:t>
      </w:r>
      <w:r>
        <w:rPr>
          <w:noProof/>
        </w:rPr>
        <w:tab/>
        <w:t>Поуки от п</w:t>
      </w:r>
      <w:r>
        <w:rPr>
          <w:noProof/>
        </w:rPr>
        <w:t xml:space="preserve">одобен опит в миналото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Рамковите програми на ЕС са оказали значително и дълготрайно въздействие, както се вижда от последователните оценки, които се извършват, откакто през 1984 г. Съюзът започна да инвестира в НИИ. Въпреки че европейските програми за нау</w:t>
      </w:r>
      <w:r>
        <w:rPr>
          <w:noProof/>
        </w:rPr>
        <w:t xml:space="preserve">чни изследвания и иновации са постигнали успех, могат да бъдат взети важни поуки от миналото, от обратната информация от заинтересованите страни, както и от аналитични изследвания. Към научните изследвания, иновациите и образованието следва да се подхожда </w:t>
      </w:r>
      <w:r>
        <w:rPr>
          <w:noProof/>
        </w:rPr>
        <w:t xml:space="preserve">по-координирано и съгласувано с другите политики, а резултатите от научните изследвания следва да се разпространяват по-добре и да се оползотворяват в нови продукти, процеси и услуги. Интервенционната логика на програмите на ЕС за подпомагане следва да се </w:t>
      </w:r>
      <w:r>
        <w:rPr>
          <w:noProof/>
        </w:rPr>
        <w:t xml:space="preserve">разработва по по-целенасочен, конкретен, подробен, приобщаващ и прозрачен начин. Следва да се подобри достъпът до програмата и да се увеличи участието на новосъздадените предприятия, МСП, промишлеността, ЕС-13 и участието извън ЕС. Мониторингът и оценката </w:t>
      </w:r>
      <w:r>
        <w:rPr>
          <w:noProof/>
        </w:rPr>
        <w:t xml:space="preserve">се нуждаят от укрепване.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В съобщението относно междинната оценка на програмата „Хоризонт 2020“ са набелязани няколко области, в които е необходимо подобрение. Констатациите от междинната оценка на „Хоризонт 2020“ се основават на разнообразни отзиви от заи</w:t>
      </w:r>
      <w:r>
        <w:rPr>
          <w:noProof/>
        </w:rPr>
        <w:t>нтересованите страни и на стратегическите препоръки на Групата на високо равнище за постигането на максимално въздействие от програмите на ЕС за НИИ (Групата на високо равнище „Лами“).</w:t>
      </w:r>
    </w:p>
    <w:p w:rsidR="008209B4" w:rsidRDefault="00A54173">
      <w:pPr>
        <w:pStyle w:val="Text1"/>
        <w:keepNext/>
        <w:pBdr>
          <w:top w:val="single" w:sz="4" w:space="1" w:color="auto"/>
          <w:left w:val="single" w:sz="4" w:space="4" w:color="auto"/>
          <w:bottom w:val="single" w:sz="4" w:space="1" w:color="auto"/>
          <w:right w:val="single" w:sz="4" w:space="4" w:color="auto"/>
        </w:pBdr>
        <w:rPr>
          <w:noProof/>
        </w:rPr>
      </w:pPr>
      <w:r>
        <w:rPr>
          <w:noProof/>
        </w:rPr>
        <w:t xml:space="preserve">Те могат да бъдат обобщени, както следва: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а.</w:t>
      </w:r>
      <w:r>
        <w:rPr>
          <w:noProof/>
        </w:rPr>
        <w:tab/>
        <w:t>по-нататъшно опростяване.</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б.</w:t>
      </w:r>
      <w:r>
        <w:rPr>
          <w:noProof/>
        </w:rPr>
        <w:tab/>
        <w:t xml:space="preserve">подкрепа за водещи до пробив иновации.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в.</w:t>
      </w:r>
      <w:r>
        <w:rPr>
          <w:noProof/>
        </w:rPr>
        <w:tab/>
        <w:t>оказване на повече въздействие чрез ориентиране към мисии и участие на гражданите.</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г.</w:t>
      </w:r>
      <w:r>
        <w:rPr>
          <w:noProof/>
        </w:rPr>
        <w:tab/>
        <w:t xml:space="preserve">засилване на полезните взаимодействия с други програми за финансиране и политики на ЕС.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д.</w:t>
      </w:r>
      <w:r>
        <w:rPr>
          <w:noProof/>
        </w:rPr>
        <w:tab/>
      </w:r>
      <w:r>
        <w:rPr>
          <w:noProof/>
        </w:rPr>
        <w:t xml:space="preserve">укрепване на международното сътрудничество.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е.</w:t>
      </w:r>
      <w:r>
        <w:rPr>
          <w:noProof/>
        </w:rPr>
        <w:tab/>
        <w:t xml:space="preserve">повишаване на отвореността.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ж.</w:t>
      </w:r>
      <w:r>
        <w:rPr>
          <w:noProof/>
        </w:rPr>
        <w:tab/>
        <w:t>рационализиране на финансирането.</w:t>
      </w:r>
    </w:p>
    <w:p w:rsidR="008209B4" w:rsidRDefault="00A54173">
      <w:pPr>
        <w:pStyle w:val="ManualHeading3"/>
        <w:rPr>
          <w:bCs/>
          <w:noProof/>
          <w:szCs w:val="24"/>
        </w:rPr>
      </w:pPr>
      <w:r>
        <w:rPr>
          <w:noProof/>
        </w:rPr>
        <w:t>1.4.4.</w:t>
      </w:r>
      <w:r>
        <w:rPr>
          <w:noProof/>
        </w:rPr>
        <w:tab/>
        <w:t xml:space="preserve">Съгласуваност и евентуална синергия с други актове </w:t>
      </w:r>
    </w:p>
    <w:tbl>
      <w:tblPr>
        <w:tblStyle w:val="TableGrid"/>
        <w:tblW w:w="0" w:type="auto"/>
        <w:tblInd w:w="850" w:type="dxa"/>
        <w:tblLook w:val="04A0" w:firstRow="1" w:lastRow="0" w:firstColumn="1" w:lastColumn="0" w:noHBand="0" w:noVBand="1"/>
      </w:tblPr>
      <w:tblGrid>
        <w:gridCol w:w="8437"/>
      </w:tblGrid>
      <w:tr w:rsidR="008209B4">
        <w:tc>
          <w:tcPr>
            <w:tcW w:w="9287" w:type="dxa"/>
          </w:tcPr>
          <w:p w:rsidR="008209B4" w:rsidRDefault="00A54173">
            <w:pPr>
              <w:pStyle w:val="Text1"/>
              <w:ind w:left="0"/>
              <w:rPr>
                <w:noProof/>
              </w:rPr>
            </w:pPr>
            <w:r>
              <w:rPr>
                <w:noProof/>
              </w:rPr>
              <w:t>Програмата „Хоризонт Европа“ е замислена да се осъществява така, че да позволява по</w:t>
            </w:r>
            <w:r>
              <w:rPr>
                <w:noProof/>
              </w:rPr>
              <w:t>лезно взаимодействие с други програми за финансиране от Съюза, по-специално чрез договорености за допълнително финансиране от програми на ЕС, когато условията за управление позволяват това; или последователно, чрез редуване, или чрез комбиниране на средств</w:t>
            </w:r>
            <w:r>
              <w:rPr>
                <w:noProof/>
              </w:rPr>
              <w:t>а, включително за съвместното финансиране на действия.</w:t>
            </w:r>
          </w:p>
          <w:p w:rsidR="008209B4" w:rsidRDefault="00A54173">
            <w:pPr>
              <w:pStyle w:val="Text1"/>
              <w:ind w:left="0"/>
              <w:rPr>
                <w:noProof/>
              </w:rPr>
            </w:pPr>
            <w:r>
              <w:rPr>
                <w:noProof/>
              </w:rPr>
              <w:t>Неизчерпателен списък на такива договорености и на програми за финансиране включва полезни взаимодействия със следните програми:</w:t>
            </w:r>
          </w:p>
          <w:p w:rsidR="008209B4" w:rsidRDefault="00A54173">
            <w:pPr>
              <w:pStyle w:val="Bullet0"/>
              <w:rPr>
                <w:noProof/>
              </w:rPr>
            </w:pPr>
            <w:r>
              <w:rPr>
                <w:noProof/>
              </w:rPr>
              <w:t>Обща селскостопанска политика (ОСП)</w:t>
            </w:r>
          </w:p>
          <w:p w:rsidR="008209B4" w:rsidRDefault="00A54173">
            <w:pPr>
              <w:pStyle w:val="Bullet0"/>
              <w:rPr>
                <w:noProof/>
              </w:rPr>
            </w:pPr>
            <w:r>
              <w:rPr>
                <w:noProof/>
              </w:rPr>
              <w:t xml:space="preserve">Европейски фонд за регионално </w:t>
            </w:r>
            <w:r>
              <w:rPr>
                <w:noProof/>
              </w:rPr>
              <w:t>развитие (ЕФРР)</w:t>
            </w:r>
          </w:p>
          <w:p w:rsidR="008209B4" w:rsidRDefault="00A54173">
            <w:pPr>
              <w:pStyle w:val="Bullet0"/>
              <w:rPr>
                <w:noProof/>
              </w:rPr>
            </w:pPr>
            <w:r>
              <w:rPr>
                <w:noProof/>
              </w:rPr>
              <w:t>Европейски социален фонд (ЕСФ)</w:t>
            </w:r>
          </w:p>
          <w:p w:rsidR="008209B4" w:rsidRDefault="00A54173">
            <w:pPr>
              <w:pStyle w:val="Bullet0"/>
              <w:rPr>
                <w:noProof/>
              </w:rPr>
            </w:pPr>
            <w:r>
              <w:rPr>
                <w:noProof/>
              </w:rPr>
              <w:t>Програма за единния пазар</w:t>
            </w:r>
          </w:p>
          <w:p w:rsidR="008209B4" w:rsidRDefault="00A54173">
            <w:pPr>
              <w:pStyle w:val="Bullet0"/>
              <w:rPr>
                <w:noProof/>
              </w:rPr>
            </w:pPr>
            <w:r>
              <w:rPr>
                <w:noProof/>
              </w:rPr>
              <w:t>Европейска космическа програма</w:t>
            </w:r>
          </w:p>
          <w:p w:rsidR="008209B4" w:rsidRDefault="00A54173">
            <w:pPr>
              <w:pStyle w:val="Bullet0"/>
              <w:rPr>
                <w:noProof/>
              </w:rPr>
            </w:pPr>
            <w:r>
              <w:rPr>
                <w:noProof/>
              </w:rPr>
              <w:t>Механизъм за свързване на Европа (МСЕ)</w:t>
            </w:r>
          </w:p>
          <w:p w:rsidR="008209B4" w:rsidRDefault="00A54173">
            <w:pPr>
              <w:pStyle w:val="Bullet0"/>
              <w:rPr>
                <w:noProof/>
              </w:rPr>
            </w:pPr>
            <w:r>
              <w:rPr>
                <w:noProof/>
              </w:rPr>
              <w:t>Програма „Цифрова Европа“</w:t>
            </w:r>
          </w:p>
          <w:p w:rsidR="008209B4" w:rsidRDefault="00A54173">
            <w:pPr>
              <w:pStyle w:val="Bullet0"/>
              <w:rPr>
                <w:noProof/>
              </w:rPr>
            </w:pPr>
            <w:r>
              <w:rPr>
                <w:noProof/>
              </w:rPr>
              <w:t>Програма „Еразъм“</w:t>
            </w:r>
          </w:p>
          <w:p w:rsidR="008209B4" w:rsidRDefault="00A54173">
            <w:pPr>
              <w:pStyle w:val="Bullet0"/>
              <w:rPr>
                <w:noProof/>
              </w:rPr>
            </w:pPr>
            <w:r>
              <w:rPr>
                <w:noProof/>
              </w:rPr>
              <w:t>Инструмент за външно финансиране</w:t>
            </w:r>
          </w:p>
          <w:p w:rsidR="008209B4" w:rsidRDefault="00A54173">
            <w:pPr>
              <w:pStyle w:val="Bullet0"/>
              <w:rPr>
                <w:noProof/>
              </w:rPr>
            </w:pPr>
            <w:r>
              <w:rPr>
                <w:noProof/>
              </w:rPr>
              <w:t>Фонд InvestEU</w:t>
            </w:r>
          </w:p>
          <w:p w:rsidR="008209B4" w:rsidRDefault="00A54173">
            <w:pPr>
              <w:pStyle w:val="Bullet0"/>
              <w:rPr>
                <w:noProof/>
              </w:rPr>
            </w:pPr>
            <w:r>
              <w:rPr>
                <w:noProof/>
              </w:rPr>
              <w:t>Програма за научни изс</w:t>
            </w:r>
            <w:r>
              <w:rPr>
                <w:noProof/>
              </w:rPr>
              <w:t>ледвания и обучение на Европейската общност за атомна енергия.</w:t>
            </w:r>
          </w:p>
        </w:tc>
      </w:tr>
    </w:tbl>
    <w:p w:rsidR="008209B4" w:rsidRDefault="00A54173">
      <w:pPr>
        <w:pStyle w:val="ManualHeading2"/>
        <w:rPr>
          <w:bCs/>
          <w:noProof/>
          <w:szCs w:val="24"/>
        </w:rPr>
      </w:pPr>
      <w:r>
        <w:rPr>
          <w:noProof/>
        </w:rPr>
        <w:br w:type="page"/>
        <w:t>1.5.</w:t>
      </w:r>
      <w:r>
        <w:rPr>
          <w:noProof/>
        </w:rPr>
        <w:tab/>
        <w:t xml:space="preserve">Срок на действие и финансово отражение </w:t>
      </w:r>
    </w:p>
    <w:p w:rsidR="008209B4" w:rsidRDefault="00A54173">
      <w:pPr>
        <w:pStyle w:val="Text1"/>
        <w:rPr>
          <w:noProof/>
        </w:rPr>
      </w:pPr>
      <w:r>
        <w:rPr>
          <w:noProof/>
        </w:rPr>
        <w:sym w:font="Wingdings" w:char="F0FE"/>
      </w:r>
      <w:r>
        <w:rPr>
          <w:b/>
          <w:i/>
          <w:noProof/>
        </w:rPr>
        <w:t xml:space="preserve"> </w:t>
      </w:r>
      <w:r>
        <w:rPr>
          <w:b/>
          <w:noProof/>
        </w:rPr>
        <w:t xml:space="preserve">ограничен срок на действие </w:t>
      </w:r>
    </w:p>
    <w:p w:rsidR="008209B4" w:rsidRDefault="00A54173">
      <w:pPr>
        <w:pStyle w:val="ListDash2"/>
        <w:rPr>
          <w:noProof/>
        </w:rPr>
      </w:pPr>
      <w:r>
        <w:rPr>
          <w:noProof/>
        </w:rPr>
        <w:sym w:font="Wingdings" w:char="F0FE"/>
      </w:r>
      <w:r>
        <w:rPr>
          <w:noProof/>
        </w:rPr>
        <w:tab/>
        <w:t xml:space="preserve">в сила от 1.1.2021 г. до 31.12.2027 г. </w:t>
      </w:r>
    </w:p>
    <w:p w:rsidR="008209B4" w:rsidRDefault="00A54173">
      <w:pPr>
        <w:pStyle w:val="ListDash2"/>
        <w:rPr>
          <w:noProof/>
        </w:rPr>
      </w:pPr>
      <w:r>
        <w:rPr>
          <w:noProof/>
        </w:rPr>
        <w:sym w:font="Wingdings" w:char="F0FE"/>
      </w:r>
      <w:r>
        <w:rPr>
          <w:noProof/>
        </w:rPr>
        <w:tab/>
      </w:r>
      <w:r>
        <w:rPr>
          <w:noProof/>
        </w:rPr>
        <w:t xml:space="preserve">Финансово отражение от 1.1.2021 г. до 31.12.2027 г. за бюджетни кредити за поети задължения и от 1.1.2021 г. до 31.12.2033 г. за бюджетни кредити за плащания. </w:t>
      </w:r>
    </w:p>
    <w:p w:rsidR="008209B4" w:rsidRDefault="00A54173">
      <w:pPr>
        <w:pStyle w:val="Text1"/>
        <w:rPr>
          <w:noProof/>
        </w:rPr>
      </w:pPr>
      <w:r>
        <w:rPr>
          <w:noProof/>
        </w:rPr>
        <w:sym w:font="Wingdings" w:char="F0A8"/>
      </w:r>
      <w:r>
        <w:rPr>
          <w:b/>
          <w:i/>
          <w:noProof/>
        </w:rPr>
        <w:t xml:space="preserve"> </w:t>
      </w:r>
      <w:r>
        <w:rPr>
          <w:b/>
          <w:noProof/>
        </w:rPr>
        <w:t>неограничен срок на действие</w:t>
      </w:r>
    </w:p>
    <w:p w:rsidR="008209B4" w:rsidRDefault="00A54173">
      <w:pPr>
        <w:pStyle w:val="ListDash1"/>
        <w:rPr>
          <w:noProof/>
        </w:rPr>
      </w:pPr>
      <w:r>
        <w:rPr>
          <w:noProof/>
        </w:rPr>
        <w:t>Изпълнение с период на започване на дейност от ГГГГ до ГГГГ,</w:t>
      </w:r>
      <w:r>
        <w:rPr>
          <w:noProof/>
        </w:rPr>
        <w:tab/>
      </w:r>
      <w:r>
        <w:rPr>
          <w:noProof/>
        </w:rPr>
        <w:br/>
        <w:t>пос</w:t>
      </w:r>
      <w:r>
        <w:rPr>
          <w:noProof/>
        </w:rPr>
        <w:t>ледван от функциониране с пълен капацитет.</w:t>
      </w:r>
    </w:p>
    <w:p w:rsidR="008209B4" w:rsidRDefault="00A54173">
      <w:pPr>
        <w:pStyle w:val="ManualHeading2"/>
        <w:rPr>
          <w:noProof/>
        </w:rPr>
      </w:pPr>
      <w:r>
        <w:rPr>
          <w:noProof/>
        </w:rPr>
        <w:t>1.6.</w:t>
      </w:r>
      <w:r>
        <w:rPr>
          <w:noProof/>
        </w:rPr>
        <w:tab/>
        <w:t>Планирани методи на управление</w:t>
      </w:r>
      <w:r>
        <w:rPr>
          <w:rStyle w:val="FootnoteReference"/>
          <w:noProof/>
        </w:rPr>
        <w:footnoteReference w:id="11"/>
      </w:r>
      <w:r>
        <w:rPr>
          <w:noProof/>
        </w:rPr>
        <w:t xml:space="preserve"> </w:t>
      </w:r>
    </w:p>
    <w:p w:rsidR="008209B4" w:rsidRDefault="00A54173">
      <w:pPr>
        <w:pStyle w:val="Text1"/>
        <w:rPr>
          <w:noProof/>
        </w:rPr>
      </w:pPr>
      <w:r>
        <w:rPr>
          <w:noProof/>
        </w:rPr>
        <w:sym w:font="Wingdings" w:char="F0FE"/>
      </w:r>
      <w:r>
        <w:rPr>
          <w:i/>
          <w:noProof/>
        </w:rPr>
        <w:t xml:space="preserve"> </w:t>
      </w:r>
      <w:r>
        <w:rPr>
          <w:b/>
          <w:noProof/>
        </w:rPr>
        <w:t>Пряко управление</w:t>
      </w:r>
      <w:r>
        <w:rPr>
          <w:noProof/>
        </w:rPr>
        <w:t xml:space="preserve"> от Комисията</w:t>
      </w:r>
    </w:p>
    <w:p w:rsidR="008209B4" w:rsidRDefault="00A54173">
      <w:pPr>
        <w:pStyle w:val="ListDash2"/>
        <w:rPr>
          <w:rFonts w:cs="EUAlbertina"/>
          <w:noProof/>
        </w:rPr>
      </w:pPr>
      <w:r>
        <w:rPr>
          <w:noProof/>
        </w:rPr>
        <w:sym w:font="Wingdings" w:char="F0FE"/>
      </w:r>
      <w:r>
        <w:rPr>
          <w:noProof/>
        </w:rPr>
        <w:t xml:space="preserve"> от нейните служби, включително от нейния персонал в делегациите на Съюза; </w:t>
      </w:r>
    </w:p>
    <w:p w:rsidR="008209B4" w:rsidRDefault="00A54173">
      <w:pPr>
        <w:pStyle w:val="ListDash2"/>
        <w:rPr>
          <w:noProof/>
        </w:rPr>
      </w:pPr>
      <w:r>
        <w:rPr>
          <w:noProof/>
        </w:rPr>
        <w:sym w:font="Wingdings" w:char="F0FE"/>
      </w:r>
      <w:r>
        <w:rPr>
          <w:noProof/>
        </w:rPr>
        <w:tab/>
        <w:t xml:space="preserve">от изпълнителните агенции. </w:t>
      </w:r>
    </w:p>
    <w:p w:rsidR="008209B4" w:rsidRDefault="00A54173">
      <w:pPr>
        <w:pStyle w:val="Text1"/>
        <w:rPr>
          <w:noProof/>
        </w:rPr>
      </w:pPr>
      <w:r>
        <w:rPr>
          <w:noProof/>
        </w:rPr>
        <w:sym w:font="Wingdings" w:char="F0A8"/>
      </w:r>
      <w:r>
        <w:rPr>
          <w:b/>
          <w:i/>
          <w:noProof/>
        </w:rPr>
        <w:t xml:space="preserve"> </w:t>
      </w:r>
      <w:r>
        <w:rPr>
          <w:b/>
          <w:noProof/>
        </w:rPr>
        <w:t>Споделено управление</w:t>
      </w:r>
      <w:r>
        <w:rPr>
          <w:noProof/>
        </w:rPr>
        <w:t xml:space="preserve"> с държавите ч</w:t>
      </w:r>
      <w:r>
        <w:rPr>
          <w:noProof/>
        </w:rPr>
        <w:t xml:space="preserve">ленки </w:t>
      </w:r>
    </w:p>
    <w:p w:rsidR="008209B4" w:rsidRDefault="00A54173">
      <w:pPr>
        <w:pStyle w:val="Text1"/>
        <w:rPr>
          <w:noProof/>
        </w:rPr>
      </w:pPr>
      <w:r>
        <w:rPr>
          <w:noProof/>
        </w:rPr>
        <w:sym w:font="Wingdings" w:char="F0FE"/>
      </w:r>
      <w:r>
        <w:rPr>
          <w:i/>
          <w:noProof/>
        </w:rPr>
        <w:t xml:space="preserve"> </w:t>
      </w:r>
      <w:r>
        <w:rPr>
          <w:b/>
          <w:noProof/>
        </w:rPr>
        <w:t>Непряко управление</w:t>
      </w:r>
      <w:r>
        <w:rPr>
          <w:noProof/>
        </w:rPr>
        <w:t xml:space="preserve"> чрез възлагане на задачи по изпълнението на бюджета на:</w:t>
      </w:r>
    </w:p>
    <w:p w:rsidR="008209B4" w:rsidRDefault="00A54173">
      <w:pPr>
        <w:pStyle w:val="ListDash2"/>
        <w:rPr>
          <w:noProof/>
        </w:rPr>
      </w:pPr>
      <w:r>
        <w:rPr>
          <w:noProof/>
        </w:rPr>
        <w:sym w:font="Wingdings" w:char="F0A8"/>
      </w:r>
      <w:r>
        <w:rPr>
          <w:noProof/>
        </w:rPr>
        <w:t xml:space="preserve"> трети държави или на органите, определени от тях;</w:t>
      </w:r>
    </w:p>
    <w:p w:rsidR="008209B4" w:rsidRDefault="00A54173">
      <w:pPr>
        <w:pStyle w:val="ListDash2"/>
        <w:rPr>
          <w:noProof/>
        </w:rPr>
      </w:pPr>
      <w:r>
        <w:rPr>
          <w:noProof/>
        </w:rPr>
        <w:sym w:font="Wingdings" w:char="F0FE"/>
      </w:r>
      <w:r>
        <w:rPr>
          <w:noProof/>
        </w:rPr>
        <w:t xml:space="preserve"> международни организации и техните агенции (да се уточни);</w:t>
      </w:r>
    </w:p>
    <w:p w:rsidR="008209B4" w:rsidRDefault="00A54173">
      <w:pPr>
        <w:pStyle w:val="ListDash2"/>
        <w:rPr>
          <w:noProof/>
        </w:rPr>
      </w:pPr>
      <w:r>
        <w:rPr>
          <w:noProof/>
        </w:rPr>
        <w:sym w:font="Wingdings" w:char="F0A8"/>
      </w:r>
      <w:r>
        <w:rPr>
          <w:noProof/>
        </w:rPr>
        <w:t xml:space="preserve"> ЕИБ и Европейския инвестиционен фонд;</w:t>
      </w:r>
    </w:p>
    <w:p w:rsidR="008209B4" w:rsidRDefault="00A54173">
      <w:pPr>
        <w:pStyle w:val="ListDash2"/>
        <w:rPr>
          <w:noProof/>
        </w:rPr>
      </w:pPr>
      <w:r>
        <w:rPr>
          <w:noProof/>
        </w:rPr>
        <w:sym w:font="Wingdings" w:char="F0FE"/>
      </w:r>
      <w:r>
        <w:rPr>
          <w:noProof/>
        </w:rPr>
        <w:t xml:space="preserve"> органите, посочени в членове 70 и 71 от Финансовия регламент;</w:t>
      </w:r>
    </w:p>
    <w:p w:rsidR="008209B4" w:rsidRDefault="00A54173">
      <w:pPr>
        <w:pStyle w:val="ListDash2"/>
        <w:rPr>
          <w:noProof/>
        </w:rPr>
      </w:pPr>
      <w:r>
        <w:rPr>
          <w:noProof/>
        </w:rPr>
        <w:sym w:font="Wingdings" w:char="F0FE"/>
      </w:r>
      <w:r>
        <w:rPr>
          <w:noProof/>
        </w:rPr>
        <w:t xml:space="preserve"> публичноправни органи;</w:t>
      </w:r>
    </w:p>
    <w:p w:rsidR="008209B4" w:rsidRDefault="00A54173">
      <w:pPr>
        <w:pStyle w:val="ListDash2"/>
        <w:rPr>
          <w:noProof/>
        </w:rPr>
      </w:pPr>
      <w:r>
        <w:rPr>
          <w:noProof/>
        </w:rPr>
        <w:sym w:font="Wingdings" w:char="F0FE"/>
      </w:r>
      <w:r>
        <w:rPr>
          <w:noProof/>
        </w:rPr>
        <w:t xml:space="preserve"> частноправни органи със задължение за обществена услуга, доколкото предоставят подходящи финансови гаранции;</w:t>
      </w:r>
    </w:p>
    <w:p w:rsidR="008209B4" w:rsidRDefault="00A54173">
      <w:pPr>
        <w:pStyle w:val="ListDash2"/>
        <w:rPr>
          <w:noProof/>
        </w:rPr>
      </w:pPr>
      <w:r>
        <w:rPr>
          <w:noProof/>
        </w:rPr>
        <w:sym w:font="Wingdings" w:char="F0FE"/>
      </w:r>
      <w:r>
        <w:rPr>
          <w:noProof/>
        </w:rPr>
        <w:t xml:space="preserve"> органи, уредени в частното право на държава членка, на </w:t>
      </w:r>
      <w:r>
        <w:rPr>
          <w:noProof/>
        </w:rPr>
        <w:t>които е възложено осъществяването на европейско партньорство, и които предоставят подходящи финансови гаранции;</w:t>
      </w:r>
    </w:p>
    <w:p w:rsidR="008209B4" w:rsidRDefault="00A54173">
      <w:pPr>
        <w:pStyle w:val="ListDash2"/>
        <w:rPr>
          <w:noProof/>
        </w:rPr>
      </w:pPr>
      <w:r>
        <w:rPr>
          <w:noProof/>
        </w:rPr>
        <w:sym w:font="Wingdings" w:char="F0A8"/>
      </w:r>
      <w:r>
        <w:rPr>
          <w:noProof/>
        </w:rPr>
        <w:t xml:space="preserve"> лица, на които е възложено изпълнението на специфични действия в областта на ОВППС съгласно дял V от ДЕС, и които са посочени в съответния осн</w:t>
      </w:r>
      <w:r>
        <w:rPr>
          <w:noProof/>
        </w:rPr>
        <w:t>овен акт.</w:t>
      </w:r>
    </w:p>
    <w:p w:rsidR="008209B4" w:rsidRDefault="00A54173">
      <w:pPr>
        <w:pStyle w:val="ListDash2"/>
        <w:rPr>
          <w:i/>
          <w:noProof/>
          <w:sz w:val="18"/>
          <w:u w:val="single"/>
        </w:rPr>
      </w:pPr>
      <w:r>
        <w:rPr>
          <w:i/>
          <w:noProof/>
          <w:sz w:val="18"/>
        </w:rPr>
        <w:t>Ако е посочен повече от един метод на управление, пояснете в частта „Забележки“.</w:t>
      </w:r>
    </w:p>
    <w:p w:rsidR="008209B4" w:rsidRDefault="00A54173">
      <w:pPr>
        <w:rPr>
          <w:noProof/>
        </w:rPr>
      </w:pPr>
      <w:r>
        <w:rPr>
          <w:noProof/>
        </w:rPr>
        <w:t xml:space="preserve">Забележки </w:t>
      </w:r>
    </w:p>
    <w:p w:rsidR="008209B4" w:rsidRDefault="00A54173">
      <w:pPr>
        <w:pBdr>
          <w:top w:val="single" w:sz="4" w:space="1" w:color="auto"/>
          <w:left w:val="single" w:sz="4" w:space="4" w:color="auto"/>
          <w:bottom w:val="single" w:sz="4" w:space="1" w:color="auto"/>
          <w:right w:val="single" w:sz="4" w:space="4" w:color="auto"/>
        </w:pBdr>
        <w:rPr>
          <w:noProof/>
        </w:rPr>
      </w:pPr>
      <w:r>
        <w:rPr>
          <w:noProof/>
        </w:rPr>
        <w:t>При осъществяването на дейностите по програма „Хоризонт Европа“ ще бъдат следвани основните принципи, установени за „Хоризонт 2020“, като се очаква същест</w:t>
      </w:r>
      <w:r>
        <w:rPr>
          <w:noProof/>
        </w:rPr>
        <w:t>вена част от общия бюджет за „Хоризонт Европа“ да се изпълнява чрез специално разработени методи на управление.</w:t>
      </w:r>
    </w:p>
    <w:p w:rsidR="008209B4" w:rsidRDefault="00A54173">
      <w:pPr>
        <w:pBdr>
          <w:top w:val="single" w:sz="4" w:space="1" w:color="auto"/>
          <w:left w:val="single" w:sz="4" w:space="4" w:color="auto"/>
          <w:bottom w:val="single" w:sz="4" w:space="1" w:color="auto"/>
          <w:right w:val="single" w:sz="4" w:space="4" w:color="auto"/>
        </w:pBdr>
        <w:rPr>
          <w:noProof/>
        </w:rPr>
      </w:pPr>
      <w:r>
        <w:rPr>
          <w:noProof/>
        </w:rPr>
        <w:t xml:space="preserve">Очаква се, че Комисията ще продължи да насочва по-голямата част от средствата чрез изпълнителни агенции, с допълнителни действия, извършвани от </w:t>
      </w:r>
      <w:r>
        <w:rPr>
          <w:noProof/>
        </w:rPr>
        <w:t>органи на Съюза или от други органи, на които е възложено изпълнението на бюджета при непряко управление, създадени съгласно членове 185 и 187 от ДФЕС и насочени към специфични приоритети.</w:t>
      </w:r>
    </w:p>
    <w:p w:rsidR="008209B4" w:rsidRDefault="00A54173">
      <w:pPr>
        <w:pBdr>
          <w:top w:val="single" w:sz="4" w:space="1" w:color="auto"/>
          <w:left w:val="single" w:sz="4" w:space="4" w:color="auto"/>
          <w:bottom w:val="single" w:sz="4" w:space="1" w:color="auto"/>
          <w:right w:val="single" w:sz="4" w:space="4" w:color="auto"/>
        </w:pBdr>
        <w:rPr>
          <w:noProof/>
        </w:rPr>
      </w:pPr>
      <w:r>
        <w:rPr>
          <w:noProof/>
        </w:rPr>
        <w:t xml:space="preserve">Видовете изпълнителни органи, които се очаква да бъдат създадени/подновени за „Хоризонт Европа“, са: </w:t>
      </w:r>
    </w:p>
    <w:p w:rsidR="008209B4" w:rsidRDefault="00A54173">
      <w:pPr>
        <w:pBdr>
          <w:top w:val="single" w:sz="4" w:space="1" w:color="auto"/>
          <w:left w:val="single" w:sz="4" w:space="4" w:color="auto"/>
          <w:bottom w:val="single" w:sz="4" w:space="1" w:color="auto"/>
          <w:right w:val="single" w:sz="4" w:space="4" w:color="auto"/>
        </w:pBdr>
        <w:rPr>
          <w:noProof/>
        </w:rPr>
      </w:pPr>
      <w:r>
        <w:rPr>
          <w:noProof/>
        </w:rPr>
        <w:t>•</w:t>
      </w:r>
      <w:r>
        <w:rPr>
          <w:noProof/>
        </w:rPr>
        <w:tab/>
        <w:t>Изпълнителни агенции;</w:t>
      </w:r>
    </w:p>
    <w:p w:rsidR="008209B4" w:rsidRDefault="00A54173">
      <w:pPr>
        <w:pBdr>
          <w:top w:val="single" w:sz="4" w:space="1" w:color="auto"/>
          <w:left w:val="single" w:sz="4" w:space="4" w:color="auto"/>
          <w:bottom w:val="single" w:sz="4" w:space="1" w:color="auto"/>
          <w:right w:val="single" w:sz="4" w:space="4" w:color="auto"/>
        </w:pBdr>
        <w:rPr>
          <w:noProof/>
        </w:rPr>
      </w:pPr>
      <w:r>
        <w:rPr>
          <w:noProof/>
        </w:rPr>
        <w:t>•</w:t>
      </w:r>
      <w:r>
        <w:rPr>
          <w:noProof/>
        </w:rPr>
        <w:tab/>
        <w:t>Смесени предприятия (член 187 от ДФЕС);</w:t>
      </w:r>
    </w:p>
    <w:p w:rsidR="008209B4" w:rsidRDefault="00A54173">
      <w:pPr>
        <w:pBdr>
          <w:top w:val="single" w:sz="4" w:space="1" w:color="auto"/>
          <w:left w:val="single" w:sz="4" w:space="4" w:color="auto"/>
          <w:bottom w:val="single" w:sz="4" w:space="1" w:color="auto"/>
          <w:right w:val="single" w:sz="4" w:space="4" w:color="auto"/>
        </w:pBdr>
        <w:rPr>
          <w:noProof/>
        </w:rPr>
      </w:pPr>
      <w:r>
        <w:rPr>
          <w:noProof/>
        </w:rPr>
        <w:t>•</w:t>
      </w:r>
      <w:r>
        <w:rPr>
          <w:noProof/>
        </w:rPr>
        <w:tab/>
        <w:t>Публично-частни партньорства (член 185 от ДФЕС);</w:t>
      </w:r>
    </w:p>
    <w:p w:rsidR="008209B4" w:rsidRDefault="00A54173">
      <w:pPr>
        <w:pBdr>
          <w:top w:val="single" w:sz="4" w:space="1" w:color="auto"/>
          <w:left w:val="single" w:sz="4" w:space="4" w:color="auto"/>
          <w:bottom w:val="single" w:sz="4" w:space="1" w:color="auto"/>
          <w:right w:val="single" w:sz="4" w:space="4" w:color="auto"/>
        </w:pBdr>
        <w:rPr>
          <w:noProof/>
        </w:rPr>
      </w:pPr>
      <w:r>
        <w:rPr>
          <w:noProof/>
        </w:rPr>
        <w:t>•</w:t>
      </w:r>
      <w:r>
        <w:rPr>
          <w:noProof/>
        </w:rPr>
        <w:tab/>
        <w:t>Европейски институт за иновации и т</w:t>
      </w:r>
      <w:r>
        <w:rPr>
          <w:noProof/>
        </w:rPr>
        <w:t>ехнологии</w:t>
      </w:r>
    </w:p>
    <w:p w:rsidR="008209B4" w:rsidRDefault="00A54173">
      <w:pPr>
        <w:pBdr>
          <w:top w:val="single" w:sz="4" w:space="1" w:color="auto"/>
          <w:left w:val="single" w:sz="4" w:space="4" w:color="auto"/>
          <w:bottom w:val="single" w:sz="4" w:space="1" w:color="auto"/>
          <w:right w:val="single" w:sz="4" w:space="4" w:color="auto"/>
        </w:pBdr>
        <w:rPr>
          <w:noProof/>
        </w:rPr>
      </w:pPr>
      <w:r>
        <w:rPr>
          <w:noProof/>
        </w:rPr>
        <w:t>Известно рационализиране ще се извърши на равнището на партньорствата (които ще бъдат представени с новия общ термин „европейски партньорства“), с основен акцент върху рационализирането на настоящата структура и броя на съществуващите образувания</w:t>
      </w:r>
      <w:r>
        <w:rPr>
          <w:noProof/>
        </w:rPr>
        <w:t xml:space="preserve"> и за да може системата на партньорствата да стане по-съгласувана както във вътрешен план (в рамките на РП), така и външно (по-добра координация с други програми на Съюза и с външни партньори). Независимо от това тази рационализация няма да има въздействие</w:t>
      </w:r>
      <w:r>
        <w:rPr>
          <w:noProof/>
        </w:rPr>
        <w:t xml:space="preserve"> върху използваните понастоящем правни форми.</w:t>
      </w:r>
    </w:p>
    <w:p w:rsidR="008209B4" w:rsidRDefault="008209B4">
      <w:pPr>
        <w:rPr>
          <w:noProof/>
        </w:rPr>
        <w:sectPr w:rsidR="008209B4" w:rsidSect="00A54173">
          <w:headerReference w:type="default" r:id="rId25"/>
          <w:footerReference w:type="default" r:id="rId26"/>
          <w:headerReference w:type="first" r:id="rId27"/>
          <w:footerReference w:type="first" r:id="rId28"/>
          <w:pgSz w:w="11907" w:h="16840" w:code="9"/>
          <w:pgMar w:top="1134" w:right="1418" w:bottom="1134" w:left="1418" w:header="709" w:footer="709" w:gutter="0"/>
          <w:cols w:space="708"/>
          <w:docGrid w:linePitch="360"/>
        </w:sectPr>
      </w:pPr>
    </w:p>
    <w:p w:rsidR="008209B4" w:rsidRDefault="00A54173">
      <w:pPr>
        <w:pStyle w:val="ManualHeading1"/>
        <w:rPr>
          <w:bCs/>
          <w:noProof/>
          <w:szCs w:val="24"/>
        </w:rPr>
      </w:pPr>
      <w:r>
        <w:rPr>
          <w:noProof/>
        </w:rPr>
        <w:t>2.</w:t>
      </w:r>
      <w:r>
        <w:rPr>
          <w:noProof/>
        </w:rPr>
        <w:tab/>
        <w:t xml:space="preserve">МЕРКИ ЗА УПРАВЛЕНИЕ </w:t>
      </w:r>
    </w:p>
    <w:p w:rsidR="008209B4" w:rsidRDefault="00A54173">
      <w:pPr>
        <w:pStyle w:val="ManualHeading2"/>
        <w:rPr>
          <w:noProof/>
        </w:rPr>
      </w:pPr>
      <w:r>
        <w:rPr>
          <w:noProof/>
        </w:rPr>
        <w:t>2.1.</w:t>
      </w:r>
      <w:r>
        <w:rPr>
          <w:noProof/>
        </w:rPr>
        <w:tab/>
        <w:t xml:space="preserve">Правила за мониторинг и докладване </w:t>
      </w:r>
    </w:p>
    <w:p w:rsidR="008209B4" w:rsidRDefault="00A54173">
      <w:pPr>
        <w:pStyle w:val="Text1"/>
        <w:rPr>
          <w:i/>
          <w:noProof/>
          <w:sz w:val="20"/>
          <w:u w:val="single"/>
        </w:rPr>
      </w:pPr>
      <w:r>
        <w:rPr>
          <w:i/>
          <w:noProof/>
          <w:sz w:val="20"/>
        </w:rPr>
        <w:t>Да се посочат честотата и условията.</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Определени са краткосрочни, средносрочни и дъл</w:t>
      </w:r>
      <w:r>
        <w:rPr>
          <w:noProof/>
        </w:rPr>
        <w:t>госрочни показатели въз основа на редица пътища на въздействие. Разработени са правила за докладване за участниците, като са взети предвид тези показатели, но също и със съзнателното намерение да се ограничи административната тежест за участниците. Винаги,</w:t>
      </w:r>
      <w:r>
        <w:rPr>
          <w:noProof/>
        </w:rPr>
        <w:t xml:space="preserve"> когато е възможно, данните ще бъдат събирани от отворени източници.</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Всички данни за процесите на управление (заявления, процент на успеваемост, време за отпускане на безвъзмездни средства, вид на бенефициерите и др.) ще се събират и съхраняват, като се пр</w:t>
      </w:r>
      <w:r>
        <w:rPr>
          <w:noProof/>
        </w:rPr>
        <w:t>едоставят на разположение в реално време посредством специално съхранение на данни.  Днес референтната система (CORDA) функционира добре и е на разположение на държавите членки, както и на други заинтересовани органи.</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Ще бъде изготвен доклад, който дава ин</w:t>
      </w:r>
      <w:r>
        <w:rPr>
          <w:noProof/>
        </w:rPr>
        <w:t xml:space="preserve">формация за процесите на управление (от година първа), а постепенно и информация относно крайните продукти и резултатите. Планирани са междинна оценка и окончателна оценка.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xml:space="preserve">Освен това преките действия на JRC се оценяват вътрешно чрез ежегодна вътрешна </w:t>
      </w:r>
      <w:r>
        <w:rPr>
          <w:noProof/>
        </w:rPr>
        <w:t>проверка и външно чрез партньорска проверка от редица експерти на високо равнище, подбрани в консултация с Управителния съвет на JRC;</w:t>
      </w:r>
    </w:p>
    <w:p w:rsidR="008209B4" w:rsidRDefault="00A54173">
      <w:pPr>
        <w:pStyle w:val="ManualHeading2"/>
        <w:rPr>
          <w:bCs/>
          <w:noProof/>
          <w:szCs w:val="24"/>
        </w:rPr>
      </w:pPr>
      <w:r>
        <w:rPr>
          <w:noProof/>
        </w:rPr>
        <w:t>2.2.</w:t>
      </w:r>
      <w:r>
        <w:rPr>
          <w:noProof/>
        </w:rPr>
        <w:tab/>
        <w:t xml:space="preserve">Системи за управление и контрол </w:t>
      </w:r>
    </w:p>
    <w:p w:rsidR="008209B4" w:rsidRDefault="00A54173">
      <w:pPr>
        <w:pStyle w:val="ManualHeading3"/>
        <w:rPr>
          <w:noProof/>
        </w:rPr>
      </w:pPr>
      <w:r>
        <w:rPr>
          <w:noProof/>
        </w:rPr>
        <w:t>2.2.1.</w:t>
      </w:r>
      <w:r>
        <w:rPr>
          <w:noProof/>
        </w:rPr>
        <w:tab/>
        <w:t xml:space="preserve">Обосновка на предложените начини за управление, механизми за финансиране на </w:t>
      </w:r>
      <w:r>
        <w:rPr>
          <w:noProof/>
        </w:rPr>
        <w:t>изпълнението, начини за плащане и стратегия за контрол</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Рамковата програма за научни изследвания и иновации ще се осъществява чрез пряко и непряко управление. Няма съществени промени от рамковата програма „Хоризонт 2020“. Допълнителни мерки за опростяване щ</w:t>
      </w:r>
      <w:r>
        <w:rPr>
          <w:noProof/>
        </w:rPr>
        <w:t>е се прилагат обаче винаги, когато е възможно.</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В рамките на „Хоризонт 2020“, до края на февруари 2018 г. са получени 154 000 предложения (заедно с 537 000 индивидуални заявления), подписани са 18 000 договора (със 79 000 индивидуални участия). Въпреки рязк</w:t>
      </w:r>
      <w:r>
        <w:rPr>
          <w:noProof/>
        </w:rPr>
        <w:t>ото увеличаване на броя на предложенията в сравнение със Седмата рамкова програма, 95 % от договорите са подписани в рамките на 8-месечния срок, определен от законодателството. Общите ИТ системи и бизнес процеси гарантираха ефикасност на всички равнища. Об</w:t>
      </w:r>
      <w:r>
        <w:rPr>
          <w:noProof/>
        </w:rPr>
        <w:t>щ център за подкрепа предоставя разходно ефективни услуги за всички служби на Комисията, отговарящи за осъществяването на предходните рамкови програми, с текущи разходи от около 0,7 % от разходите през 2017 г. Валидирането на правни образувания и организац</w:t>
      </w:r>
      <w:r>
        <w:rPr>
          <w:noProof/>
        </w:rPr>
        <w:t>ията на оценките на проекти са централизирани в Изпълнителната агенция за научни изследвания, което води до икономии от мащаба и осигурява ефикасна организация на оценките.</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По-стеснената прогнозна оценка на разходите на системата за контрол (оценка, подбор</w:t>
      </w:r>
      <w:r>
        <w:rPr>
          <w:noProof/>
        </w:rPr>
        <w:t>, управление на проекти, предварителни и последващи проверки) е в границите на 3—4 % при различните служби на Комисията, отговарящи за осъществяването на предходните рамкови програми за 2017 г. (включително разходи за управлението на Седмата рамкова програ</w:t>
      </w:r>
      <w:r>
        <w:rPr>
          <w:noProof/>
        </w:rPr>
        <w:t>ма и „Хоризонт 2020“). Това се счита за разумен разход в контекста на усилията, необходими за гарантиране, че целите са постигнати, и на броя на сделките.</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Тази стратегия за контрол се основава на:</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процедури за подбор на най-добрите проекти и превръщането</w:t>
      </w:r>
      <w:r>
        <w:rPr>
          <w:noProof/>
        </w:rPr>
        <w:t xml:space="preserve"> им в правни инструменти;</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управление на проекти и договори през целия жизнен цикъл на всеки проект;</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xml:space="preserve">— предварителни проверки на 100 % от исканията за плащане;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сертификати за финансовите отчети над определен праг, и сертифициране на методологиите за из</w:t>
      </w:r>
      <w:r>
        <w:rPr>
          <w:noProof/>
        </w:rPr>
        <w:t xml:space="preserve">числяване на единичните разходи или предварителна оценка за голяма научноизследователска инфраструктура на доброволна основа;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последващи одити (представителни и основани на риска извадки) върху извадка от изплатени искания;</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и научна оценка на резултат</w:t>
      </w:r>
      <w:r>
        <w:rPr>
          <w:noProof/>
        </w:rPr>
        <w:t xml:space="preserve">ите от проектите.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Първите данни от одити на „Хоризонт 2020“ показват, че процентите на грешка са били запазени в рамките на очаквания диапазон (вж. раздел 2.2.2). Това показва, че вече въведените мерки за опростяване, дори ако все още може да бъдат допълн</w:t>
      </w:r>
      <w:r>
        <w:rPr>
          <w:noProof/>
        </w:rPr>
        <w:t xml:space="preserve">ително разработени, са били ефективни.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При непряко управление Комисията ще използва следните органи за изпълнение на бюджета, когато това е уместно, разходно-ефективно и осигурява силен ефект на ливъридж:</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Институционализирани европейски партньорства (ч</w:t>
      </w:r>
      <w:r>
        <w:rPr>
          <w:noProof/>
        </w:rPr>
        <w:t>лен 185 или член 187 от ДФЕС).</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Тези органи подлежат на редовни оценки, за да се гарантира, че продължават да бъдат подходящи за постигане на целите на Програмата. Стратегиите за контрол на надзора на органите, действащи при непряко управление, са разработе</w:t>
      </w:r>
      <w:r>
        <w:rPr>
          <w:noProof/>
        </w:rPr>
        <w:t>ни или ще бъдат разработени.</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При прякото управление Комисията ще продължи да разчита до голяма степен на изпълнителни агенции, създадени в съответствие с Регламент (ЕО) № 58/2003 на Съвета. Делегирането на дейности на изпълнителните агенции подлежи на задъ</w:t>
      </w:r>
      <w:r>
        <w:rPr>
          <w:noProof/>
        </w:rPr>
        <w:t>лжителен независим предварителен анализ на разходите и ползите и изпълнителните агенции преминават редовни оценки, извършвани от външни експерти. Горепосоченият анализ на разходите и ползите ще отчита и разходите за контрол и надзор. Междинните оценки, изв</w:t>
      </w:r>
      <w:r>
        <w:rPr>
          <w:noProof/>
        </w:rPr>
        <w:t>ършени през 2012 и през 2015 г., потвърждават високата ефикасност и добавена стойност на изпълнителните агенции при осъществяването на програмата.</w:t>
      </w:r>
    </w:p>
    <w:p w:rsidR="008209B4" w:rsidRDefault="00A54173">
      <w:pPr>
        <w:pStyle w:val="ManualHeading3"/>
        <w:rPr>
          <w:bCs/>
          <w:noProof/>
          <w:szCs w:val="24"/>
        </w:rPr>
      </w:pPr>
      <w:r>
        <w:rPr>
          <w:noProof/>
        </w:rPr>
        <w:t>2.2.2.</w:t>
      </w:r>
      <w:r>
        <w:rPr>
          <w:noProof/>
        </w:rPr>
        <w:tab/>
        <w:t xml:space="preserve">Информация относно установените рискове и системите за вътрешен контрол, създадени с цел намаляването </w:t>
      </w:r>
      <w:r>
        <w:rPr>
          <w:noProof/>
        </w:rPr>
        <w:t xml:space="preserve">им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Основният модел за финансиране до момента е бил възстановяването на допустимите разходи. Както Европейската сметна палата последователно е посочвала, за последен път в годишния си доклад за 2016 г., „основният риск за редовността на операциите се състо</w:t>
      </w:r>
      <w:r>
        <w:rPr>
          <w:noProof/>
        </w:rPr>
        <w:t>и в това, че бенефициерите могат да декларират недопустими разходи, които да не бъдат открити или коригирани, преди [възстановяването]. Този риск е особено висок за Седмата рамкова програма, чиито сложни правила за допустимост често се тълкуват погрешно от</w:t>
      </w:r>
      <w:r>
        <w:rPr>
          <w:noProof/>
        </w:rPr>
        <w:t xml:space="preserve"> бенефициерите (особено от бенефициерите, които не са запознати в дълбочина с правилата, като например МСП, образувания, участващи за пръв път и такива от държави извън ЕС)“.</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xml:space="preserve">Сметната палата призна значението на опростяванията, въведени в „Хоризонт 2020“. </w:t>
      </w:r>
      <w:r>
        <w:rPr>
          <w:noProof/>
        </w:rPr>
        <w:t>Тя обаче препоръча в годишния си доклад за 2016 г. по-широко използване на опростените варианти за разходите (ОВР). Такива ОВР вече са влезли в употреба в части от програмата, или за конкретни видове разходи.</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За безвъзмездните средства прогнозният представ</w:t>
      </w:r>
      <w:r>
        <w:rPr>
          <w:noProof/>
        </w:rPr>
        <w:t xml:space="preserve">ителен процент на грешките за Седмата рамкова програма е бил 5 %, с „остатъчен“ процент на грешки от около 3 %, след като са взети предвид всички възстановявания и корекции, които са били или ще бъдат приложени. Независимо от това, процентите на грешки са </w:t>
      </w:r>
      <w:r>
        <w:rPr>
          <w:noProof/>
        </w:rPr>
        <w:t>били по-ниски в онези части от програмата, в които е било възможно да се използват по-широко опростените варианти за разходите (ОВР) и/или когато е участвала малка и стабилна група бенефициери. Това включва безвъзмездните средства от Европейския научноизсл</w:t>
      </w:r>
      <w:r>
        <w:rPr>
          <w:noProof/>
        </w:rPr>
        <w:t xml:space="preserve">едователски съвет и действията „Мария Кюри“.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Първите резултати от програмата „Хоризонт 2020“ предполагат представителен процент на грешки от около 3 %, с остатъчен процент на грешки под 2,5 %. Следва обаче да се има предвид, че това е ранна прогнозна оце</w:t>
      </w:r>
      <w:r>
        <w:rPr>
          <w:noProof/>
        </w:rPr>
        <w:t>нка, която следва да се използва с повишено внимание, като изглежда, че ще се повиши, вероятно на ниво от 3—4 % (нивото на грешка, предвидено от Комисията за нейното предложение за „Хоризонт 2020“ беше 3,5 %, въпреки че то не е взело предвид различни допъл</w:t>
      </w:r>
      <w:r>
        <w:rPr>
          <w:noProof/>
        </w:rPr>
        <w:t xml:space="preserve">нителни усложнения, добавени по време на законодателния процес). Остатъчният процент на грешки следва да остане някъде под 3 %, като все още е твърде рано да се каже дали ще бъде постигнат размер от 2 %. Комисията все още счита, че процентите на грешки за </w:t>
      </w:r>
      <w:r>
        <w:rPr>
          <w:noProof/>
        </w:rPr>
        <w:t>безвъзмездните средства от Европейския научноизследователски съвет и действията „Мария Склодовска-Кюри“ ще останат под 2 %.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Някои грешки възникват, тъй като бенефициери не са разбрали правилата. Тези грешки могат да бъдат преодолени чрез опростяване, въпре</w:t>
      </w:r>
      <w:r>
        <w:rPr>
          <w:noProof/>
        </w:rPr>
        <w:t>ки че винаги ще остане известна комплексност. Други грешки възникват, тъй като бенефициери не са спазвали правилата. Въпреки че това е в малък брой случаи, опростяване на действащите правила няма да реши този въпрос.</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Извършеният анализ на процента на грешк</w:t>
      </w:r>
      <w:r>
        <w:rPr>
          <w:noProof/>
        </w:rPr>
        <w:t>ите</w:t>
      </w:r>
      <w:r>
        <w:rPr>
          <w:rStyle w:val="FootnoteReference"/>
          <w:noProof/>
        </w:rPr>
        <w:footnoteReference w:id="12"/>
      </w:r>
      <w:r>
        <w:rPr>
          <w:noProof/>
        </w:rPr>
        <w:t xml:space="preserve"> при проведените досега одити на „Хоризонт 2020“ показват, че: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около 63 % от грешките се отнасят до грешки при начисляване на разходите за персонал. Установени обичайни проблеми са неправилно изчисляване на отработените часове; неточни ставки или не</w:t>
      </w:r>
      <w:r>
        <w:rPr>
          <w:noProof/>
        </w:rPr>
        <w:t>точен брой начислени часове.</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около 22 % от грешките се отнасят до други преки разходи (различни от тези за персонал). Най-обичайната грешка, която е установена, е липсата на пряко измерване на разходите.</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xml:space="preserve">— около 6 % от грешките се отнасят до разходи по </w:t>
      </w:r>
      <w:r>
        <w:rPr>
          <w:noProof/>
        </w:rPr>
        <w:t>подизпълнителски договори, 4 % — за пътни разходи и 5 % за други категории. Следва да се има предвид, че грешките, отнасящи се за непреките разходи, които представляват 28 % от грешките в Седмата рамкова програма, са сведени почти до нула благодарение на в</w:t>
      </w:r>
      <w:r>
        <w:rPr>
          <w:noProof/>
        </w:rPr>
        <w:t>ъвеждането на фиксираната ставка за покриване на непреките разходи.</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Грешките, констатирани при одити по „Хоризонт 2020“, показват, че някои биха могли да бъдат избегнати чрез опростяване и избягването на ненужния формализъм в правилата. Вече са направени н</w:t>
      </w:r>
      <w:r>
        <w:rPr>
          <w:noProof/>
        </w:rPr>
        <w:t>якои промени по „Хоризонт 2020“ (например нови правила за вътрешно фактуриране и допълнително възнаграждение), а други ще бъдат направени, където е възможно, в „Хоризонт Европа“. Подобни промени обаче сега ще бъдат ограничени в своя ефект върху процента на</w:t>
      </w:r>
      <w:r>
        <w:rPr>
          <w:noProof/>
        </w:rPr>
        <w:t xml:space="preserve"> грешки, като се избягват по принцип само малки грешки.</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xml:space="preserve">По-широкото използване на ОВР, например единни ставки и разходи за единица продукт, както и продължаващото опростяване на правилата, ще допринесат за намаляване на процента грешки по „Хоризонт 2020“, </w:t>
      </w:r>
      <w:r>
        <w:rPr>
          <w:noProof/>
        </w:rPr>
        <w:t>оценяван на 3—4 % на представителна основа в „Хоризонт Европа“. Независимо от това, намиращият се в основата проблем с грешките при метод на финансиране, основаван на възстановяване на допустимите разходи, остава. При такава система представителният процен</w:t>
      </w:r>
      <w:r>
        <w:rPr>
          <w:noProof/>
        </w:rPr>
        <w:t>т грешки би могъл да бъде намален до 2,5 — 3,5 %, като остатъчният процент грешки след корекциите се очаква да бъде около 2 % (но не непременно под това).</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При „Хоризонт 2020“ беше въведено финансирането с еднократни суми на МСП, етап 1 (плащане в размер на</w:t>
      </w:r>
      <w:r>
        <w:rPr>
          <w:noProof/>
        </w:rPr>
        <w:t xml:space="preserve"> 50 000 евро при предоставянето на задоволителни научни резултати) и, чрез общности на знанието и иновациите на EIT, за финансиране на институционални разходи, свързани с осъществяването на магистърски програми, обозначени с EIT.  Не се изисква допълнителн</w:t>
      </w:r>
      <w:r>
        <w:rPr>
          <w:noProof/>
        </w:rPr>
        <w:t xml:space="preserve">а обосновка за тези плащания, като например фактури, графици, доказателства за плащане и др. Няма финансови грешки.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Финансирането с еднократни суми бе предложено за „Хоризонт 2020“, но бе счетено за неподходящо или прибързано. Независимо от това Комисията</w:t>
      </w:r>
      <w:r>
        <w:rPr>
          <w:noProof/>
        </w:rPr>
        <w:t>, в работната програма за 2018 г., прилага пилотни схеми, основани на финансиране с еднократни суми. В същото време тя предприе редица действия в областта на комуникацията, за да се разсеят опасенията на заинтересованите страни относно тази форма на финанс</w:t>
      </w:r>
      <w:r>
        <w:rPr>
          <w:noProof/>
        </w:rPr>
        <w:t>иране.</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Пилотната схема трябва да бъде оценена, по-специално за да се установи дали тя постига всички цели на Програмата (не само намаляването на процента на грешки). Несъмнено обаче по-широкото използване на финансиране с фиксирани ставки би намалило проце</w:t>
      </w:r>
      <w:r>
        <w:rPr>
          <w:noProof/>
        </w:rPr>
        <w:t>нта на грешки. То обаче ще придвижи рисковете към други етапи от системата за вътрешен контрол — оценката ще придобие по-голямо значение, както и оценката на престацията.</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Предложението за „Хоризонт Европа“ позволява на Комисията да използва модела за финан</w:t>
      </w:r>
      <w:r>
        <w:rPr>
          <w:noProof/>
        </w:rPr>
        <w:t>сиране с еднократни суми и Комисията възнамерява да използва по-широко този модел за финансиране. Все още обаче е твърде рано да се каже колко широко може да бъде използван той. Това ще зависи от резултатите от пилотните проекти, които се осъществяват в мо</w:t>
      </w:r>
      <w:r>
        <w:rPr>
          <w:noProof/>
        </w:rPr>
        <w:t>мента.</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Броят на включените сделки означава, че високото ниво на систематичнш предварителни проверки би било много скъпо. Поради това настоящата стратегия за контрол се базира на основани на риска предварителни проверки и последващи проверки за оценка на ни</w:t>
      </w:r>
      <w:r>
        <w:rPr>
          <w:noProof/>
        </w:rPr>
        <w:t>вото на грешките, както и за откриване и възстановяване на недопустими суми. Тъй като процентите на грешки са останали в рамките на установения диапазон, тази стратегия за контрол се счита за ефективна. Включено е по-нататъшно разработване на някои аспекти</w:t>
      </w:r>
      <w:r>
        <w:rPr>
          <w:noProof/>
        </w:rPr>
        <w:t xml:space="preserve">, например включването на одит на системи и процеси, но радикална промяна не се предлага. </w:t>
      </w:r>
    </w:p>
    <w:p w:rsidR="008209B4" w:rsidRDefault="00A54173">
      <w:pPr>
        <w:pStyle w:val="ManualHeading3"/>
        <w:rPr>
          <w:noProof/>
        </w:rPr>
      </w:pPr>
      <w:r>
        <w:rPr>
          <w:noProof/>
        </w:rPr>
        <w:t>2.2.3.</w:t>
      </w:r>
      <w:r>
        <w:rPr>
          <w:noProof/>
        </w:rPr>
        <w:tab/>
        <w:t>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w:t>
      </w:r>
      <w:r>
        <w:rPr>
          <w:noProof/>
        </w:rPr>
        <w:t xml:space="preserve">ната степен на риска от грешки (при плащане и при приключване)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По-стеснената прогнозна оценка на разходите на системата за контрол (оценка, подбор, управление на проекти, предварителни и последващи проверки) е в границите на 3—4 % при различните служби на</w:t>
      </w:r>
      <w:r>
        <w:rPr>
          <w:noProof/>
        </w:rPr>
        <w:t xml:space="preserve"> Комисията, отговарящи за осъществяването на предходните рамкови програми за 2017 г. (включително разходи за управлението на Седмата рамкова програма и „Хоризонт 2020“). Това се счита за разумен разход в контекста на усилията, необходими за гарантиране, че</w:t>
      </w:r>
      <w:r>
        <w:rPr>
          <w:noProof/>
        </w:rPr>
        <w:t xml:space="preserve"> целите са постигнати, и на броя на сделките.</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Очакваният риск от грешки при плащания за безвъзмездна финансова помощ с модел на финансиране, основан на възстановяването на недопустимите разходи, е 2,5—3,5 %. Рискът от допускане на грешки към момента на при</w:t>
      </w:r>
      <w:r>
        <w:rPr>
          <w:noProof/>
        </w:rPr>
        <w:t>ключване (след ефекта от проверките и корекциите) е около 2 % (но не непременно под това).</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Очакваният риск от грешки за безвъзмездните средства с модел, основаващ се на финансиране с еднократни суми, е близо до 0 % (при плащането и при приключването).</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Като</w:t>
      </w:r>
      <w:r>
        <w:rPr>
          <w:noProof/>
        </w:rPr>
        <w:t xml:space="preserve"> цяло може да се очаква процентът на грешки да зависи от баланса между двата метода на финансиране (с възстановяване на допустими разходи и с еднократни суми). Комисията има за цел да прилага модела на финансиране с еднократни суми, където това е уместно. </w:t>
      </w:r>
      <w:r>
        <w:rPr>
          <w:noProof/>
        </w:rPr>
        <w:t xml:space="preserve">Независимо от това, основният стимул за възприемане на финансирането с еднократни суми няма да бъде намаляване на процента на грешките, а постигането на всички цели на програмата.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Този сценарий се основава на допускането, че мерките за опростяване не под</w:t>
      </w:r>
      <w:r>
        <w:rPr>
          <w:noProof/>
        </w:rPr>
        <w:t>лежат на значителни изменения в рамките на процеса на вземане на решение.</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Бележка: този раздел се отнася само за процеса на управление на безвъзмездните средства (при различните режими на управление), като за административните и оперативните разходи по про</w:t>
      </w:r>
      <w:r>
        <w:rPr>
          <w:noProof/>
        </w:rPr>
        <w:t>цедури за обществени поръчки рискът от грешки при плащането и при приключването следва да е под 2 %.</w:t>
      </w:r>
    </w:p>
    <w:p w:rsidR="008209B4" w:rsidRDefault="00A54173">
      <w:pPr>
        <w:pStyle w:val="ManualHeading2"/>
        <w:rPr>
          <w:bCs/>
          <w:noProof/>
          <w:szCs w:val="24"/>
        </w:rPr>
      </w:pPr>
      <w:r>
        <w:rPr>
          <w:noProof/>
        </w:rPr>
        <w:t>2.3.</w:t>
      </w:r>
      <w:r>
        <w:rPr>
          <w:noProof/>
        </w:rPr>
        <w:tab/>
        <w:t xml:space="preserve">Мерки за предотвратяване на измами и нередности </w:t>
      </w:r>
    </w:p>
    <w:p w:rsidR="008209B4" w:rsidRDefault="00A54173">
      <w:pPr>
        <w:pStyle w:val="Text1"/>
        <w:rPr>
          <w:i/>
          <w:noProof/>
          <w:sz w:val="20"/>
        </w:rPr>
      </w:pPr>
      <w:r>
        <w:rPr>
          <w:i/>
          <w:noProof/>
          <w:sz w:val="20"/>
        </w:rPr>
        <w:t xml:space="preserve">Да се посочат съществуващите или планираните мерки за превенция и защита, например от стратегията за </w:t>
      </w:r>
      <w:r>
        <w:rPr>
          <w:i/>
          <w:noProof/>
          <w:sz w:val="20"/>
        </w:rPr>
        <w:t>борба с измамите.</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Службите, отговорни за изпълнението на бюджета за научни изследвания и иновации, решително ще се борят с измамите на всички етапи от процеса на управление на безвъзмездните средства. Те разработиха и прилагат стратегии за борба с измамите</w:t>
      </w:r>
      <w:r>
        <w:rPr>
          <w:noProof/>
        </w:rPr>
        <w:t>, включително по-интензивно добиване на информация, особено посредством съвременни информационнотенологични средства, обучение и информиране на персонала. Тези усилия ще продължат. Като цяло предложените мерки следва да окажат положително въздействие върху</w:t>
      </w:r>
      <w:r>
        <w:rPr>
          <w:noProof/>
        </w:rPr>
        <w:t xml:space="preserve"> борбата с измамите, в частност чрез поставеното по-силно ударение върху одита, основан на риска, и по-задълбочената научна оценка и контрол.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Текущата стратегия за борба с измамите на службите на Комисията, отговарящи за изпълнението на предходните рамков</w:t>
      </w:r>
      <w:r>
        <w:rPr>
          <w:noProof/>
        </w:rPr>
        <w:t xml:space="preserve">и програми, включващи безвъзмездни средства, както и стратегиите за борба с измамите във връзка с други разходи, ще бъдат актуализирани след преразглеждането на Стратегията на Комисията за борба с измамите през 2018 г. Това ще обхване също така рисковете, </w:t>
      </w:r>
      <w:r>
        <w:rPr>
          <w:noProof/>
        </w:rPr>
        <w:t>свързани финансирането с еднократни суми, при което има различни рискове, които трябва да бъдат взети под внимание.</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Следва да се подчертае, че установените измами са много малко спрямо общите разходи, но независимо от това генералните дирекции, отговорни з</w:t>
      </w:r>
      <w:r>
        <w:rPr>
          <w:noProof/>
        </w:rPr>
        <w:t xml:space="preserve">а изпълнението на бюджета за научни изследвания, запазват твърдата си решимост за борба с тях. </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Законодателството ще гарантира, че одитите и проверките на място могат да се извършват от службите на Комисията, включително ОЛАФ, като се използват стандартнит</w:t>
      </w:r>
      <w:r>
        <w:rPr>
          <w:noProof/>
        </w:rPr>
        <w:t>е разпоредби, препоръчани от OLAF.</w:t>
      </w:r>
    </w:p>
    <w:p w:rsidR="008209B4" w:rsidRDefault="008209B4">
      <w:pPr>
        <w:rPr>
          <w:noProof/>
        </w:rPr>
        <w:sectPr w:rsidR="008209B4" w:rsidSect="00A54173">
          <w:pgSz w:w="11907" w:h="16840" w:code="9"/>
          <w:pgMar w:top="1134" w:right="1418" w:bottom="1134" w:left="1418" w:header="709" w:footer="709" w:gutter="0"/>
          <w:cols w:space="708"/>
          <w:docGrid w:linePitch="360"/>
        </w:sectPr>
      </w:pPr>
    </w:p>
    <w:p w:rsidR="008209B4" w:rsidRDefault="00A54173">
      <w:pPr>
        <w:pStyle w:val="ManualHeading1"/>
        <w:rPr>
          <w:bCs/>
          <w:noProof/>
          <w:szCs w:val="24"/>
        </w:rPr>
      </w:pPr>
      <w:r>
        <w:rPr>
          <w:noProof/>
        </w:rPr>
        <w:t>3.</w:t>
      </w:r>
      <w:r>
        <w:rPr>
          <w:noProof/>
        </w:rPr>
        <w:tab/>
        <w:t xml:space="preserve">ОЧАКВАНО ФИНАНСОВО ОТРАЖЕНИЕ НА ПРЕДЛОЖЕНИЕТО/ИНИЦИАТИВАТА </w:t>
      </w:r>
    </w:p>
    <w:p w:rsidR="008209B4" w:rsidRDefault="00A54173">
      <w:pPr>
        <w:pStyle w:val="ManualHeading2"/>
        <w:rPr>
          <w:noProof/>
        </w:rPr>
      </w:pPr>
      <w:r>
        <w:rPr>
          <w:noProof/>
        </w:rPr>
        <w:t>3.1.</w:t>
      </w:r>
      <w:r>
        <w:rPr>
          <w:noProof/>
        </w:rPr>
        <w:tab/>
        <w:t xml:space="preserve">Функция от многогодишната финансова рамка и предложени нови разходни бюджетни редове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8209B4">
        <w:tc>
          <w:tcPr>
            <w:tcW w:w="1080" w:type="dxa"/>
            <w:vMerge w:val="restart"/>
            <w:vAlign w:val="center"/>
          </w:tcPr>
          <w:p w:rsidR="008209B4" w:rsidRDefault="00A54173">
            <w:pPr>
              <w:spacing w:before="60" w:after="60"/>
              <w:jc w:val="center"/>
              <w:rPr>
                <w:noProof/>
              </w:rPr>
            </w:pPr>
            <w:r>
              <w:rPr>
                <w:noProof/>
                <w:sz w:val="18"/>
              </w:rPr>
              <w:t>Функция от многогодишната финансова рамка</w:t>
            </w:r>
          </w:p>
        </w:tc>
        <w:tc>
          <w:tcPr>
            <w:tcW w:w="3960" w:type="dxa"/>
            <w:vAlign w:val="center"/>
          </w:tcPr>
          <w:p w:rsidR="008209B4" w:rsidRDefault="00A54173">
            <w:pPr>
              <w:spacing w:before="60" w:after="60"/>
              <w:jc w:val="center"/>
              <w:rPr>
                <w:noProof/>
              </w:rPr>
            </w:pPr>
            <w:r>
              <w:rPr>
                <w:noProof/>
                <w:sz w:val="20"/>
              </w:rPr>
              <w:t>Бюджетен ред</w:t>
            </w:r>
            <w:r>
              <w:rPr>
                <w:rStyle w:val="FootnoteReference"/>
                <w:noProof/>
              </w:rPr>
              <w:footnoteReference w:id="13"/>
            </w:r>
          </w:p>
        </w:tc>
        <w:tc>
          <w:tcPr>
            <w:tcW w:w="1080" w:type="dxa"/>
            <w:vAlign w:val="center"/>
          </w:tcPr>
          <w:p w:rsidR="008209B4" w:rsidRDefault="00A54173">
            <w:pPr>
              <w:spacing w:before="60" w:after="60"/>
              <w:jc w:val="center"/>
              <w:rPr>
                <w:noProof/>
              </w:rPr>
            </w:pPr>
            <w:r>
              <w:rPr>
                <w:noProof/>
                <w:sz w:val="18"/>
              </w:rPr>
              <w:t xml:space="preserve">Вид на </w:t>
            </w:r>
            <w:r>
              <w:rPr>
                <w:noProof/>
                <w:sz w:val="22"/>
              </w:rPr>
              <w:br/>
            </w:r>
            <w:r>
              <w:rPr>
                <w:noProof/>
                <w:sz w:val="18"/>
              </w:rPr>
              <w:t>разхода</w:t>
            </w:r>
          </w:p>
        </w:tc>
        <w:tc>
          <w:tcPr>
            <w:tcW w:w="4440" w:type="dxa"/>
            <w:gridSpan w:val="4"/>
            <w:vAlign w:val="center"/>
          </w:tcPr>
          <w:p w:rsidR="008209B4" w:rsidRDefault="00A54173">
            <w:pPr>
              <w:spacing w:before="60" w:after="60"/>
              <w:jc w:val="center"/>
              <w:rPr>
                <w:noProof/>
              </w:rPr>
            </w:pPr>
            <w:r>
              <w:rPr>
                <w:noProof/>
                <w:sz w:val="20"/>
              </w:rPr>
              <w:t xml:space="preserve">Финансов принос </w:t>
            </w:r>
          </w:p>
        </w:tc>
      </w:tr>
      <w:tr w:rsidR="008209B4">
        <w:tc>
          <w:tcPr>
            <w:tcW w:w="1080" w:type="dxa"/>
            <w:vMerge/>
            <w:vAlign w:val="center"/>
          </w:tcPr>
          <w:p w:rsidR="008209B4" w:rsidRDefault="008209B4">
            <w:pPr>
              <w:jc w:val="center"/>
              <w:rPr>
                <w:noProof/>
              </w:rPr>
            </w:pPr>
          </w:p>
        </w:tc>
        <w:tc>
          <w:tcPr>
            <w:tcW w:w="3960" w:type="dxa"/>
            <w:vAlign w:val="center"/>
          </w:tcPr>
          <w:p w:rsidR="008209B4" w:rsidRDefault="00A54173">
            <w:pPr>
              <w:rPr>
                <w:noProof/>
              </w:rPr>
            </w:pPr>
            <w:r>
              <w:rPr>
                <w:noProof/>
              </w:rPr>
              <w:t>Функция 1. Единен пазар, иновации и цифрова сфера</w:t>
            </w:r>
          </w:p>
        </w:tc>
        <w:tc>
          <w:tcPr>
            <w:tcW w:w="1080" w:type="dxa"/>
            <w:vAlign w:val="center"/>
          </w:tcPr>
          <w:p w:rsidR="008209B4" w:rsidRDefault="00A54173">
            <w:pPr>
              <w:jc w:val="center"/>
              <w:rPr>
                <w:noProof/>
              </w:rPr>
            </w:pPr>
            <w:r>
              <w:rPr>
                <w:noProof/>
                <w:sz w:val="18"/>
              </w:rPr>
              <w:t>Многогод./едногод</w:t>
            </w:r>
            <w:r>
              <w:rPr>
                <w:rStyle w:val="FootnoteReference"/>
                <w:noProof/>
              </w:rPr>
              <w:footnoteReference w:id="14"/>
            </w:r>
            <w:r>
              <w:rPr>
                <w:noProof/>
              </w:rPr>
              <w:t>.</w:t>
            </w:r>
          </w:p>
        </w:tc>
        <w:tc>
          <w:tcPr>
            <w:tcW w:w="956" w:type="dxa"/>
            <w:vAlign w:val="center"/>
          </w:tcPr>
          <w:p w:rsidR="008209B4" w:rsidRDefault="00A54173">
            <w:pPr>
              <w:jc w:val="center"/>
              <w:rPr>
                <w:noProof/>
              </w:rPr>
            </w:pPr>
            <w:r>
              <w:rPr>
                <w:noProof/>
                <w:sz w:val="18"/>
              </w:rPr>
              <w:t>от държави от ЕАСТ</w:t>
            </w:r>
            <w:r>
              <w:rPr>
                <w:rStyle w:val="FootnoteReference"/>
                <w:noProof/>
              </w:rPr>
              <w:footnoteReference w:id="15"/>
            </w:r>
          </w:p>
          <w:p w:rsidR="008209B4" w:rsidRDefault="008209B4">
            <w:pPr>
              <w:spacing w:before="0" w:after="0"/>
              <w:jc w:val="center"/>
              <w:rPr>
                <w:b/>
                <w:noProof/>
                <w:sz w:val="18"/>
              </w:rPr>
            </w:pPr>
          </w:p>
        </w:tc>
        <w:tc>
          <w:tcPr>
            <w:tcW w:w="1080" w:type="dxa"/>
            <w:vAlign w:val="center"/>
          </w:tcPr>
          <w:p w:rsidR="008209B4" w:rsidRDefault="00A54173">
            <w:pPr>
              <w:jc w:val="center"/>
              <w:rPr>
                <w:noProof/>
              </w:rPr>
            </w:pPr>
            <w:r>
              <w:rPr>
                <w:noProof/>
                <w:sz w:val="18"/>
              </w:rPr>
              <w:t>от държави кандидатки</w:t>
            </w:r>
            <w:r>
              <w:rPr>
                <w:rStyle w:val="FootnoteReference"/>
                <w:noProof/>
              </w:rPr>
              <w:footnoteReference w:id="16"/>
            </w:r>
          </w:p>
          <w:p w:rsidR="008209B4" w:rsidRDefault="008209B4">
            <w:pPr>
              <w:spacing w:before="0" w:after="0"/>
              <w:jc w:val="center"/>
              <w:rPr>
                <w:noProof/>
                <w:sz w:val="18"/>
              </w:rPr>
            </w:pPr>
          </w:p>
        </w:tc>
        <w:tc>
          <w:tcPr>
            <w:tcW w:w="956" w:type="dxa"/>
            <w:vAlign w:val="center"/>
          </w:tcPr>
          <w:p w:rsidR="008209B4" w:rsidRDefault="00A54173">
            <w:pPr>
              <w:jc w:val="center"/>
              <w:rPr>
                <w:noProof/>
                <w:sz w:val="18"/>
              </w:rPr>
            </w:pPr>
            <w:r>
              <w:rPr>
                <w:noProof/>
                <w:sz w:val="18"/>
              </w:rPr>
              <w:t>от трети държави</w:t>
            </w:r>
          </w:p>
        </w:tc>
        <w:tc>
          <w:tcPr>
            <w:tcW w:w="1448" w:type="dxa"/>
            <w:vAlign w:val="center"/>
          </w:tcPr>
          <w:p w:rsidR="008209B4" w:rsidRDefault="00A54173">
            <w:pPr>
              <w:jc w:val="center"/>
              <w:rPr>
                <w:noProof/>
              </w:rPr>
            </w:pPr>
            <w:r>
              <w:rPr>
                <w:noProof/>
                <w:sz w:val="16"/>
              </w:rPr>
              <w:t xml:space="preserve">по смисъла на член [21, параграф 2, буква б)] от Финансовия регламент </w:t>
            </w:r>
          </w:p>
        </w:tc>
      </w:tr>
      <w:tr w:rsidR="008209B4">
        <w:tc>
          <w:tcPr>
            <w:tcW w:w="1080" w:type="dxa"/>
            <w:vAlign w:val="center"/>
          </w:tcPr>
          <w:p w:rsidR="008209B4" w:rsidRDefault="00A54173">
            <w:pPr>
              <w:jc w:val="center"/>
              <w:rPr>
                <w:noProof/>
                <w:color w:val="0000FF"/>
              </w:rPr>
            </w:pPr>
            <w:r>
              <w:rPr>
                <w:noProof/>
              </w:rPr>
              <w:t>H1</w:t>
            </w:r>
          </w:p>
        </w:tc>
        <w:tc>
          <w:tcPr>
            <w:tcW w:w="3960" w:type="dxa"/>
            <w:vAlign w:val="center"/>
          </w:tcPr>
          <w:p w:rsidR="008209B4" w:rsidRDefault="008209B4">
            <w:pPr>
              <w:spacing w:before="60"/>
              <w:rPr>
                <w:noProof/>
              </w:rPr>
            </w:pPr>
          </w:p>
          <w:p w:rsidR="008209B4" w:rsidRDefault="00A54173">
            <w:pPr>
              <w:spacing w:before="60"/>
              <w:rPr>
                <w:noProof/>
              </w:rPr>
            </w:pPr>
            <w:r>
              <w:rPr>
                <w:noProof/>
              </w:rPr>
              <w:t>01.010101 Разходи, свързани с длъжностни лица и временно наети лица, изпълняващи програми за научни изследвания и иновации — „Хоризонт Европа“</w:t>
            </w:r>
          </w:p>
          <w:p w:rsidR="008209B4" w:rsidRDefault="00A54173">
            <w:pPr>
              <w:spacing w:before="60"/>
              <w:rPr>
                <w:noProof/>
              </w:rPr>
            </w:pPr>
            <w:r>
              <w:rPr>
                <w:noProof/>
              </w:rPr>
              <w:t>01.010102 Външен персонал, работещ по програми за научни изследвания и иновации — „Хоризонт Европа“</w:t>
            </w:r>
          </w:p>
          <w:p w:rsidR="008209B4" w:rsidRDefault="00A54173">
            <w:pPr>
              <w:spacing w:before="60"/>
              <w:rPr>
                <w:noProof/>
              </w:rPr>
            </w:pPr>
            <w:r>
              <w:rPr>
                <w:noProof/>
              </w:rPr>
              <w:t>01.010103 Др</w:t>
            </w:r>
            <w:r>
              <w:rPr>
                <w:noProof/>
              </w:rPr>
              <w:t>уги разходи за управление за програми за научни изследвания и иновации — „Хоризонт Европа“</w:t>
            </w:r>
          </w:p>
          <w:p w:rsidR="008209B4" w:rsidRDefault="008209B4">
            <w:pPr>
              <w:spacing w:before="60"/>
              <w:rPr>
                <w:noProof/>
              </w:rPr>
            </w:pPr>
          </w:p>
          <w:p w:rsidR="008209B4" w:rsidRDefault="00A54173">
            <w:pPr>
              <w:spacing w:before="60"/>
              <w:rPr>
                <w:noProof/>
              </w:rPr>
            </w:pPr>
            <w:r>
              <w:rPr>
                <w:noProof/>
              </w:rPr>
              <w:t>01.0201 Отворена наука</w:t>
            </w:r>
          </w:p>
          <w:p w:rsidR="008209B4" w:rsidRDefault="00A54173">
            <w:pPr>
              <w:spacing w:before="60"/>
              <w:rPr>
                <w:noProof/>
              </w:rPr>
            </w:pPr>
            <w:r>
              <w:rPr>
                <w:noProof/>
              </w:rPr>
              <w:t>01.0202 Глобални предизвикателства и конкурентоспособност на промишлеността</w:t>
            </w:r>
          </w:p>
          <w:p w:rsidR="008209B4" w:rsidRDefault="00A54173">
            <w:pPr>
              <w:spacing w:before="60"/>
              <w:rPr>
                <w:noProof/>
              </w:rPr>
            </w:pPr>
            <w:r>
              <w:rPr>
                <w:noProof/>
              </w:rPr>
              <w:t>01.0203 Отворени иновации</w:t>
            </w:r>
          </w:p>
          <w:p w:rsidR="008209B4" w:rsidRDefault="00A54173">
            <w:pPr>
              <w:spacing w:before="60"/>
              <w:rPr>
                <w:noProof/>
              </w:rPr>
            </w:pPr>
            <w:r>
              <w:rPr>
                <w:noProof/>
              </w:rPr>
              <w:t xml:space="preserve">01.0204 Укрепване на европейското </w:t>
            </w:r>
            <w:r>
              <w:rPr>
                <w:noProof/>
              </w:rPr>
              <w:t>научноизследователско пространство</w:t>
            </w:r>
          </w:p>
          <w:p w:rsidR="008209B4" w:rsidRDefault="008209B4">
            <w:pPr>
              <w:spacing w:after="60"/>
              <w:rPr>
                <w:noProof/>
              </w:rPr>
            </w:pPr>
          </w:p>
        </w:tc>
        <w:tc>
          <w:tcPr>
            <w:tcW w:w="1080" w:type="dxa"/>
          </w:tcPr>
          <w:p w:rsidR="008209B4" w:rsidRDefault="008209B4">
            <w:pPr>
              <w:jc w:val="center"/>
              <w:rPr>
                <w:noProof/>
                <w:sz w:val="22"/>
              </w:rPr>
            </w:pPr>
          </w:p>
          <w:p w:rsidR="008209B4" w:rsidRDefault="008209B4">
            <w:pPr>
              <w:jc w:val="center"/>
              <w:rPr>
                <w:noProof/>
                <w:sz w:val="22"/>
              </w:rPr>
            </w:pPr>
          </w:p>
          <w:p w:rsidR="008209B4" w:rsidRDefault="008209B4">
            <w:pPr>
              <w:jc w:val="center"/>
              <w:rPr>
                <w:noProof/>
                <w:sz w:val="22"/>
              </w:rPr>
            </w:pPr>
          </w:p>
          <w:p w:rsidR="008209B4" w:rsidRDefault="008209B4">
            <w:pPr>
              <w:jc w:val="center"/>
              <w:rPr>
                <w:noProof/>
                <w:sz w:val="22"/>
              </w:rPr>
            </w:pPr>
          </w:p>
          <w:p w:rsidR="008209B4" w:rsidRDefault="008209B4">
            <w:pPr>
              <w:jc w:val="center"/>
              <w:rPr>
                <w:noProof/>
                <w:sz w:val="22"/>
              </w:rPr>
            </w:pPr>
          </w:p>
          <w:p w:rsidR="008209B4" w:rsidRDefault="00A54173">
            <w:pPr>
              <w:jc w:val="center"/>
              <w:rPr>
                <w:noProof/>
                <w:sz w:val="22"/>
              </w:rPr>
            </w:pPr>
            <w:r>
              <w:rPr>
                <w:noProof/>
                <w:sz w:val="22"/>
              </w:rPr>
              <w:t>Едногод.</w:t>
            </w:r>
          </w:p>
          <w:p w:rsidR="008209B4" w:rsidRDefault="008209B4">
            <w:pPr>
              <w:jc w:val="center"/>
              <w:rPr>
                <w:noProof/>
                <w:sz w:val="22"/>
              </w:rPr>
            </w:pPr>
          </w:p>
          <w:p w:rsidR="008209B4" w:rsidRDefault="008209B4">
            <w:pPr>
              <w:jc w:val="center"/>
              <w:rPr>
                <w:noProof/>
                <w:sz w:val="22"/>
              </w:rPr>
            </w:pPr>
          </w:p>
          <w:p w:rsidR="008209B4" w:rsidRDefault="008209B4">
            <w:pPr>
              <w:jc w:val="center"/>
              <w:rPr>
                <w:noProof/>
                <w:sz w:val="22"/>
              </w:rPr>
            </w:pPr>
          </w:p>
          <w:p w:rsidR="008209B4" w:rsidRDefault="008209B4">
            <w:pPr>
              <w:jc w:val="center"/>
              <w:rPr>
                <w:noProof/>
                <w:sz w:val="22"/>
              </w:rPr>
            </w:pPr>
          </w:p>
          <w:p w:rsidR="008209B4" w:rsidRDefault="008209B4">
            <w:pPr>
              <w:jc w:val="center"/>
              <w:rPr>
                <w:noProof/>
                <w:sz w:val="22"/>
              </w:rPr>
            </w:pPr>
          </w:p>
          <w:p w:rsidR="008209B4" w:rsidRDefault="008209B4">
            <w:pPr>
              <w:jc w:val="center"/>
              <w:rPr>
                <w:noProof/>
                <w:sz w:val="22"/>
              </w:rPr>
            </w:pPr>
          </w:p>
          <w:p w:rsidR="008209B4" w:rsidRDefault="008209B4">
            <w:pPr>
              <w:jc w:val="center"/>
              <w:rPr>
                <w:noProof/>
                <w:sz w:val="22"/>
              </w:rPr>
            </w:pPr>
          </w:p>
          <w:p w:rsidR="008209B4" w:rsidRDefault="00A54173">
            <w:pPr>
              <w:jc w:val="center"/>
              <w:rPr>
                <w:noProof/>
                <w:color w:val="0000FF"/>
              </w:rPr>
            </w:pPr>
            <w:r>
              <w:rPr>
                <w:noProof/>
                <w:sz w:val="22"/>
              </w:rPr>
              <w:t>Многогод.</w:t>
            </w:r>
          </w:p>
        </w:tc>
        <w:tc>
          <w:tcPr>
            <w:tcW w:w="956" w:type="dxa"/>
            <w:vAlign w:val="center"/>
          </w:tcPr>
          <w:p w:rsidR="008209B4" w:rsidRDefault="00A54173">
            <w:pPr>
              <w:jc w:val="center"/>
              <w:rPr>
                <w:noProof/>
              </w:rPr>
            </w:pPr>
            <w:r>
              <w:rPr>
                <w:noProof/>
                <w:sz w:val="22"/>
              </w:rPr>
              <w:t>ДА</w:t>
            </w:r>
          </w:p>
        </w:tc>
        <w:tc>
          <w:tcPr>
            <w:tcW w:w="1080" w:type="dxa"/>
            <w:vAlign w:val="center"/>
          </w:tcPr>
          <w:p w:rsidR="008209B4" w:rsidRDefault="00A54173">
            <w:pPr>
              <w:jc w:val="center"/>
              <w:rPr>
                <w:noProof/>
              </w:rPr>
            </w:pPr>
            <w:r>
              <w:rPr>
                <w:noProof/>
                <w:sz w:val="22"/>
              </w:rPr>
              <w:t>ДА</w:t>
            </w:r>
          </w:p>
        </w:tc>
        <w:tc>
          <w:tcPr>
            <w:tcW w:w="956" w:type="dxa"/>
            <w:vAlign w:val="center"/>
          </w:tcPr>
          <w:p w:rsidR="008209B4" w:rsidRDefault="00A54173">
            <w:pPr>
              <w:jc w:val="center"/>
              <w:rPr>
                <w:noProof/>
              </w:rPr>
            </w:pPr>
            <w:r>
              <w:rPr>
                <w:noProof/>
                <w:sz w:val="22"/>
              </w:rPr>
              <w:t>ДА</w:t>
            </w:r>
          </w:p>
        </w:tc>
        <w:tc>
          <w:tcPr>
            <w:tcW w:w="1448" w:type="dxa"/>
            <w:vAlign w:val="center"/>
          </w:tcPr>
          <w:p w:rsidR="008209B4" w:rsidRDefault="00A54173">
            <w:pPr>
              <w:jc w:val="center"/>
              <w:rPr>
                <w:noProof/>
              </w:rPr>
            </w:pPr>
            <w:r>
              <w:rPr>
                <w:noProof/>
                <w:sz w:val="22"/>
              </w:rPr>
              <w:t>НЕ</w:t>
            </w:r>
          </w:p>
        </w:tc>
      </w:tr>
    </w:tbl>
    <w:p w:rsidR="008209B4" w:rsidRDefault="008209B4">
      <w:pPr>
        <w:rPr>
          <w:noProof/>
        </w:rPr>
        <w:sectPr w:rsidR="008209B4" w:rsidSect="00A54173">
          <w:pgSz w:w="11907" w:h="16840" w:code="1"/>
          <w:pgMar w:top="1134" w:right="1418" w:bottom="1134" w:left="1418" w:header="709" w:footer="709" w:gutter="0"/>
          <w:cols w:space="708"/>
          <w:docGrid w:linePitch="360"/>
        </w:sectPr>
      </w:pPr>
    </w:p>
    <w:p w:rsidR="008209B4" w:rsidRDefault="00A54173">
      <w:pPr>
        <w:pStyle w:val="ManualHeading2"/>
        <w:rPr>
          <w:bCs/>
          <w:noProof/>
          <w:szCs w:val="24"/>
        </w:rPr>
      </w:pPr>
      <w:r>
        <w:rPr>
          <w:noProof/>
        </w:rPr>
        <w:t>3.2.</w:t>
      </w:r>
      <w:r>
        <w:rPr>
          <w:noProof/>
        </w:rPr>
        <w:tab/>
        <w:t xml:space="preserve">Очаквано отражение върху разходите </w:t>
      </w:r>
    </w:p>
    <w:p w:rsidR="008209B4" w:rsidRDefault="00A54173">
      <w:pPr>
        <w:pStyle w:val="ManualHeading3"/>
        <w:rPr>
          <w:noProof/>
          <w:u w:val="single"/>
        </w:rPr>
      </w:pPr>
      <w:r>
        <w:rPr>
          <w:noProof/>
        </w:rPr>
        <w:t>3.2.1.</w:t>
      </w:r>
      <w:r>
        <w:rPr>
          <w:noProof/>
        </w:rPr>
        <w:tab/>
        <w:t xml:space="preserve">Обобщение на очакваното отражение върху разходите </w:t>
      </w:r>
    </w:p>
    <w:p w:rsidR="008209B4" w:rsidRDefault="00A54173">
      <w:pPr>
        <w:jc w:val="right"/>
        <w:rPr>
          <w:noProof/>
          <w:sz w:val="20"/>
        </w:rPr>
      </w:pPr>
      <w:r>
        <w:rPr>
          <w:noProof/>
          <w:sz w:val="20"/>
        </w:rPr>
        <w:t>млн. евро (до 3-тия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209B4">
        <w:trPr>
          <w:jc w:val="center"/>
        </w:trPr>
        <w:tc>
          <w:tcPr>
            <w:tcW w:w="4744" w:type="dxa"/>
            <w:shd w:val="thinDiagStripe" w:color="C0C0C0" w:fill="auto"/>
            <w:vAlign w:val="center"/>
          </w:tcPr>
          <w:p w:rsidR="008209B4" w:rsidRDefault="00A54173">
            <w:pPr>
              <w:spacing w:before="60" w:after="60"/>
              <w:jc w:val="center"/>
              <w:rPr>
                <w:b/>
                <w:noProof/>
              </w:rPr>
            </w:pPr>
            <w:r>
              <w:rPr>
                <w:b/>
                <w:noProof/>
                <w:sz w:val="22"/>
              </w:rPr>
              <w:t xml:space="preserve">Функция от многогодишната финансова </w:t>
            </w:r>
            <w:r>
              <w:rPr>
                <w:noProof/>
                <w:sz w:val="22"/>
              </w:rPr>
              <w:br/>
            </w:r>
            <w:r>
              <w:rPr>
                <w:b/>
                <w:noProof/>
                <w:sz w:val="22"/>
              </w:rPr>
              <w:t xml:space="preserve">рамка </w:t>
            </w:r>
          </w:p>
        </w:tc>
        <w:tc>
          <w:tcPr>
            <w:tcW w:w="1080" w:type="dxa"/>
            <w:vAlign w:val="center"/>
          </w:tcPr>
          <w:p w:rsidR="008209B4" w:rsidRDefault="00A54173">
            <w:pPr>
              <w:spacing w:before="60" w:after="60"/>
              <w:jc w:val="center"/>
              <w:rPr>
                <w:noProof/>
              </w:rPr>
            </w:pPr>
            <w:r>
              <w:rPr>
                <w:b/>
                <w:noProof/>
                <w:sz w:val="22"/>
              </w:rPr>
              <w:t>1</w:t>
            </w:r>
          </w:p>
        </w:tc>
        <w:tc>
          <w:tcPr>
            <w:tcW w:w="7817" w:type="dxa"/>
            <w:vAlign w:val="center"/>
          </w:tcPr>
          <w:p w:rsidR="008209B4" w:rsidRDefault="00A54173">
            <w:pPr>
              <w:spacing w:before="60" w:after="60"/>
              <w:rPr>
                <w:noProof/>
              </w:rPr>
            </w:pPr>
            <w:r>
              <w:rPr>
                <w:noProof/>
              </w:rPr>
              <w:t>Единен пазар, иновации и цифрова сфера</w:t>
            </w:r>
          </w:p>
        </w:tc>
      </w:tr>
    </w:tbl>
    <w:p w:rsidR="008209B4" w:rsidRDefault="008209B4">
      <w:pPr>
        <w:rPr>
          <w:noProof/>
          <w:sz w:val="16"/>
        </w:rPr>
      </w:pPr>
    </w:p>
    <w:tbl>
      <w:tblPr>
        <w:tblW w:w="14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1295"/>
        <w:gridCol w:w="705"/>
        <w:gridCol w:w="962"/>
        <w:gridCol w:w="848"/>
        <w:gridCol w:w="848"/>
        <w:gridCol w:w="848"/>
        <w:gridCol w:w="848"/>
        <w:gridCol w:w="848"/>
        <w:gridCol w:w="848"/>
        <w:gridCol w:w="1016"/>
        <w:gridCol w:w="1256"/>
        <w:gridCol w:w="356"/>
      </w:tblGrid>
      <w:tr w:rsidR="008209B4">
        <w:trPr>
          <w:gridAfter w:val="1"/>
          <w:wAfter w:w="356" w:type="dxa"/>
          <w:jc w:val="center"/>
        </w:trPr>
        <w:tc>
          <w:tcPr>
            <w:tcW w:w="5426" w:type="dxa"/>
            <w:gridSpan w:val="3"/>
            <w:tcBorders>
              <w:top w:val="nil"/>
              <w:left w:val="nil"/>
              <w:bottom w:val="nil"/>
              <w:right w:val="single" w:sz="4" w:space="0" w:color="auto"/>
            </w:tcBorders>
            <w:vAlign w:val="center"/>
          </w:tcPr>
          <w:p w:rsidR="008209B4" w:rsidRDefault="008209B4">
            <w:pPr>
              <w:jc w:val="center"/>
              <w:rPr>
                <w:b/>
                <w:noProof/>
                <w:sz w:val="14"/>
              </w:rPr>
            </w:pPr>
          </w:p>
        </w:tc>
        <w:tc>
          <w:tcPr>
            <w:tcW w:w="962" w:type="dxa"/>
            <w:tcBorders>
              <w:left w:val="single" w:sz="4" w:space="0" w:color="auto"/>
            </w:tcBorders>
            <w:vAlign w:val="center"/>
          </w:tcPr>
          <w:p w:rsidR="008209B4" w:rsidRDefault="00A54173">
            <w:pPr>
              <w:jc w:val="center"/>
              <w:rPr>
                <w:b/>
                <w:noProof/>
                <w:sz w:val="14"/>
              </w:rPr>
            </w:pPr>
            <w:r>
              <w:rPr>
                <w:b/>
                <w:noProof/>
                <w:sz w:val="14"/>
              </w:rPr>
              <w:t>2021</w:t>
            </w:r>
          </w:p>
        </w:tc>
        <w:tc>
          <w:tcPr>
            <w:tcW w:w="848" w:type="dxa"/>
            <w:vAlign w:val="center"/>
          </w:tcPr>
          <w:p w:rsidR="008209B4" w:rsidRDefault="00A54173">
            <w:pPr>
              <w:jc w:val="center"/>
              <w:rPr>
                <w:b/>
                <w:noProof/>
                <w:sz w:val="14"/>
              </w:rPr>
            </w:pPr>
            <w:r>
              <w:rPr>
                <w:b/>
                <w:noProof/>
                <w:sz w:val="14"/>
              </w:rPr>
              <w:t>2022</w:t>
            </w:r>
          </w:p>
        </w:tc>
        <w:tc>
          <w:tcPr>
            <w:tcW w:w="848" w:type="dxa"/>
            <w:vAlign w:val="center"/>
          </w:tcPr>
          <w:p w:rsidR="008209B4" w:rsidRDefault="00A54173">
            <w:pPr>
              <w:jc w:val="center"/>
              <w:rPr>
                <w:b/>
                <w:noProof/>
                <w:sz w:val="14"/>
              </w:rPr>
            </w:pPr>
            <w:r>
              <w:rPr>
                <w:b/>
                <w:noProof/>
                <w:sz w:val="14"/>
              </w:rPr>
              <w:t>2023</w:t>
            </w:r>
          </w:p>
        </w:tc>
        <w:tc>
          <w:tcPr>
            <w:tcW w:w="848" w:type="dxa"/>
            <w:vAlign w:val="center"/>
          </w:tcPr>
          <w:p w:rsidR="008209B4" w:rsidRDefault="00A54173">
            <w:pPr>
              <w:jc w:val="center"/>
              <w:rPr>
                <w:b/>
                <w:noProof/>
                <w:sz w:val="14"/>
              </w:rPr>
            </w:pPr>
            <w:r>
              <w:rPr>
                <w:b/>
                <w:noProof/>
                <w:sz w:val="14"/>
              </w:rPr>
              <w:t>2024</w:t>
            </w:r>
          </w:p>
        </w:tc>
        <w:tc>
          <w:tcPr>
            <w:tcW w:w="848" w:type="dxa"/>
            <w:vAlign w:val="center"/>
          </w:tcPr>
          <w:p w:rsidR="008209B4" w:rsidRDefault="00A54173">
            <w:pPr>
              <w:jc w:val="center"/>
              <w:rPr>
                <w:b/>
                <w:noProof/>
                <w:sz w:val="14"/>
              </w:rPr>
            </w:pPr>
            <w:r>
              <w:rPr>
                <w:b/>
                <w:noProof/>
                <w:sz w:val="14"/>
              </w:rPr>
              <w:t>2025</w:t>
            </w:r>
          </w:p>
        </w:tc>
        <w:tc>
          <w:tcPr>
            <w:tcW w:w="848" w:type="dxa"/>
            <w:vAlign w:val="center"/>
          </w:tcPr>
          <w:p w:rsidR="008209B4" w:rsidRDefault="00A54173">
            <w:pPr>
              <w:jc w:val="center"/>
              <w:rPr>
                <w:b/>
                <w:noProof/>
                <w:sz w:val="14"/>
              </w:rPr>
            </w:pPr>
            <w:r>
              <w:rPr>
                <w:b/>
                <w:noProof/>
                <w:sz w:val="14"/>
              </w:rPr>
              <w:t>2026</w:t>
            </w:r>
          </w:p>
        </w:tc>
        <w:tc>
          <w:tcPr>
            <w:tcW w:w="848" w:type="dxa"/>
            <w:vAlign w:val="center"/>
          </w:tcPr>
          <w:p w:rsidR="008209B4" w:rsidRDefault="00A54173">
            <w:pPr>
              <w:jc w:val="center"/>
              <w:rPr>
                <w:b/>
                <w:noProof/>
                <w:sz w:val="14"/>
              </w:rPr>
            </w:pPr>
            <w:r>
              <w:rPr>
                <w:b/>
                <w:noProof/>
                <w:sz w:val="14"/>
              </w:rPr>
              <w:t>2027</w:t>
            </w:r>
          </w:p>
        </w:tc>
        <w:tc>
          <w:tcPr>
            <w:tcW w:w="1016" w:type="dxa"/>
          </w:tcPr>
          <w:p w:rsidR="008209B4" w:rsidRDefault="00A54173">
            <w:pPr>
              <w:jc w:val="center"/>
              <w:rPr>
                <w:b/>
                <w:i/>
                <w:noProof/>
                <w:sz w:val="14"/>
              </w:rPr>
            </w:pPr>
            <w:r>
              <w:rPr>
                <w:b/>
                <w:i/>
                <w:noProof/>
                <w:sz w:val="14"/>
              </w:rPr>
              <w:t>След 2027</w:t>
            </w:r>
          </w:p>
        </w:tc>
        <w:tc>
          <w:tcPr>
            <w:tcW w:w="1256" w:type="dxa"/>
            <w:vAlign w:val="center"/>
          </w:tcPr>
          <w:p w:rsidR="008209B4" w:rsidRDefault="00A54173">
            <w:pPr>
              <w:jc w:val="center"/>
              <w:rPr>
                <w:b/>
                <w:noProof/>
                <w:sz w:val="14"/>
              </w:rPr>
            </w:pPr>
            <w:r>
              <w:rPr>
                <w:b/>
                <w:noProof/>
                <w:sz w:val="14"/>
              </w:rPr>
              <w:t>ОБЩО</w:t>
            </w:r>
          </w:p>
        </w:tc>
      </w:tr>
      <w:tr w:rsidR="008209B4">
        <w:trPr>
          <w:gridAfter w:val="1"/>
          <w:wAfter w:w="356" w:type="dxa"/>
          <w:trHeight w:val="433"/>
          <w:jc w:val="center"/>
        </w:trPr>
        <w:tc>
          <w:tcPr>
            <w:tcW w:w="3426" w:type="dxa"/>
            <w:vMerge w:val="restart"/>
            <w:vAlign w:val="center"/>
          </w:tcPr>
          <w:p w:rsidR="008209B4" w:rsidRDefault="00A54173">
            <w:pPr>
              <w:rPr>
                <w:noProof/>
                <w:sz w:val="16"/>
              </w:rPr>
            </w:pPr>
            <w:r>
              <w:rPr>
                <w:noProof/>
                <w:sz w:val="16"/>
              </w:rPr>
              <w:t>Бюджетни кредити за оперативни разходи</w:t>
            </w:r>
          </w:p>
        </w:tc>
        <w:tc>
          <w:tcPr>
            <w:tcW w:w="1295" w:type="dxa"/>
            <w:vAlign w:val="center"/>
          </w:tcPr>
          <w:p w:rsidR="008209B4" w:rsidRDefault="00A54173">
            <w:pPr>
              <w:spacing w:before="20" w:after="20"/>
              <w:jc w:val="left"/>
              <w:rPr>
                <w:noProof/>
                <w:sz w:val="16"/>
              </w:rPr>
            </w:pPr>
            <w:r>
              <w:rPr>
                <w:noProof/>
                <w:sz w:val="16"/>
              </w:rPr>
              <w:t>Поети задължения</w:t>
            </w:r>
          </w:p>
        </w:tc>
        <w:tc>
          <w:tcPr>
            <w:tcW w:w="705" w:type="dxa"/>
            <w:vAlign w:val="center"/>
          </w:tcPr>
          <w:p w:rsidR="008209B4" w:rsidRDefault="00A54173">
            <w:pPr>
              <w:spacing w:before="20" w:after="20"/>
              <w:jc w:val="center"/>
              <w:rPr>
                <w:noProof/>
                <w:sz w:val="14"/>
              </w:rPr>
            </w:pPr>
            <w:r>
              <w:rPr>
                <w:noProof/>
                <w:sz w:val="14"/>
              </w:rPr>
              <w:t>1)</w:t>
            </w:r>
          </w:p>
        </w:tc>
        <w:tc>
          <w:tcPr>
            <w:tcW w:w="962" w:type="dxa"/>
            <w:vAlign w:val="bottom"/>
          </w:tcPr>
          <w:p w:rsidR="008209B4" w:rsidRDefault="00A54173">
            <w:pPr>
              <w:spacing w:before="20" w:after="20"/>
              <w:jc w:val="right"/>
              <w:rPr>
                <w:b/>
                <w:noProof/>
                <w:sz w:val="14"/>
              </w:rPr>
            </w:pPr>
            <w:r>
              <w:rPr>
                <w:b/>
                <w:noProof/>
                <w:color w:val="000000"/>
                <w:sz w:val="14"/>
              </w:rPr>
              <w:t>11 825,394</w:t>
            </w:r>
          </w:p>
        </w:tc>
        <w:tc>
          <w:tcPr>
            <w:tcW w:w="848" w:type="dxa"/>
            <w:vAlign w:val="bottom"/>
          </w:tcPr>
          <w:p w:rsidR="008209B4" w:rsidRDefault="00A54173">
            <w:pPr>
              <w:spacing w:before="20" w:after="20"/>
              <w:jc w:val="right"/>
              <w:rPr>
                <w:b/>
                <w:noProof/>
                <w:sz w:val="14"/>
              </w:rPr>
            </w:pPr>
            <w:r>
              <w:rPr>
                <w:b/>
                <w:noProof/>
                <w:color w:val="000000"/>
                <w:sz w:val="14"/>
              </w:rPr>
              <w:t>12 064,784</w:t>
            </w:r>
          </w:p>
        </w:tc>
        <w:tc>
          <w:tcPr>
            <w:tcW w:w="848" w:type="dxa"/>
            <w:vAlign w:val="bottom"/>
          </w:tcPr>
          <w:p w:rsidR="008209B4" w:rsidRDefault="00A54173">
            <w:pPr>
              <w:spacing w:before="20" w:after="20"/>
              <w:jc w:val="right"/>
              <w:rPr>
                <w:b/>
                <w:noProof/>
                <w:sz w:val="14"/>
              </w:rPr>
            </w:pPr>
            <w:r>
              <w:rPr>
                <w:b/>
                <w:noProof/>
                <w:color w:val="000000"/>
                <w:sz w:val="14"/>
              </w:rPr>
              <w:t>12 307,891</w:t>
            </w:r>
          </w:p>
        </w:tc>
        <w:tc>
          <w:tcPr>
            <w:tcW w:w="848" w:type="dxa"/>
            <w:vAlign w:val="bottom"/>
          </w:tcPr>
          <w:p w:rsidR="008209B4" w:rsidRDefault="00A54173">
            <w:pPr>
              <w:spacing w:before="20" w:after="20"/>
              <w:jc w:val="right"/>
              <w:rPr>
                <w:b/>
                <w:noProof/>
                <w:sz w:val="14"/>
              </w:rPr>
            </w:pPr>
            <w:r>
              <w:rPr>
                <w:b/>
                <w:noProof/>
                <w:color w:val="000000"/>
                <w:sz w:val="14"/>
              </w:rPr>
              <w:t>12 556,625</w:t>
            </w:r>
          </w:p>
        </w:tc>
        <w:tc>
          <w:tcPr>
            <w:tcW w:w="848" w:type="dxa"/>
            <w:vAlign w:val="bottom"/>
          </w:tcPr>
          <w:p w:rsidR="008209B4" w:rsidRDefault="00A54173">
            <w:pPr>
              <w:spacing w:before="20" w:after="20"/>
              <w:jc w:val="right"/>
              <w:rPr>
                <w:b/>
                <w:noProof/>
                <w:sz w:val="14"/>
              </w:rPr>
            </w:pPr>
            <w:r>
              <w:rPr>
                <w:b/>
                <w:noProof/>
                <w:color w:val="000000"/>
                <w:sz w:val="14"/>
              </w:rPr>
              <w:t>12 812,890</w:t>
            </w:r>
          </w:p>
        </w:tc>
        <w:tc>
          <w:tcPr>
            <w:tcW w:w="848" w:type="dxa"/>
            <w:vAlign w:val="bottom"/>
          </w:tcPr>
          <w:p w:rsidR="008209B4" w:rsidRDefault="00A54173">
            <w:pPr>
              <w:spacing w:before="20" w:after="20"/>
              <w:jc w:val="right"/>
              <w:rPr>
                <w:b/>
                <w:noProof/>
                <w:sz w:val="14"/>
              </w:rPr>
            </w:pPr>
            <w:r>
              <w:rPr>
                <w:b/>
                <w:noProof/>
                <w:color w:val="000000"/>
                <w:sz w:val="14"/>
              </w:rPr>
              <w:t xml:space="preserve">13 </w:t>
            </w:r>
            <w:r>
              <w:rPr>
                <w:b/>
                <w:noProof/>
                <w:color w:val="000000"/>
                <w:sz w:val="14"/>
              </w:rPr>
              <w:t>070,006</w:t>
            </w:r>
          </w:p>
        </w:tc>
        <w:tc>
          <w:tcPr>
            <w:tcW w:w="848" w:type="dxa"/>
            <w:vAlign w:val="bottom"/>
          </w:tcPr>
          <w:p w:rsidR="008209B4" w:rsidRDefault="00A54173">
            <w:pPr>
              <w:spacing w:before="20" w:after="20"/>
              <w:jc w:val="right"/>
              <w:rPr>
                <w:b/>
                <w:noProof/>
                <w:sz w:val="14"/>
              </w:rPr>
            </w:pPr>
            <w:r>
              <w:rPr>
                <w:b/>
                <w:noProof/>
                <w:color w:val="000000"/>
                <w:sz w:val="14"/>
              </w:rPr>
              <w:t>13 336,556</w:t>
            </w:r>
          </w:p>
        </w:tc>
        <w:tc>
          <w:tcPr>
            <w:tcW w:w="1016" w:type="dxa"/>
            <w:shd w:val="clear" w:color="auto" w:fill="9D9398" w:themeFill="background1" w:themeFillShade="A6"/>
            <w:vAlign w:val="bottom"/>
          </w:tcPr>
          <w:p w:rsidR="008209B4" w:rsidRDefault="008209B4">
            <w:pPr>
              <w:spacing w:before="20" w:after="20"/>
              <w:jc w:val="right"/>
              <w:rPr>
                <w:b/>
                <w:noProof/>
                <w:sz w:val="14"/>
              </w:rPr>
            </w:pPr>
          </w:p>
        </w:tc>
        <w:tc>
          <w:tcPr>
            <w:tcW w:w="1256" w:type="dxa"/>
            <w:vAlign w:val="center"/>
          </w:tcPr>
          <w:p w:rsidR="008209B4" w:rsidRDefault="00A54173">
            <w:pPr>
              <w:spacing w:before="20" w:after="20"/>
              <w:jc w:val="right"/>
              <w:rPr>
                <w:b/>
                <w:noProof/>
                <w:sz w:val="14"/>
              </w:rPr>
            </w:pPr>
            <w:r>
              <w:rPr>
                <w:b/>
                <w:noProof/>
                <w:color w:val="000000"/>
                <w:sz w:val="14"/>
              </w:rPr>
              <w:t>87 974,145</w:t>
            </w:r>
          </w:p>
        </w:tc>
      </w:tr>
      <w:tr w:rsidR="008209B4">
        <w:trPr>
          <w:gridAfter w:val="1"/>
          <w:wAfter w:w="356" w:type="dxa"/>
          <w:trHeight w:val="411"/>
          <w:jc w:val="center"/>
        </w:trPr>
        <w:tc>
          <w:tcPr>
            <w:tcW w:w="3426" w:type="dxa"/>
            <w:vMerge/>
          </w:tcPr>
          <w:p w:rsidR="008209B4" w:rsidRDefault="008209B4">
            <w:pPr>
              <w:jc w:val="center"/>
              <w:rPr>
                <w:noProof/>
                <w:sz w:val="16"/>
              </w:rPr>
            </w:pPr>
          </w:p>
        </w:tc>
        <w:tc>
          <w:tcPr>
            <w:tcW w:w="1295" w:type="dxa"/>
            <w:vAlign w:val="center"/>
          </w:tcPr>
          <w:p w:rsidR="008209B4" w:rsidRDefault="00A54173">
            <w:pPr>
              <w:spacing w:before="20" w:after="20"/>
              <w:jc w:val="left"/>
              <w:rPr>
                <w:noProof/>
                <w:sz w:val="16"/>
              </w:rPr>
            </w:pPr>
            <w:r>
              <w:rPr>
                <w:noProof/>
                <w:sz w:val="16"/>
              </w:rPr>
              <w:t>Плащания</w:t>
            </w:r>
          </w:p>
        </w:tc>
        <w:tc>
          <w:tcPr>
            <w:tcW w:w="705" w:type="dxa"/>
            <w:vAlign w:val="center"/>
          </w:tcPr>
          <w:p w:rsidR="008209B4" w:rsidRDefault="00A54173">
            <w:pPr>
              <w:spacing w:before="20" w:after="20"/>
              <w:jc w:val="center"/>
              <w:rPr>
                <w:noProof/>
                <w:sz w:val="14"/>
              </w:rPr>
            </w:pPr>
            <w:r>
              <w:rPr>
                <w:noProof/>
                <w:sz w:val="14"/>
              </w:rPr>
              <w:t>2)</w:t>
            </w:r>
          </w:p>
        </w:tc>
        <w:tc>
          <w:tcPr>
            <w:tcW w:w="962" w:type="dxa"/>
            <w:vAlign w:val="bottom"/>
          </w:tcPr>
          <w:p w:rsidR="008209B4" w:rsidRDefault="00A54173">
            <w:pPr>
              <w:spacing w:before="20" w:after="20"/>
              <w:jc w:val="right"/>
              <w:rPr>
                <w:b/>
                <w:noProof/>
                <w:sz w:val="14"/>
              </w:rPr>
            </w:pPr>
            <w:r>
              <w:rPr>
                <w:b/>
                <w:noProof/>
                <w:color w:val="000000"/>
                <w:sz w:val="14"/>
              </w:rPr>
              <w:t>2 787,096</w:t>
            </w:r>
          </w:p>
        </w:tc>
        <w:tc>
          <w:tcPr>
            <w:tcW w:w="848" w:type="dxa"/>
            <w:vAlign w:val="bottom"/>
          </w:tcPr>
          <w:p w:rsidR="008209B4" w:rsidRDefault="00A54173">
            <w:pPr>
              <w:spacing w:before="20" w:after="20"/>
              <w:jc w:val="right"/>
              <w:rPr>
                <w:b/>
                <w:noProof/>
                <w:sz w:val="14"/>
              </w:rPr>
            </w:pPr>
            <w:r>
              <w:rPr>
                <w:b/>
                <w:noProof/>
                <w:color w:val="000000"/>
                <w:sz w:val="14"/>
              </w:rPr>
              <w:t>6 858,177</w:t>
            </w:r>
          </w:p>
        </w:tc>
        <w:tc>
          <w:tcPr>
            <w:tcW w:w="848" w:type="dxa"/>
            <w:vAlign w:val="bottom"/>
          </w:tcPr>
          <w:p w:rsidR="008209B4" w:rsidRDefault="00A54173">
            <w:pPr>
              <w:spacing w:before="20" w:after="20"/>
              <w:jc w:val="right"/>
              <w:rPr>
                <w:b/>
                <w:noProof/>
                <w:sz w:val="14"/>
              </w:rPr>
            </w:pPr>
            <w:r>
              <w:rPr>
                <w:b/>
                <w:noProof/>
                <w:color w:val="000000"/>
                <w:sz w:val="14"/>
              </w:rPr>
              <w:t>8 316,885</w:t>
            </w:r>
          </w:p>
        </w:tc>
        <w:tc>
          <w:tcPr>
            <w:tcW w:w="848" w:type="dxa"/>
            <w:vAlign w:val="bottom"/>
          </w:tcPr>
          <w:p w:rsidR="008209B4" w:rsidRDefault="00A54173">
            <w:pPr>
              <w:spacing w:before="20" w:after="20"/>
              <w:jc w:val="right"/>
              <w:rPr>
                <w:b/>
                <w:noProof/>
                <w:sz w:val="14"/>
              </w:rPr>
            </w:pPr>
            <w:r>
              <w:rPr>
                <w:b/>
                <w:noProof/>
                <w:color w:val="000000"/>
                <w:sz w:val="14"/>
              </w:rPr>
              <w:t>10 284,251</w:t>
            </w:r>
          </w:p>
        </w:tc>
        <w:tc>
          <w:tcPr>
            <w:tcW w:w="848" w:type="dxa"/>
            <w:vAlign w:val="bottom"/>
          </w:tcPr>
          <w:p w:rsidR="008209B4" w:rsidRDefault="00A54173">
            <w:pPr>
              <w:spacing w:before="20" w:after="20"/>
              <w:jc w:val="right"/>
              <w:rPr>
                <w:b/>
                <w:noProof/>
                <w:sz w:val="14"/>
              </w:rPr>
            </w:pPr>
            <w:r>
              <w:rPr>
                <w:b/>
                <w:noProof/>
                <w:color w:val="000000"/>
                <w:sz w:val="14"/>
              </w:rPr>
              <w:t>11 653,515</w:t>
            </w:r>
          </w:p>
        </w:tc>
        <w:tc>
          <w:tcPr>
            <w:tcW w:w="848" w:type="dxa"/>
            <w:vAlign w:val="bottom"/>
          </w:tcPr>
          <w:p w:rsidR="008209B4" w:rsidRDefault="00A54173">
            <w:pPr>
              <w:spacing w:before="20" w:after="20"/>
              <w:jc w:val="right"/>
              <w:rPr>
                <w:b/>
                <w:noProof/>
                <w:sz w:val="14"/>
              </w:rPr>
            </w:pPr>
            <w:r>
              <w:rPr>
                <w:b/>
                <w:noProof/>
                <w:color w:val="000000"/>
                <w:sz w:val="14"/>
              </w:rPr>
              <w:t>12 675,793</w:t>
            </w:r>
          </w:p>
        </w:tc>
        <w:tc>
          <w:tcPr>
            <w:tcW w:w="848" w:type="dxa"/>
            <w:vAlign w:val="bottom"/>
          </w:tcPr>
          <w:p w:rsidR="008209B4" w:rsidRDefault="00A54173">
            <w:pPr>
              <w:spacing w:before="20" w:after="20"/>
              <w:jc w:val="right"/>
              <w:rPr>
                <w:b/>
                <w:noProof/>
                <w:sz w:val="14"/>
              </w:rPr>
            </w:pPr>
            <w:r>
              <w:rPr>
                <w:b/>
                <w:noProof/>
                <w:color w:val="000000"/>
                <w:sz w:val="14"/>
              </w:rPr>
              <w:t>13 334,400</w:t>
            </w:r>
          </w:p>
        </w:tc>
        <w:tc>
          <w:tcPr>
            <w:tcW w:w="1016" w:type="dxa"/>
            <w:vAlign w:val="bottom"/>
          </w:tcPr>
          <w:p w:rsidR="008209B4" w:rsidRDefault="00A54173">
            <w:pPr>
              <w:spacing w:before="20" w:after="20"/>
              <w:jc w:val="right"/>
              <w:rPr>
                <w:b/>
                <w:noProof/>
                <w:sz w:val="14"/>
              </w:rPr>
            </w:pPr>
            <w:r>
              <w:rPr>
                <w:b/>
                <w:noProof/>
                <w:color w:val="000000"/>
                <w:sz w:val="14"/>
              </w:rPr>
              <w:t>22 064,028</w:t>
            </w:r>
          </w:p>
        </w:tc>
        <w:tc>
          <w:tcPr>
            <w:tcW w:w="1256" w:type="dxa"/>
            <w:vAlign w:val="center"/>
          </w:tcPr>
          <w:p w:rsidR="008209B4" w:rsidRDefault="00A54173">
            <w:pPr>
              <w:spacing w:before="20" w:after="20"/>
              <w:jc w:val="right"/>
              <w:rPr>
                <w:b/>
                <w:noProof/>
                <w:sz w:val="14"/>
              </w:rPr>
            </w:pPr>
            <w:r>
              <w:rPr>
                <w:b/>
                <w:noProof/>
                <w:color w:val="000000"/>
                <w:sz w:val="14"/>
              </w:rPr>
              <w:t>87 974,145</w:t>
            </w:r>
          </w:p>
        </w:tc>
      </w:tr>
      <w:tr w:rsidR="008209B4">
        <w:trPr>
          <w:trHeight w:val="411"/>
          <w:jc w:val="center"/>
        </w:trPr>
        <w:tc>
          <w:tcPr>
            <w:tcW w:w="3426" w:type="dxa"/>
            <w:vMerge w:val="restart"/>
            <w:vAlign w:val="center"/>
          </w:tcPr>
          <w:p w:rsidR="008209B4" w:rsidRDefault="00A54173">
            <w:pPr>
              <w:jc w:val="left"/>
              <w:rPr>
                <w:noProof/>
                <w:sz w:val="16"/>
              </w:rPr>
            </w:pPr>
            <w:r>
              <w:rPr>
                <w:noProof/>
                <w:sz w:val="16"/>
              </w:rPr>
              <w:t>01 02 01 Отворена наука</w:t>
            </w:r>
          </w:p>
        </w:tc>
        <w:tc>
          <w:tcPr>
            <w:tcW w:w="1295" w:type="dxa"/>
            <w:vAlign w:val="center"/>
          </w:tcPr>
          <w:p w:rsidR="008209B4" w:rsidRDefault="00A54173">
            <w:pPr>
              <w:spacing w:before="20" w:after="20"/>
              <w:jc w:val="left"/>
              <w:rPr>
                <w:noProof/>
                <w:sz w:val="16"/>
              </w:rPr>
            </w:pPr>
            <w:r>
              <w:rPr>
                <w:noProof/>
                <w:color w:val="000000"/>
                <w:sz w:val="16"/>
              </w:rPr>
              <w:t>Поети задължения</w:t>
            </w:r>
          </w:p>
        </w:tc>
        <w:tc>
          <w:tcPr>
            <w:tcW w:w="705" w:type="dxa"/>
            <w:vAlign w:val="center"/>
          </w:tcPr>
          <w:p w:rsidR="008209B4" w:rsidRDefault="00A54173">
            <w:pPr>
              <w:spacing w:before="20" w:after="20"/>
              <w:jc w:val="center"/>
              <w:rPr>
                <w:noProof/>
                <w:sz w:val="14"/>
              </w:rPr>
            </w:pPr>
            <w:r>
              <w:rPr>
                <w:noProof/>
                <w:color w:val="000000"/>
                <w:sz w:val="14"/>
              </w:rPr>
              <w:t>1а)</w:t>
            </w:r>
          </w:p>
        </w:tc>
        <w:tc>
          <w:tcPr>
            <w:tcW w:w="962" w:type="dxa"/>
            <w:vAlign w:val="center"/>
          </w:tcPr>
          <w:p w:rsidR="008209B4" w:rsidRDefault="00A54173">
            <w:pPr>
              <w:spacing w:before="20" w:after="20"/>
              <w:jc w:val="right"/>
              <w:rPr>
                <w:noProof/>
                <w:sz w:val="14"/>
              </w:rPr>
            </w:pPr>
            <w:r>
              <w:rPr>
                <w:noProof/>
                <w:color w:val="000000"/>
                <w:sz w:val="14"/>
              </w:rPr>
              <w:t>3 308,230</w:t>
            </w:r>
          </w:p>
        </w:tc>
        <w:tc>
          <w:tcPr>
            <w:tcW w:w="848" w:type="dxa"/>
            <w:vAlign w:val="center"/>
          </w:tcPr>
          <w:p w:rsidR="008209B4" w:rsidRDefault="00A54173">
            <w:pPr>
              <w:spacing w:before="20" w:after="20"/>
              <w:jc w:val="right"/>
              <w:rPr>
                <w:noProof/>
                <w:sz w:val="14"/>
              </w:rPr>
            </w:pPr>
            <w:r>
              <w:rPr>
                <w:noProof/>
                <w:color w:val="000000"/>
                <w:sz w:val="14"/>
              </w:rPr>
              <w:t>3 375,270</w:t>
            </w:r>
          </w:p>
        </w:tc>
        <w:tc>
          <w:tcPr>
            <w:tcW w:w="848" w:type="dxa"/>
            <w:vAlign w:val="center"/>
          </w:tcPr>
          <w:p w:rsidR="008209B4" w:rsidRDefault="00A54173">
            <w:pPr>
              <w:spacing w:before="20" w:after="20"/>
              <w:jc w:val="right"/>
              <w:rPr>
                <w:noProof/>
                <w:sz w:val="14"/>
              </w:rPr>
            </w:pPr>
            <w:r>
              <w:rPr>
                <w:noProof/>
                <w:color w:val="000000"/>
                <w:sz w:val="14"/>
              </w:rPr>
              <w:t>3 443,480</w:t>
            </w:r>
          </w:p>
        </w:tc>
        <w:tc>
          <w:tcPr>
            <w:tcW w:w="848" w:type="dxa"/>
            <w:vAlign w:val="center"/>
          </w:tcPr>
          <w:p w:rsidR="008209B4" w:rsidRDefault="00A54173">
            <w:pPr>
              <w:spacing w:before="20" w:after="20"/>
              <w:jc w:val="right"/>
              <w:rPr>
                <w:noProof/>
                <w:sz w:val="14"/>
              </w:rPr>
            </w:pPr>
            <w:r>
              <w:rPr>
                <w:noProof/>
                <w:color w:val="000000"/>
                <w:sz w:val="14"/>
              </w:rPr>
              <w:t>3 513,155</w:t>
            </w:r>
          </w:p>
        </w:tc>
        <w:tc>
          <w:tcPr>
            <w:tcW w:w="848" w:type="dxa"/>
            <w:vAlign w:val="center"/>
          </w:tcPr>
          <w:p w:rsidR="008209B4" w:rsidRDefault="00A54173">
            <w:pPr>
              <w:spacing w:before="20" w:after="20"/>
              <w:jc w:val="right"/>
              <w:rPr>
                <w:noProof/>
                <w:sz w:val="14"/>
              </w:rPr>
            </w:pPr>
            <w:r>
              <w:rPr>
                <w:noProof/>
                <w:color w:val="000000"/>
                <w:sz w:val="14"/>
              </w:rPr>
              <w:t>3 584,895</w:t>
            </w:r>
          </w:p>
        </w:tc>
        <w:tc>
          <w:tcPr>
            <w:tcW w:w="848" w:type="dxa"/>
            <w:vAlign w:val="center"/>
          </w:tcPr>
          <w:p w:rsidR="008209B4" w:rsidRDefault="00A54173">
            <w:pPr>
              <w:spacing w:before="20" w:after="20"/>
              <w:jc w:val="right"/>
              <w:rPr>
                <w:noProof/>
                <w:sz w:val="14"/>
              </w:rPr>
            </w:pPr>
            <w:r>
              <w:rPr>
                <w:noProof/>
                <w:color w:val="000000"/>
                <w:sz w:val="14"/>
              </w:rPr>
              <w:t>3 656,900</w:t>
            </w:r>
          </w:p>
        </w:tc>
        <w:tc>
          <w:tcPr>
            <w:tcW w:w="848" w:type="dxa"/>
            <w:vAlign w:val="center"/>
          </w:tcPr>
          <w:p w:rsidR="008209B4" w:rsidRDefault="00A54173">
            <w:pPr>
              <w:spacing w:before="20" w:after="20"/>
              <w:jc w:val="right"/>
              <w:rPr>
                <w:b/>
                <w:noProof/>
                <w:sz w:val="14"/>
              </w:rPr>
            </w:pPr>
            <w:r>
              <w:rPr>
                <w:noProof/>
                <w:color w:val="000000"/>
                <w:sz w:val="14"/>
              </w:rPr>
              <w:t>3 731,270</w:t>
            </w:r>
          </w:p>
        </w:tc>
        <w:tc>
          <w:tcPr>
            <w:tcW w:w="1016" w:type="dxa"/>
            <w:shd w:val="clear" w:color="auto" w:fill="9D9398" w:themeFill="background1" w:themeFillShade="A6"/>
            <w:vAlign w:val="center"/>
          </w:tcPr>
          <w:p w:rsidR="008209B4" w:rsidRDefault="00A54173">
            <w:pPr>
              <w:spacing w:before="20" w:after="20"/>
              <w:jc w:val="right"/>
              <w:rPr>
                <w:b/>
                <w:noProof/>
                <w:sz w:val="14"/>
              </w:rPr>
            </w:pPr>
            <w:r>
              <w:rPr>
                <w:noProof/>
                <w:color w:val="000000"/>
                <w:sz w:val="14"/>
              </w:rPr>
              <w:t> </w:t>
            </w:r>
          </w:p>
        </w:tc>
        <w:tc>
          <w:tcPr>
            <w:tcW w:w="1612" w:type="dxa"/>
            <w:gridSpan w:val="2"/>
            <w:vAlign w:val="center"/>
          </w:tcPr>
          <w:p w:rsidR="008209B4" w:rsidRDefault="00A54173">
            <w:pPr>
              <w:spacing w:before="20" w:after="20"/>
              <w:jc w:val="right"/>
              <w:rPr>
                <w:b/>
                <w:noProof/>
                <w:sz w:val="14"/>
              </w:rPr>
            </w:pPr>
            <w:r>
              <w:rPr>
                <w:b/>
                <w:noProof/>
                <w:color w:val="000000"/>
                <w:sz w:val="14"/>
              </w:rPr>
              <w:t>24 613,200</w:t>
            </w:r>
          </w:p>
        </w:tc>
      </w:tr>
      <w:tr w:rsidR="008209B4">
        <w:trPr>
          <w:trHeight w:val="411"/>
          <w:jc w:val="center"/>
        </w:trPr>
        <w:tc>
          <w:tcPr>
            <w:tcW w:w="3426" w:type="dxa"/>
            <w:vMerge/>
            <w:vAlign w:val="center"/>
          </w:tcPr>
          <w:p w:rsidR="008209B4" w:rsidRDefault="008209B4">
            <w:pPr>
              <w:jc w:val="left"/>
              <w:rPr>
                <w:noProof/>
                <w:sz w:val="16"/>
              </w:rPr>
            </w:pPr>
          </w:p>
        </w:tc>
        <w:tc>
          <w:tcPr>
            <w:tcW w:w="1295" w:type="dxa"/>
            <w:vAlign w:val="center"/>
          </w:tcPr>
          <w:p w:rsidR="008209B4" w:rsidRDefault="00A54173">
            <w:pPr>
              <w:spacing w:before="20" w:after="20"/>
              <w:jc w:val="left"/>
              <w:rPr>
                <w:noProof/>
                <w:sz w:val="16"/>
              </w:rPr>
            </w:pPr>
            <w:r>
              <w:rPr>
                <w:noProof/>
                <w:color w:val="000000"/>
                <w:sz w:val="16"/>
              </w:rPr>
              <w:t>Плащания</w:t>
            </w:r>
          </w:p>
        </w:tc>
        <w:tc>
          <w:tcPr>
            <w:tcW w:w="705" w:type="dxa"/>
            <w:vAlign w:val="center"/>
          </w:tcPr>
          <w:p w:rsidR="008209B4" w:rsidRDefault="00A54173">
            <w:pPr>
              <w:spacing w:before="20" w:after="20"/>
              <w:jc w:val="center"/>
              <w:rPr>
                <w:noProof/>
                <w:sz w:val="14"/>
              </w:rPr>
            </w:pPr>
            <w:r>
              <w:rPr>
                <w:noProof/>
                <w:color w:val="000000"/>
                <w:sz w:val="14"/>
              </w:rPr>
              <w:t>2a)</w:t>
            </w:r>
          </w:p>
        </w:tc>
        <w:tc>
          <w:tcPr>
            <w:tcW w:w="962" w:type="dxa"/>
            <w:vAlign w:val="center"/>
          </w:tcPr>
          <w:p w:rsidR="008209B4" w:rsidRDefault="00A54173">
            <w:pPr>
              <w:spacing w:before="20" w:after="20"/>
              <w:jc w:val="right"/>
              <w:rPr>
                <w:noProof/>
                <w:sz w:val="14"/>
              </w:rPr>
            </w:pPr>
            <w:r>
              <w:rPr>
                <w:noProof/>
                <w:color w:val="000000"/>
                <w:sz w:val="14"/>
              </w:rPr>
              <w:t>779,708</w:t>
            </w:r>
          </w:p>
        </w:tc>
        <w:tc>
          <w:tcPr>
            <w:tcW w:w="848" w:type="dxa"/>
            <w:vAlign w:val="center"/>
          </w:tcPr>
          <w:p w:rsidR="008209B4" w:rsidRDefault="00A54173">
            <w:pPr>
              <w:spacing w:before="20" w:after="20"/>
              <w:jc w:val="right"/>
              <w:rPr>
                <w:noProof/>
                <w:sz w:val="14"/>
              </w:rPr>
            </w:pPr>
            <w:r>
              <w:rPr>
                <w:noProof/>
                <w:color w:val="000000"/>
                <w:sz w:val="14"/>
              </w:rPr>
              <w:t>1 918,658</w:t>
            </w:r>
          </w:p>
        </w:tc>
        <w:tc>
          <w:tcPr>
            <w:tcW w:w="848" w:type="dxa"/>
            <w:vAlign w:val="center"/>
          </w:tcPr>
          <w:p w:rsidR="008209B4" w:rsidRDefault="00A54173">
            <w:pPr>
              <w:spacing w:before="20" w:after="20"/>
              <w:jc w:val="right"/>
              <w:rPr>
                <w:noProof/>
                <w:sz w:val="14"/>
              </w:rPr>
            </w:pPr>
            <w:r>
              <w:rPr>
                <w:noProof/>
                <w:color w:val="000000"/>
                <w:sz w:val="14"/>
              </w:rPr>
              <w:t>2 326,884</w:t>
            </w:r>
          </w:p>
        </w:tc>
        <w:tc>
          <w:tcPr>
            <w:tcW w:w="848" w:type="dxa"/>
            <w:vAlign w:val="center"/>
          </w:tcPr>
          <w:p w:rsidR="008209B4" w:rsidRDefault="00A54173">
            <w:pPr>
              <w:spacing w:before="20" w:after="20"/>
              <w:jc w:val="right"/>
              <w:rPr>
                <w:noProof/>
                <w:sz w:val="14"/>
              </w:rPr>
            </w:pPr>
            <w:r>
              <w:rPr>
                <w:noProof/>
                <w:color w:val="000000"/>
                <w:sz w:val="14"/>
              </w:rPr>
              <w:t>2 877,379</w:t>
            </w:r>
          </w:p>
        </w:tc>
        <w:tc>
          <w:tcPr>
            <w:tcW w:w="848" w:type="dxa"/>
            <w:vAlign w:val="center"/>
          </w:tcPr>
          <w:p w:rsidR="008209B4" w:rsidRDefault="00A54173">
            <w:pPr>
              <w:spacing w:before="20" w:after="20"/>
              <w:jc w:val="right"/>
              <w:rPr>
                <w:noProof/>
                <w:sz w:val="14"/>
              </w:rPr>
            </w:pPr>
            <w:r>
              <w:rPr>
                <w:noProof/>
                <w:color w:val="000000"/>
                <w:sz w:val="14"/>
              </w:rPr>
              <w:t>3 260,516</w:t>
            </w:r>
          </w:p>
        </w:tc>
        <w:tc>
          <w:tcPr>
            <w:tcW w:w="848" w:type="dxa"/>
            <w:vAlign w:val="center"/>
          </w:tcPr>
          <w:p w:rsidR="008209B4" w:rsidRDefault="00A54173">
            <w:pPr>
              <w:spacing w:before="20" w:after="20"/>
              <w:jc w:val="right"/>
              <w:rPr>
                <w:noProof/>
                <w:sz w:val="14"/>
              </w:rPr>
            </w:pPr>
            <w:r>
              <w:rPr>
                <w:noProof/>
                <w:color w:val="000000"/>
                <w:sz w:val="14"/>
              </w:rPr>
              <w:t>3 546,602</w:t>
            </w:r>
          </w:p>
        </w:tc>
        <w:tc>
          <w:tcPr>
            <w:tcW w:w="848" w:type="dxa"/>
            <w:vAlign w:val="center"/>
          </w:tcPr>
          <w:p w:rsidR="008209B4" w:rsidRDefault="00A54173">
            <w:pPr>
              <w:spacing w:before="20" w:after="20"/>
              <w:jc w:val="right"/>
              <w:rPr>
                <w:b/>
                <w:noProof/>
                <w:sz w:val="14"/>
              </w:rPr>
            </w:pPr>
            <w:r>
              <w:rPr>
                <w:noProof/>
                <w:color w:val="000000"/>
                <w:sz w:val="14"/>
              </w:rPr>
              <w:t>3 730,666</w:t>
            </w:r>
          </w:p>
        </w:tc>
        <w:tc>
          <w:tcPr>
            <w:tcW w:w="1016" w:type="dxa"/>
            <w:vAlign w:val="center"/>
          </w:tcPr>
          <w:p w:rsidR="008209B4" w:rsidRDefault="00A54173">
            <w:pPr>
              <w:spacing w:before="20" w:after="20"/>
              <w:jc w:val="right"/>
              <w:rPr>
                <w:b/>
                <w:noProof/>
                <w:sz w:val="14"/>
              </w:rPr>
            </w:pPr>
            <w:r>
              <w:rPr>
                <w:noProof/>
                <w:color w:val="000000"/>
                <w:sz w:val="14"/>
              </w:rPr>
              <w:t>6 172,787</w:t>
            </w:r>
          </w:p>
        </w:tc>
        <w:tc>
          <w:tcPr>
            <w:tcW w:w="1612" w:type="dxa"/>
            <w:gridSpan w:val="2"/>
            <w:vAlign w:val="center"/>
          </w:tcPr>
          <w:p w:rsidR="008209B4" w:rsidRDefault="00A54173">
            <w:pPr>
              <w:spacing w:before="20" w:after="20"/>
              <w:jc w:val="right"/>
              <w:rPr>
                <w:b/>
                <w:noProof/>
                <w:sz w:val="14"/>
              </w:rPr>
            </w:pPr>
            <w:r>
              <w:rPr>
                <w:b/>
                <w:noProof/>
                <w:color w:val="000000"/>
                <w:sz w:val="14"/>
              </w:rPr>
              <w:t>24 613,200</w:t>
            </w:r>
          </w:p>
        </w:tc>
      </w:tr>
      <w:tr w:rsidR="008209B4">
        <w:trPr>
          <w:trHeight w:val="411"/>
          <w:jc w:val="center"/>
        </w:trPr>
        <w:tc>
          <w:tcPr>
            <w:tcW w:w="3426" w:type="dxa"/>
            <w:vMerge w:val="restart"/>
            <w:vAlign w:val="center"/>
          </w:tcPr>
          <w:p w:rsidR="008209B4" w:rsidRDefault="00A54173">
            <w:pPr>
              <w:jc w:val="left"/>
              <w:rPr>
                <w:noProof/>
                <w:sz w:val="16"/>
              </w:rPr>
            </w:pPr>
            <w:r>
              <w:rPr>
                <w:noProof/>
                <w:sz w:val="16"/>
              </w:rPr>
              <w:t>01 02 02 Глобални предизвикателства и конкурентоспособност на промишлеността</w:t>
            </w:r>
          </w:p>
        </w:tc>
        <w:tc>
          <w:tcPr>
            <w:tcW w:w="1295" w:type="dxa"/>
            <w:vAlign w:val="center"/>
          </w:tcPr>
          <w:p w:rsidR="008209B4" w:rsidRDefault="00A54173">
            <w:pPr>
              <w:spacing w:before="20" w:after="20"/>
              <w:jc w:val="left"/>
              <w:rPr>
                <w:noProof/>
                <w:sz w:val="16"/>
              </w:rPr>
            </w:pPr>
            <w:r>
              <w:rPr>
                <w:noProof/>
                <w:color w:val="000000"/>
                <w:sz w:val="16"/>
              </w:rPr>
              <w:t>Поети задължения</w:t>
            </w:r>
          </w:p>
        </w:tc>
        <w:tc>
          <w:tcPr>
            <w:tcW w:w="705" w:type="dxa"/>
            <w:vAlign w:val="center"/>
          </w:tcPr>
          <w:p w:rsidR="008209B4" w:rsidRDefault="00A54173">
            <w:pPr>
              <w:spacing w:before="20" w:after="20"/>
              <w:jc w:val="center"/>
              <w:rPr>
                <w:noProof/>
                <w:sz w:val="14"/>
              </w:rPr>
            </w:pPr>
            <w:r>
              <w:rPr>
                <w:noProof/>
                <w:color w:val="000000"/>
                <w:sz w:val="14"/>
              </w:rPr>
              <w:t>1b)</w:t>
            </w:r>
          </w:p>
        </w:tc>
        <w:tc>
          <w:tcPr>
            <w:tcW w:w="962" w:type="dxa"/>
            <w:vAlign w:val="center"/>
          </w:tcPr>
          <w:p w:rsidR="008209B4" w:rsidRDefault="00A54173">
            <w:pPr>
              <w:spacing w:before="20" w:after="20"/>
              <w:jc w:val="right"/>
              <w:rPr>
                <w:noProof/>
                <w:sz w:val="14"/>
              </w:rPr>
            </w:pPr>
            <w:r>
              <w:rPr>
                <w:noProof/>
                <w:color w:val="000000"/>
                <w:sz w:val="14"/>
              </w:rPr>
              <w:t>6 516,841</w:t>
            </w:r>
          </w:p>
        </w:tc>
        <w:tc>
          <w:tcPr>
            <w:tcW w:w="848" w:type="dxa"/>
            <w:vAlign w:val="center"/>
          </w:tcPr>
          <w:p w:rsidR="008209B4" w:rsidRDefault="00A54173">
            <w:pPr>
              <w:spacing w:before="20" w:after="20"/>
              <w:jc w:val="right"/>
              <w:rPr>
                <w:noProof/>
                <w:sz w:val="14"/>
              </w:rPr>
            </w:pPr>
            <w:r>
              <w:rPr>
                <w:noProof/>
                <w:color w:val="000000"/>
                <w:sz w:val="14"/>
              </w:rPr>
              <w:t>6 648,652</w:t>
            </w:r>
          </w:p>
        </w:tc>
        <w:tc>
          <w:tcPr>
            <w:tcW w:w="848" w:type="dxa"/>
            <w:vAlign w:val="center"/>
          </w:tcPr>
          <w:p w:rsidR="008209B4" w:rsidRDefault="00A54173">
            <w:pPr>
              <w:spacing w:before="20" w:after="20"/>
              <w:jc w:val="right"/>
              <w:rPr>
                <w:noProof/>
                <w:sz w:val="14"/>
              </w:rPr>
            </w:pPr>
            <w:r>
              <w:rPr>
                <w:noProof/>
                <w:color w:val="000000"/>
                <w:sz w:val="14"/>
              </w:rPr>
              <w:t>6 782,307</w:t>
            </w:r>
          </w:p>
        </w:tc>
        <w:tc>
          <w:tcPr>
            <w:tcW w:w="848" w:type="dxa"/>
            <w:vAlign w:val="center"/>
          </w:tcPr>
          <w:p w:rsidR="008209B4" w:rsidRDefault="00A54173">
            <w:pPr>
              <w:spacing w:before="20" w:after="20"/>
              <w:jc w:val="right"/>
              <w:rPr>
                <w:noProof/>
                <w:sz w:val="14"/>
              </w:rPr>
            </w:pPr>
            <w:r>
              <w:rPr>
                <w:noProof/>
                <w:color w:val="000000"/>
                <w:sz w:val="14"/>
              </w:rPr>
              <w:t>6 919,237</w:t>
            </w:r>
          </w:p>
        </w:tc>
        <w:tc>
          <w:tcPr>
            <w:tcW w:w="848" w:type="dxa"/>
            <w:vAlign w:val="center"/>
          </w:tcPr>
          <w:p w:rsidR="008209B4" w:rsidRDefault="00A54173">
            <w:pPr>
              <w:spacing w:before="20" w:after="20"/>
              <w:jc w:val="right"/>
              <w:rPr>
                <w:noProof/>
                <w:sz w:val="14"/>
              </w:rPr>
            </w:pPr>
            <w:r>
              <w:rPr>
                <w:noProof/>
                <w:color w:val="000000"/>
                <w:sz w:val="14"/>
              </w:rPr>
              <w:t>7 060,382</w:t>
            </w:r>
          </w:p>
        </w:tc>
        <w:tc>
          <w:tcPr>
            <w:tcW w:w="848" w:type="dxa"/>
            <w:vAlign w:val="center"/>
          </w:tcPr>
          <w:p w:rsidR="008209B4" w:rsidRDefault="00A54173">
            <w:pPr>
              <w:spacing w:before="20" w:after="20"/>
              <w:jc w:val="right"/>
              <w:rPr>
                <w:noProof/>
                <w:sz w:val="14"/>
              </w:rPr>
            </w:pPr>
            <w:r>
              <w:rPr>
                <w:noProof/>
                <w:color w:val="000000"/>
                <w:sz w:val="14"/>
              </w:rPr>
              <w:t>7 201,957</w:t>
            </w:r>
          </w:p>
        </w:tc>
        <w:tc>
          <w:tcPr>
            <w:tcW w:w="848" w:type="dxa"/>
            <w:vAlign w:val="center"/>
          </w:tcPr>
          <w:p w:rsidR="008209B4" w:rsidRDefault="00A54173">
            <w:pPr>
              <w:spacing w:before="20" w:after="20"/>
              <w:jc w:val="right"/>
              <w:rPr>
                <w:b/>
                <w:noProof/>
                <w:sz w:val="14"/>
              </w:rPr>
            </w:pPr>
            <w:r>
              <w:rPr>
                <w:noProof/>
                <w:color w:val="000000"/>
                <w:sz w:val="14"/>
              </w:rPr>
              <w:t>7 349,169</w:t>
            </w:r>
          </w:p>
        </w:tc>
        <w:tc>
          <w:tcPr>
            <w:tcW w:w="1016" w:type="dxa"/>
            <w:shd w:val="clear" w:color="auto" w:fill="9D9398" w:themeFill="background1" w:themeFillShade="A6"/>
            <w:vAlign w:val="center"/>
          </w:tcPr>
          <w:p w:rsidR="008209B4" w:rsidRDefault="00A54173">
            <w:pPr>
              <w:spacing w:before="20" w:after="20"/>
              <w:jc w:val="right"/>
              <w:rPr>
                <w:b/>
                <w:noProof/>
                <w:sz w:val="14"/>
              </w:rPr>
            </w:pPr>
            <w:r>
              <w:rPr>
                <w:noProof/>
                <w:color w:val="000000"/>
                <w:sz w:val="14"/>
              </w:rPr>
              <w:t> </w:t>
            </w:r>
          </w:p>
        </w:tc>
        <w:tc>
          <w:tcPr>
            <w:tcW w:w="1612" w:type="dxa"/>
            <w:gridSpan w:val="2"/>
            <w:vAlign w:val="center"/>
          </w:tcPr>
          <w:p w:rsidR="008209B4" w:rsidRDefault="00A54173">
            <w:pPr>
              <w:spacing w:before="20" w:after="20"/>
              <w:jc w:val="right"/>
              <w:rPr>
                <w:b/>
                <w:noProof/>
                <w:sz w:val="14"/>
              </w:rPr>
            </w:pPr>
            <w:r>
              <w:rPr>
                <w:b/>
                <w:noProof/>
                <w:color w:val="000000"/>
                <w:sz w:val="14"/>
              </w:rPr>
              <w:t>48 478,545</w:t>
            </w:r>
          </w:p>
        </w:tc>
      </w:tr>
      <w:tr w:rsidR="008209B4">
        <w:trPr>
          <w:trHeight w:val="411"/>
          <w:jc w:val="center"/>
        </w:trPr>
        <w:tc>
          <w:tcPr>
            <w:tcW w:w="3426" w:type="dxa"/>
            <w:vMerge/>
            <w:vAlign w:val="center"/>
          </w:tcPr>
          <w:p w:rsidR="008209B4" w:rsidRDefault="008209B4">
            <w:pPr>
              <w:jc w:val="left"/>
              <w:rPr>
                <w:noProof/>
                <w:sz w:val="16"/>
              </w:rPr>
            </w:pPr>
          </w:p>
        </w:tc>
        <w:tc>
          <w:tcPr>
            <w:tcW w:w="1295" w:type="dxa"/>
            <w:vAlign w:val="center"/>
          </w:tcPr>
          <w:p w:rsidR="008209B4" w:rsidRDefault="00A54173">
            <w:pPr>
              <w:spacing w:before="20" w:after="20"/>
              <w:jc w:val="left"/>
              <w:rPr>
                <w:noProof/>
                <w:sz w:val="16"/>
              </w:rPr>
            </w:pPr>
            <w:r>
              <w:rPr>
                <w:noProof/>
                <w:color w:val="000000"/>
                <w:sz w:val="16"/>
              </w:rPr>
              <w:t>Плащания</w:t>
            </w:r>
          </w:p>
        </w:tc>
        <w:tc>
          <w:tcPr>
            <w:tcW w:w="705" w:type="dxa"/>
            <w:vAlign w:val="center"/>
          </w:tcPr>
          <w:p w:rsidR="008209B4" w:rsidRDefault="00A54173">
            <w:pPr>
              <w:spacing w:before="20" w:after="20"/>
              <w:jc w:val="center"/>
              <w:rPr>
                <w:noProof/>
                <w:sz w:val="14"/>
              </w:rPr>
            </w:pPr>
            <w:r>
              <w:rPr>
                <w:noProof/>
                <w:color w:val="000000"/>
                <w:sz w:val="14"/>
              </w:rPr>
              <w:t>2b)</w:t>
            </w:r>
          </w:p>
        </w:tc>
        <w:tc>
          <w:tcPr>
            <w:tcW w:w="962" w:type="dxa"/>
            <w:vAlign w:val="center"/>
          </w:tcPr>
          <w:p w:rsidR="008209B4" w:rsidRDefault="00A54173">
            <w:pPr>
              <w:spacing w:before="20" w:after="20"/>
              <w:jc w:val="right"/>
              <w:rPr>
                <w:noProof/>
                <w:sz w:val="14"/>
              </w:rPr>
            </w:pPr>
            <w:r>
              <w:rPr>
                <w:noProof/>
                <w:color w:val="000000"/>
                <w:sz w:val="14"/>
              </w:rPr>
              <w:t>1 535,937</w:t>
            </w:r>
          </w:p>
        </w:tc>
        <w:tc>
          <w:tcPr>
            <w:tcW w:w="848" w:type="dxa"/>
            <w:vAlign w:val="center"/>
          </w:tcPr>
          <w:p w:rsidR="008209B4" w:rsidRDefault="00A54173">
            <w:pPr>
              <w:spacing w:before="20" w:after="20"/>
              <w:jc w:val="right"/>
              <w:rPr>
                <w:noProof/>
                <w:sz w:val="14"/>
              </w:rPr>
            </w:pPr>
            <w:r>
              <w:rPr>
                <w:noProof/>
                <w:color w:val="000000"/>
                <w:sz w:val="14"/>
              </w:rPr>
              <w:t>3 779,399</w:t>
            </w:r>
          </w:p>
        </w:tc>
        <w:tc>
          <w:tcPr>
            <w:tcW w:w="848" w:type="dxa"/>
            <w:vAlign w:val="center"/>
          </w:tcPr>
          <w:p w:rsidR="008209B4" w:rsidRDefault="00A54173">
            <w:pPr>
              <w:spacing w:before="20" w:after="20"/>
              <w:jc w:val="right"/>
              <w:rPr>
                <w:noProof/>
                <w:sz w:val="14"/>
              </w:rPr>
            </w:pPr>
            <w:r>
              <w:rPr>
                <w:noProof/>
                <w:color w:val="000000"/>
                <w:sz w:val="14"/>
              </w:rPr>
              <w:t>4 583,050</w:t>
            </w:r>
          </w:p>
        </w:tc>
        <w:tc>
          <w:tcPr>
            <w:tcW w:w="848" w:type="dxa"/>
            <w:vAlign w:val="center"/>
          </w:tcPr>
          <w:p w:rsidR="008209B4" w:rsidRDefault="00A54173">
            <w:pPr>
              <w:spacing w:before="20" w:after="20"/>
              <w:jc w:val="right"/>
              <w:rPr>
                <w:noProof/>
                <w:sz w:val="14"/>
              </w:rPr>
            </w:pPr>
            <w:r>
              <w:rPr>
                <w:noProof/>
                <w:color w:val="000000"/>
                <w:sz w:val="14"/>
              </w:rPr>
              <w:t>5 667,062</w:t>
            </w:r>
          </w:p>
        </w:tc>
        <w:tc>
          <w:tcPr>
            <w:tcW w:w="848" w:type="dxa"/>
            <w:vAlign w:val="center"/>
          </w:tcPr>
          <w:p w:rsidR="008209B4" w:rsidRDefault="00A54173">
            <w:pPr>
              <w:spacing w:before="20" w:after="20"/>
              <w:jc w:val="right"/>
              <w:rPr>
                <w:noProof/>
                <w:sz w:val="14"/>
              </w:rPr>
            </w:pPr>
            <w:r>
              <w:rPr>
                <w:noProof/>
                <w:color w:val="000000"/>
                <w:sz w:val="14"/>
              </w:rPr>
              <w:t>6 421,523</w:t>
            </w:r>
          </w:p>
        </w:tc>
        <w:tc>
          <w:tcPr>
            <w:tcW w:w="848" w:type="dxa"/>
            <w:vAlign w:val="center"/>
          </w:tcPr>
          <w:p w:rsidR="008209B4" w:rsidRDefault="00A54173">
            <w:pPr>
              <w:spacing w:before="20" w:after="20"/>
              <w:jc w:val="right"/>
              <w:rPr>
                <w:noProof/>
                <w:sz w:val="14"/>
              </w:rPr>
            </w:pPr>
            <w:r>
              <w:rPr>
                <w:noProof/>
                <w:color w:val="000000"/>
                <w:sz w:val="14"/>
              </w:rPr>
              <w:t>6 984,734</w:t>
            </w:r>
          </w:p>
        </w:tc>
        <w:tc>
          <w:tcPr>
            <w:tcW w:w="848" w:type="dxa"/>
            <w:vAlign w:val="center"/>
          </w:tcPr>
          <w:p w:rsidR="008209B4" w:rsidRDefault="00A54173">
            <w:pPr>
              <w:spacing w:before="20" w:after="20"/>
              <w:jc w:val="right"/>
              <w:rPr>
                <w:b/>
                <w:noProof/>
                <w:sz w:val="14"/>
              </w:rPr>
            </w:pPr>
            <w:r>
              <w:rPr>
                <w:noProof/>
                <w:color w:val="000000"/>
                <w:sz w:val="14"/>
              </w:rPr>
              <w:t>7 347,981</w:t>
            </w:r>
          </w:p>
        </w:tc>
        <w:tc>
          <w:tcPr>
            <w:tcW w:w="1016" w:type="dxa"/>
            <w:vAlign w:val="center"/>
          </w:tcPr>
          <w:p w:rsidR="008209B4" w:rsidRDefault="00A54173">
            <w:pPr>
              <w:spacing w:before="20" w:after="20"/>
              <w:jc w:val="right"/>
              <w:rPr>
                <w:b/>
                <w:noProof/>
                <w:sz w:val="14"/>
              </w:rPr>
            </w:pPr>
            <w:r>
              <w:rPr>
                <w:noProof/>
                <w:color w:val="000000"/>
                <w:sz w:val="14"/>
              </w:rPr>
              <w:t>12 158,860</w:t>
            </w:r>
          </w:p>
        </w:tc>
        <w:tc>
          <w:tcPr>
            <w:tcW w:w="1612" w:type="dxa"/>
            <w:gridSpan w:val="2"/>
            <w:vAlign w:val="center"/>
          </w:tcPr>
          <w:p w:rsidR="008209B4" w:rsidRDefault="00A54173">
            <w:pPr>
              <w:spacing w:before="20" w:after="20"/>
              <w:jc w:val="right"/>
              <w:rPr>
                <w:b/>
                <w:noProof/>
                <w:sz w:val="14"/>
              </w:rPr>
            </w:pPr>
            <w:r>
              <w:rPr>
                <w:b/>
                <w:noProof/>
                <w:color w:val="000000"/>
                <w:sz w:val="14"/>
              </w:rPr>
              <w:t>48 478,545</w:t>
            </w:r>
          </w:p>
        </w:tc>
      </w:tr>
      <w:tr w:rsidR="008209B4">
        <w:trPr>
          <w:trHeight w:val="411"/>
          <w:jc w:val="center"/>
        </w:trPr>
        <w:tc>
          <w:tcPr>
            <w:tcW w:w="3426" w:type="dxa"/>
            <w:vMerge w:val="restart"/>
            <w:vAlign w:val="center"/>
          </w:tcPr>
          <w:p w:rsidR="008209B4" w:rsidRDefault="00A54173">
            <w:pPr>
              <w:jc w:val="left"/>
              <w:rPr>
                <w:noProof/>
                <w:sz w:val="16"/>
              </w:rPr>
            </w:pPr>
            <w:r>
              <w:rPr>
                <w:noProof/>
                <w:sz w:val="16"/>
              </w:rPr>
              <w:t>01 02 03 Отворени иновации</w:t>
            </w:r>
          </w:p>
        </w:tc>
        <w:tc>
          <w:tcPr>
            <w:tcW w:w="1295" w:type="dxa"/>
            <w:vAlign w:val="center"/>
          </w:tcPr>
          <w:p w:rsidR="008209B4" w:rsidRDefault="00A54173">
            <w:pPr>
              <w:spacing w:before="20" w:after="20"/>
              <w:jc w:val="left"/>
              <w:rPr>
                <w:noProof/>
                <w:sz w:val="16"/>
              </w:rPr>
            </w:pPr>
            <w:r>
              <w:rPr>
                <w:noProof/>
                <w:color w:val="000000"/>
                <w:sz w:val="16"/>
              </w:rPr>
              <w:t>Поети задължения</w:t>
            </w:r>
          </w:p>
        </w:tc>
        <w:tc>
          <w:tcPr>
            <w:tcW w:w="705" w:type="dxa"/>
            <w:vAlign w:val="center"/>
          </w:tcPr>
          <w:p w:rsidR="008209B4" w:rsidRDefault="00A54173">
            <w:pPr>
              <w:spacing w:before="20" w:after="20"/>
              <w:jc w:val="center"/>
              <w:rPr>
                <w:noProof/>
                <w:sz w:val="14"/>
              </w:rPr>
            </w:pPr>
            <w:r>
              <w:rPr>
                <w:noProof/>
                <w:color w:val="000000"/>
                <w:sz w:val="14"/>
              </w:rPr>
              <w:t>1c)</w:t>
            </w:r>
          </w:p>
        </w:tc>
        <w:tc>
          <w:tcPr>
            <w:tcW w:w="962" w:type="dxa"/>
            <w:vAlign w:val="center"/>
          </w:tcPr>
          <w:p w:rsidR="008209B4" w:rsidRDefault="00A54173">
            <w:pPr>
              <w:spacing w:before="20" w:after="20"/>
              <w:jc w:val="right"/>
              <w:rPr>
                <w:noProof/>
                <w:sz w:val="14"/>
              </w:rPr>
            </w:pPr>
            <w:r>
              <w:rPr>
                <w:noProof/>
                <w:color w:val="000000"/>
                <w:sz w:val="14"/>
              </w:rPr>
              <w:t>1 731,049</w:t>
            </w:r>
          </w:p>
        </w:tc>
        <w:tc>
          <w:tcPr>
            <w:tcW w:w="848" w:type="dxa"/>
            <w:vAlign w:val="center"/>
          </w:tcPr>
          <w:p w:rsidR="008209B4" w:rsidRDefault="00A54173">
            <w:pPr>
              <w:spacing w:before="20" w:after="20"/>
              <w:jc w:val="right"/>
              <w:rPr>
                <w:noProof/>
                <w:sz w:val="14"/>
              </w:rPr>
            </w:pPr>
            <w:r>
              <w:rPr>
                <w:noProof/>
                <w:color w:val="000000"/>
                <w:sz w:val="14"/>
              </w:rPr>
              <w:t>1 766,131</w:t>
            </w:r>
          </w:p>
        </w:tc>
        <w:tc>
          <w:tcPr>
            <w:tcW w:w="848" w:type="dxa"/>
            <w:vAlign w:val="center"/>
          </w:tcPr>
          <w:p w:rsidR="008209B4" w:rsidRDefault="00A54173">
            <w:pPr>
              <w:spacing w:before="20" w:after="20"/>
              <w:jc w:val="right"/>
              <w:rPr>
                <w:noProof/>
                <w:sz w:val="14"/>
              </w:rPr>
            </w:pPr>
            <w:r>
              <w:rPr>
                <w:noProof/>
                <w:color w:val="000000"/>
                <w:sz w:val="14"/>
              </w:rPr>
              <w:t>1 801,820</w:t>
            </w:r>
          </w:p>
        </w:tc>
        <w:tc>
          <w:tcPr>
            <w:tcW w:w="848" w:type="dxa"/>
            <w:vAlign w:val="center"/>
          </w:tcPr>
          <w:p w:rsidR="008209B4" w:rsidRDefault="00A54173">
            <w:pPr>
              <w:spacing w:before="20" w:after="20"/>
              <w:jc w:val="right"/>
              <w:rPr>
                <w:noProof/>
                <w:sz w:val="14"/>
              </w:rPr>
            </w:pPr>
            <w:r>
              <w:rPr>
                <w:noProof/>
                <w:color w:val="000000"/>
                <w:sz w:val="14"/>
              </w:rPr>
              <w:t>1 838,279</w:t>
            </w:r>
          </w:p>
        </w:tc>
        <w:tc>
          <w:tcPr>
            <w:tcW w:w="848" w:type="dxa"/>
            <w:vAlign w:val="center"/>
          </w:tcPr>
          <w:p w:rsidR="008209B4" w:rsidRDefault="00A54173">
            <w:pPr>
              <w:spacing w:before="20" w:after="20"/>
              <w:jc w:val="right"/>
              <w:rPr>
                <w:noProof/>
                <w:sz w:val="14"/>
              </w:rPr>
            </w:pPr>
            <w:r>
              <w:rPr>
                <w:noProof/>
                <w:color w:val="000000"/>
                <w:sz w:val="14"/>
              </w:rPr>
              <w:t>1 875,818</w:t>
            </w:r>
          </w:p>
        </w:tc>
        <w:tc>
          <w:tcPr>
            <w:tcW w:w="848" w:type="dxa"/>
            <w:vAlign w:val="center"/>
          </w:tcPr>
          <w:p w:rsidR="008209B4" w:rsidRDefault="00A54173">
            <w:pPr>
              <w:spacing w:before="20" w:after="20"/>
              <w:jc w:val="right"/>
              <w:rPr>
                <w:noProof/>
                <w:sz w:val="14"/>
              </w:rPr>
            </w:pPr>
            <w:r>
              <w:rPr>
                <w:noProof/>
                <w:color w:val="000000"/>
                <w:sz w:val="14"/>
              </w:rPr>
              <w:t xml:space="preserve">1 </w:t>
            </w:r>
            <w:r>
              <w:rPr>
                <w:noProof/>
                <w:color w:val="000000"/>
                <w:sz w:val="14"/>
              </w:rPr>
              <w:t>913,494</w:t>
            </w:r>
          </w:p>
        </w:tc>
        <w:tc>
          <w:tcPr>
            <w:tcW w:w="848" w:type="dxa"/>
            <w:vAlign w:val="center"/>
          </w:tcPr>
          <w:p w:rsidR="008209B4" w:rsidRDefault="00A54173">
            <w:pPr>
              <w:spacing w:before="20" w:after="20"/>
              <w:jc w:val="right"/>
              <w:rPr>
                <w:b/>
                <w:noProof/>
                <w:sz w:val="14"/>
              </w:rPr>
            </w:pPr>
            <w:r>
              <w:rPr>
                <w:noProof/>
                <w:color w:val="000000"/>
                <w:sz w:val="14"/>
              </w:rPr>
              <w:t>1 952,410</w:t>
            </w:r>
          </w:p>
        </w:tc>
        <w:tc>
          <w:tcPr>
            <w:tcW w:w="1016" w:type="dxa"/>
            <w:shd w:val="clear" w:color="auto" w:fill="9D9398" w:themeFill="background1" w:themeFillShade="A6"/>
            <w:vAlign w:val="center"/>
          </w:tcPr>
          <w:p w:rsidR="008209B4" w:rsidRDefault="00A54173">
            <w:pPr>
              <w:spacing w:before="20" w:after="20"/>
              <w:jc w:val="right"/>
              <w:rPr>
                <w:b/>
                <w:noProof/>
                <w:sz w:val="14"/>
              </w:rPr>
            </w:pPr>
            <w:r>
              <w:rPr>
                <w:noProof/>
                <w:color w:val="000000"/>
                <w:sz w:val="14"/>
              </w:rPr>
              <w:t> </w:t>
            </w:r>
          </w:p>
        </w:tc>
        <w:tc>
          <w:tcPr>
            <w:tcW w:w="1612" w:type="dxa"/>
            <w:gridSpan w:val="2"/>
            <w:vAlign w:val="center"/>
          </w:tcPr>
          <w:p w:rsidR="008209B4" w:rsidRDefault="00A54173">
            <w:pPr>
              <w:spacing w:before="20" w:after="20"/>
              <w:jc w:val="right"/>
              <w:rPr>
                <w:b/>
                <w:noProof/>
                <w:sz w:val="14"/>
              </w:rPr>
            </w:pPr>
            <w:r>
              <w:rPr>
                <w:b/>
                <w:noProof/>
                <w:color w:val="000000"/>
                <w:sz w:val="14"/>
              </w:rPr>
              <w:t>12 879,000</w:t>
            </w:r>
          </w:p>
        </w:tc>
      </w:tr>
      <w:tr w:rsidR="008209B4">
        <w:trPr>
          <w:trHeight w:val="411"/>
          <w:jc w:val="center"/>
        </w:trPr>
        <w:tc>
          <w:tcPr>
            <w:tcW w:w="3426" w:type="dxa"/>
            <w:vMerge/>
            <w:vAlign w:val="center"/>
          </w:tcPr>
          <w:p w:rsidR="008209B4" w:rsidRDefault="008209B4">
            <w:pPr>
              <w:jc w:val="left"/>
              <w:rPr>
                <w:noProof/>
                <w:sz w:val="16"/>
              </w:rPr>
            </w:pPr>
          </w:p>
        </w:tc>
        <w:tc>
          <w:tcPr>
            <w:tcW w:w="1295" w:type="dxa"/>
            <w:vAlign w:val="center"/>
          </w:tcPr>
          <w:p w:rsidR="008209B4" w:rsidRDefault="00A54173">
            <w:pPr>
              <w:spacing w:before="20" w:after="20"/>
              <w:jc w:val="left"/>
              <w:rPr>
                <w:noProof/>
                <w:sz w:val="16"/>
              </w:rPr>
            </w:pPr>
            <w:r>
              <w:rPr>
                <w:noProof/>
                <w:color w:val="000000"/>
                <w:sz w:val="16"/>
              </w:rPr>
              <w:t>Плащания</w:t>
            </w:r>
          </w:p>
        </w:tc>
        <w:tc>
          <w:tcPr>
            <w:tcW w:w="705" w:type="dxa"/>
            <w:vAlign w:val="center"/>
          </w:tcPr>
          <w:p w:rsidR="008209B4" w:rsidRDefault="00A54173">
            <w:pPr>
              <w:spacing w:before="20" w:after="20"/>
              <w:jc w:val="center"/>
              <w:rPr>
                <w:noProof/>
                <w:sz w:val="14"/>
              </w:rPr>
            </w:pPr>
            <w:r>
              <w:rPr>
                <w:noProof/>
                <w:color w:val="000000"/>
                <w:sz w:val="14"/>
              </w:rPr>
              <w:t>2c)</w:t>
            </w:r>
          </w:p>
        </w:tc>
        <w:tc>
          <w:tcPr>
            <w:tcW w:w="962" w:type="dxa"/>
            <w:vAlign w:val="center"/>
          </w:tcPr>
          <w:p w:rsidR="008209B4" w:rsidRDefault="00A54173">
            <w:pPr>
              <w:spacing w:before="20" w:after="20"/>
              <w:jc w:val="right"/>
              <w:rPr>
                <w:noProof/>
                <w:sz w:val="14"/>
              </w:rPr>
            </w:pPr>
            <w:r>
              <w:rPr>
                <w:noProof/>
                <w:color w:val="000000"/>
                <w:sz w:val="14"/>
              </w:rPr>
              <w:t>407,986</w:t>
            </w:r>
          </w:p>
        </w:tc>
        <w:tc>
          <w:tcPr>
            <w:tcW w:w="848" w:type="dxa"/>
            <w:vAlign w:val="center"/>
          </w:tcPr>
          <w:p w:rsidR="008209B4" w:rsidRDefault="00A54173">
            <w:pPr>
              <w:spacing w:before="20" w:after="20"/>
              <w:jc w:val="right"/>
              <w:rPr>
                <w:noProof/>
                <w:sz w:val="14"/>
              </w:rPr>
            </w:pPr>
            <w:r>
              <w:rPr>
                <w:noProof/>
                <w:color w:val="000000"/>
                <w:sz w:val="14"/>
              </w:rPr>
              <w:t>1 003,950</w:t>
            </w:r>
          </w:p>
        </w:tc>
        <w:tc>
          <w:tcPr>
            <w:tcW w:w="848" w:type="dxa"/>
            <w:vAlign w:val="center"/>
          </w:tcPr>
          <w:p w:rsidR="008209B4" w:rsidRDefault="00A54173">
            <w:pPr>
              <w:spacing w:before="20" w:after="20"/>
              <w:jc w:val="right"/>
              <w:rPr>
                <w:noProof/>
                <w:sz w:val="14"/>
              </w:rPr>
            </w:pPr>
            <w:r>
              <w:rPr>
                <w:noProof/>
                <w:color w:val="000000"/>
                <w:sz w:val="14"/>
              </w:rPr>
              <w:t>1 217,555</w:t>
            </w:r>
          </w:p>
        </w:tc>
        <w:tc>
          <w:tcPr>
            <w:tcW w:w="848" w:type="dxa"/>
            <w:vAlign w:val="center"/>
          </w:tcPr>
          <w:p w:rsidR="008209B4" w:rsidRDefault="00A54173">
            <w:pPr>
              <w:spacing w:before="20" w:after="20"/>
              <w:jc w:val="right"/>
              <w:rPr>
                <w:noProof/>
                <w:sz w:val="14"/>
              </w:rPr>
            </w:pPr>
            <w:r>
              <w:rPr>
                <w:noProof/>
                <w:color w:val="000000"/>
                <w:sz w:val="14"/>
              </w:rPr>
              <w:t>1 505,605</w:t>
            </w:r>
          </w:p>
        </w:tc>
        <w:tc>
          <w:tcPr>
            <w:tcW w:w="848" w:type="dxa"/>
            <w:vAlign w:val="center"/>
          </w:tcPr>
          <w:p w:rsidR="008209B4" w:rsidRDefault="00A54173">
            <w:pPr>
              <w:spacing w:before="20" w:after="20"/>
              <w:jc w:val="right"/>
              <w:rPr>
                <w:noProof/>
                <w:sz w:val="14"/>
              </w:rPr>
            </w:pPr>
            <w:r>
              <w:rPr>
                <w:noProof/>
                <w:color w:val="000000"/>
                <w:sz w:val="14"/>
              </w:rPr>
              <w:t>1 706,084</w:t>
            </w:r>
          </w:p>
        </w:tc>
        <w:tc>
          <w:tcPr>
            <w:tcW w:w="848" w:type="dxa"/>
            <w:vAlign w:val="center"/>
          </w:tcPr>
          <w:p w:rsidR="008209B4" w:rsidRDefault="00A54173">
            <w:pPr>
              <w:spacing w:before="20" w:after="20"/>
              <w:jc w:val="right"/>
              <w:rPr>
                <w:noProof/>
                <w:sz w:val="14"/>
              </w:rPr>
            </w:pPr>
            <w:r>
              <w:rPr>
                <w:noProof/>
                <w:color w:val="000000"/>
                <w:sz w:val="14"/>
              </w:rPr>
              <w:t>1 855,780</w:t>
            </w:r>
          </w:p>
        </w:tc>
        <w:tc>
          <w:tcPr>
            <w:tcW w:w="848" w:type="dxa"/>
            <w:vAlign w:val="center"/>
          </w:tcPr>
          <w:p w:rsidR="008209B4" w:rsidRDefault="00A54173">
            <w:pPr>
              <w:spacing w:before="20" w:after="20"/>
              <w:jc w:val="right"/>
              <w:rPr>
                <w:b/>
                <w:noProof/>
                <w:sz w:val="14"/>
              </w:rPr>
            </w:pPr>
            <w:r>
              <w:rPr>
                <w:noProof/>
                <w:color w:val="000000"/>
                <w:sz w:val="14"/>
              </w:rPr>
              <w:t>1 952,094</w:t>
            </w:r>
          </w:p>
        </w:tc>
        <w:tc>
          <w:tcPr>
            <w:tcW w:w="1016" w:type="dxa"/>
            <w:vAlign w:val="center"/>
          </w:tcPr>
          <w:p w:rsidR="008209B4" w:rsidRDefault="00A54173">
            <w:pPr>
              <w:spacing w:before="20" w:after="20"/>
              <w:jc w:val="right"/>
              <w:rPr>
                <w:b/>
                <w:noProof/>
                <w:sz w:val="14"/>
              </w:rPr>
            </w:pPr>
            <w:r>
              <w:rPr>
                <w:noProof/>
                <w:color w:val="000000"/>
                <w:sz w:val="14"/>
              </w:rPr>
              <w:t>3 229,946</w:t>
            </w:r>
          </w:p>
        </w:tc>
        <w:tc>
          <w:tcPr>
            <w:tcW w:w="1612" w:type="dxa"/>
            <w:gridSpan w:val="2"/>
            <w:vAlign w:val="center"/>
          </w:tcPr>
          <w:p w:rsidR="008209B4" w:rsidRDefault="00A54173">
            <w:pPr>
              <w:spacing w:before="20" w:after="20"/>
              <w:jc w:val="right"/>
              <w:rPr>
                <w:b/>
                <w:noProof/>
                <w:sz w:val="14"/>
              </w:rPr>
            </w:pPr>
            <w:r>
              <w:rPr>
                <w:b/>
                <w:noProof/>
                <w:color w:val="000000"/>
                <w:sz w:val="14"/>
              </w:rPr>
              <w:t>12 879,000</w:t>
            </w:r>
          </w:p>
        </w:tc>
      </w:tr>
      <w:tr w:rsidR="008209B4">
        <w:trPr>
          <w:trHeight w:val="411"/>
          <w:jc w:val="center"/>
        </w:trPr>
        <w:tc>
          <w:tcPr>
            <w:tcW w:w="3426" w:type="dxa"/>
            <w:vMerge w:val="restart"/>
            <w:vAlign w:val="center"/>
          </w:tcPr>
          <w:p w:rsidR="008209B4" w:rsidRDefault="00A54173">
            <w:pPr>
              <w:jc w:val="left"/>
              <w:rPr>
                <w:noProof/>
                <w:sz w:val="16"/>
              </w:rPr>
            </w:pPr>
            <w:r>
              <w:rPr>
                <w:noProof/>
                <w:sz w:val="16"/>
              </w:rPr>
              <w:t>01 02 04 Укрепване на европейското научноизследователско пространство</w:t>
            </w:r>
          </w:p>
        </w:tc>
        <w:tc>
          <w:tcPr>
            <w:tcW w:w="1295" w:type="dxa"/>
            <w:vAlign w:val="center"/>
          </w:tcPr>
          <w:p w:rsidR="008209B4" w:rsidRDefault="00A54173">
            <w:pPr>
              <w:spacing w:before="20" w:after="20"/>
              <w:jc w:val="left"/>
              <w:rPr>
                <w:noProof/>
                <w:sz w:val="16"/>
              </w:rPr>
            </w:pPr>
            <w:r>
              <w:rPr>
                <w:noProof/>
                <w:color w:val="000000"/>
                <w:sz w:val="16"/>
              </w:rPr>
              <w:t>Поети задължения</w:t>
            </w:r>
          </w:p>
        </w:tc>
        <w:tc>
          <w:tcPr>
            <w:tcW w:w="705" w:type="dxa"/>
            <w:vAlign w:val="center"/>
          </w:tcPr>
          <w:p w:rsidR="008209B4" w:rsidRDefault="00A54173">
            <w:pPr>
              <w:spacing w:before="20" w:after="20"/>
              <w:jc w:val="center"/>
              <w:rPr>
                <w:noProof/>
                <w:sz w:val="14"/>
              </w:rPr>
            </w:pPr>
            <w:r>
              <w:rPr>
                <w:noProof/>
                <w:color w:val="000000"/>
                <w:sz w:val="14"/>
              </w:rPr>
              <w:t>1d)</w:t>
            </w:r>
          </w:p>
        </w:tc>
        <w:tc>
          <w:tcPr>
            <w:tcW w:w="962" w:type="dxa"/>
            <w:vAlign w:val="center"/>
          </w:tcPr>
          <w:p w:rsidR="008209B4" w:rsidRDefault="00A54173">
            <w:pPr>
              <w:spacing w:before="20" w:after="20"/>
              <w:jc w:val="right"/>
              <w:rPr>
                <w:noProof/>
                <w:sz w:val="14"/>
              </w:rPr>
            </w:pPr>
            <w:r>
              <w:rPr>
                <w:noProof/>
                <w:color w:val="000000"/>
                <w:sz w:val="14"/>
              </w:rPr>
              <w:t>269,274</w:t>
            </w:r>
          </w:p>
        </w:tc>
        <w:tc>
          <w:tcPr>
            <w:tcW w:w="848" w:type="dxa"/>
            <w:vAlign w:val="center"/>
          </w:tcPr>
          <w:p w:rsidR="008209B4" w:rsidRDefault="00A54173">
            <w:pPr>
              <w:spacing w:before="20" w:after="20"/>
              <w:jc w:val="right"/>
              <w:rPr>
                <w:noProof/>
                <w:sz w:val="14"/>
              </w:rPr>
            </w:pPr>
            <w:r>
              <w:rPr>
                <w:noProof/>
                <w:color w:val="000000"/>
                <w:sz w:val="14"/>
              </w:rPr>
              <w:t>274,731</w:t>
            </w:r>
          </w:p>
        </w:tc>
        <w:tc>
          <w:tcPr>
            <w:tcW w:w="848" w:type="dxa"/>
            <w:vAlign w:val="center"/>
          </w:tcPr>
          <w:p w:rsidR="008209B4" w:rsidRDefault="00A54173">
            <w:pPr>
              <w:spacing w:before="20" w:after="20"/>
              <w:jc w:val="right"/>
              <w:rPr>
                <w:noProof/>
                <w:sz w:val="14"/>
              </w:rPr>
            </w:pPr>
            <w:r>
              <w:rPr>
                <w:noProof/>
                <w:color w:val="000000"/>
                <w:sz w:val="14"/>
              </w:rPr>
              <w:t>280,283</w:t>
            </w:r>
          </w:p>
        </w:tc>
        <w:tc>
          <w:tcPr>
            <w:tcW w:w="848" w:type="dxa"/>
            <w:vAlign w:val="center"/>
          </w:tcPr>
          <w:p w:rsidR="008209B4" w:rsidRDefault="00A54173">
            <w:pPr>
              <w:spacing w:before="20" w:after="20"/>
              <w:jc w:val="right"/>
              <w:rPr>
                <w:noProof/>
                <w:sz w:val="14"/>
              </w:rPr>
            </w:pPr>
            <w:r>
              <w:rPr>
                <w:noProof/>
                <w:color w:val="000000"/>
                <w:sz w:val="14"/>
              </w:rPr>
              <w:t>285,955</w:t>
            </w:r>
          </w:p>
        </w:tc>
        <w:tc>
          <w:tcPr>
            <w:tcW w:w="848" w:type="dxa"/>
            <w:vAlign w:val="center"/>
          </w:tcPr>
          <w:p w:rsidR="008209B4" w:rsidRDefault="00A54173">
            <w:pPr>
              <w:spacing w:before="20" w:after="20"/>
              <w:jc w:val="right"/>
              <w:rPr>
                <w:noProof/>
                <w:sz w:val="14"/>
              </w:rPr>
            </w:pPr>
            <w:r>
              <w:rPr>
                <w:noProof/>
                <w:color w:val="000000"/>
                <w:sz w:val="14"/>
              </w:rPr>
              <w:t>291,794</w:t>
            </w:r>
          </w:p>
        </w:tc>
        <w:tc>
          <w:tcPr>
            <w:tcW w:w="848" w:type="dxa"/>
            <w:vAlign w:val="center"/>
          </w:tcPr>
          <w:p w:rsidR="008209B4" w:rsidRDefault="00A54173">
            <w:pPr>
              <w:spacing w:before="20" w:after="20"/>
              <w:jc w:val="right"/>
              <w:rPr>
                <w:noProof/>
                <w:sz w:val="14"/>
              </w:rPr>
            </w:pPr>
            <w:r>
              <w:rPr>
                <w:noProof/>
                <w:color w:val="000000"/>
                <w:sz w:val="14"/>
              </w:rPr>
              <w:t>297,655</w:t>
            </w:r>
          </w:p>
        </w:tc>
        <w:tc>
          <w:tcPr>
            <w:tcW w:w="848" w:type="dxa"/>
            <w:vAlign w:val="center"/>
          </w:tcPr>
          <w:p w:rsidR="008209B4" w:rsidRDefault="00A54173">
            <w:pPr>
              <w:spacing w:before="20" w:after="20"/>
              <w:jc w:val="right"/>
              <w:rPr>
                <w:b/>
                <w:noProof/>
                <w:sz w:val="14"/>
              </w:rPr>
            </w:pPr>
            <w:r>
              <w:rPr>
                <w:noProof/>
                <w:color w:val="000000"/>
                <w:sz w:val="14"/>
              </w:rPr>
              <w:t>303,708</w:t>
            </w:r>
          </w:p>
        </w:tc>
        <w:tc>
          <w:tcPr>
            <w:tcW w:w="1016" w:type="dxa"/>
            <w:shd w:val="clear" w:color="auto" w:fill="9D9398" w:themeFill="background1" w:themeFillShade="A6"/>
            <w:vAlign w:val="center"/>
          </w:tcPr>
          <w:p w:rsidR="008209B4" w:rsidRDefault="00A54173">
            <w:pPr>
              <w:spacing w:before="20" w:after="20"/>
              <w:jc w:val="right"/>
              <w:rPr>
                <w:b/>
                <w:noProof/>
                <w:sz w:val="14"/>
              </w:rPr>
            </w:pPr>
            <w:r>
              <w:rPr>
                <w:noProof/>
                <w:color w:val="000000"/>
                <w:sz w:val="14"/>
              </w:rPr>
              <w:t> </w:t>
            </w:r>
          </w:p>
        </w:tc>
        <w:tc>
          <w:tcPr>
            <w:tcW w:w="1612" w:type="dxa"/>
            <w:gridSpan w:val="2"/>
            <w:vAlign w:val="center"/>
          </w:tcPr>
          <w:p w:rsidR="008209B4" w:rsidRDefault="00A54173">
            <w:pPr>
              <w:spacing w:before="20" w:after="20"/>
              <w:jc w:val="right"/>
              <w:rPr>
                <w:b/>
                <w:noProof/>
                <w:sz w:val="14"/>
              </w:rPr>
            </w:pPr>
            <w:r>
              <w:rPr>
                <w:b/>
                <w:noProof/>
                <w:color w:val="000000"/>
                <w:sz w:val="14"/>
              </w:rPr>
              <w:t>2 003,400</w:t>
            </w:r>
          </w:p>
        </w:tc>
      </w:tr>
      <w:tr w:rsidR="008209B4">
        <w:trPr>
          <w:trHeight w:val="411"/>
          <w:jc w:val="center"/>
        </w:trPr>
        <w:tc>
          <w:tcPr>
            <w:tcW w:w="3426" w:type="dxa"/>
            <w:vMerge/>
          </w:tcPr>
          <w:p w:rsidR="008209B4" w:rsidRDefault="008209B4">
            <w:pPr>
              <w:jc w:val="center"/>
              <w:rPr>
                <w:noProof/>
                <w:sz w:val="16"/>
              </w:rPr>
            </w:pPr>
          </w:p>
        </w:tc>
        <w:tc>
          <w:tcPr>
            <w:tcW w:w="1295" w:type="dxa"/>
            <w:vAlign w:val="center"/>
          </w:tcPr>
          <w:p w:rsidR="008209B4" w:rsidRDefault="00A54173">
            <w:pPr>
              <w:spacing w:before="20" w:after="20"/>
              <w:jc w:val="left"/>
              <w:rPr>
                <w:noProof/>
                <w:sz w:val="16"/>
              </w:rPr>
            </w:pPr>
            <w:r>
              <w:rPr>
                <w:noProof/>
                <w:color w:val="000000"/>
                <w:sz w:val="16"/>
              </w:rPr>
              <w:t>Плащания</w:t>
            </w:r>
          </w:p>
        </w:tc>
        <w:tc>
          <w:tcPr>
            <w:tcW w:w="705" w:type="dxa"/>
            <w:vAlign w:val="center"/>
          </w:tcPr>
          <w:p w:rsidR="008209B4" w:rsidRDefault="00A54173">
            <w:pPr>
              <w:spacing w:before="20" w:after="20"/>
              <w:jc w:val="center"/>
              <w:rPr>
                <w:noProof/>
                <w:sz w:val="14"/>
              </w:rPr>
            </w:pPr>
            <w:r>
              <w:rPr>
                <w:noProof/>
                <w:color w:val="000000"/>
                <w:sz w:val="14"/>
              </w:rPr>
              <w:t>2d)</w:t>
            </w:r>
          </w:p>
        </w:tc>
        <w:tc>
          <w:tcPr>
            <w:tcW w:w="962" w:type="dxa"/>
            <w:vAlign w:val="center"/>
          </w:tcPr>
          <w:p w:rsidR="008209B4" w:rsidRDefault="00A54173">
            <w:pPr>
              <w:spacing w:before="20" w:after="20"/>
              <w:jc w:val="right"/>
              <w:rPr>
                <w:noProof/>
                <w:sz w:val="14"/>
              </w:rPr>
            </w:pPr>
            <w:r>
              <w:rPr>
                <w:noProof/>
                <w:color w:val="000000"/>
                <w:sz w:val="14"/>
              </w:rPr>
              <w:t>63,465</w:t>
            </w:r>
          </w:p>
        </w:tc>
        <w:tc>
          <w:tcPr>
            <w:tcW w:w="848" w:type="dxa"/>
            <w:vAlign w:val="center"/>
          </w:tcPr>
          <w:p w:rsidR="008209B4" w:rsidRDefault="00A54173">
            <w:pPr>
              <w:spacing w:before="20" w:after="20"/>
              <w:jc w:val="right"/>
              <w:rPr>
                <w:noProof/>
                <w:sz w:val="14"/>
              </w:rPr>
            </w:pPr>
            <w:r>
              <w:rPr>
                <w:noProof/>
                <w:color w:val="000000"/>
                <w:sz w:val="14"/>
              </w:rPr>
              <w:t>156,170</w:t>
            </w:r>
          </w:p>
        </w:tc>
        <w:tc>
          <w:tcPr>
            <w:tcW w:w="848" w:type="dxa"/>
            <w:vAlign w:val="center"/>
          </w:tcPr>
          <w:p w:rsidR="008209B4" w:rsidRDefault="00A54173">
            <w:pPr>
              <w:spacing w:before="20" w:after="20"/>
              <w:jc w:val="right"/>
              <w:rPr>
                <w:noProof/>
                <w:sz w:val="14"/>
              </w:rPr>
            </w:pPr>
            <w:r>
              <w:rPr>
                <w:noProof/>
                <w:color w:val="000000"/>
                <w:sz w:val="14"/>
              </w:rPr>
              <w:t>189,398</w:t>
            </w:r>
          </w:p>
        </w:tc>
        <w:tc>
          <w:tcPr>
            <w:tcW w:w="848" w:type="dxa"/>
            <w:vAlign w:val="center"/>
          </w:tcPr>
          <w:p w:rsidR="008209B4" w:rsidRDefault="00A54173">
            <w:pPr>
              <w:spacing w:before="20" w:after="20"/>
              <w:jc w:val="right"/>
              <w:rPr>
                <w:noProof/>
                <w:sz w:val="14"/>
              </w:rPr>
            </w:pPr>
            <w:r>
              <w:rPr>
                <w:noProof/>
                <w:color w:val="000000"/>
                <w:sz w:val="14"/>
              </w:rPr>
              <w:t>234,206</w:t>
            </w:r>
          </w:p>
        </w:tc>
        <w:tc>
          <w:tcPr>
            <w:tcW w:w="848" w:type="dxa"/>
            <w:vAlign w:val="center"/>
          </w:tcPr>
          <w:p w:rsidR="008209B4" w:rsidRDefault="00A54173">
            <w:pPr>
              <w:spacing w:before="20" w:after="20"/>
              <w:jc w:val="right"/>
              <w:rPr>
                <w:noProof/>
                <w:sz w:val="14"/>
              </w:rPr>
            </w:pPr>
            <w:r>
              <w:rPr>
                <w:noProof/>
                <w:color w:val="000000"/>
                <w:sz w:val="14"/>
              </w:rPr>
              <w:t>265,391</w:t>
            </w:r>
          </w:p>
        </w:tc>
        <w:tc>
          <w:tcPr>
            <w:tcW w:w="848" w:type="dxa"/>
            <w:vAlign w:val="center"/>
          </w:tcPr>
          <w:p w:rsidR="008209B4" w:rsidRDefault="00A54173">
            <w:pPr>
              <w:spacing w:before="20" w:after="20"/>
              <w:jc w:val="right"/>
              <w:rPr>
                <w:noProof/>
                <w:sz w:val="14"/>
              </w:rPr>
            </w:pPr>
            <w:r>
              <w:rPr>
                <w:noProof/>
                <w:color w:val="000000"/>
                <w:sz w:val="14"/>
              </w:rPr>
              <w:t>288,677</w:t>
            </w:r>
          </w:p>
        </w:tc>
        <w:tc>
          <w:tcPr>
            <w:tcW w:w="848" w:type="dxa"/>
            <w:vAlign w:val="center"/>
          </w:tcPr>
          <w:p w:rsidR="008209B4" w:rsidRDefault="00A54173">
            <w:pPr>
              <w:spacing w:before="20" w:after="20"/>
              <w:jc w:val="right"/>
              <w:rPr>
                <w:b/>
                <w:noProof/>
                <w:sz w:val="14"/>
              </w:rPr>
            </w:pPr>
            <w:r>
              <w:rPr>
                <w:noProof/>
                <w:color w:val="000000"/>
                <w:sz w:val="14"/>
              </w:rPr>
              <w:t>303,659</w:t>
            </w:r>
          </w:p>
        </w:tc>
        <w:tc>
          <w:tcPr>
            <w:tcW w:w="1016" w:type="dxa"/>
            <w:vAlign w:val="center"/>
          </w:tcPr>
          <w:p w:rsidR="008209B4" w:rsidRDefault="00A54173">
            <w:pPr>
              <w:spacing w:before="20" w:after="20"/>
              <w:jc w:val="right"/>
              <w:rPr>
                <w:b/>
                <w:noProof/>
                <w:sz w:val="14"/>
              </w:rPr>
            </w:pPr>
            <w:r>
              <w:rPr>
                <w:noProof/>
                <w:color w:val="000000"/>
                <w:sz w:val="14"/>
              </w:rPr>
              <w:t>502,436</w:t>
            </w:r>
          </w:p>
        </w:tc>
        <w:tc>
          <w:tcPr>
            <w:tcW w:w="1612" w:type="dxa"/>
            <w:gridSpan w:val="2"/>
            <w:vAlign w:val="center"/>
          </w:tcPr>
          <w:p w:rsidR="008209B4" w:rsidRDefault="00A54173">
            <w:pPr>
              <w:spacing w:before="20" w:after="20"/>
              <w:jc w:val="right"/>
              <w:rPr>
                <w:b/>
                <w:noProof/>
                <w:sz w:val="14"/>
              </w:rPr>
            </w:pPr>
            <w:r>
              <w:rPr>
                <w:b/>
                <w:noProof/>
                <w:color w:val="000000"/>
                <w:sz w:val="14"/>
              </w:rPr>
              <w:t>2 003,400</w:t>
            </w:r>
          </w:p>
        </w:tc>
      </w:tr>
      <w:tr w:rsidR="008209B4">
        <w:trPr>
          <w:gridAfter w:val="1"/>
          <w:wAfter w:w="356" w:type="dxa"/>
          <w:trHeight w:val="319"/>
          <w:jc w:val="center"/>
        </w:trPr>
        <w:tc>
          <w:tcPr>
            <w:tcW w:w="3426" w:type="dxa"/>
            <w:vAlign w:val="center"/>
          </w:tcPr>
          <w:p w:rsidR="008209B4" w:rsidRDefault="00A54173">
            <w:pPr>
              <w:spacing w:before="20" w:after="20"/>
              <w:jc w:val="left"/>
              <w:rPr>
                <w:noProof/>
                <w:sz w:val="16"/>
              </w:rPr>
            </w:pPr>
            <w:r>
              <w:rPr>
                <w:noProof/>
                <w:sz w:val="16"/>
              </w:rPr>
              <w:t>Бюджетни кредити за административни разходи, финансирани от пакета за програмата</w:t>
            </w:r>
            <w:r>
              <w:rPr>
                <w:rStyle w:val="FootnoteReference"/>
                <w:noProof/>
                <w:sz w:val="16"/>
              </w:rPr>
              <w:footnoteReference w:id="17"/>
            </w:r>
            <w:r>
              <w:rPr>
                <w:noProof/>
                <w:sz w:val="16"/>
              </w:rPr>
              <w:t xml:space="preserve"> </w:t>
            </w:r>
          </w:p>
        </w:tc>
        <w:tc>
          <w:tcPr>
            <w:tcW w:w="1295" w:type="dxa"/>
            <w:vAlign w:val="center"/>
          </w:tcPr>
          <w:p w:rsidR="008209B4" w:rsidRDefault="00A54173">
            <w:pPr>
              <w:spacing w:before="40" w:after="40"/>
              <w:jc w:val="left"/>
              <w:rPr>
                <w:noProof/>
                <w:sz w:val="16"/>
              </w:rPr>
            </w:pPr>
            <w:r>
              <w:rPr>
                <w:noProof/>
                <w:sz w:val="16"/>
              </w:rPr>
              <w:t>Поети задължения = Плащания</w:t>
            </w:r>
          </w:p>
        </w:tc>
        <w:tc>
          <w:tcPr>
            <w:tcW w:w="705" w:type="dxa"/>
            <w:vAlign w:val="center"/>
          </w:tcPr>
          <w:p w:rsidR="008209B4" w:rsidRDefault="00A54173">
            <w:pPr>
              <w:spacing w:before="40" w:after="40"/>
              <w:jc w:val="center"/>
              <w:rPr>
                <w:noProof/>
                <w:sz w:val="14"/>
              </w:rPr>
            </w:pPr>
            <w:r>
              <w:rPr>
                <w:noProof/>
                <w:sz w:val="14"/>
              </w:rPr>
              <w:t>3)</w:t>
            </w:r>
          </w:p>
        </w:tc>
        <w:tc>
          <w:tcPr>
            <w:tcW w:w="962" w:type="dxa"/>
            <w:vAlign w:val="center"/>
          </w:tcPr>
          <w:p w:rsidR="008209B4" w:rsidRDefault="00A54173">
            <w:pPr>
              <w:spacing w:before="40" w:after="40"/>
              <w:jc w:val="right"/>
              <w:rPr>
                <w:b/>
                <w:noProof/>
                <w:sz w:val="14"/>
              </w:rPr>
            </w:pPr>
            <w:r>
              <w:rPr>
                <w:b/>
                <w:noProof/>
                <w:color w:val="000000"/>
                <w:sz w:val="14"/>
              </w:rPr>
              <w:t>823,606</w:t>
            </w:r>
          </w:p>
        </w:tc>
        <w:tc>
          <w:tcPr>
            <w:tcW w:w="848" w:type="dxa"/>
            <w:vAlign w:val="center"/>
          </w:tcPr>
          <w:p w:rsidR="008209B4" w:rsidRDefault="00A54173">
            <w:pPr>
              <w:spacing w:before="40" w:after="40"/>
              <w:jc w:val="right"/>
              <w:rPr>
                <w:b/>
                <w:noProof/>
                <w:sz w:val="14"/>
              </w:rPr>
            </w:pPr>
            <w:r>
              <w:rPr>
                <w:b/>
                <w:noProof/>
                <w:color w:val="000000"/>
                <w:sz w:val="14"/>
              </w:rPr>
              <w:t>840,216</w:t>
            </w:r>
          </w:p>
        </w:tc>
        <w:tc>
          <w:tcPr>
            <w:tcW w:w="848" w:type="dxa"/>
            <w:vAlign w:val="center"/>
          </w:tcPr>
          <w:p w:rsidR="008209B4" w:rsidRDefault="00A54173">
            <w:pPr>
              <w:spacing w:before="40" w:after="40"/>
              <w:jc w:val="right"/>
              <w:rPr>
                <w:b/>
                <w:noProof/>
                <w:sz w:val="14"/>
              </w:rPr>
            </w:pPr>
            <w:r>
              <w:rPr>
                <w:b/>
                <w:noProof/>
                <w:color w:val="000000"/>
                <w:sz w:val="14"/>
              </w:rPr>
              <w:t>857,109</w:t>
            </w:r>
          </w:p>
        </w:tc>
        <w:tc>
          <w:tcPr>
            <w:tcW w:w="848" w:type="dxa"/>
            <w:vAlign w:val="center"/>
          </w:tcPr>
          <w:p w:rsidR="008209B4" w:rsidRDefault="00A54173">
            <w:pPr>
              <w:spacing w:before="40" w:after="40"/>
              <w:jc w:val="right"/>
              <w:rPr>
                <w:b/>
                <w:noProof/>
                <w:sz w:val="14"/>
              </w:rPr>
            </w:pPr>
            <w:r>
              <w:rPr>
                <w:b/>
                <w:noProof/>
                <w:color w:val="000000"/>
                <w:sz w:val="14"/>
              </w:rPr>
              <w:t>874,375</w:t>
            </w:r>
          </w:p>
        </w:tc>
        <w:tc>
          <w:tcPr>
            <w:tcW w:w="848" w:type="dxa"/>
            <w:vAlign w:val="center"/>
          </w:tcPr>
          <w:p w:rsidR="008209B4" w:rsidRDefault="00A54173">
            <w:pPr>
              <w:spacing w:before="40" w:after="40"/>
              <w:jc w:val="right"/>
              <w:rPr>
                <w:b/>
                <w:noProof/>
                <w:sz w:val="14"/>
              </w:rPr>
            </w:pPr>
            <w:r>
              <w:rPr>
                <w:b/>
                <w:noProof/>
                <w:color w:val="000000"/>
                <w:sz w:val="14"/>
              </w:rPr>
              <w:t>892,110</w:t>
            </w:r>
          </w:p>
        </w:tc>
        <w:tc>
          <w:tcPr>
            <w:tcW w:w="848" w:type="dxa"/>
            <w:vAlign w:val="center"/>
          </w:tcPr>
          <w:p w:rsidR="008209B4" w:rsidRDefault="00A54173">
            <w:pPr>
              <w:spacing w:before="40" w:after="40"/>
              <w:jc w:val="right"/>
              <w:rPr>
                <w:b/>
                <w:noProof/>
                <w:sz w:val="14"/>
              </w:rPr>
            </w:pPr>
            <w:r>
              <w:rPr>
                <w:b/>
                <w:noProof/>
                <w:color w:val="000000"/>
                <w:sz w:val="14"/>
              </w:rPr>
              <w:t>909,994</w:t>
            </w:r>
          </w:p>
        </w:tc>
        <w:tc>
          <w:tcPr>
            <w:tcW w:w="848" w:type="dxa"/>
            <w:vAlign w:val="center"/>
          </w:tcPr>
          <w:p w:rsidR="008209B4" w:rsidRDefault="00A54173">
            <w:pPr>
              <w:spacing w:before="40" w:after="40"/>
              <w:jc w:val="right"/>
              <w:rPr>
                <w:b/>
                <w:noProof/>
                <w:sz w:val="14"/>
              </w:rPr>
            </w:pPr>
            <w:r>
              <w:rPr>
                <w:b/>
                <w:noProof/>
                <w:color w:val="000000"/>
                <w:sz w:val="14"/>
              </w:rPr>
              <w:t>928,444</w:t>
            </w:r>
          </w:p>
        </w:tc>
        <w:tc>
          <w:tcPr>
            <w:tcW w:w="1016" w:type="dxa"/>
            <w:shd w:val="clear" w:color="auto" w:fill="9D9398" w:themeFill="background1" w:themeFillShade="A6"/>
            <w:vAlign w:val="center"/>
          </w:tcPr>
          <w:p w:rsidR="008209B4" w:rsidRDefault="008209B4">
            <w:pPr>
              <w:spacing w:before="40" w:after="40"/>
              <w:jc w:val="right"/>
              <w:rPr>
                <w:b/>
                <w:noProof/>
                <w:sz w:val="14"/>
              </w:rPr>
            </w:pPr>
          </w:p>
        </w:tc>
        <w:tc>
          <w:tcPr>
            <w:tcW w:w="1256" w:type="dxa"/>
            <w:vAlign w:val="center"/>
          </w:tcPr>
          <w:p w:rsidR="008209B4" w:rsidRDefault="00A54173">
            <w:pPr>
              <w:jc w:val="right"/>
              <w:rPr>
                <w:b/>
                <w:noProof/>
                <w:color w:val="000000"/>
                <w:sz w:val="14"/>
              </w:rPr>
            </w:pPr>
            <w:r>
              <w:rPr>
                <w:b/>
                <w:noProof/>
                <w:color w:val="000000"/>
                <w:sz w:val="14"/>
              </w:rPr>
              <w:t>6 125,855</w:t>
            </w:r>
          </w:p>
        </w:tc>
      </w:tr>
      <w:tr w:rsidR="008209B4">
        <w:trPr>
          <w:trHeight w:val="319"/>
          <w:jc w:val="center"/>
        </w:trPr>
        <w:tc>
          <w:tcPr>
            <w:tcW w:w="3426" w:type="dxa"/>
            <w:vAlign w:val="center"/>
          </w:tcPr>
          <w:p w:rsidR="008209B4" w:rsidRDefault="00A54173">
            <w:pPr>
              <w:spacing w:before="20" w:after="20"/>
              <w:jc w:val="left"/>
              <w:rPr>
                <w:noProof/>
                <w:sz w:val="16"/>
              </w:rPr>
            </w:pPr>
            <w:r>
              <w:rPr>
                <w:noProof/>
                <w:sz w:val="16"/>
              </w:rPr>
              <w:t>01 01 01 01 Разходи, свързани с длъжностни лица и временно наети лица, изпълняващи програми за научни изследвания и иновации — „Хоризонт Европа“</w:t>
            </w:r>
          </w:p>
        </w:tc>
        <w:tc>
          <w:tcPr>
            <w:tcW w:w="1295" w:type="dxa"/>
            <w:vAlign w:val="center"/>
          </w:tcPr>
          <w:p w:rsidR="008209B4" w:rsidRDefault="00A54173">
            <w:pPr>
              <w:spacing w:before="40" w:after="40"/>
              <w:jc w:val="left"/>
              <w:rPr>
                <w:noProof/>
                <w:sz w:val="16"/>
              </w:rPr>
            </w:pPr>
            <w:r>
              <w:rPr>
                <w:noProof/>
                <w:sz w:val="16"/>
              </w:rPr>
              <w:t>Поети задължения = Плащания</w:t>
            </w:r>
          </w:p>
        </w:tc>
        <w:tc>
          <w:tcPr>
            <w:tcW w:w="705" w:type="dxa"/>
            <w:vAlign w:val="center"/>
          </w:tcPr>
          <w:p w:rsidR="008209B4" w:rsidRDefault="00A54173">
            <w:pPr>
              <w:spacing w:before="40" w:after="40"/>
              <w:jc w:val="center"/>
              <w:rPr>
                <w:noProof/>
                <w:sz w:val="14"/>
              </w:rPr>
            </w:pPr>
            <w:r>
              <w:rPr>
                <w:noProof/>
                <w:sz w:val="14"/>
              </w:rPr>
              <w:t>3)</w:t>
            </w:r>
          </w:p>
        </w:tc>
        <w:tc>
          <w:tcPr>
            <w:tcW w:w="962" w:type="dxa"/>
            <w:vAlign w:val="center"/>
          </w:tcPr>
          <w:p w:rsidR="008209B4" w:rsidRDefault="00A54173">
            <w:pPr>
              <w:spacing w:before="40" w:after="40"/>
              <w:jc w:val="right"/>
              <w:rPr>
                <w:b/>
                <w:noProof/>
                <w:sz w:val="14"/>
              </w:rPr>
            </w:pPr>
            <w:r>
              <w:rPr>
                <w:noProof/>
                <w:color w:val="000000"/>
                <w:sz w:val="14"/>
              </w:rPr>
              <w:t>332,455</w:t>
            </w:r>
          </w:p>
        </w:tc>
        <w:tc>
          <w:tcPr>
            <w:tcW w:w="848" w:type="dxa"/>
            <w:vAlign w:val="center"/>
          </w:tcPr>
          <w:p w:rsidR="008209B4" w:rsidRDefault="00A54173">
            <w:pPr>
              <w:spacing w:before="40" w:after="40"/>
              <w:jc w:val="right"/>
              <w:rPr>
                <w:b/>
                <w:noProof/>
                <w:sz w:val="14"/>
              </w:rPr>
            </w:pPr>
            <w:r>
              <w:rPr>
                <w:noProof/>
                <w:color w:val="000000"/>
                <w:sz w:val="14"/>
              </w:rPr>
              <w:t>341,797</w:t>
            </w:r>
          </w:p>
        </w:tc>
        <w:tc>
          <w:tcPr>
            <w:tcW w:w="848" w:type="dxa"/>
            <w:vAlign w:val="center"/>
          </w:tcPr>
          <w:p w:rsidR="008209B4" w:rsidRDefault="00A54173">
            <w:pPr>
              <w:spacing w:before="40" w:after="40"/>
              <w:jc w:val="right"/>
              <w:rPr>
                <w:b/>
                <w:noProof/>
                <w:sz w:val="14"/>
              </w:rPr>
            </w:pPr>
            <w:r>
              <w:rPr>
                <w:noProof/>
                <w:color w:val="000000"/>
                <w:sz w:val="14"/>
              </w:rPr>
              <w:t>351,421</w:t>
            </w:r>
          </w:p>
        </w:tc>
        <w:tc>
          <w:tcPr>
            <w:tcW w:w="848" w:type="dxa"/>
            <w:vAlign w:val="center"/>
          </w:tcPr>
          <w:p w:rsidR="008209B4" w:rsidRDefault="00A54173">
            <w:pPr>
              <w:spacing w:before="40" w:after="40"/>
              <w:jc w:val="right"/>
              <w:rPr>
                <w:b/>
                <w:noProof/>
                <w:sz w:val="14"/>
              </w:rPr>
            </w:pPr>
            <w:r>
              <w:rPr>
                <w:noProof/>
                <w:color w:val="000000"/>
                <w:sz w:val="14"/>
              </w:rPr>
              <w:t>361,335</w:t>
            </w:r>
          </w:p>
        </w:tc>
        <w:tc>
          <w:tcPr>
            <w:tcW w:w="848" w:type="dxa"/>
            <w:vAlign w:val="center"/>
          </w:tcPr>
          <w:p w:rsidR="008209B4" w:rsidRDefault="00A54173">
            <w:pPr>
              <w:spacing w:before="40" w:after="40"/>
              <w:jc w:val="right"/>
              <w:rPr>
                <w:b/>
                <w:noProof/>
                <w:sz w:val="14"/>
              </w:rPr>
            </w:pPr>
            <w:r>
              <w:rPr>
                <w:noProof/>
                <w:color w:val="000000"/>
                <w:sz w:val="14"/>
              </w:rPr>
              <w:t>371,548</w:t>
            </w:r>
          </w:p>
        </w:tc>
        <w:tc>
          <w:tcPr>
            <w:tcW w:w="848" w:type="dxa"/>
            <w:vAlign w:val="center"/>
          </w:tcPr>
          <w:p w:rsidR="008209B4" w:rsidRDefault="00A54173">
            <w:pPr>
              <w:spacing w:before="40" w:after="40"/>
              <w:jc w:val="right"/>
              <w:rPr>
                <w:b/>
                <w:noProof/>
                <w:sz w:val="14"/>
              </w:rPr>
            </w:pPr>
            <w:r>
              <w:rPr>
                <w:noProof/>
                <w:color w:val="000000"/>
                <w:sz w:val="14"/>
              </w:rPr>
              <w:t>382,070</w:t>
            </w:r>
          </w:p>
        </w:tc>
        <w:tc>
          <w:tcPr>
            <w:tcW w:w="848" w:type="dxa"/>
            <w:vAlign w:val="center"/>
          </w:tcPr>
          <w:p w:rsidR="008209B4" w:rsidRDefault="00A54173">
            <w:pPr>
              <w:spacing w:before="40" w:after="40"/>
              <w:jc w:val="right"/>
              <w:rPr>
                <w:b/>
                <w:noProof/>
                <w:sz w:val="14"/>
              </w:rPr>
            </w:pPr>
            <w:r>
              <w:rPr>
                <w:noProof/>
                <w:color w:val="000000"/>
                <w:sz w:val="14"/>
              </w:rPr>
              <w:t>392,912</w:t>
            </w:r>
          </w:p>
        </w:tc>
        <w:tc>
          <w:tcPr>
            <w:tcW w:w="1016" w:type="dxa"/>
            <w:shd w:val="clear" w:color="auto" w:fill="9D9398" w:themeFill="background1" w:themeFillShade="A6"/>
            <w:vAlign w:val="center"/>
          </w:tcPr>
          <w:p w:rsidR="008209B4" w:rsidRDefault="008209B4">
            <w:pPr>
              <w:spacing w:before="40" w:after="40"/>
              <w:jc w:val="right"/>
              <w:rPr>
                <w:b/>
                <w:noProof/>
                <w:sz w:val="14"/>
              </w:rPr>
            </w:pPr>
          </w:p>
        </w:tc>
        <w:tc>
          <w:tcPr>
            <w:tcW w:w="1612" w:type="dxa"/>
            <w:gridSpan w:val="2"/>
            <w:vAlign w:val="center"/>
          </w:tcPr>
          <w:p w:rsidR="008209B4" w:rsidRDefault="00A54173">
            <w:pPr>
              <w:spacing w:before="40" w:after="40"/>
              <w:jc w:val="right"/>
              <w:rPr>
                <w:b/>
                <w:noProof/>
                <w:sz w:val="14"/>
              </w:rPr>
            </w:pPr>
            <w:r>
              <w:rPr>
                <w:b/>
                <w:noProof/>
                <w:color w:val="000000"/>
                <w:sz w:val="14"/>
              </w:rPr>
              <w:t>2 533,539</w:t>
            </w:r>
          </w:p>
        </w:tc>
      </w:tr>
      <w:tr w:rsidR="008209B4">
        <w:trPr>
          <w:trHeight w:val="319"/>
          <w:jc w:val="center"/>
        </w:trPr>
        <w:tc>
          <w:tcPr>
            <w:tcW w:w="3426" w:type="dxa"/>
            <w:vAlign w:val="center"/>
          </w:tcPr>
          <w:p w:rsidR="008209B4" w:rsidRDefault="00A54173">
            <w:pPr>
              <w:spacing w:before="20" w:after="20"/>
              <w:jc w:val="left"/>
              <w:rPr>
                <w:noProof/>
                <w:sz w:val="16"/>
              </w:rPr>
            </w:pPr>
            <w:r>
              <w:rPr>
                <w:noProof/>
                <w:sz w:val="16"/>
              </w:rPr>
              <w:t>01 01 01 02 Външен персонал, работещ по програми за научни изследвания и иновации — „Хоризонт Европа“</w:t>
            </w:r>
          </w:p>
        </w:tc>
        <w:tc>
          <w:tcPr>
            <w:tcW w:w="1295" w:type="dxa"/>
            <w:vAlign w:val="center"/>
          </w:tcPr>
          <w:p w:rsidR="008209B4" w:rsidRDefault="00A54173">
            <w:pPr>
              <w:spacing w:before="40" w:after="40"/>
              <w:jc w:val="left"/>
              <w:rPr>
                <w:noProof/>
                <w:sz w:val="16"/>
              </w:rPr>
            </w:pPr>
            <w:r>
              <w:rPr>
                <w:noProof/>
                <w:sz w:val="16"/>
              </w:rPr>
              <w:t>Поети задължения = Плащания</w:t>
            </w:r>
          </w:p>
        </w:tc>
        <w:tc>
          <w:tcPr>
            <w:tcW w:w="705" w:type="dxa"/>
            <w:vAlign w:val="center"/>
          </w:tcPr>
          <w:p w:rsidR="008209B4" w:rsidRDefault="00A54173">
            <w:pPr>
              <w:spacing w:before="40" w:after="40"/>
              <w:jc w:val="center"/>
              <w:rPr>
                <w:noProof/>
                <w:sz w:val="14"/>
              </w:rPr>
            </w:pPr>
            <w:r>
              <w:rPr>
                <w:noProof/>
                <w:sz w:val="14"/>
              </w:rPr>
              <w:t>3)</w:t>
            </w:r>
          </w:p>
        </w:tc>
        <w:tc>
          <w:tcPr>
            <w:tcW w:w="962" w:type="dxa"/>
            <w:vAlign w:val="center"/>
          </w:tcPr>
          <w:p w:rsidR="008209B4" w:rsidRDefault="00A54173">
            <w:pPr>
              <w:spacing w:before="40" w:after="40"/>
              <w:jc w:val="right"/>
              <w:rPr>
                <w:b/>
                <w:noProof/>
                <w:sz w:val="14"/>
              </w:rPr>
            </w:pPr>
            <w:r>
              <w:rPr>
                <w:noProof/>
                <w:color w:val="000000"/>
                <w:sz w:val="14"/>
              </w:rPr>
              <w:t>68,862</w:t>
            </w:r>
          </w:p>
        </w:tc>
        <w:tc>
          <w:tcPr>
            <w:tcW w:w="848" w:type="dxa"/>
            <w:vAlign w:val="center"/>
          </w:tcPr>
          <w:p w:rsidR="008209B4" w:rsidRDefault="00A54173">
            <w:pPr>
              <w:spacing w:before="40" w:after="40"/>
              <w:jc w:val="right"/>
              <w:rPr>
                <w:b/>
                <w:noProof/>
                <w:sz w:val="14"/>
              </w:rPr>
            </w:pPr>
            <w:r>
              <w:rPr>
                <w:noProof/>
                <w:color w:val="000000"/>
                <w:sz w:val="14"/>
              </w:rPr>
              <w:t>70,239</w:t>
            </w:r>
          </w:p>
        </w:tc>
        <w:tc>
          <w:tcPr>
            <w:tcW w:w="848" w:type="dxa"/>
            <w:vAlign w:val="center"/>
          </w:tcPr>
          <w:p w:rsidR="008209B4" w:rsidRDefault="00A54173">
            <w:pPr>
              <w:spacing w:before="40" w:after="40"/>
              <w:jc w:val="right"/>
              <w:rPr>
                <w:b/>
                <w:noProof/>
                <w:sz w:val="14"/>
              </w:rPr>
            </w:pPr>
            <w:r>
              <w:rPr>
                <w:noProof/>
                <w:color w:val="000000"/>
                <w:sz w:val="14"/>
              </w:rPr>
              <w:t>71,643</w:t>
            </w:r>
          </w:p>
        </w:tc>
        <w:tc>
          <w:tcPr>
            <w:tcW w:w="848" w:type="dxa"/>
            <w:vAlign w:val="center"/>
          </w:tcPr>
          <w:p w:rsidR="008209B4" w:rsidRDefault="00A54173">
            <w:pPr>
              <w:spacing w:before="40" w:after="40"/>
              <w:jc w:val="right"/>
              <w:rPr>
                <w:b/>
                <w:noProof/>
                <w:sz w:val="14"/>
              </w:rPr>
            </w:pPr>
            <w:r>
              <w:rPr>
                <w:noProof/>
                <w:color w:val="000000"/>
                <w:sz w:val="14"/>
              </w:rPr>
              <w:t>73,076</w:t>
            </w:r>
          </w:p>
        </w:tc>
        <w:tc>
          <w:tcPr>
            <w:tcW w:w="848" w:type="dxa"/>
            <w:vAlign w:val="center"/>
          </w:tcPr>
          <w:p w:rsidR="008209B4" w:rsidRDefault="00A54173">
            <w:pPr>
              <w:spacing w:before="40" w:after="40"/>
              <w:jc w:val="right"/>
              <w:rPr>
                <w:b/>
                <w:noProof/>
                <w:sz w:val="14"/>
              </w:rPr>
            </w:pPr>
            <w:r>
              <w:rPr>
                <w:noProof/>
                <w:color w:val="000000"/>
                <w:sz w:val="14"/>
              </w:rPr>
              <w:t>74,538</w:t>
            </w:r>
          </w:p>
        </w:tc>
        <w:tc>
          <w:tcPr>
            <w:tcW w:w="848" w:type="dxa"/>
            <w:vAlign w:val="center"/>
          </w:tcPr>
          <w:p w:rsidR="008209B4" w:rsidRDefault="00A54173">
            <w:pPr>
              <w:spacing w:before="40" w:after="40"/>
              <w:jc w:val="right"/>
              <w:rPr>
                <w:b/>
                <w:noProof/>
                <w:sz w:val="14"/>
              </w:rPr>
            </w:pPr>
            <w:r>
              <w:rPr>
                <w:noProof/>
                <w:color w:val="000000"/>
                <w:sz w:val="14"/>
              </w:rPr>
              <w:t>76,029</w:t>
            </w:r>
          </w:p>
        </w:tc>
        <w:tc>
          <w:tcPr>
            <w:tcW w:w="848" w:type="dxa"/>
            <w:vAlign w:val="center"/>
          </w:tcPr>
          <w:p w:rsidR="008209B4" w:rsidRDefault="00A54173">
            <w:pPr>
              <w:spacing w:before="40" w:after="40"/>
              <w:jc w:val="right"/>
              <w:rPr>
                <w:b/>
                <w:noProof/>
                <w:sz w:val="14"/>
              </w:rPr>
            </w:pPr>
            <w:r>
              <w:rPr>
                <w:noProof/>
                <w:color w:val="000000"/>
                <w:sz w:val="14"/>
              </w:rPr>
              <w:t>77,549</w:t>
            </w:r>
          </w:p>
        </w:tc>
        <w:tc>
          <w:tcPr>
            <w:tcW w:w="1016" w:type="dxa"/>
            <w:shd w:val="clear" w:color="auto" w:fill="9D9398" w:themeFill="background1" w:themeFillShade="A6"/>
            <w:vAlign w:val="center"/>
          </w:tcPr>
          <w:p w:rsidR="008209B4" w:rsidRDefault="008209B4">
            <w:pPr>
              <w:spacing w:before="40" w:after="40"/>
              <w:jc w:val="right"/>
              <w:rPr>
                <w:b/>
                <w:noProof/>
                <w:sz w:val="14"/>
              </w:rPr>
            </w:pPr>
          </w:p>
        </w:tc>
        <w:tc>
          <w:tcPr>
            <w:tcW w:w="1612" w:type="dxa"/>
            <w:gridSpan w:val="2"/>
            <w:vAlign w:val="center"/>
          </w:tcPr>
          <w:p w:rsidR="008209B4" w:rsidRDefault="00A54173">
            <w:pPr>
              <w:spacing w:before="40" w:after="40"/>
              <w:jc w:val="right"/>
              <w:rPr>
                <w:b/>
                <w:noProof/>
                <w:sz w:val="14"/>
              </w:rPr>
            </w:pPr>
            <w:r>
              <w:rPr>
                <w:b/>
                <w:noProof/>
                <w:color w:val="000000"/>
                <w:sz w:val="14"/>
              </w:rPr>
              <w:t>511,937</w:t>
            </w:r>
          </w:p>
        </w:tc>
      </w:tr>
      <w:tr w:rsidR="008209B4">
        <w:trPr>
          <w:trHeight w:val="319"/>
          <w:jc w:val="center"/>
        </w:trPr>
        <w:tc>
          <w:tcPr>
            <w:tcW w:w="3426" w:type="dxa"/>
            <w:vAlign w:val="center"/>
          </w:tcPr>
          <w:p w:rsidR="008209B4" w:rsidRDefault="00A54173">
            <w:pPr>
              <w:spacing w:before="20" w:after="20"/>
              <w:jc w:val="left"/>
              <w:rPr>
                <w:noProof/>
                <w:sz w:val="16"/>
              </w:rPr>
            </w:pPr>
            <w:r>
              <w:rPr>
                <w:noProof/>
                <w:sz w:val="16"/>
              </w:rPr>
              <w:t xml:space="preserve">01 01 01 03 </w:t>
            </w:r>
            <w:r>
              <w:rPr>
                <w:noProof/>
                <w:sz w:val="16"/>
              </w:rPr>
              <w:t>Други разходи за управление за програми за научни изследвания и иновации — „Хоризонт Европа“</w:t>
            </w:r>
          </w:p>
        </w:tc>
        <w:tc>
          <w:tcPr>
            <w:tcW w:w="1295" w:type="dxa"/>
            <w:vAlign w:val="center"/>
          </w:tcPr>
          <w:p w:rsidR="008209B4" w:rsidRDefault="00A54173">
            <w:pPr>
              <w:spacing w:before="40" w:after="40"/>
              <w:jc w:val="left"/>
              <w:rPr>
                <w:noProof/>
                <w:sz w:val="16"/>
              </w:rPr>
            </w:pPr>
            <w:r>
              <w:rPr>
                <w:noProof/>
                <w:sz w:val="16"/>
              </w:rPr>
              <w:t>Поети задължения = Плащания</w:t>
            </w:r>
          </w:p>
        </w:tc>
        <w:tc>
          <w:tcPr>
            <w:tcW w:w="705" w:type="dxa"/>
            <w:vAlign w:val="center"/>
          </w:tcPr>
          <w:p w:rsidR="008209B4" w:rsidRDefault="00A54173">
            <w:pPr>
              <w:spacing w:before="40" w:after="40"/>
              <w:jc w:val="center"/>
              <w:rPr>
                <w:noProof/>
                <w:sz w:val="14"/>
              </w:rPr>
            </w:pPr>
            <w:r>
              <w:rPr>
                <w:noProof/>
                <w:sz w:val="14"/>
              </w:rPr>
              <w:t>3)</w:t>
            </w:r>
          </w:p>
        </w:tc>
        <w:tc>
          <w:tcPr>
            <w:tcW w:w="962" w:type="dxa"/>
            <w:vAlign w:val="center"/>
          </w:tcPr>
          <w:p w:rsidR="008209B4" w:rsidRDefault="00A54173">
            <w:pPr>
              <w:spacing w:before="40" w:after="40"/>
              <w:jc w:val="right"/>
              <w:rPr>
                <w:b/>
                <w:noProof/>
                <w:sz w:val="14"/>
              </w:rPr>
            </w:pPr>
            <w:r>
              <w:rPr>
                <w:noProof/>
                <w:color w:val="000000"/>
                <w:sz w:val="14"/>
              </w:rPr>
              <w:t>422,289</w:t>
            </w:r>
          </w:p>
        </w:tc>
        <w:tc>
          <w:tcPr>
            <w:tcW w:w="848" w:type="dxa"/>
            <w:vAlign w:val="center"/>
          </w:tcPr>
          <w:p w:rsidR="008209B4" w:rsidRDefault="00A54173">
            <w:pPr>
              <w:spacing w:before="40" w:after="40"/>
              <w:jc w:val="right"/>
              <w:rPr>
                <w:b/>
                <w:noProof/>
                <w:sz w:val="14"/>
              </w:rPr>
            </w:pPr>
            <w:r>
              <w:rPr>
                <w:noProof/>
                <w:color w:val="000000"/>
                <w:sz w:val="14"/>
              </w:rPr>
              <w:t>428,181</w:t>
            </w:r>
          </w:p>
        </w:tc>
        <w:tc>
          <w:tcPr>
            <w:tcW w:w="848" w:type="dxa"/>
            <w:vAlign w:val="center"/>
          </w:tcPr>
          <w:p w:rsidR="008209B4" w:rsidRDefault="00A54173">
            <w:pPr>
              <w:spacing w:before="40" w:after="40"/>
              <w:jc w:val="right"/>
              <w:rPr>
                <w:b/>
                <w:noProof/>
                <w:sz w:val="14"/>
              </w:rPr>
            </w:pPr>
            <w:r>
              <w:rPr>
                <w:noProof/>
                <w:color w:val="000000"/>
                <w:sz w:val="14"/>
              </w:rPr>
              <w:t>434,044</w:t>
            </w:r>
          </w:p>
        </w:tc>
        <w:tc>
          <w:tcPr>
            <w:tcW w:w="848" w:type="dxa"/>
            <w:vAlign w:val="center"/>
          </w:tcPr>
          <w:p w:rsidR="008209B4" w:rsidRDefault="00A54173">
            <w:pPr>
              <w:spacing w:before="40" w:after="40"/>
              <w:jc w:val="right"/>
              <w:rPr>
                <w:b/>
                <w:noProof/>
                <w:sz w:val="14"/>
              </w:rPr>
            </w:pPr>
            <w:r>
              <w:rPr>
                <w:noProof/>
                <w:color w:val="000000"/>
                <w:sz w:val="14"/>
              </w:rPr>
              <w:t>439,964</w:t>
            </w:r>
          </w:p>
        </w:tc>
        <w:tc>
          <w:tcPr>
            <w:tcW w:w="848" w:type="dxa"/>
            <w:vAlign w:val="center"/>
          </w:tcPr>
          <w:p w:rsidR="008209B4" w:rsidRDefault="00A54173">
            <w:pPr>
              <w:spacing w:before="40" w:after="40"/>
              <w:jc w:val="right"/>
              <w:rPr>
                <w:b/>
                <w:noProof/>
                <w:sz w:val="14"/>
              </w:rPr>
            </w:pPr>
            <w:r>
              <w:rPr>
                <w:noProof/>
                <w:color w:val="000000"/>
                <w:sz w:val="14"/>
              </w:rPr>
              <w:t>446,024</w:t>
            </w:r>
          </w:p>
        </w:tc>
        <w:tc>
          <w:tcPr>
            <w:tcW w:w="848" w:type="dxa"/>
            <w:vAlign w:val="center"/>
          </w:tcPr>
          <w:p w:rsidR="008209B4" w:rsidRDefault="00A54173">
            <w:pPr>
              <w:spacing w:before="40" w:after="40"/>
              <w:jc w:val="right"/>
              <w:rPr>
                <w:b/>
                <w:noProof/>
                <w:sz w:val="14"/>
              </w:rPr>
            </w:pPr>
            <w:r>
              <w:rPr>
                <w:noProof/>
                <w:color w:val="000000"/>
                <w:sz w:val="14"/>
              </w:rPr>
              <w:t>451,895</w:t>
            </w:r>
          </w:p>
        </w:tc>
        <w:tc>
          <w:tcPr>
            <w:tcW w:w="848" w:type="dxa"/>
            <w:vAlign w:val="center"/>
          </w:tcPr>
          <w:p w:rsidR="008209B4" w:rsidRDefault="00A54173">
            <w:pPr>
              <w:spacing w:before="40" w:after="40"/>
              <w:jc w:val="right"/>
              <w:rPr>
                <w:b/>
                <w:noProof/>
                <w:sz w:val="14"/>
              </w:rPr>
            </w:pPr>
            <w:r>
              <w:rPr>
                <w:noProof/>
                <w:color w:val="000000"/>
                <w:sz w:val="14"/>
              </w:rPr>
              <w:t>457,982</w:t>
            </w:r>
          </w:p>
        </w:tc>
        <w:tc>
          <w:tcPr>
            <w:tcW w:w="1016" w:type="dxa"/>
            <w:shd w:val="clear" w:color="auto" w:fill="9D9398" w:themeFill="background1" w:themeFillShade="A6"/>
            <w:vAlign w:val="center"/>
          </w:tcPr>
          <w:p w:rsidR="008209B4" w:rsidRDefault="008209B4">
            <w:pPr>
              <w:spacing w:before="40" w:after="40"/>
              <w:jc w:val="right"/>
              <w:rPr>
                <w:b/>
                <w:noProof/>
                <w:sz w:val="14"/>
              </w:rPr>
            </w:pPr>
          </w:p>
        </w:tc>
        <w:tc>
          <w:tcPr>
            <w:tcW w:w="1612" w:type="dxa"/>
            <w:gridSpan w:val="2"/>
            <w:vAlign w:val="center"/>
          </w:tcPr>
          <w:p w:rsidR="008209B4" w:rsidRDefault="00A54173">
            <w:pPr>
              <w:spacing w:before="40" w:after="40"/>
              <w:jc w:val="right"/>
              <w:rPr>
                <w:b/>
                <w:noProof/>
                <w:sz w:val="14"/>
              </w:rPr>
            </w:pPr>
            <w:r>
              <w:rPr>
                <w:b/>
                <w:noProof/>
                <w:color w:val="000000"/>
                <w:sz w:val="14"/>
              </w:rPr>
              <w:t>3 080,380</w:t>
            </w:r>
          </w:p>
        </w:tc>
      </w:tr>
      <w:tr w:rsidR="008209B4">
        <w:trPr>
          <w:gridAfter w:val="1"/>
          <w:wAfter w:w="356" w:type="dxa"/>
          <w:jc w:val="center"/>
        </w:trPr>
        <w:tc>
          <w:tcPr>
            <w:tcW w:w="3426" w:type="dxa"/>
            <w:vMerge w:val="restart"/>
            <w:vAlign w:val="center"/>
          </w:tcPr>
          <w:p w:rsidR="008209B4" w:rsidRDefault="00A54173">
            <w:pPr>
              <w:jc w:val="left"/>
              <w:rPr>
                <w:b/>
                <w:noProof/>
                <w:sz w:val="16"/>
              </w:rPr>
            </w:pPr>
            <w:r>
              <w:rPr>
                <w:b/>
                <w:noProof/>
                <w:sz w:val="16"/>
              </w:rPr>
              <w:t>ОБЩО бюджетни кредити за финансовия пакет на програмата</w:t>
            </w:r>
          </w:p>
        </w:tc>
        <w:tc>
          <w:tcPr>
            <w:tcW w:w="1295" w:type="dxa"/>
            <w:vAlign w:val="center"/>
          </w:tcPr>
          <w:p w:rsidR="008209B4" w:rsidRDefault="00A54173">
            <w:pPr>
              <w:jc w:val="left"/>
              <w:rPr>
                <w:noProof/>
                <w:sz w:val="16"/>
              </w:rPr>
            </w:pPr>
            <w:r>
              <w:rPr>
                <w:noProof/>
                <w:sz w:val="16"/>
              </w:rPr>
              <w:t xml:space="preserve">Поети </w:t>
            </w:r>
            <w:r>
              <w:rPr>
                <w:noProof/>
                <w:sz w:val="16"/>
              </w:rPr>
              <w:t>задължения</w:t>
            </w:r>
          </w:p>
        </w:tc>
        <w:tc>
          <w:tcPr>
            <w:tcW w:w="705" w:type="dxa"/>
            <w:vAlign w:val="center"/>
          </w:tcPr>
          <w:p w:rsidR="008209B4" w:rsidRDefault="00A54173">
            <w:pPr>
              <w:jc w:val="center"/>
              <w:rPr>
                <w:noProof/>
                <w:sz w:val="14"/>
              </w:rPr>
            </w:pPr>
            <w:r>
              <w:rPr>
                <w:noProof/>
                <w:sz w:val="14"/>
              </w:rPr>
              <w:t>=1+3</w:t>
            </w:r>
          </w:p>
        </w:tc>
        <w:tc>
          <w:tcPr>
            <w:tcW w:w="962" w:type="dxa"/>
            <w:vAlign w:val="center"/>
          </w:tcPr>
          <w:p w:rsidR="008209B4" w:rsidRDefault="00A54173">
            <w:pPr>
              <w:spacing w:before="20" w:after="20"/>
              <w:jc w:val="right"/>
              <w:rPr>
                <w:b/>
                <w:noProof/>
                <w:sz w:val="14"/>
              </w:rPr>
            </w:pPr>
            <w:r>
              <w:rPr>
                <w:b/>
                <w:noProof/>
                <w:color w:val="000000"/>
                <w:sz w:val="14"/>
              </w:rPr>
              <w:t>12 649,000</w:t>
            </w:r>
          </w:p>
        </w:tc>
        <w:tc>
          <w:tcPr>
            <w:tcW w:w="848" w:type="dxa"/>
            <w:vAlign w:val="center"/>
          </w:tcPr>
          <w:p w:rsidR="008209B4" w:rsidRDefault="00A54173">
            <w:pPr>
              <w:spacing w:before="20" w:after="20"/>
              <w:jc w:val="right"/>
              <w:rPr>
                <w:b/>
                <w:noProof/>
                <w:sz w:val="14"/>
              </w:rPr>
            </w:pPr>
            <w:r>
              <w:rPr>
                <w:b/>
                <w:noProof/>
                <w:color w:val="000000"/>
                <w:sz w:val="14"/>
              </w:rPr>
              <w:t>12 905,000</w:t>
            </w:r>
          </w:p>
        </w:tc>
        <w:tc>
          <w:tcPr>
            <w:tcW w:w="848" w:type="dxa"/>
            <w:vAlign w:val="center"/>
          </w:tcPr>
          <w:p w:rsidR="008209B4" w:rsidRDefault="00A54173">
            <w:pPr>
              <w:spacing w:before="20" w:after="20"/>
              <w:jc w:val="right"/>
              <w:rPr>
                <w:b/>
                <w:noProof/>
                <w:sz w:val="14"/>
              </w:rPr>
            </w:pPr>
            <w:r>
              <w:rPr>
                <w:b/>
                <w:noProof/>
                <w:color w:val="000000"/>
                <w:sz w:val="14"/>
              </w:rPr>
              <w:t>13 165,000</w:t>
            </w:r>
          </w:p>
        </w:tc>
        <w:tc>
          <w:tcPr>
            <w:tcW w:w="848" w:type="dxa"/>
            <w:vAlign w:val="center"/>
          </w:tcPr>
          <w:p w:rsidR="008209B4" w:rsidRDefault="00A54173">
            <w:pPr>
              <w:spacing w:before="20" w:after="20"/>
              <w:jc w:val="right"/>
              <w:rPr>
                <w:b/>
                <w:noProof/>
                <w:sz w:val="14"/>
              </w:rPr>
            </w:pPr>
            <w:r>
              <w:rPr>
                <w:b/>
                <w:noProof/>
                <w:color w:val="000000"/>
                <w:sz w:val="14"/>
              </w:rPr>
              <w:t>13 431,000</w:t>
            </w:r>
          </w:p>
        </w:tc>
        <w:tc>
          <w:tcPr>
            <w:tcW w:w="848" w:type="dxa"/>
            <w:vAlign w:val="center"/>
          </w:tcPr>
          <w:p w:rsidR="008209B4" w:rsidRDefault="00A54173">
            <w:pPr>
              <w:spacing w:before="20" w:after="20"/>
              <w:jc w:val="right"/>
              <w:rPr>
                <w:b/>
                <w:noProof/>
                <w:sz w:val="14"/>
              </w:rPr>
            </w:pPr>
            <w:r>
              <w:rPr>
                <w:b/>
                <w:noProof/>
                <w:color w:val="000000"/>
                <w:sz w:val="14"/>
              </w:rPr>
              <w:t>13 705,000</w:t>
            </w:r>
          </w:p>
        </w:tc>
        <w:tc>
          <w:tcPr>
            <w:tcW w:w="848" w:type="dxa"/>
            <w:vAlign w:val="center"/>
          </w:tcPr>
          <w:p w:rsidR="008209B4" w:rsidRDefault="00A54173">
            <w:pPr>
              <w:spacing w:before="20" w:after="20"/>
              <w:jc w:val="right"/>
              <w:rPr>
                <w:b/>
                <w:noProof/>
                <w:sz w:val="14"/>
              </w:rPr>
            </w:pPr>
            <w:r>
              <w:rPr>
                <w:b/>
                <w:noProof/>
                <w:color w:val="000000"/>
                <w:sz w:val="14"/>
              </w:rPr>
              <w:t>13 980,000</w:t>
            </w:r>
          </w:p>
        </w:tc>
        <w:tc>
          <w:tcPr>
            <w:tcW w:w="848" w:type="dxa"/>
            <w:vAlign w:val="center"/>
          </w:tcPr>
          <w:p w:rsidR="008209B4" w:rsidRDefault="00A54173">
            <w:pPr>
              <w:spacing w:before="20" w:after="20"/>
              <w:jc w:val="right"/>
              <w:rPr>
                <w:b/>
                <w:noProof/>
                <w:sz w:val="14"/>
              </w:rPr>
            </w:pPr>
            <w:r>
              <w:rPr>
                <w:b/>
                <w:noProof/>
                <w:color w:val="000000"/>
                <w:sz w:val="14"/>
              </w:rPr>
              <w:t>14 265,000</w:t>
            </w:r>
          </w:p>
        </w:tc>
        <w:tc>
          <w:tcPr>
            <w:tcW w:w="1016" w:type="dxa"/>
            <w:shd w:val="clear" w:color="auto" w:fill="9D9398" w:themeFill="background1" w:themeFillShade="A6"/>
            <w:vAlign w:val="center"/>
          </w:tcPr>
          <w:p w:rsidR="008209B4" w:rsidRDefault="008209B4">
            <w:pPr>
              <w:spacing w:before="20" w:after="20"/>
              <w:jc w:val="right"/>
              <w:rPr>
                <w:b/>
                <w:noProof/>
                <w:sz w:val="14"/>
              </w:rPr>
            </w:pPr>
          </w:p>
        </w:tc>
        <w:tc>
          <w:tcPr>
            <w:tcW w:w="1256" w:type="dxa"/>
            <w:vAlign w:val="center"/>
          </w:tcPr>
          <w:p w:rsidR="008209B4" w:rsidRDefault="00A54173">
            <w:pPr>
              <w:spacing w:before="20" w:after="20"/>
              <w:jc w:val="right"/>
              <w:rPr>
                <w:b/>
                <w:noProof/>
                <w:sz w:val="14"/>
              </w:rPr>
            </w:pPr>
            <w:r>
              <w:rPr>
                <w:b/>
                <w:noProof/>
                <w:color w:val="000000"/>
                <w:sz w:val="14"/>
              </w:rPr>
              <w:t>94 100,000</w:t>
            </w:r>
          </w:p>
        </w:tc>
      </w:tr>
      <w:tr w:rsidR="008209B4">
        <w:trPr>
          <w:gridAfter w:val="1"/>
          <w:wAfter w:w="356" w:type="dxa"/>
          <w:jc w:val="center"/>
        </w:trPr>
        <w:tc>
          <w:tcPr>
            <w:tcW w:w="3426" w:type="dxa"/>
            <w:vMerge/>
          </w:tcPr>
          <w:p w:rsidR="008209B4" w:rsidRDefault="008209B4">
            <w:pPr>
              <w:rPr>
                <w:noProof/>
                <w:sz w:val="16"/>
              </w:rPr>
            </w:pPr>
          </w:p>
        </w:tc>
        <w:tc>
          <w:tcPr>
            <w:tcW w:w="1295" w:type="dxa"/>
            <w:vAlign w:val="center"/>
          </w:tcPr>
          <w:p w:rsidR="008209B4" w:rsidRDefault="00A54173">
            <w:pPr>
              <w:jc w:val="left"/>
              <w:rPr>
                <w:noProof/>
                <w:sz w:val="16"/>
              </w:rPr>
            </w:pPr>
            <w:r>
              <w:rPr>
                <w:noProof/>
                <w:sz w:val="16"/>
              </w:rPr>
              <w:t>Плащания</w:t>
            </w:r>
          </w:p>
        </w:tc>
        <w:tc>
          <w:tcPr>
            <w:tcW w:w="705" w:type="dxa"/>
            <w:vAlign w:val="center"/>
          </w:tcPr>
          <w:p w:rsidR="008209B4" w:rsidRDefault="00A54173">
            <w:pPr>
              <w:jc w:val="center"/>
              <w:rPr>
                <w:noProof/>
                <w:sz w:val="14"/>
              </w:rPr>
            </w:pPr>
            <w:r>
              <w:rPr>
                <w:noProof/>
                <w:sz w:val="14"/>
              </w:rPr>
              <w:t>=2+3</w:t>
            </w:r>
          </w:p>
        </w:tc>
        <w:tc>
          <w:tcPr>
            <w:tcW w:w="962" w:type="dxa"/>
            <w:vAlign w:val="center"/>
          </w:tcPr>
          <w:p w:rsidR="008209B4" w:rsidRDefault="00A54173">
            <w:pPr>
              <w:spacing w:before="20" w:after="20"/>
              <w:jc w:val="right"/>
              <w:rPr>
                <w:b/>
                <w:noProof/>
                <w:sz w:val="14"/>
              </w:rPr>
            </w:pPr>
            <w:r>
              <w:rPr>
                <w:b/>
                <w:noProof/>
                <w:color w:val="000000"/>
                <w:sz w:val="14"/>
              </w:rPr>
              <w:t>3 610,702</w:t>
            </w:r>
          </w:p>
        </w:tc>
        <w:tc>
          <w:tcPr>
            <w:tcW w:w="848" w:type="dxa"/>
            <w:vAlign w:val="center"/>
          </w:tcPr>
          <w:p w:rsidR="008209B4" w:rsidRDefault="00A54173">
            <w:pPr>
              <w:spacing w:before="20" w:after="20"/>
              <w:jc w:val="right"/>
              <w:rPr>
                <w:b/>
                <w:noProof/>
                <w:sz w:val="14"/>
              </w:rPr>
            </w:pPr>
            <w:r>
              <w:rPr>
                <w:b/>
                <w:noProof/>
                <w:color w:val="000000"/>
                <w:sz w:val="14"/>
              </w:rPr>
              <w:t>7 698,393</w:t>
            </w:r>
          </w:p>
        </w:tc>
        <w:tc>
          <w:tcPr>
            <w:tcW w:w="848" w:type="dxa"/>
            <w:vAlign w:val="center"/>
          </w:tcPr>
          <w:p w:rsidR="008209B4" w:rsidRDefault="00A54173">
            <w:pPr>
              <w:spacing w:before="20" w:after="20"/>
              <w:jc w:val="right"/>
              <w:rPr>
                <w:b/>
                <w:noProof/>
                <w:sz w:val="14"/>
              </w:rPr>
            </w:pPr>
            <w:r>
              <w:rPr>
                <w:b/>
                <w:noProof/>
                <w:color w:val="000000"/>
                <w:sz w:val="14"/>
              </w:rPr>
              <w:t>9 173,995</w:t>
            </w:r>
          </w:p>
        </w:tc>
        <w:tc>
          <w:tcPr>
            <w:tcW w:w="848" w:type="dxa"/>
            <w:vAlign w:val="center"/>
          </w:tcPr>
          <w:p w:rsidR="008209B4" w:rsidRDefault="00A54173">
            <w:pPr>
              <w:spacing w:before="20" w:after="20"/>
              <w:jc w:val="right"/>
              <w:rPr>
                <w:b/>
                <w:noProof/>
                <w:sz w:val="14"/>
              </w:rPr>
            </w:pPr>
            <w:r>
              <w:rPr>
                <w:b/>
                <w:noProof/>
                <w:color w:val="000000"/>
                <w:sz w:val="14"/>
              </w:rPr>
              <w:t>11 158,626</w:t>
            </w:r>
          </w:p>
        </w:tc>
        <w:tc>
          <w:tcPr>
            <w:tcW w:w="848" w:type="dxa"/>
            <w:vAlign w:val="center"/>
          </w:tcPr>
          <w:p w:rsidR="008209B4" w:rsidRDefault="00A54173">
            <w:pPr>
              <w:spacing w:before="20" w:after="20"/>
              <w:jc w:val="right"/>
              <w:rPr>
                <w:b/>
                <w:noProof/>
                <w:sz w:val="14"/>
              </w:rPr>
            </w:pPr>
            <w:r>
              <w:rPr>
                <w:b/>
                <w:noProof/>
                <w:color w:val="000000"/>
                <w:sz w:val="14"/>
              </w:rPr>
              <w:t>12 545,625</w:t>
            </w:r>
          </w:p>
        </w:tc>
        <w:tc>
          <w:tcPr>
            <w:tcW w:w="848" w:type="dxa"/>
            <w:vAlign w:val="center"/>
          </w:tcPr>
          <w:p w:rsidR="008209B4" w:rsidRDefault="00A54173">
            <w:pPr>
              <w:spacing w:before="20" w:after="20"/>
              <w:jc w:val="right"/>
              <w:rPr>
                <w:b/>
                <w:noProof/>
                <w:sz w:val="14"/>
              </w:rPr>
            </w:pPr>
            <w:r>
              <w:rPr>
                <w:b/>
                <w:noProof/>
                <w:color w:val="000000"/>
                <w:sz w:val="14"/>
              </w:rPr>
              <w:t>13 585,787</w:t>
            </w:r>
          </w:p>
        </w:tc>
        <w:tc>
          <w:tcPr>
            <w:tcW w:w="848" w:type="dxa"/>
            <w:vAlign w:val="center"/>
          </w:tcPr>
          <w:p w:rsidR="008209B4" w:rsidRDefault="00A54173">
            <w:pPr>
              <w:spacing w:before="20" w:after="20"/>
              <w:jc w:val="right"/>
              <w:rPr>
                <w:b/>
                <w:noProof/>
                <w:sz w:val="14"/>
              </w:rPr>
            </w:pPr>
            <w:r>
              <w:rPr>
                <w:b/>
                <w:noProof/>
                <w:color w:val="000000"/>
                <w:sz w:val="14"/>
              </w:rPr>
              <w:t>14 262,844</w:t>
            </w:r>
          </w:p>
        </w:tc>
        <w:tc>
          <w:tcPr>
            <w:tcW w:w="1016" w:type="dxa"/>
            <w:vAlign w:val="center"/>
          </w:tcPr>
          <w:p w:rsidR="008209B4" w:rsidRDefault="00A54173">
            <w:pPr>
              <w:spacing w:before="20" w:after="20"/>
              <w:jc w:val="right"/>
              <w:rPr>
                <w:b/>
                <w:noProof/>
                <w:sz w:val="14"/>
              </w:rPr>
            </w:pPr>
            <w:r>
              <w:rPr>
                <w:b/>
                <w:noProof/>
                <w:color w:val="000000"/>
                <w:sz w:val="14"/>
              </w:rPr>
              <w:t>22 064,028</w:t>
            </w:r>
          </w:p>
        </w:tc>
        <w:tc>
          <w:tcPr>
            <w:tcW w:w="1256" w:type="dxa"/>
            <w:vAlign w:val="center"/>
          </w:tcPr>
          <w:p w:rsidR="008209B4" w:rsidRDefault="00A54173">
            <w:pPr>
              <w:spacing w:before="20" w:after="20"/>
              <w:jc w:val="right"/>
              <w:rPr>
                <w:b/>
                <w:noProof/>
                <w:sz w:val="14"/>
              </w:rPr>
            </w:pPr>
            <w:r>
              <w:rPr>
                <w:b/>
                <w:noProof/>
                <w:color w:val="000000"/>
                <w:sz w:val="14"/>
              </w:rPr>
              <w:t>94 100,000</w:t>
            </w:r>
          </w:p>
        </w:tc>
      </w:tr>
    </w:tbl>
    <w:p w:rsidR="008209B4" w:rsidRDefault="008209B4">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209B4">
        <w:trPr>
          <w:jc w:val="center"/>
        </w:trPr>
        <w:tc>
          <w:tcPr>
            <w:tcW w:w="4744" w:type="dxa"/>
            <w:shd w:val="thinDiagStripe" w:color="C0C0C0" w:fill="auto"/>
            <w:vAlign w:val="center"/>
          </w:tcPr>
          <w:p w:rsidR="008209B4" w:rsidRDefault="00A54173">
            <w:pPr>
              <w:spacing w:before="60" w:after="60"/>
              <w:jc w:val="center"/>
              <w:rPr>
                <w:b/>
                <w:noProof/>
              </w:rPr>
            </w:pPr>
            <w:r>
              <w:rPr>
                <w:noProof/>
              </w:rPr>
              <w:br w:type="page"/>
            </w:r>
            <w:r>
              <w:rPr>
                <w:b/>
                <w:noProof/>
                <w:sz w:val="22"/>
              </w:rPr>
              <w:t xml:space="preserve">Функция от многогодишната финансова </w:t>
            </w:r>
            <w:r>
              <w:rPr>
                <w:noProof/>
                <w:sz w:val="22"/>
              </w:rPr>
              <w:br/>
            </w:r>
            <w:r>
              <w:rPr>
                <w:b/>
                <w:noProof/>
                <w:sz w:val="22"/>
              </w:rPr>
              <w:t xml:space="preserve">рамка </w:t>
            </w:r>
          </w:p>
        </w:tc>
        <w:tc>
          <w:tcPr>
            <w:tcW w:w="1080" w:type="dxa"/>
            <w:shd w:val="thinDiagStripe" w:color="C0C0C0" w:fill="auto"/>
            <w:vAlign w:val="center"/>
          </w:tcPr>
          <w:p w:rsidR="008209B4" w:rsidRDefault="00A54173">
            <w:pPr>
              <w:spacing w:before="60" w:after="60"/>
              <w:jc w:val="center"/>
              <w:rPr>
                <w:noProof/>
              </w:rPr>
            </w:pPr>
            <w:r>
              <w:rPr>
                <w:b/>
                <w:noProof/>
                <w:sz w:val="22"/>
              </w:rPr>
              <w:t>7</w:t>
            </w:r>
          </w:p>
        </w:tc>
        <w:tc>
          <w:tcPr>
            <w:tcW w:w="7817" w:type="dxa"/>
            <w:vAlign w:val="center"/>
          </w:tcPr>
          <w:p w:rsidR="008209B4" w:rsidRDefault="00A54173">
            <w:pPr>
              <w:spacing w:before="60" w:after="60"/>
              <w:rPr>
                <w:noProof/>
              </w:rPr>
            </w:pPr>
            <w:r>
              <w:rPr>
                <w:noProof/>
                <w:sz w:val="22"/>
              </w:rPr>
              <w:t>„Административни разходи“</w:t>
            </w:r>
          </w:p>
        </w:tc>
      </w:tr>
    </w:tbl>
    <w:p w:rsidR="008209B4" w:rsidRDefault="00A54173">
      <w:pPr>
        <w:jc w:val="right"/>
        <w:rPr>
          <w:noProof/>
          <w:sz w:val="20"/>
        </w:rPr>
      </w:pPr>
      <w:r>
        <w:rPr>
          <w:noProof/>
          <w:sz w:val="20"/>
        </w:rPr>
        <w:t>млн. евро (до 3-тия знак след десетичната запетая)</w:t>
      </w:r>
    </w:p>
    <w:tbl>
      <w:tblPr>
        <w:tblW w:w="14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8"/>
        <w:gridCol w:w="1809"/>
        <w:gridCol w:w="868"/>
        <w:gridCol w:w="868"/>
        <w:gridCol w:w="868"/>
        <w:gridCol w:w="868"/>
        <w:gridCol w:w="868"/>
        <w:gridCol w:w="868"/>
        <w:gridCol w:w="868"/>
        <w:gridCol w:w="887"/>
        <w:gridCol w:w="1291"/>
      </w:tblGrid>
      <w:tr w:rsidR="008209B4">
        <w:trPr>
          <w:jc w:val="center"/>
        </w:trPr>
        <w:tc>
          <w:tcPr>
            <w:tcW w:w="5777" w:type="dxa"/>
            <w:gridSpan w:val="2"/>
            <w:tcBorders>
              <w:top w:val="nil"/>
              <w:left w:val="nil"/>
            </w:tcBorders>
            <w:vAlign w:val="center"/>
          </w:tcPr>
          <w:p w:rsidR="008209B4" w:rsidRDefault="008209B4">
            <w:pPr>
              <w:jc w:val="center"/>
              <w:rPr>
                <w:noProof/>
                <w:sz w:val="20"/>
              </w:rPr>
            </w:pPr>
          </w:p>
        </w:tc>
        <w:tc>
          <w:tcPr>
            <w:tcW w:w="868" w:type="dxa"/>
            <w:vAlign w:val="center"/>
          </w:tcPr>
          <w:p w:rsidR="008209B4" w:rsidRDefault="00A54173">
            <w:pPr>
              <w:jc w:val="center"/>
              <w:rPr>
                <w:b/>
                <w:noProof/>
                <w:sz w:val="20"/>
              </w:rPr>
            </w:pPr>
            <w:r>
              <w:rPr>
                <w:b/>
                <w:noProof/>
                <w:sz w:val="20"/>
              </w:rPr>
              <w:t>2021</w:t>
            </w:r>
          </w:p>
        </w:tc>
        <w:tc>
          <w:tcPr>
            <w:tcW w:w="868" w:type="dxa"/>
            <w:vAlign w:val="center"/>
          </w:tcPr>
          <w:p w:rsidR="008209B4" w:rsidRDefault="00A54173">
            <w:pPr>
              <w:jc w:val="center"/>
              <w:rPr>
                <w:b/>
                <w:noProof/>
                <w:sz w:val="20"/>
              </w:rPr>
            </w:pPr>
            <w:r>
              <w:rPr>
                <w:b/>
                <w:noProof/>
                <w:sz w:val="20"/>
              </w:rPr>
              <w:t>2022</w:t>
            </w:r>
          </w:p>
        </w:tc>
        <w:tc>
          <w:tcPr>
            <w:tcW w:w="868" w:type="dxa"/>
            <w:vAlign w:val="center"/>
          </w:tcPr>
          <w:p w:rsidR="008209B4" w:rsidRDefault="00A54173">
            <w:pPr>
              <w:jc w:val="center"/>
              <w:rPr>
                <w:b/>
                <w:noProof/>
                <w:sz w:val="20"/>
              </w:rPr>
            </w:pPr>
            <w:r>
              <w:rPr>
                <w:b/>
                <w:noProof/>
                <w:sz w:val="20"/>
              </w:rPr>
              <w:t>2023</w:t>
            </w:r>
          </w:p>
        </w:tc>
        <w:tc>
          <w:tcPr>
            <w:tcW w:w="868" w:type="dxa"/>
            <w:vAlign w:val="center"/>
          </w:tcPr>
          <w:p w:rsidR="008209B4" w:rsidRDefault="00A54173">
            <w:pPr>
              <w:jc w:val="center"/>
              <w:rPr>
                <w:b/>
                <w:noProof/>
                <w:sz w:val="20"/>
              </w:rPr>
            </w:pPr>
            <w:r>
              <w:rPr>
                <w:b/>
                <w:noProof/>
                <w:sz w:val="20"/>
              </w:rPr>
              <w:t>2024</w:t>
            </w:r>
          </w:p>
        </w:tc>
        <w:tc>
          <w:tcPr>
            <w:tcW w:w="868" w:type="dxa"/>
            <w:vAlign w:val="center"/>
          </w:tcPr>
          <w:p w:rsidR="008209B4" w:rsidRDefault="00A54173">
            <w:pPr>
              <w:jc w:val="center"/>
              <w:rPr>
                <w:b/>
                <w:noProof/>
                <w:sz w:val="18"/>
              </w:rPr>
            </w:pPr>
            <w:r>
              <w:rPr>
                <w:b/>
                <w:noProof/>
                <w:sz w:val="18"/>
              </w:rPr>
              <w:t>2025</w:t>
            </w:r>
          </w:p>
        </w:tc>
        <w:tc>
          <w:tcPr>
            <w:tcW w:w="868" w:type="dxa"/>
            <w:vAlign w:val="center"/>
          </w:tcPr>
          <w:p w:rsidR="008209B4" w:rsidRDefault="00A54173">
            <w:pPr>
              <w:jc w:val="center"/>
              <w:rPr>
                <w:b/>
                <w:noProof/>
                <w:sz w:val="18"/>
              </w:rPr>
            </w:pPr>
            <w:r>
              <w:rPr>
                <w:b/>
                <w:noProof/>
                <w:sz w:val="18"/>
              </w:rPr>
              <w:t>2026</w:t>
            </w:r>
          </w:p>
        </w:tc>
        <w:tc>
          <w:tcPr>
            <w:tcW w:w="868" w:type="dxa"/>
            <w:vAlign w:val="center"/>
          </w:tcPr>
          <w:p w:rsidR="008209B4" w:rsidRDefault="00A54173">
            <w:pPr>
              <w:jc w:val="center"/>
              <w:rPr>
                <w:b/>
                <w:noProof/>
                <w:sz w:val="18"/>
              </w:rPr>
            </w:pPr>
            <w:r>
              <w:rPr>
                <w:b/>
                <w:noProof/>
                <w:sz w:val="18"/>
              </w:rPr>
              <w:t>2027</w:t>
            </w:r>
          </w:p>
        </w:tc>
        <w:tc>
          <w:tcPr>
            <w:tcW w:w="887" w:type="dxa"/>
          </w:tcPr>
          <w:p w:rsidR="008209B4" w:rsidRDefault="00A54173">
            <w:pPr>
              <w:jc w:val="center"/>
              <w:rPr>
                <w:b/>
                <w:noProof/>
                <w:sz w:val="20"/>
              </w:rPr>
            </w:pPr>
            <w:r>
              <w:rPr>
                <w:b/>
                <w:i/>
                <w:noProof/>
                <w:sz w:val="20"/>
              </w:rPr>
              <w:t>След 2027</w:t>
            </w:r>
          </w:p>
        </w:tc>
        <w:tc>
          <w:tcPr>
            <w:tcW w:w="1291" w:type="dxa"/>
            <w:vAlign w:val="center"/>
          </w:tcPr>
          <w:p w:rsidR="008209B4" w:rsidRDefault="00A54173">
            <w:pPr>
              <w:jc w:val="center"/>
              <w:rPr>
                <w:b/>
                <w:noProof/>
                <w:sz w:val="20"/>
              </w:rPr>
            </w:pPr>
            <w:r>
              <w:rPr>
                <w:b/>
                <w:noProof/>
                <w:sz w:val="20"/>
              </w:rPr>
              <w:t>ОБЩО</w:t>
            </w:r>
          </w:p>
        </w:tc>
      </w:tr>
      <w:tr w:rsidR="008209B4">
        <w:trPr>
          <w:trHeight w:val="313"/>
          <w:jc w:val="center"/>
        </w:trPr>
        <w:tc>
          <w:tcPr>
            <w:tcW w:w="5777" w:type="dxa"/>
            <w:gridSpan w:val="2"/>
            <w:vAlign w:val="center"/>
          </w:tcPr>
          <w:p w:rsidR="008209B4" w:rsidRDefault="00A54173">
            <w:pPr>
              <w:spacing w:before="20" w:after="20"/>
              <w:rPr>
                <w:noProof/>
              </w:rPr>
            </w:pPr>
            <w:r>
              <w:rPr>
                <w:noProof/>
                <w:sz w:val="22"/>
              </w:rPr>
              <w:t xml:space="preserve">Човешки ресурси </w:t>
            </w:r>
          </w:p>
        </w:tc>
        <w:tc>
          <w:tcPr>
            <w:tcW w:w="868" w:type="dxa"/>
            <w:vAlign w:val="center"/>
          </w:tcPr>
          <w:p w:rsidR="008209B4" w:rsidRDefault="008209B4">
            <w:pPr>
              <w:spacing w:before="20" w:after="20"/>
              <w:jc w:val="right"/>
              <w:rPr>
                <w:noProof/>
                <w:sz w:val="20"/>
              </w:rPr>
            </w:pPr>
          </w:p>
        </w:tc>
        <w:tc>
          <w:tcPr>
            <w:tcW w:w="868" w:type="dxa"/>
            <w:vAlign w:val="center"/>
          </w:tcPr>
          <w:p w:rsidR="008209B4" w:rsidRDefault="008209B4">
            <w:pPr>
              <w:spacing w:before="20" w:after="20"/>
              <w:jc w:val="right"/>
              <w:rPr>
                <w:noProof/>
                <w:sz w:val="20"/>
              </w:rPr>
            </w:pPr>
          </w:p>
        </w:tc>
        <w:tc>
          <w:tcPr>
            <w:tcW w:w="868" w:type="dxa"/>
            <w:vAlign w:val="center"/>
          </w:tcPr>
          <w:p w:rsidR="008209B4" w:rsidRDefault="008209B4">
            <w:pPr>
              <w:spacing w:before="20" w:after="20"/>
              <w:jc w:val="right"/>
              <w:rPr>
                <w:noProof/>
                <w:sz w:val="20"/>
              </w:rPr>
            </w:pPr>
          </w:p>
        </w:tc>
        <w:tc>
          <w:tcPr>
            <w:tcW w:w="868" w:type="dxa"/>
            <w:vAlign w:val="center"/>
          </w:tcPr>
          <w:p w:rsidR="008209B4" w:rsidRDefault="008209B4">
            <w:pPr>
              <w:spacing w:before="20" w:after="20"/>
              <w:jc w:val="right"/>
              <w:rPr>
                <w:noProof/>
                <w:sz w:val="20"/>
              </w:rPr>
            </w:pPr>
          </w:p>
        </w:tc>
        <w:tc>
          <w:tcPr>
            <w:tcW w:w="868" w:type="dxa"/>
            <w:vAlign w:val="center"/>
          </w:tcPr>
          <w:p w:rsidR="008209B4" w:rsidRDefault="008209B4">
            <w:pPr>
              <w:spacing w:before="20" w:after="20"/>
              <w:jc w:val="right"/>
              <w:rPr>
                <w:noProof/>
                <w:sz w:val="20"/>
              </w:rPr>
            </w:pPr>
          </w:p>
        </w:tc>
        <w:tc>
          <w:tcPr>
            <w:tcW w:w="868" w:type="dxa"/>
            <w:vAlign w:val="center"/>
          </w:tcPr>
          <w:p w:rsidR="008209B4" w:rsidRDefault="008209B4">
            <w:pPr>
              <w:spacing w:before="20" w:after="20"/>
              <w:jc w:val="right"/>
              <w:rPr>
                <w:noProof/>
                <w:sz w:val="20"/>
              </w:rPr>
            </w:pPr>
          </w:p>
        </w:tc>
        <w:tc>
          <w:tcPr>
            <w:tcW w:w="868" w:type="dxa"/>
            <w:vAlign w:val="center"/>
          </w:tcPr>
          <w:p w:rsidR="008209B4" w:rsidRDefault="008209B4">
            <w:pPr>
              <w:spacing w:before="20" w:after="20"/>
              <w:jc w:val="right"/>
              <w:rPr>
                <w:b/>
                <w:noProof/>
                <w:sz w:val="20"/>
              </w:rPr>
            </w:pPr>
          </w:p>
        </w:tc>
        <w:tc>
          <w:tcPr>
            <w:tcW w:w="887" w:type="dxa"/>
            <w:shd w:val="clear" w:color="auto" w:fill="9D9398" w:themeFill="background1" w:themeFillShade="A6"/>
          </w:tcPr>
          <w:p w:rsidR="008209B4" w:rsidRDefault="008209B4">
            <w:pPr>
              <w:spacing w:before="20" w:after="20"/>
              <w:jc w:val="right"/>
              <w:rPr>
                <w:b/>
                <w:noProof/>
                <w:sz w:val="20"/>
              </w:rPr>
            </w:pPr>
          </w:p>
        </w:tc>
        <w:tc>
          <w:tcPr>
            <w:tcW w:w="1291" w:type="dxa"/>
            <w:vAlign w:val="center"/>
          </w:tcPr>
          <w:p w:rsidR="008209B4" w:rsidRDefault="008209B4">
            <w:pPr>
              <w:spacing w:before="20" w:after="20"/>
              <w:jc w:val="right"/>
              <w:rPr>
                <w:b/>
                <w:noProof/>
                <w:sz w:val="20"/>
              </w:rPr>
            </w:pPr>
          </w:p>
        </w:tc>
      </w:tr>
      <w:tr w:rsidR="008209B4">
        <w:trPr>
          <w:trHeight w:val="351"/>
          <w:jc w:val="center"/>
        </w:trPr>
        <w:tc>
          <w:tcPr>
            <w:tcW w:w="5777" w:type="dxa"/>
            <w:gridSpan w:val="2"/>
            <w:vAlign w:val="center"/>
          </w:tcPr>
          <w:p w:rsidR="008209B4" w:rsidRDefault="00A54173">
            <w:pPr>
              <w:spacing w:before="20" w:after="20"/>
              <w:rPr>
                <w:noProof/>
              </w:rPr>
            </w:pPr>
            <w:r>
              <w:rPr>
                <w:noProof/>
                <w:sz w:val="22"/>
              </w:rPr>
              <w:t xml:space="preserve">Други административни разходи </w:t>
            </w:r>
          </w:p>
        </w:tc>
        <w:tc>
          <w:tcPr>
            <w:tcW w:w="868" w:type="dxa"/>
            <w:vAlign w:val="center"/>
          </w:tcPr>
          <w:p w:rsidR="008209B4" w:rsidRDefault="008209B4">
            <w:pPr>
              <w:spacing w:before="20" w:after="20"/>
              <w:jc w:val="right"/>
              <w:rPr>
                <w:b/>
                <w:noProof/>
                <w:sz w:val="20"/>
              </w:rPr>
            </w:pPr>
          </w:p>
        </w:tc>
        <w:tc>
          <w:tcPr>
            <w:tcW w:w="868" w:type="dxa"/>
            <w:vAlign w:val="center"/>
          </w:tcPr>
          <w:p w:rsidR="008209B4" w:rsidRDefault="008209B4">
            <w:pPr>
              <w:spacing w:before="20" w:after="20"/>
              <w:jc w:val="right"/>
              <w:rPr>
                <w:b/>
                <w:noProof/>
                <w:sz w:val="20"/>
              </w:rPr>
            </w:pPr>
          </w:p>
        </w:tc>
        <w:tc>
          <w:tcPr>
            <w:tcW w:w="868" w:type="dxa"/>
            <w:vAlign w:val="center"/>
          </w:tcPr>
          <w:p w:rsidR="008209B4" w:rsidRDefault="008209B4">
            <w:pPr>
              <w:spacing w:before="20" w:after="20"/>
              <w:jc w:val="right"/>
              <w:rPr>
                <w:b/>
                <w:noProof/>
                <w:sz w:val="20"/>
              </w:rPr>
            </w:pPr>
          </w:p>
        </w:tc>
        <w:tc>
          <w:tcPr>
            <w:tcW w:w="868" w:type="dxa"/>
            <w:vAlign w:val="center"/>
          </w:tcPr>
          <w:p w:rsidR="008209B4" w:rsidRDefault="008209B4">
            <w:pPr>
              <w:spacing w:before="20" w:after="20"/>
              <w:jc w:val="right"/>
              <w:rPr>
                <w:b/>
                <w:noProof/>
                <w:sz w:val="20"/>
              </w:rPr>
            </w:pPr>
          </w:p>
        </w:tc>
        <w:tc>
          <w:tcPr>
            <w:tcW w:w="868" w:type="dxa"/>
            <w:vAlign w:val="center"/>
          </w:tcPr>
          <w:p w:rsidR="008209B4" w:rsidRDefault="008209B4">
            <w:pPr>
              <w:spacing w:before="20" w:after="20"/>
              <w:jc w:val="right"/>
              <w:rPr>
                <w:b/>
                <w:noProof/>
                <w:sz w:val="20"/>
              </w:rPr>
            </w:pPr>
          </w:p>
        </w:tc>
        <w:tc>
          <w:tcPr>
            <w:tcW w:w="868" w:type="dxa"/>
            <w:vAlign w:val="center"/>
          </w:tcPr>
          <w:p w:rsidR="008209B4" w:rsidRDefault="008209B4">
            <w:pPr>
              <w:spacing w:before="20" w:after="20"/>
              <w:jc w:val="right"/>
              <w:rPr>
                <w:b/>
                <w:noProof/>
                <w:sz w:val="20"/>
              </w:rPr>
            </w:pPr>
          </w:p>
        </w:tc>
        <w:tc>
          <w:tcPr>
            <w:tcW w:w="868" w:type="dxa"/>
            <w:vAlign w:val="center"/>
          </w:tcPr>
          <w:p w:rsidR="008209B4" w:rsidRDefault="008209B4">
            <w:pPr>
              <w:spacing w:before="20" w:after="20"/>
              <w:jc w:val="right"/>
              <w:rPr>
                <w:b/>
                <w:noProof/>
                <w:sz w:val="20"/>
              </w:rPr>
            </w:pPr>
          </w:p>
        </w:tc>
        <w:tc>
          <w:tcPr>
            <w:tcW w:w="887" w:type="dxa"/>
            <w:shd w:val="clear" w:color="auto" w:fill="9D9398" w:themeFill="background1" w:themeFillShade="A6"/>
          </w:tcPr>
          <w:p w:rsidR="008209B4" w:rsidRDefault="008209B4">
            <w:pPr>
              <w:spacing w:before="20" w:after="20"/>
              <w:jc w:val="right"/>
              <w:rPr>
                <w:b/>
                <w:noProof/>
                <w:sz w:val="20"/>
              </w:rPr>
            </w:pPr>
          </w:p>
        </w:tc>
        <w:tc>
          <w:tcPr>
            <w:tcW w:w="1291" w:type="dxa"/>
            <w:vAlign w:val="center"/>
          </w:tcPr>
          <w:p w:rsidR="008209B4" w:rsidRDefault="008209B4">
            <w:pPr>
              <w:spacing w:before="20" w:after="20"/>
              <w:jc w:val="right"/>
              <w:rPr>
                <w:b/>
                <w:noProof/>
                <w:sz w:val="20"/>
              </w:rPr>
            </w:pPr>
          </w:p>
        </w:tc>
      </w:tr>
      <w:tr w:rsidR="008209B4">
        <w:trPr>
          <w:trHeight w:val="351"/>
          <w:jc w:val="center"/>
        </w:trPr>
        <w:tc>
          <w:tcPr>
            <w:tcW w:w="3968" w:type="dxa"/>
            <w:vAlign w:val="center"/>
          </w:tcPr>
          <w:p w:rsidR="008209B4" w:rsidRDefault="00A54173">
            <w:pPr>
              <w:spacing w:before="20" w:after="20"/>
              <w:jc w:val="left"/>
              <w:rPr>
                <w:b/>
                <w:noProof/>
                <w:sz w:val="22"/>
              </w:rPr>
            </w:pPr>
            <w:r>
              <w:rPr>
                <w:b/>
                <w:noProof/>
                <w:sz w:val="22"/>
              </w:rPr>
              <w:t xml:space="preserve">ОБЩО бюджетни кредити за ФУНКЦИЯ 7 от </w:t>
            </w:r>
            <w:r>
              <w:rPr>
                <w:b/>
                <w:noProof/>
                <w:sz w:val="22"/>
              </w:rPr>
              <w:t>многогодишната финансова рамка</w:t>
            </w:r>
          </w:p>
        </w:tc>
        <w:tc>
          <w:tcPr>
            <w:tcW w:w="1809" w:type="dxa"/>
            <w:vAlign w:val="center"/>
          </w:tcPr>
          <w:p w:rsidR="008209B4" w:rsidRDefault="00A54173">
            <w:pPr>
              <w:spacing w:before="20" w:after="20"/>
              <w:rPr>
                <w:noProof/>
                <w:sz w:val="22"/>
              </w:rPr>
            </w:pPr>
            <w:r>
              <w:rPr>
                <w:noProof/>
                <w:sz w:val="18"/>
              </w:rPr>
              <w:t>(Общо поети задължения = Общо плащания)</w:t>
            </w:r>
          </w:p>
        </w:tc>
        <w:tc>
          <w:tcPr>
            <w:tcW w:w="868" w:type="dxa"/>
            <w:vAlign w:val="center"/>
          </w:tcPr>
          <w:p w:rsidR="008209B4" w:rsidRDefault="008209B4">
            <w:pPr>
              <w:spacing w:before="20" w:after="20"/>
              <w:jc w:val="right"/>
              <w:rPr>
                <w:b/>
                <w:noProof/>
                <w:sz w:val="20"/>
              </w:rPr>
            </w:pPr>
          </w:p>
        </w:tc>
        <w:tc>
          <w:tcPr>
            <w:tcW w:w="868" w:type="dxa"/>
            <w:vAlign w:val="center"/>
          </w:tcPr>
          <w:p w:rsidR="008209B4" w:rsidRDefault="008209B4">
            <w:pPr>
              <w:spacing w:before="20" w:after="20"/>
              <w:jc w:val="right"/>
              <w:rPr>
                <w:b/>
                <w:noProof/>
                <w:sz w:val="20"/>
              </w:rPr>
            </w:pPr>
          </w:p>
        </w:tc>
        <w:tc>
          <w:tcPr>
            <w:tcW w:w="868" w:type="dxa"/>
            <w:vAlign w:val="center"/>
          </w:tcPr>
          <w:p w:rsidR="008209B4" w:rsidRDefault="008209B4">
            <w:pPr>
              <w:spacing w:before="20" w:after="20"/>
              <w:jc w:val="right"/>
              <w:rPr>
                <w:b/>
                <w:noProof/>
                <w:sz w:val="20"/>
              </w:rPr>
            </w:pPr>
          </w:p>
        </w:tc>
        <w:tc>
          <w:tcPr>
            <w:tcW w:w="868" w:type="dxa"/>
            <w:vAlign w:val="center"/>
          </w:tcPr>
          <w:p w:rsidR="008209B4" w:rsidRDefault="008209B4">
            <w:pPr>
              <w:spacing w:before="20" w:after="20"/>
              <w:jc w:val="right"/>
              <w:rPr>
                <w:b/>
                <w:noProof/>
                <w:sz w:val="20"/>
              </w:rPr>
            </w:pPr>
          </w:p>
        </w:tc>
        <w:tc>
          <w:tcPr>
            <w:tcW w:w="868" w:type="dxa"/>
            <w:vAlign w:val="center"/>
          </w:tcPr>
          <w:p w:rsidR="008209B4" w:rsidRDefault="008209B4">
            <w:pPr>
              <w:spacing w:before="20" w:after="20"/>
              <w:jc w:val="right"/>
              <w:rPr>
                <w:b/>
                <w:noProof/>
                <w:sz w:val="20"/>
              </w:rPr>
            </w:pPr>
          </w:p>
        </w:tc>
        <w:tc>
          <w:tcPr>
            <w:tcW w:w="868" w:type="dxa"/>
            <w:vAlign w:val="center"/>
          </w:tcPr>
          <w:p w:rsidR="008209B4" w:rsidRDefault="008209B4">
            <w:pPr>
              <w:spacing w:before="20" w:after="20"/>
              <w:jc w:val="right"/>
              <w:rPr>
                <w:b/>
                <w:noProof/>
                <w:sz w:val="20"/>
              </w:rPr>
            </w:pPr>
          </w:p>
        </w:tc>
        <w:tc>
          <w:tcPr>
            <w:tcW w:w="868" w:type="dxa"/>
            <w:vAlign w:val="center"/>
          </w:tcPr>
          <w:p w:rsidR="008209B4" w:rsidRDefault="008209B4">
            <w:pPr>
              <w:spacing w:before="20" w:after="20"/>
              <w:jc w:val="right"/>
              <w:rPr>
                <w:b/>
                <w:noProof/>
                <w:sz w:val="20"/>
              </w:rPr>
            </w:pPr>
          </w:p>
        </w:tc>
        <w:tc>
          <w:tcPr>
            <w:tcW w:w="887" w:type="dxa"/>
            <w:shd w:val="clear" w:color="auto" w:fill="9D9398" w:themeFill="background1" w:themeFillShade="A6"/>
          </w:tcPr>
          <w:p w:rsidR="008209B4" w:rsidRDefault="008209B4">
            <w:pPr>
              <w:spacing w:before="20" w:after="20"/>
              <w:jc w:val="right"/>
              <w:rPr>
                <w:b/>
                <w:noProof/>
                <w:sz w:val="20"/>
              </w:rPr>
            </w:pPr>
          </w:p>
        </w:tc>
        <w:tc>
          <w:tcPr>
            <w:tcW w:w="1291" w:type="dxa"/>
            <w:vAlign w:val="center"/>
          </w:tcPr>
          <w:p w:rsidR="008209B4" w:rsidRDefault="008209B4">
            <w:pPr>
              <w:spacing w:before="20" w:after="20"/>
              <w:jc w:val="right"/>
              <w:rPr>
                <w:b/>
                <w:noProof/>
                <w:sz w:val="20"/>
              </w:rPr>
            </w:pPr>
          </w:p>
        </w:tc>
      </w:tr>
    </w:tbl>
    <w:p w:rsidR="008209B4" w:rsidRDefault="008209B4">
      <w:pPr>
        <w:jc w:val="right"/>
        <w:rPr>
          <w:noProof/>
          <w:sz w:val="20"/>
        </w:rPr>
      </w:pPr>
    </w:p>
    <w:p w:rsidR="008209B4" w:rsidRDefault="00A54173">
      <w:pPr>
        <w:jc w:val="right"/>
        <w:rPr>
          <w:noProof/>
          <w:sz w:val="20"/>
        </w:rPr>
      </w:pPr>
      <w:r>
        <w:rPr>
          <w:noProof/>
          <w:sz w:val="20"/>
        </w:rPr>
        <w:t>млн. евро (до 3-тия знак след десетичната запетая)</w:t>
      </w:r>
    </w:p>
    <w:tbl>
      <w:tblPr>
        <w:tblW w:w="14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4"/>
        <w:gridCol w:w="1560"/>
        <w:gridCol w:w="480"/>
        <w:gridCol w:w="868"/>
        <w:gridCol w:w="868"/>
        <w:gridCol w:w="868"/>
        <w:gridCol w:w="868"/>
        <w:gridCol w:w="868"/>
        <w:gridCol w:w="868"/>
        <w:gridCol w:w="868"/>
        <w:gridCol w:w="877"/>
        <w:gridCol w:w="1292"/>
      </w:tblGrid>
      <w:tr w:rsidR="008209B4">
        <w:trPr>
          <w:jc w:val="center"/>
        </w:trPr>
        <w:tc>
          <w:tcPr>
            <w:tcW w:w="3734" w:type="dxa"/>
            <w:tcBorders>
              <w:top w:val="nil"/>
              <w:left w:val="nil"/>
              <w:right w:val="nil"/>
            </w:tcBorders>
            <w:vAlign w:val="center"/>
          </w:tcPr>
          <w:p w:rsidR="008209B4" w:rsidRDefault="008209B4">
            <w:pPr>
              <w:jc w:val="center"/>
              <w:rPr>
                <w:noProof/>
              </w:rPr>
            </w:pPr>
          </w:p>
        </w:tc>
        <w:tc>
          <w:tcPr>
            <w:tcW w:w="1560" w:type="dxa"/>
            <w:tcBorders>
              <w:top w:val="nil"/>
              <w:left w:val="nil"/>
              <w:right w:val="nil"/>
            </w:tcBorders>
          </w:tcPr>
          <w:p w:rsidR="008209B4" w:rsidRDefault="008209B4">
            <w:pPr>
              <w:rPr>
                <w:noProof/>
                <w:sz w:val="20"/>
              </w:rPr>
            </w:pPr>
          </w:p>
        </w:tc>
        <w:tc>
          <w:tcPr>
            <w:tcW w:w="480" w:type="dxa"/>
            <w:tcBorders>
              <w:top w:val="nil"/>
              <w:left w:val="nil"/>
            </w:tcBorders>
          </w:tcPr>
          <w:p w:rsidR="008209B4" w:rsidRDefault="008209B4">
            <w:pPr>
              <w:jc w:val="center"/>
              <w:rPr>
                <w:noProof/>
                <w:sz w:val="20"/>
              </w:rPr>
            </w:pPr>
          </w:p>
        </w:tc>
        <w:tc>
          <w:tcPr>
            <w:tcW w:w="868" w:type="dxa"/>
            <w:vAlign w:val="center"/>
          </w:tcPr>
          <w:p w:rsidR="008209B4" w:rsidRDefault="00A54173">
            <w:pPr>
              <w:jc w:val="center"/>
              <w:rPr>
                <w:noProof/>
                <w:sz w:val="20"/>
              </w:rPr>
            </w:pPr>
            <w:r>
              <w:rPr>
                <w:b/>
                <w:noProof/>
                <w:sz w:val="20"/>
              </w:rPr>
              <w:t>2021</w:t>
            </w:r>
          </w:p>
        </w:tc>
        <w:tc>
          <w:tcPr>
            <w:tcW w:w="868" w:type="dxa"/>
            <w:vAlign w:val="center"/>
          </w:tcPr>
          <w:p w:rsidR="008209B4" w:rsidRDefault="00A54173">
            <w:pPr>
              <w:jc w:val="center"/>
              <w:rPr>
                <w:noProof/>
                <w:sz w:val="20"/>
              </w:rPr>
            </w:pPr>
            <w:r>
              <w:rPr>
                <w:b/>
                <w:noProof/>
                <w:sz w:val="20"/>
              </w:rPr>
              <w:t>2022</w:t>
            </w:r>
          </w:p>
        </w:tc>
        <w:tc>
          <w:tcPr>
            <w:tcW w:w="868" w:type="dxa"/>
            <w:vAlign w:val="center"/>
          </w:tcPr>
          <w:p w:rsidR="008209B4" w:rsidRDefault="00A54173">
            <w:pPr>
              <w:jc w:val="center"/>
              <w:rPr>
                <w:noProof/>
                <w:sz w:val="20"/>
              </w:rPr>
            </w:pPr>
            <w:r>
              <w:rPr>
                <w:b/>
                <w:noProof/>
                <w:sz w:val="20"/>
              </w:rPr>
              <w:t>2023</w:t>
            </w:r>
          </w:p>
        </w:tc>
        <w:tc>
          <w:tcPr>
            <w:tcW w:w="868" w:type="dxa"/>
            <w:vAlign w:val="center"/>
          </w:tcPr>
          <w:p w:rsidR="008209B4" w:rsidRDefault="00A54173">
            <w:pPr>
              <w:jc w:val="center"/>
              <w:rPr>
                <w:noProof/>
                <w:sz w:val="20"/>
              </w:rPr>
            </w:pPr>
            <w:r>
              <w:rPr>
                <w:b/>
                <w:noProof/>
                <w:sz w:val="20"/>
              </w:rPr>
              <w:t>2024</w:t>
            </w:r>
          </w:p>
        </w:tc>
        <w:tc>
          <w:tcPr>
            <w:tcW w:w="868" w:type="dxa"/>
            <w:vAlign w:val="center"/>
          </w:tcPr>
          <w:p w:rsidR="008209B4" w:rsidRDefault="00A54173">
            <w:pPr>
              <w:jc w:val="center"/>
              <w:rPr>
                <w:b/>
                <w:noProof/>
                <w:sz w:val="18"/>
              </w:rPr>
            </w:pPr>
            <w:r>
              <w:rPr>
                <w:b/>
                <w:noProof/>
                <w:sz w:val="18"/>
              </w:rPr>
              <w:t>2025</w:t>
            </w:r>
          </w:p>
        </w:tc>
        <w:tc>
          <w:tcPr>
            <w:tcW w:w="868" w:type="dxa"/>
            <w:vAlign w:val="center"/>
          </w:tcPr>
          <w:p w:rsidR="008209B4" w:rsidRDefault="00A54173">
            <w:pPr>
              <w:jc w:val="center"/>
              <w:rPr>
                <w:b/>
                <w:noProof/>
                <w:sz w:val="18"/>
              </w:rPr>
            </w:pPr>
            <w:r>
              <w:rPr>
                <w:b/>
                <w:noProof/>
                <w:sz w:val="18"/>
              </w:rPr>
              <w:t>2026</w:t>
            </w:r>
          </w:p>
        </w:tc>
        <w:tc>
          <w:tcPr>
            <w:tcW w:w="868" w:type="dxa"/>
            <w:vAlign w:val="center"/>
          </w:tcPr>
          <w:p w:rsidR="008209B4" w:rsidRDefault="00A54173">
            <w:pPr>
              <w:jc w:val="center"/>
              <w:rPr>
                <w:b/>
                <w:noProof/>
                <w:sz w:val="18"/>
              </w:rPr>
            </w:pPr>
            <w:r>
              <w:rPr>
                <w:b/>
                <w:noProof/>
                <w:sz w:val="18"/>
              </w:rPr>
              <w:t>2027</w:t>
            </w:r>
          </w:p>
        </w:tc>
        <w:tc>
          <w:tcPr>
            <w:tcW w:w="877" w:type="dxa"/>
          </w:tcPr>
          <w:p w:rsidR="008209B4" w:rsidRDefault="00A54173">
            <w:pPr>
              <w:jc w:val="center"/>
              <w:rPr>
                <w:b/>
                <w:noProof/>
                <w:sz w:val="20"/>
              </w:rPr>
            </w:pPr>
            <w:r>
              <w:rPr>
                <w:b/>
                <w:i/>
                <w:noProof/>
                <w:sz w:val="20"/>
              </w:rPr>
              <w:t>След 2027</w:t>
            </w:r>
          </w:p>
        </w:tc>
        <w:tc>
          <w:tcPr>
            <w:tcW w:w="1292" w:type="dxa"/>
            <w:vAlign w:val="center"/>
          </w:tcPr>
          <w:p w:rsidR="008209B4" w:rsidRDefault="00A54173">
            <w:pPr>
              <w:jc w:val="center"/>
              <w:rPr>
                <w:b/>
                <w:noProof/>
                <w:sz w:val="20"/>
              </w:rPr>
            </w:pPr>
            <w:r>
              <w:rPr>
                <w:b/>
                <w:noProof/>
                <w:sz w:val="20"/>
              </w:rPr>
              <w:t>ОБЩО</w:t>
            </w:r>
          </w:p>
        </w:tc>
      </w:tr>
      <w:tr w:rsidR="008209B4">
        <w:trPr>
          <w:jc w:val="center"/>
        </w:trPr>
        <w:tc>
          <w:tcPr>
            <w:tcW w:w="3734" w:type="dxa"/>
            <w:vMerge w:val="restart"/>
            <w:shd w:val="clear" w:color="auto" w:fill="C0C0C0"/>
            <w:vAlign w:val="center"/>
          </w:tcPr>
          <w:p w:rsidR="008209B4" w:rsidRDefault="00A54173">
            <w:pPr>
              <w:jc w:val="center"/>
              <w:rPr>
                <w:b/>
                <w:noProof/>
              </w:rPr>
            </w:pPr>
            <w:r>
              <w:rPr>
                <w:b/>
                <w:noProof/>
                <w:sz w:val="22"/>
              </w:rPr>
              <w:t xml:space="preserve">ОБЩО бюджетни кредити </w:t>
            </w:r>
            <w:r>
              <w:rPr>
                <w:noProof/>
                <w:sz w:val="22"/>
              </w:rPr>
              <w:br/>
            </w:r>
            <w:r>
              <w:rPr>
                <w:b/>
                <w:noProof/>
                <w:sz w:val="22"/>
              </w:rPr>
              <w:t xml:space="preserve">по всички ФУНКЦИИ </w:t>
            </w:r>
            <w:r>
              <w:rPr>
                <w:noProof/>
                <w:sz w:val="22"/>
              </w:rPr>
              <w:br/>
              <w:t>от многогодишната финансова</w:t>
            </w:r>
            <w:r>
              <w:rPr>
                <w:noProof/>
                <w:sz w:val="22"/>
              </w:rPr>
              <w:t xml:space="preserve"> рамка</w:t>
            </w:r>
            <w:r>
              <w:rPr>
                <w:b/>
                <w:noProof/>
                <w:sz w:val="22"/>
              </w:rPr>
              <w:t xml:space="preserve"> </w:t>
            </w:r>
          </w:p>
        </w:tc>
        <w:tc>
          <w:tcPr>
            <w:tcW w:w="2040" w:type="dxa"/>
            <w:gridSpan w:val="2"/>
            <w:vAlign w:val="center"/>
          </w:tcPr>
          <w:p w:rsidR="008209B4" w:rsidRDefault="00A54173">
            <w:pPr>
              <w:rPr>
                <w:noProof/>
                <w:sz w:val="14"/>
              </w:rPr>
            </w:pPr>
            <w:r>
              <w:rPr>
                <w:noProof/>
                <w:sz w:val="18"/>
              </w:rPr>
              <w:t>Поети задължения</w:t>
            </w:r>
          </w:p>
        </w:tc>
        <w:tc>
          <w:tcPr>
            <w:tcW w:w="868" w:type="dxa"/>
            <w:vAlign w:val="center"/>
          </w:tcPr>
          <w:p w:rsidR="008209B4" w:rsidRDefault="00A54173">
            <w:pPr>
              <w:spacing w:before="60" w:after="60"/>
              <w:jc w:val="right"/>
              <w:rPr>
                <w:noProof/>
                <w:sz w:val="20"/>
              </w:rPr>
            </w:pPr>
            <w:r>
              <w:rPr>
                <w:b/>
                <w:noProof/>
                <w:color w:val="000000"/>
                <w:sz w:val="14"/>
              </w:rPr>
              <w:t>12 649,000</w:t>
            </w:r>
          </w:p>
        </w:tc>
        <w:tc>
          <w:tcPr>
            <w:tcW w:w="868" w:type="dxa"/>
            <w:vAlign w:val="center"/>
          </w:tcPr>
          <w:p w:rsidR="008209B4" w:rsidRDefault="00A54173">
            <w:pPr>
              <w:spacing w:before="60" w:after="60"/>
              <w:jc w:val="right"/>
              <w:rPr>
                <w:noProof/>
                <w:sz w:val="20"/>
              </w:rPr>
            </w:pPr>
            <w:r>
              <w:rPr>
                <w:b/>
                <w:noProof/>
                <w:color w:val="000000"/>
                <w:sz w:val="14"/>
              </w:rPr>
              <w:t>12 905,000</w:t>
            </w:r>
          </w:p>
        </w:tc>
        <w:tc>
          <w:tcPr>
            <w:tcW w:w="868" w:type="dxa"/>
            <w:vAlign w:val="center"/>
          </w:tcPr>
          <w:p w:rsidR="008209B4" w:rsidRDefault="00A54173">
            <w:pPr>
              <w:spacing w:before="60" w:after="60"/>
              <w:jc w:val="right"/>
              <w:rPr>
                <w:noProof/>
                <w:sz w:val="20"/>
              </w:rPr>
            </w:pPr>
            <w:r>
              <w:rPr>
                <w:b/>
                <w:noProof/>
                <w:color w:val="000000"/>
                <w:sz w:val="14"/>
              </w:rPr>
              <w:t>13 165,000</w:t>
            </w:r>
          </w:p>
        </w:tc>
        <w:tc>
          <w:tcPr>
            <w:tcW w:w="868" w:type="dxa"/>
            <w:vAlign w:val="center"/>
          </w:tcPr>
          <w:p w:rsidR="008209B4" w:rsidRDefault="00A54173">
            <w:pPr>
              <w:spacing w:before="60" w:after="60"/>
              <w:jc w:val="right"/>
              <w:rPr>
                <w:noProof/>
                <w:sz w:val="20"/>
              </w:rPr>
            </w:pPr>
            <w:r>
              <w:rPr>
                <w:b/>
                <w:noProof/>
                <w:color w:val="000000"/>
                <w:sz w:val="14"/>
              </w:rPr>
              <w:t>13 431,000</w:t>
            </w:r>
          </w:p>
        </w:tc>
        <w:tc>
          <w:tcPr>
            <w:tcW w:w="868" w:type="dxa"/>
            <w:vAlign w:val="center"/>
          </w:tcPr>
          <w:p w:rsidR="008209B4" w:rsidRDefault="00A54173">
            <w:pPr>
              <w:spacing w:before="60" w:after="60"/>
              <w:jc w:val="right"/>
              <w:rPr>
                <w:noProof/>
                <w:sz w:val="20"/>
              </w:rPr>
            </w:pPr>
            <w:r>
              <w:rPr>
                <w:b/>
                <w:noProof/>
                <w:color w:val="000000"/>
                <w:sz w:val="14"/>
              </w:rPr>
              <w:t>13 705,000</w:t>
            </w:r>
          </w:p>
        </w:tc>
        <w:tc>
          <w:tcPr>
            <w:tcW w:w="868" w:type="dxa"/>
            <w:vAlign w:val="center"/>
          </w:tcPr>
          <w:p w:rsidR="008209B4" w:rsidRDefault="00A54173">
            <w:pPr>
              <w:spacing w:before="60" w:after="60"/>
              <w:jc w:val="right"/>
              <w:rPr>
                <w:noProof/>
                <w:sz w:val="20"/>
              </w:rPr>
            </w:pPr>
            <w:r>
              <w:rPr>
                <w:b/>
                <w:noProof/>
                <w:color w:val="000000"/>
                <w:sz w:val="14"/>
              </w:rPr>
              <w:t>13 980,000</w:t>
            </w:r>
          </w:p>
        </w:tc>
        <w:tc>
          <w:tcPr>
            <w:tcW w:w="868" w:type="dxa"/>
            <w:vAlign w:val="center"/>
          </w:tcPr>
          <w:p w:rsidR="008209B4" w:rsidRDefault="00A54173">
            <w:pPr>
              <w:spacing w:before="60" w:after="60"/>
              <w:jc w:val="right"/>
              <w:rPr>
                <w:b/>
                <w:noProof/>
                <w:sz w:val="20"/>
              </w:rPr>
            </w:pPr>
            <w:r>
              <w:rPr>
                <w:b/>
                <w:noProof/>
                <w:color w:val="000000"/>
                <w:sz w:val="14"/>
              </w:rPr>
              <w:t>14 265,000</w:t>
            </w:r>
          </w:p>
        </w:tc>
        <w:tc>
          <w:tcPr>
            <w:tcW w:w="877" w:type="dxa"/>
            <w:shd w:val="clear" w:color="auto" w:fill="9D9398" w:themeFill="background1" w:themeFillShade="A6"/>
            <w:vAlign w:val="center"/>
          </w:tcPr>
          <w:p w:rsidR="008209B4" w:rsidRDefault="008209B4">
            <w:pPr>
              <w:spacing w:before="60" w:after="60"/>
              <w:jc w:val="right"/>
              <w:rPr>
                <w:b/>
                <w:noProof/>
                <w:sz w:val="20"/>
              </w:rPr>
            </w:pPr>
          </w:p>
        </w:tc>
        <w:tc>
          <w:tcPr>
            <w:tcW w:w="1292" w:type="dxa"/>
            <w:vAlign w:val="center"/>
          </w:tcPr>
          <w:p w:rsidR="008209B4" w:rsidRDefault="00A54173">
            <w:pPr>
              <w:spacing w:before="60" w:after="60"/>
              <w:jc w:val="right"/>
              <w:rPr>
                <w:b/>
                <w:noProof/>
                <w:sz w:val="20"/>
              </w:rPr>
            </w:pPr>
            <w:r>
              <w:rPr>
                <w:b/>
                <w:noProof/>
                <w:color w:val="000000"/>
                <w:sz w:val="14"/>
              </w:rPr>
              <w:t>94 100,000</w:t>
            </w:r>
          </w:p>
        </w:tc>
      </w:tr>
      <w:tr w:rsidR="008209B4">
        <w:trPr>
          <w:jc w:val="center"/>
        </w:trPr>
        <w:tc>
          <w:tcPr>
            <w:tcW w:w="3734" w:type="dxa"/>
            <w:vMerge/>
            <w:shd w:val="clear" w:color="auto" w:fill="C0C0C0"/>
          </w:tcPr>
          <w:p w:rsidR="008209B4" w:rsidRDefault="008209B4">
            <w:pPr>
              <w:rPr>
                <w:noProof/>
                <w:sz w:val="20"/>
              </w:rPr>
            </w:pPr>
          </w:p>
        </w:tc>
        <w:tc>
          <w:tcPr>
            <w:tcW w:w="2040" w:type="dxa"/>
            <w:gridSpan w:val="2"/>
            <w:vAlign w:val="center"/>
          </w:tcPr>
          <w:p w:rsidR="008209B4" w:rsidRDefault="00A54173">
            <w:pPr>
              <w:rPr>
                <w:noProof/>
                <w:sz w:val="14"/>
              </w:rPr>
            </w:pPr>
            <w:r>
              <w:rPr>
                <w:noProof/>
                <w:sz w:val="18"/>
              </w:rPr>
              <w:t>Плащания</w:t>
            </w:r>
          </w:p>
        </w:tc>
        <w:tc>
          <w:tcPr>
            <w:tcW w:w="868" w:type="dxa"/>
            <w:vAlign w:val="center"/>
          </w:tcPr>
          <w:p w:rsidR="008209B4" w:rsidRDefault="00A54173">
            <w:pPr>
              <w:spacing w:before="60" w:after="60"/>
              <w:jc w:val="right"/>
              <w:rPr>
                <w:noProof/>
                <w:sz w:val="20"/>
              </w:rPr>
            </w:pPr>
            <w:r>
              <w:rPr>
                <w:b/>
                <w:noProof/>
                <w:color w:val="000000"/>
                <w:sz w:val="14"/>
              </w:rPr>
              <w:t>3 610,702</w:t>
            </w:r>
          </w:p>
        </w:tc>
        <w:tc>
          <w:tcPr>
            <w:tcW w:w="868" w:type="dxa"/>
            <w:vAlign w:val="center"/>
          </w:tcPr>
          <w:p w:rsidR="008209B4" w:rsidRDefault="00A54173">
            <w:pPr>
              <w:spacing w:before="60" w:after="60"/>
              <w:jc w:val="right"/>
              <w:rPr>
                <w:noProof/>
                <w:sz w:val="20"/>
              </w:rPr>
            </w:pPr>
            <w:r>
              <w:rPr>
                <w:b/>
                <w:noProof/>
                <w:color w:val="000000"/>
                <w:sz w:val="14"/>
              </w:rPr>
              <w:t>7 698,393</w:t>
            </w:r>
          </w:p>
        </w:tc>
        <w:tc>
          <w:tcPr>
            <w:tcW w:w="868" w:type="dxa"/>
            <w:vAlign w:val="center"/>
          </w:tcPr>
          <w:p w:rsidR="008209B4" w:rsidRDefault="00A54173">
            <w:pPr>
              <w:spacing w:before="60" w:after="60"/>
              <w:jc w:val="right"/>
              <w:rPr>
                <w:noProof/>
                <w:sz w:val="20"/>
              </w:rPr>
            </w:pPr>
            <w:r>
              <w:rPr>
                <w:b/>
                <w:noProof/>
                <w:color w:val="000000"/>
                <w:sz w:val="14"/>
              </w:rPr>
              <w:t>9 173,995</w:t>
            </w:r>
          </w:p>
        </w:tc>
        <w:tc>
          <w:tcPr>
            <w:tcW w:w="868" w:type="dxa"/>
            <w:vAlign w:val="center"/>
          </w:tcPr>
          <w:p w:rsidR="008209B4" w:rsidRDefault="00A54173">
            <w:pPr>
              <w:spacing w:before="60" w:after="60"/>
              <w:jc w:val="right"/>
              <w:rPr>
                <w:noProof/>
                <w:sz w:val="20"/>
              </w:rPr>
            </w:pPr>
            <w:r>
              <w:rPr>
                <w:b/>
                <w:noProof/>
                <w:color w:val="000000"/>
                <w:sz w:val="14"/>
              </w:rPr>
              <w:t>11 158,626</w:t>
            </w:r>
          </w:p>
        </w:tc>
        <w:tc>
          <w:tcPr>
            <w:tcW w:w="868" w:type="dxa"/>
            <w:vAlign w:val="center"/>
          </w:tcPr>
          <w:p w:rsidR="008209B4" w:rsidRDefault="00A54173">
            <w:pPr>
              <w:spacing w:before="60" w:after="60"/>
              <w:jc w:val="right"/>
              <w:rPr>
                <w:noProof/>
                <w:sz w:val="20"/>
              </w:rPr>
            </w:pPr>
            <w:r>
              <w:rPr>
                <w:b/>
                <w:noProof/>
                <w:color w:val="000000"/>
                <w:sz w:val="14"/>
              </w:rPr>
              <w:t>12 545,625</w:t>
            </w:r>
          </w:p>
        </w:tc>
        <w:tc>
          <w:tcPr>
            <w:tcW w:w="868" w:type="dxa"/>
            <w:vAlign w:val="center"/>
          </w:tcPr>
          <w:p w:rsidR="008209B4" w:rsidRDefault="00A54173">
            <w:pPr>
              <w:spacing w:before="60" w:after="60"/>
              <w:jc w:val="right"/>
              <w:rPr>
                <w:noProof/>
                <w:sz w:val="20"/>
              </w:rPr>
            </w:pPr>
            <w:r>
              <w:rPr>
                <w:b/>
                <w:noProof/>
                <w:color w:val="000000"/>
                <w:sz w:val="14"/>
              </w:rPr>
              <w:t>13 585,787</w:t>
            </w:r>
          </w:p>
        </w:tc>
        <w:tc>
          <w:tcPr>
            <w:tcW w:w="868" w:type="dxa"/>
            <w:vAlign w:val="center"/>
          </w:tcPr>
          <w:p w:rsidR="008209B4" w:rsidRDefault="00A54173">
            <w:pPr>
              <w:spacing w:before="60" w:after="60"/>
              <w:jc w:val="right"/>
              <w:rPr>
                <w:b/>
                <w:noProof/>
                <w:sz w:val="20"/>
              </w:rPr>
            </w:pPr>
            <w:r>
              <w:rPr>
                <w:b/>
                <w:noProof/>
                <w:color w:val="000000"/>
                <w:sz w:val="14"/>
              </w:rPr>
              <w:t>14 262,844</w:t>
            </w:r>
          </w:p>
        </w:tc>
        <w:tc>
          <w:tcPr>
            <w:tcW w:w="877" w:type="dxa"/>
            <w:vAlign w:val="center"/>
          </w:tcPr>
          <w:p w:rsidR="008209B4" w:rsidRDefault="00A54173">
            <w:pPr>
              <w:spacing w:before="60" w:after="60"/>
              <w:jc w:val="right"/>
              <w:rPr>
                <w:b/>
                <w:noProof/>
                <w:sz w:val="20"/>
              </w:rPr>
            </w:pPr>
            <w:r>
              <w:rPr>
                <w:b/>
                <w:noProof/>
                <w:color w:val="000000"/>
                <w:sz w:val="14"/>
              </w:rPr>
              <w:t>22 064,028</w:t>
            </w:r>
          </w:p>
        </w:tc>
        <w:tc>
          <w:tcPr>
            <w:tcW w:w="1292" w:type="dxa"/>
            <w:vAlign w:val="center"/>
          </w:tcPr>
          <w:p w:rsidR="008209B4" w:rsidRDefault="00A54173">
            <w:pPr>
              <w:spacing w:before="60" w:after="60"/>
              <w:jc w:val="right"/>
              <w:rPr>
                <w:b/>
                <w:noProof/>
                <w:sz w:val="20"/>
              </w:rPr>
            </w:pPr>
            <w:r>
              <w:rPr>
                <w:b/>
                <w:noProof/>
                <w:color w:val="000000"/>
                <w:sz w:val="14"/>
              </w:rPr>
              <w:t>94 100,000</w:t>
            </w:r>
          </w:p>
        </w:tc>
      </w:tr>
    </w:tbl>
    <w:p w:rsidR="008209B4" w:rsidRDefault="008209B4">
      <w:pPr>
        <w:rPr>
          <w:noProof/>
        </w:rPr>
        <w:sectPr w:rsidR="008209B4" w:rsidSect="00A54173">
          <w:headerReference w:type="default" r:id="rId29"/>
          <w:footerReference w:type="default" r:id="rId30"/>
          <w:headerReference w:type="first" r:id="rId31"/>
          <w:footerReference w:type="first" r:id="rId32"/>
          <w:pgSz w:w="16840" w:h="11907" w:orient="landscape" w:code="9"/>
          <w:pgMar w:top="1134" w:right="1418" w:bottom="1134" w:left="1418" w:header="709" w:footer="709" w:gutter="0"/>
          <w:cols w:space="708"/>
          <w:docGrid w:linePitch="360"/>
        </w:sectPr>
      </w:pPr>
    </w:p>
    <w:p w:rsidR="008209B4" w:rsidRDefault="00A54173">
      <w:pPr>
        <w:pStyle w:val="ManualHeading3"/>
        <w:rPr>
          <w:bCs/>
          <w:noProof/>
          <w:szCs w:val="24"/>
        </w:rPr>
      </w:pPr>
      <w:r>
        <w:rPr>
          <w:noProof/>
        </w:rPr>
        <w:t>3.2.2.</w:t>
      </w:r>
      <w:r>
        <w:rPr>
          <w:noProof/>
        </w:rPr>
        <w:tab/>
        <w:t>Резюме на очаквано отражение върху бюджетните кредити за административни разходи</w:t>
      </w:r>
    </w:p>
    <w:p w:rsidR="008209B4" w:rsidRDefault="00A54173">
      <w:pPr>
        <w:pStyle w:val="ListDash1"/>
        <w:rPr>
          <w:noProof/>
        </w:rPr>
      </w:pPr>
      <w:r>
        <w:rPr>
          <w:noProof/>
        </w:rPr>
        <w:sym w:font="Wingdings" w:char="F0A8"/>
      </w:r>
      <w:r>
        <w:rPr>
          <w:noProof/>
        </w:rPr>
        <w:tab/>
        <w:t xml:space="preserve">Предложението/инициативата не налага използване на бюджетни кредити за административни разходи </w:t>
      </w:r>
    </w:p>
    <w:p w:rsidR="008209B4" w:rsidRDefault="00A54173">
      <w:pPr>
        <w:pStyle w:val="ListDash1"/>
        <w:rPr>
          <w:noProof/>
        </w:rPr>
      </w:pPr>
      <w:r>
        <w:rPr>
          <w:noProof/>
        </w:rPr>
        <w:sym w:font="Wingdings" w:char="F0FE"/>
      </w:r>
      <w:r>
        <w:rPr>
          <w:noProof/>
        </w:rPr>
        <w:tab/>
        <w:t xml:space="preserve">Предложението/инициативата налага </w:t>
      </w:r>
      <w:r>
        <w:rPr>
          <w:noProof/>
        </w:rPr>
        <w:t>използване на бюджетни кредити за административни разходи съгласно обяснението по-долу:</w:t>
      </w:r>
    </w:p>
    <w:p w:rsidR="008209B4" w:rsidRDefault="00A54173">
      <w:pPr>
        <w:rPr>
          <w:noProof/>
          <w:sz w:val="20"/>
        </w:rPr>
      </w:pPr>
      <w:r>
        <w:rPr>
          <w:noProof/>
          <w:sz w:val="20"/>
        </w:rPr>
        <w:t>млн. евро (до 3-тия знак след десетичната запетая)</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209B4">
        <w:trPr>
          <w:trHeight w:val="585"/>
        </w:trPr>
        <w:tc>
          <w:tcPr>
            <w:tcW w:w="1980" w:type="dxa"/>
            <w:vAlign w:val="center"/>
          </w:tcPr>
          <w:p w:rsidR="008209B4" w:rsidRDefault="00A54173">
            <w:pPr>
              <w:spacing w:before="60" w:after="60" w:line="200" w:lineRule="exact"/>
              <w:jc w:val="center"/>
              <w:rPr>
                <w:b/>
                <w:noProof/>
                <w:sz w:val="16"/>
                <w:szCs w:val="16"/>
              </w:rPr>
            </w:pPr>
            <w:r>
              <w:rPr>
                <w:b/>
                <w:noProof/>
                <w:sz w:val="16"/>
              </w:rPr>
              <w:t>Години</w:t>
            </w:r>
          </w:p>
        </w:tc>
        <w:tc>
          <w:tcPr>
            <w:tcW w:w="1080" w:type="dxa"/>
            <w:vAlign w:val="center"/>
          </w:tcPr>
          <w:p w:rsidR="008209B4" w:rsidRDefault="00A54173">
            <w:pPr>
              <w:spacing w:before="60" w:after="60" w:line="200" w:lineRule="exact"/>
              <w:jc w:val="center"/>
              <w:rPr>
                <w:noProof/>
                <w:sz w:val="16"/>
                <w:szCs w:val="16"/>
              </w:rPr>
            </w:pPr>
            <w:r>
              <w:rPr>
                <w:b/>
                <w:noProof/>
                <w:sz w:val="20"/>
              </w:rPr>
              <w:t>2021</w:t>
            </w:r>
          </w:p>
        </w:tc>
        <w:tc>
          <w:tcPr>
            <w:tcW w:w="1080" w:type="dxa"/>
            <w:vAlign w:val="center"/>
          </w:tcPr>
          <w:p w:rsidR="008209B4" w:rsidRDefault="00A54173">
            <w:pPr>
              <w:spacing w:before="60" w:after="60" w:line="200" w:lineRule="exact"/>
              <w:jc w:val="center"/>
              <w:rPr>
                <w:noProof/>
                <w:sz w:val="16"/>
                <w:szCs w:val="16"/>
              </w:rPr>
            </w:pPr>
            <w:r>
              <w:rPr>
                <w:b/>
                <w:noProof/>
                <w:sz w:val="20"/>
              </w:rPr>
              <w:t>2022</w:t>
            </w:r>
          </w:p>
        </w:tc>
        <w:tc>
          <w:tcPr>
            <w:tcW w:w="1080" w:type="dxa"/>
            <w:vAlign w:val="center"/>
          </w:tcPr>
          <w:p w:rsidR="008209B4" w:rsidRDefault="00A54173">
            <w:pPr>
              <w:spacing w:before="60" w:after="60" w:line="200" w:lineRule="exact"/>
              <w:jc w:val="center"/>
              <w:rPr>
                <w:noProof/>
                <w:sz w:val="16"/>
                <w:szCs w:val="16"/>
              </w:rPr>
            </w:pPr>
            <w:r>
              <w:rPr>
                <w:b/>
                <w:noProof/>
                <w:sz w:val="20"/>
              </w:rPr>
              <w:t>2023</w:t>
            </w:r>
          </w:p>
        </w:tc>
        <w:tc>
          <w:tcPr>
            <w:tcW w:w="1080" w:type="dxa"/>
            <w:vAlign w:val="center"/>
          </w:tcPr>
          <w:p w:rsidR="008209B4" w:rsidRDefault="00A54173">
            <w:pPr>
              <w:spacing w:before="60" w:after="60" w:line="200" w:lineRule="exact"/>
              <w:jc w:val="center"/>
              <w:rPr>
                <w:noProof/>
                <w:sz w:val="16"/>
                <w:szCs w:val="16"/>
              </w:rPr>
            </w:pPr>
            <w:r>
              <w:rPr>
                <w:b/>
                <w:noProof/>
                <w:sz w:val="20"/>
              </w:rPr>
              <w:t>2024</w:t>
            </w:r>
          </w:p>
        </w:tc>
        <w:tc>
          <w:tcPr>
            <w:tcW w:w="1080" w:type="dxa"/>
            <w:vAlign w:val="center"/>
          </w:tcPr>
          <w:p w:rsidR="008209B4" w:rsidRDefault="00A54173">
            <w:pPr>
              <w:spacing w:line="200" w:lineRule="exact"/>
              <w:jc w:val="center"/>
              <w:rPr>
                <w:b/>
                <w:noProof/>
                <w:sz w:val="16"/>
                <w:szCs w:val="16"/>
              </w:rPr>
            </w:pPr>
            <w:r>
              <w:rPr>
                <w:b/>
                <w:noProof/>
                <w:sz w:val="18"/>
              </w:rPr>
              <w:t>2025</w:t>
            </w:r>
          </w:p>
        </w:tc>
        <w:tc>
          <w:tcPr>
            <w:tcW w:w="1080" w:type="dxa"/>
            <w:vAlign w:val="center"/>
          </w:tcPr>
          <w:p w:rsidR="008209B4" w:rsidRDefault="00A54173">
            <w:pPr>
              <w:spacing w:line="200" w:lineRule="exact"/>
              <w:jc w:val="center"/>
              <w:rPr>
                <w:b/>
                <w:noProof/>
                <w:sz w:val="16"/>
                <w:szCs w:val="16"/>
              </w:rPr>
            </w:pPr>
            <w:r>
              <w:rPr>
                <w:b/>
                <w:noProof/>
                <w:sz w:val="18"/>
              </w:rPr>
              <w:t>2026</w:t>
            </w:r>
          </w:p>
        </w:tc>
        <w:tc>
          <w:tcPr>
            <w:tcW w:w="1080" w:type="dxa"/>
            <w:vAlign w:val="center"/>
          </w:tcPr>
          <w:p w:rsidR="008209B4" w:rsidRDefault="00A54173">
            <w:pPr>
              <w:spacing w:line="200" w:lineRule="exact"/>
              <w:jc w:val="center"/>
              <w:rPr>
                <w:b/>
                <w:noProof/>
                <w:sz w:val="16"/>
                <w:szCs w:val="16"/>
              </w:rPr>
            </w:pPr>
            <w:r>
              <w:rPr>
                <w:b/>
                <w:noProof/>
                <w:sz w:val="18"/>
              </w:rPr>
              <w:t>2027</w:t>
            </w:r>
          </w:p>
        </w:tc>
        <w:tc>
          <w:tcPr>
            <w:tcW w:w="1080" w:type="dxa"/>
            <w:vAlign w:val="center"/>
          </w:tcPr>
          <w:p w:rsidR="008209B4" w:rsidRDefault="00A54173">
            <w:pPr>
              <w:spacing w:before="60" w:after="60" w:line="200" w:lineRule="exact"/>
              <w:jc w:val="center"/>
              <w:rPr>
                <w:b/>
                <w:noProof/>
                <w:sz w:val="16"/>
                <w:szCs w:val="16"/>
              </w:rPr>
            </w:pPr>
            <w:r>
              <w:rPr>
                <w:b/>
                <w:noProof/>
                <w:sz w:val="16"/>
              </w:rPr>
              <w:t>ОБЩО</w:t>
            </w:r>
          </w:p>
        </w:tc>
      </w:tr>
    </w:tbl>
    <w:p w:rsidR="008209B4" w:rsidRDefault="008209B4">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209B4">
        <w:trPr>
          <w:trHeight w:val="585"/>
        </w:trPr>
        <w:tc>
          <w:tcPr>
            <w:tcW w:w="1980" w:type="dxa"/>
            <w:shd w:val="clear" w:color="auto" w:fill="CCCCCC"/>
            <w:vAlign w:val="center"/>
          </w:tcPr>
          <w:p w:rsidR="008209B4" w:rsidRDefault="00A54173">
            <w:pPr>
              <w:spacing w:before="60" w:after="60" w:line="200" w:lineRule="exact"/>
              <w:jc w:val="center"/>
              <w:rPr>
                <w:b/>
                <w:noProof/>
                <w:sz w:val="16"/>
                <w:szCs w:val="16"/>
              </w:rPr>
            </w:pPr>
            <w:r>
              <w:rPr>
                <w:b/>
                <w:noProof/>
                <w:sz w:val="16"/>
              </w:rPr>
              <w:t>ФУНКЦИЯ 7</w:t>
            </w:r>
            <w:r>
              <w:rPr>
                <w:noProof/>
                <w:sz w:val="22"/>
              </w:rPr>
              <w:br/>
            </w:r>
            <w:r>
              <w:rPr>
                <w:b/>
                <w:noProof/>
                <w:sz w:val="16"/>
              </w:rPr>
              <w:t>от многогодишната финансова рамка</w:t>
            </w: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b/>
                <w:noProof/>
                <w:sz w:val="16"/>
                <w:szCs w:val="16"/>
              </w:rPr>
            </w:pPr>
          </w:p>
        </w:tc>
        <w:tc>
          <w:tcPr>
            <w:tcW w:w="1080" w:type="dxa"/>
            <w:vAlign w:val="center"/>
          </w:tcPr>
          <w:p w:rsidR="008209B4" w:rsidRDefault="008209B4">
            <w:pPr>
              <w:spacing w:before="60" w:after="60" w:line="200" w:lineRule="exact"/>
              <w:jc w:val="right"/>
              <w:rPr>
                <w:b/>
                <w:noProof/>
                <w:sz w:val="16"/>
                <w:szCs w:val="16"/>
              </w:rPr>
            </w:pPr>
          </w:p>
        </w:tc>
      </w:tr>
      <w:tr w:rsidR="008209B4">
        <w:trPr>
          <w:trHeight w:val="585"/>
        </w:trPr>
        <w:tc>
          <w:tcPr>
            <w:tcW w:w="1980" w:type="dxa"/>
            <w:vAlign w:val="center"/>
          </w:tcPr>
          <w:p w:rsidR="008209B4" w:rsidRDefault="00A54173">
            <w:pPr>
              <w:spacing w:before="60" w:after="60" w:line="200" w:lineRule="exact"/>
              <w:ind w:left="72"/>
              <w:jc w:val="left"/>
              <w:rPr>
                <w:noProof/>
                <w:sz w:val="16"/>
                <w:szCs w:val="16"/>
              </w:rPr>
            </w:pPr>
            <w:r>
              <w:rPr>
                <w:noProof/>
                <w:sz w:val="16"/>
              </w:rPr>
              <w:t xml:space="preserve">Човешки ресурси </w:t>
            </w: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b/>
                <w:noProof/>
                <w:sz w:val="16"/>
                <w:szCs w:val="16"/>
              </w:rPr>
            </w:pPr>
          </w:p>
        </w:tc>
        <w:tc>
          <w:tcPr>
            <w:tcW w:w="1080" w:type="dxa"/>
            <w:vAlign w:val="center"/>
          </w:tcPr>
          <w:p w:rsidR="008209B4" w:rsidRDefault="008209B4">
            <w:pPr>
              <w:spacing w:before="60" w:after="60" w:line="200" w:lineRule="exact"/>
              <w:jc w:val="right"/>
              <w:rPr>
                <w:b/>
                <w:noProof/>
                <w:sz w:val="16"/>
                <w:szCs w:val="16"/>
              </w:rPr>
            </w:pPr>
          </w:p>
        </w:tc>
      </w:tr>
      <w:tr w:rsidR="008209B4">
        <w:trPr>
          <w:trHeight w:val="585"/>
        </w:trPr>
        <w:tc>
          <w:tcPr>
            <w:tcW w:w="1980" w:type="dxa"/>
            <w:vAlign w:val="center"/>
          </w:tcPr>
          <w:p w:rsidR="008209B4" w:rsidRDefault="00A54173">
            <w:pPr>
              <w:spacing w:before="60" w:after="60" w:line="200" w:lineRule="exact"/>
              <w:ind w:left="72"/>
              <w:jc w:val="left"/>
              <w:rPr>
                <w:noProof/>
                <w:sz w:val="16"/>
                <w:szCs w:val="16"/>
              </w:rPr>
            </w:pPr>
            <w:r>
              <w:rPr>
                <w:noProof/>
                <w:sz w:val="16"/>
              </w:rPr>
              <w:t xml:space="preserve">Други административни разходи </w:t>
            </w: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b/>
                <w:noProof/>
                <w:sz w:val="16"/>
                <w:szCs w:val="16"/>
              </w:rPr>
            </w:pPr>
          </w:p>
        </w:tc>
        <w:tc>
          <w:tcPr>
            <w:tcW w:w="1080" w:type="dxa"/>
            <w:vAlign w:val="center"/>
          </w:tcPr>
          <w:p w:rsidR="008209B4" w:rsidRDefault="008209B4">
            <w:pPr>
              <w:spacing w:before="60" w:after="60" w:line="200" w:lineRule="exact"/>
              <w:jc w:val="right"/>
              <w:rPr>
                <w:b/>
                <w:noProof/>
                <w:sz w:val="16"/>
                <w:szCs w:val="16"/>
              </w:rPr>
            </w:pPr>
          </w:p>
        </w:tc>
      </w:tr>
      <w:tr w:rsidR="008209B4">
        <w:trPr>
          <w:trHeight w:val="585"/>
        </w:trPr>
        <w:tc>
          <w:tcPr>
            <w:tcW w:w="1980" w:type="dxa"/>
            <w:shd w:val="clear" w:color="auto" w:fill="CCCCCC"/>
            <w:vAlign w:val="center"/>
          </w:tcPr>
          <w:p w:rsidR="008209B4" w:rsidRDefault="00A54173">
            <w:pPr>
              <w:spacing w:before="60" w:after="60" w:line="200" w:lineRule="exact"/>
              <w:jc w:val="center"/>
              <w:rPr>
                <w:b/>
                <w:noProof/>
                <w:sz w:val="16"/>
                <w:szCs w:val="16"/>
              </w:rPr>
            </w:pPr>
            <w:r>
              <w:rPr>
                <w:b/>
                <w:noProof/>
                <w:sz w:val="16"/>
              </w:rPr>
              <w:t>Междинен сбор за ФУНКЦИЯ 7</w:t>
            </w:r>
            <w:r>
              <w:rPr>
                <w:noProof/>
                <w:sz w:val="22"/>
              </w:rPr>
              <w:br/>
            </w:r>
            <w:r>
              <w:rPr>
                <w:b/>
                <w:noProof/>
                <w:sz w:val="16"/>
              </w:rPr>
              <w:t xml:space="preserve">от многогодишната финансова рамка </w:t>
            </w: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b/>
                <w:noProof/>
                <w:sz w:val="16"/>
                <w:szCs w:val="16"/>
              </w:rPr>
            </w:pPr>
          </w:p>
        </w:tc>
        <w:tc>
          <w:tcPr>
            <w:tcW w:w="1080" w:type="dxa"/>
            <w:vAlign w:val="center"/>
          </w:tcPr>
          <w:p w:rsidR="008209B4" w:rsidRDefault="008209B4">
            <w:pPr>
              <w:spacing w:before="60" w:after="60" w:line="200" w:lineRule="exact"/>
              <w:jc w:val="right"/>
              <w:rPr>
                <w:b/>
                <w:noProof/>
                <w:sz w:val="16"/>
                <w:szCs w:val="16"/>
              </w:rPr>
            </w:pPr>
          </w:p>
        </w:tc>
      </w:tr>
    </w:tbl>
    <w:p w:rsidR="008209B4" w:rsidRDefault="008209B4">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209B4">
        <w:trPr>
          <w:trHeight w:val="585"/>
        </w:trPr>
        <w:tc>
          <w:tcPr>
            <w:tcW w:w="1980" w:type="dxa"/>
            <w:shd w:val="clear" w:color="auto" w:fill="CCCCCC"/>
            <w:vAlign w:val="center"/>
          </w:tcPr>
          <w:p w:rsidR="008209B4" w:rsidRDefault="00A54173">
            <w:pPr>
              <w:spacing w:before="60" w:after="60" w:line="200" w:lineRule="exact"/>
              <w:jc w:val="center"/>
              <w:rPr>
                <w:noProof/>
                <w:sz w:val="16"/>
                <w:szCs w:val="16"/>
              </w:rPr>
            </w:pPr>
            <w:r>
              <w:rPr>
                <w:b/>
                <w:noProof/>
                <w:sz w:val="16"/>
              </w:rPr>
              <w:t>Извън ФУНКЦИЯ 7</w:t>
            </w:r>
            <w:r>
              <w:rPr>
                <w:rStyle w:val="FootnoteReference"/>
                <w:noProof/>
              </w:rPr>
              <w:footnoteReference w:id="18"/>
            </w:r>
            <w:r>
              <w:rPr>
                <w:noProof/>
                <w:sz w:val="22"/>
              </w:rPr>
              <w:br/>
            </w:r>
            <w:r>
              <w:rPr>
                <w:b/>
                <w:noProof/>
                <w:sz w:val="16"/>
              </w:rPr>
              <w:t xml:space="preserve">от многогодишната финансова рамка </w:t>
            </w:r>
          </w:p>
          <w:p w:rsidR="008209B4" w:rsidRDefault="008209B4">
            <w:pPr>
              <w:spacing w:before="0" w:after="0" w:line="200" w:lineRule="exact"/>
              <w:jc w:val="center"/>
              <w:rPr>
                <w:b/>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noProof/>
                <w:sz w:val="16"/>
                <w:szCs w:val="16"/>
              </w:rPr>
            </w:pPr>
          </w:p>
        </w:tc>
        <w:tc>
          <w:tcPr>
            <w:tcW w:w="1080" w:type="dxa"/>
            <w:vAlign w:val="center"/>
          </w:tcPr>
          <w:p w:rsidR="008209B4" w:rsidRDefault="008209B4">
            <w:pPr>
              <w:spacing w:before="60" w:after="60" w:line="200" w:lineRule="exact"/>
              <w:jc w:val="right"/>
              <w:rPr>
                <w:b/>
                <w:noProof/>
                <w:sz w:val="16"/>
                <w:szCs w:val="16"/>
              </w:rPr>
            </w:pPr>
          </w:p>
        </w:tc>
        <w:tc>
          <w:tcPr>
            <w:tcW w:w="1080" w:type="dxa"/>
            <w:vAlign w:val="center"/>
          </w:tcPr>
          <w:p w:rsidR="008209B4" w:rsidRDefault="008209B4">
            <w:pPr>
              <w:spacing w:before="60" w:after="60" w:line="200" w:lineRule="exact"/>
              <w:jc w:val="right"/>
              <w:rPr>
                <w:b/>
                <w:noProof/>
                <w:sz w:val="16"/>
                <w:szCs w:val="16"/>
              </w:rPr>
            </w:pPr>
          </w:p>
        </w:tc>
      </w:tr>
      <w:tr w:rsidR="008209B4">
        <w:trPr>
          <w:trHeight w:val="585"/>
        </w:trPr>
        <w:tc>
          <w:tcPr>
            <w:tcW w:w="1980" w:type="dxa"/>
            <w:vAlign w:val="center"/>
          </w:tcPr>
          <w:p w:rsidR="008209B4" w:rsidRDefault="00A54173">
            <w:pPr>
              <w:spacing w:before="60" w:after="60" w:line="200" w:lineRule="exact"/>
              <w:ind w:left="72"/>
              <w:jc w:val="left"/>
              <w:rPr>
                <w:noProof/>
                <w:sz w:val="16"/>
                <w:szCs w:val="16"/>
              </w:rPr>
            </w:pPr>
            <w:r>
              <w:rPr>
                <w:noProof/>
                <w:sz w:val="16"/>
              </w:rPr>
              <w:t>Човешки ресурси</w:t>
            </w:r>
            <w:r>
              <w:rPr>
                <w:rStyle w:val="FootnoteReference"/>
                <w:noProof/>
              </w:rPr>
              <w:footnoteReference w:id="19"/>
            </w:r>
          </w:p>
        </w:tc>
        <w:tc>
          <w:tcPr>
            <w:tcW w:w="1080" w:type="dxa"/>
            <w:vAlign w:val="center"/>
          </w:tcPr>
          <w:p w:rsidR="008209B4" w:rsidRDefault="00A54173">
            <w:pPr>
              <w:spacing w:before="60" w:after="60" w:line="200" w:lineRule="exact"/>
              <w:jc w:val="right"/>
              <w:rPr>
                <w:noProof/>
                <w:sz w:val="16"/>
                <w:szCs w:val="16"/>
              </w:rPr>
            </w:pPr>
            <w:r>
              <w:rPr>
                <w:noProof/>
                <w:sz w:val="18"/>
              </w:rPr>
              <w:t>401,317</w:t>
            </w:r>
          </w:p>
        </w:tc>
        <w:tc>
          <w:tcPr>
            <w:tcW w:w="1080" w:type="dxa"/>
            <w:vAlign w:val="center"/>
          </w:tcPr>
          <w:p w:rsidR="008209B4" w:rsidRDefault="00A54173">
            <w:pPr>
              <w:spacing w:before="60" w:after="60" w:line="200" w:lineRule="exact"/>
              <w:jc w:val="right"/>
              <w:rPr>
                <w:noProof/>
                <w:sz w:val="16"/>
                <w:szCs w:val="16"/>
              </w:rPr>
            </w:pPr>
            <w:r>
              <w:rPr>
                <w:noProof/>
                <w:sz w:val="18"/>
              </w:rPr>
              <w:t>412,035</w:t>
            </w:r>
          </w:p>
        </w:tc>
        <w:tc>
          <w:tcPr>
            <w:tcW w:w="1080" w:type="dxa"/>
            <w:vAlign w:val="center"/>
          </w:tcPr>
          <w:p w:rsidR="008209B4" w:rsidRDefault="00A54173">
            <w:pPr>
              <w:spacing w:before="60" w:after="60" w:line="200" w:lineRule="exact"/>
              <w:jc w:val="right"/>
              <w:rPr>
                <w:noProof/>
                <w:sz w:val="16"/>
                <w:szCs w:val="16"/>
              </w:rPr>
            </w:pPr>
            <w:r>
              <w:rPr>
                <w:noProof/>
                <w:sz w:val="18"/>
              </w:rPr>
              <w:t>423,065</w:t>
            </w:r>
          </w:p>
        </w:tc>
        <w:tc>
          <w:tcPr>
            <w:tcW w:w="1080" w:type="dxa"/>
            <w:vAlign w:val="center"/>
          </w:tcPr>
          <w:p w:rsidR="008209B4" w:rsidRDefault="00A54173">
            <w:pPr>
              <w:spacing w:before="60" w:after="60" w:line="200" w:lineRule="exact"/>
              <w:jc w:val="right"/>
              <w:rPr>
                <w:noProof/>
                <w:sz w:val="16"/>
                <w:szCs w:val="16"/>
              </w:rPr>
            </w:pPr>
            <w:r>
              <w:rPr>
                <w:noProof/>
                <w:sz w:val="18"/>
              </w:rPr>
              <w:t>434,411</w:t>
            </w:r>
          </w:p>
        </w:tc>
        <w:tc>
          <w:tcPr>
            <w:tcW w:w="1080" w:type="dxa"/>
            <w:vAlign w:val="center"/>
          </w:tcPr>
          <w:p w:rsidR="008209B4" w:rsidRDefault="00A54173">
            <w:pPr>
              <w:spacing w:before="60" w:after="60" w:line="200" w:lineRule="exact"/>
              <w:jc w:val="right"/>
              <w:rPr>
                <w:noProof/>
                <w:sz w:val="16"/>
                <w:szCs w:val="16"/>
              </w:rPr>
            </w:pPr>
            <w:r>
              <w:rPr>
                <w:noProof/>
                <w:sz w:val="18"/>
              </w:rPr>
              <w:t>446,086</w:t>
            </w:r>
          </w:p>
        </w:tc>
        <w:tc>
          <w:tcPr>
            <w:tcW w:w="1080" w:type="dxa"/>
            <w:vAlign w:val="center"/>
          </w:tcPr>
          <w:p w:rsidR="008209B4" w:rsidRDefault="00A54173">
            <w:pPr>
              <w:spacing w:before="60" w:after="60" w:line="200" w:lineRule="exact"/>
              <w:jc w:val="right"/>
              <w:rPr>
                <w:noProof/>
                <w:sz w:val="16"/>
                <w:szCs w:val="16"/>
              </w:rPr>
            </w:pPr>
            <w:r>
              <w:rPr>
                <w:noProof/>
                <w:sz w:val="18"/>
              </w:rPr>
              <w:t>458,099</w:t>
            </w:r>
          </w:p>
        </w:tc>
        <w:tc>
          <w:tcPr>
            <w:tcW w:w="1080" w:type="dxa"/>
            <w:vAlign w:val="center"/>
          </w:tcPr>
          <w:p w:rsidR="008209B4" w:rsidRDefault="00A54173">
            <w:pPr>
              <w:spacing w:before="60" w:after="60" w:line="200" w:lineRule="exact"/>
              <w:jc w:val="right"/>
              <w:rPr>
                <w:b/>
                <w:noProof/>
                <w:sz w:val="16"/>
                <w:szCs w:val="16"/>
              </w:rPr>
            </w:pPr>
            <w:r>
              <w:rPr>
                <w:noProof/>
                <w:sz w:val="18"/>
              </w:rPr>
              <w:t>470,462</w:t>
            </w:r>
          </w:p>
        </w:tc>
        <w:tc>
          <w:tcPr>
            <w:tcW w:w="1080" w:type="dxa"/>
            <w:vAlign w:val="center"/>
          </w:tcPr>
          <w:p w:rsidR="008209B4" w:rsidRDefault="00A54173">
            <w:pPr>
              <w:spacing w:before="60" w:after="60" w:line="200" w:lineRule="exact"/>
              <w:jc w:val="right"/>
              <w:rPr>
                <w:b/>
                <w:noProof/>
                <w:sz w:val="16"/>
                <w:szCs w:val="16"/>
              </w:rPr>
            </w:pPr>
            <w:r>
              <w:rPr>
                <w:b/>
                <w:noProof/>
                <w:sz w:val="18"/>
              </w:rPr>
              <w:t>3 045,475</w:t>
            </w:r>
          </w:p>
        </w:tc>
      </w:tr>
      <w:tr w:rsidR="008209B4">
        <w:trPr>
          <w:trHeight w:val="585"/>
        </w:trPr>
        <w:tc>
          <w:tcPr>
            <w:tcW w:w="1980" w:type="dxa"/>
            <w:vAlign w:val="center"/>
          </w:tcPr>
          <w:p w:rsidR="008209B4" w:rsidRDefault="00A54173">
            <w:pPr>
              <w:spacing w:before="60" w:after="60" w:line="200" w:lineRule="exact"/>
              <w:ind w:left="72"/>
              <w:jc w:val="left"/>
              <w:rPr>
                <w:noProof/>
                <w:sz w:val="16"/>
                <w:szCs w:val="16"/>
              </w:rPr>
            </w:pPr>
            <w:r>
              <w:rPr>
                <w:noProof/>
                <w:sz w:val="16"/>
              </w:rPr>
              <w:t xml:space="preserve">Други разходи </w:t>
            </w:r>
            <w:r>
              <w:rPr>
                <w:noProof/>
                <w:sz w:val="22"/>
              </w:rPr>
              <w:br/>
            </w:r>
            <w:r>
              <w:rPr>
                <w:noProof/>
                <w:sz w:val="16"/>
              </w:rPr>
              <w:t>с административен характер</w:t>
            </w:r>
            <w:r>
              <w:rPr>
                <w:rStyle w:val="FootnoteReference"/>
                <w:noProof/>
              </w:rPr>
              <w:footnoteReference w:id="20"/>
            </w:r>
          </w:p>
        </w:tc>
        <w:tc>
          <w:tcPr>
            <w:tcW w:w="1080" w:type="dxa"/>
            <w:vAlign w:val="center"/>
          </w:tcPr>
          <w:p w:rsidR="008209B4" w:rsidRDefault="00A54173">
            <w:pPr>
              <w:spacing w:before="60" w:after="60" w:line="200" w:lineRule="exact"/>
              <w:jc w:val="right"/>
              <w:rPr>
                <w:noProof/>
                <w:sz w:val="16"/>
                <w:szCs w:val="16"/>
              </w:rPr>
            </w:pPr>
            <w:r>
              <w:rPr>
                <w:noProof/>
                <w:sz w:val="18"/>
              </w:rPr>
              <w:t>422,289</w:t>
            </w:r>
          </w:p>
        </w:tc>
        <w:tc>
          <w:tcPr>
            <w:tcW w:w="1080" w:type="dxa"/>
            <w:vAlign w:val="center"/>
          </w:tcPr>
          <w:p w:rsidR="008209B4" w:rsidRDefault="00A54173">
            <w:pPr>
              <w:spacing w:before="60" w:after="60" w:line="200" w:lineRule="exact"/>
              <w:jc w:val="right"/>
              <w:rPr>
                <w:noProof/>
                <w:sz w:val="16"/>
                <w:szCs w:val="16"/>
              </w:rPr>
            </w:pPr>
            <w:r>
              <w:rPr>
                <w:noProof/>
                <w:sz w:val="18"/>
              </w:rPr>
              <w:t>428,181</w:t>
            </w:r>
          </w:p>
        </w:tc>
        <w:tc>
          <w:tcPr>
            <w:tcW w:w="1080" w:type="dxa"/>
            <w:vAlign w:val="center"/>
          </w:tcPr>
          <w:p w:rsidR="008209B4" w:rsidRDefault="00A54173">
            <w:pPr>
              <w:spacing w:before="60" w:after="60" w:line="200" w:lineRule="exact"/>
              <w:jc w:val="right"/>
              <w:rPr>
                <w:noProof/>
                <w:sz w:val="16"/>
                <w:szCs w:val="16"/>
              </w:rPr>
            </w:pPr>
            <w:r>
              <w:rPr>
                <w:noProof/>
                <w:sz w:val="18"/>
              </w:rPr>
              <w:t>434,044</w:t>
            </w:r>
          </w:p>
        </w:tc>
        <w:tc>
          <w:tcPr>
            <w:tcW w:w="1080" w:type="dxa"/>
            <w:vAlign w:val="center"/>
          </w:tcPr>
          <w:p w:rsidR="008209B4" w:rsidRDefault="00A54173">
            <w:pPr>
              <w:spacing w:before="60" w:after="60" w:line="200" w:lineRule="exact"/>
              <w:jc w:val="right"/>
              <w:rPr>
                <w:noProof/>
                <w:sz w:val="16"/>
                <w:szCs w:val="16"/>
              </w:rPr>
            </w:pPr>
            <w:r>
              <w:rPr>
                <w:noProof/>
                <w:sz w:val="18"/>
              </w:rPr>
              <w:t>439,964</w:t>
            </w:r>
          </w:p>
        </w:tc>
        <w:tc>
          <w:tcPr>
            <w:tcW w:w="1080" w:type="dxa"/>
            <w:vAlign w:val="center"/>
          </w:tcPr>
          <w:p w:rsidR="008209B4" w:rsidRDefault="00A54173">
            <w:pPr>
              <w:spacing w:before="60" w:after="60" w:line="200" w:lineRule="exact"/>
              <w:jc w:val="right"/>
              <w:rPr>
                <w:noProof/>
                <w:sz w:val="16"/>
                <w:szCs w:val="16"/>
              </w:rPr>
            </w:pPr>
            <w:r>
              <w:rPr>
                <w:noProof/>
                <w:sz w:val="18"/>
              </w:rPr>
              <w:t>446,024</w:t>
            </w:r>
          </w:p>
        </w:tc>
        <w:tc>
          <w:tcPr>
            <w:tcW w:w="1080" w:type="dxa"/>
            <w:vAlign w:val="center"/>
          </w:tcPr>
          <w:p w:rsidR="008209B4" w:rsidRDefault="00A54173">
            <w:pPr>
              <w:spacing w:before="60" w:after="60" w:line="200" w:lineRule="exact"/>
              <w:jc w:val="right"/>
              <w:rPr>
                <w:noProof/>
                <w:sz w:val="16"/>
                <w:szCs w:val="16"/>
              </w:rPr>
            </w:pPr>
            <w:r>
              <w:rPr>
                <w:noProof/>
                <w:sz w:val="18"/>
              </w:rPr>
              <w:t>451,895</w:t>
            </w:r>
          </w:p>
        </w:tc>
        <w:tc>
          <w:tcPr>
            <w:tcW w:w="1080" w:type="dxa"/>
            <w:vAlign w:val="center"/>
          </w:tcPr>
          <w:p w:rsidR="008209B4" w:rsidRDefault="00A54173">
            <w:pPr>
              <w:spacing w:before="60" w:after="60" w:line="200" w:lineRule="exact"/>
              <w:jc w:val="right"/>
              <w:rPr>
                <w:b/>
                <w:noProof/>
                <w:sz w:val="16"/>
                <w:szCs w:val="16"/>
              </w:rPr>
            </w:pPr>
            <w:r>
              <w:rPr>
                <w:noProof/>
                <w:sz w:val="18"/>
              </w:rPr>
              <w:t>457,982</w:t>
            </w:r>
          </w:p>
        </w:tc>
        <w:tc>
          <w:tcPr>
            <w:tcW w:w="1080" w:type="dxa"/>
            <w:vAlign w:val="center"/>
          </w:tcPr>
          <w:p w:rsidR="008209B4" w:rsidRDefault="00A54173">
            <w:pPr>
              <w:spacing w:before="60" w:after="60" w:line="200" w:lineRule="exact"/>
              <w:jc w:val="right"/>
              <w:rPr>
                <w:b/>
                <w:noProof/>
                <w:sz w:val="16"/>
                <w:szCs w:val="16"/>
              </w:rPr>
            </w:pPr>
            <w:r>
              <w:rPr>
                <w:b/>
                <w:noProof/>
                <w:sz w:val="18"/>
              </w:rPr>
              <w:t>3 080,380</w:t>
            </w:r>
          </w:p>
        </w:tc>
      </w:tr>
      <w:tr w:rsidR="008209B4">
        <w:trPr>
          <w:trHeight w:val="585"/>
        </w:trPr>
        <w:tc>
          <w:tcPr>
            <w:tcW w:w="1980" w:type="dxa"/>
            <w:shd w:val="clear" w:color="auto" w:fill="CCCCCC"/>
            <w:vAlign w:val="center"/>
          </w:tcPr>
          <w:p w:rsidR="008209B4" w:rsidRDefault="00A54173">
            <w:pPr>
              <w:spacing w:before="60" w:after="60" w:line="200" w:lineRule="exact"/>
              <w:jc w:val="center"/>
              <w:rPr>
                <w:b/>
                <w:noProof/>
                <w:sz w:val="16"/>
                <w:szCs w:val="16"/>
              </w:rPr>
            </w:pPr>
            <w:r>
              <w:rPr>
                <w:b/>
                <w:noProof/>
                <w:sz w:val="16"/>
              </w:rPr>
              <w:t xml:space="preserve">Междинен сбор </w:t>
            </w:r>
            <w:r>
              <w:rPr>
                <w:noProof/>
                <w:sz w:val="22"/>
              </w:rPr>
              <w:br/>
            </w:r>
            <w:r>
              <w:rPr>
                <w:b/>
                <w:noProof/>
                <w:sz w:val="16"/>
              </w:rPr>
              <w:t>извън ФУНКЦИЯ 7</w:t>
            </w:r>
            <w:r>
              <w:rPr>
                <w:noProof/>
                <w:sz w:val="22"/>
              </w:rPr>
              <w:br/>
            </w:r>
            <w:r>
              <w:rPr>
                <w:b/>
                <w:noProof/>
                <w:sz w:val="16"/>
              </w:rPr>
              <w:t xml:space="preserve">от многогодишната финансова рамка </w:t>
            </w:r>
          </w:p>
        </w:tc>
        <w:tc>
          <w:tcPr>
            <w:tcW w:w="1080" w:type="dxa"/>
            <w:vAlign w:val="center"/>
          </w:tcPr>
          <w:p w:rsidR="008209B4" w:rsidRDefault="00A54173">
            <w:pPr>
              <w:spacing w:before="60" w:after="60" w:line="200" w:lineRule="exact"/>
              <w:jc w:val="right"/>
              <w:rPr>
                <w:noProof/>
                <w:sz w:val="16"/>
                <w:szCs w:val="16"/>
              </w:rPr>
            </w:pPr>
            <w:r>
              <w:rPr>
                <w:noProof/>
                <w:sz w:val="18"/>
              </w:rPr>
              <w:t>823,606</w:t>
            </w:r>
          </w:p>
        </w:tc>
        <w:tc>
          <w:tcPr>
            <w:tcW w:w="1080" w:type="dxa"/>
            <w:vAlign w:val="center"/>
          </w:tcPr>
          <w:p w:rsidR="008209B4" w:rsidRDefault="00A54173">
            <w:pPr>
              <w:spacing w:before="60" w:after="60" w:line="200" w:lineRule="exact"/>
              <w:jc w:val="right"/>
              <w:rPr>
                <w:noProof/>
                <w:sz w:val="16"/>
                <w:szCs w:val="16"/>
              </w:rPr>
            </w:pPr>
            <w:r>
              <w:rPr>
                <w:noProof/>
                <w:sz w:val="18"/>
              </w:rPr>
              <w:t>840,216</w:t>
            </w:r>
          </w:p>
        </w:tc>
        <w:tc>
          <w:tcPr>
            <w:tcW w:w="1080" w:type="dxa"/>
            <w:vAlign w:val="center"/>
          </w:tcPr>
          <w:p w:rsidR="008209B4" w:rsidRDefault="00A54173">
            <w:pPr>
              <w:spacing w:before="60" w:after="60" w:line="200" w:lineRule="exact"/>
              <w:jc w:val="right"/>
              <w:rPr>
                <w:noProof/>
                <w:sz w:val="16"/>
                <w:szCs w:val="16"/>
              </w:rPr>
            </w:pPr>
            <w:r>
              <w:rPr>
                <w:noProof/>
                <w:sz w:val="18"/>
              </w:rPr>
              <w:t>857,109</w:t>
            </w:r>
          </w:p>
        </w:tc>
        <w:tc>
          <w:tcPr>
            <w:tcW w:w="1080" w:type="dxa"/>
            <w:vAlign w:val="center"/>
          </w:tcPr>
          <w:p w:rsidR="008209B4" w:rsidRDefault="00A54173">
            <w:pPr>
              <w:spacing w:before="60" w:after="60" w:line="200" w:lineRule="exact"/>
              <w:jc w:val="right"/>
              <w:rPr>
                <w:noProof/>
                <w:sz w:val="16"/>
                <w:szCs w:val="16"/>
              </w:rPr>
            </w:pPr>
            <w:r>
              <w:rPr>
                <w:noProof/>
                <w:sz w:val="18"/>
              </w:rPr>
              <w:t>874,375</w:t>
            </w:r>
          </w:p>
        </w:tc>
        <w:tc>
          <w:tcPr>
            <w:tcW w:w="1080" w:type="dxa"/>
            <w:vAlign w:val="center"/>
          </w:tcPr>
          <w:p w:rsidR="008209B4" w:rsidRDefault="00A54173">
            <w:pPr>
              <w:spacing w:before="60" w:after="60" w:line="200" w:lineRule="exact"/>
              <w:jc w:val="right"/>
              <w:rPr>
                <w:noProof/>
                <w:sz w:val="16"/>
                <w:szCs w:val="16"/>
              </w:rPr>
            </w:pPr>
            <w:r>
              <w:rPr>
                <w:noProof/>
                <w:sz w:val="18"/>
              </w:rPr>
              <w:t>892,110</w:t>
            </w:r>
          </w:p>
        </w:tc>
        <w:tc>
          <w:tcPr>
            <w:tcW w:w="1080" w:type="dxa"/>
            <w:vAlign w:val="center"/>
          </w:tcPr>
          <w:p w:rsidR="008209B4" w:rsidRDefault="00A54173">
            <w:pPr>
              <w:spacing w:before="60" w:after="60" w:line="200" w:lineRule="exact"/>
              <w:jc w:val="right"/>
              <w:rPr>
                <w:noProof/>
                <w:sz w:val="16"/>
                <w:szCs w:val="16"/>
              </w:rPr>
            </w:pPr>
            <w:r>
              <w:rPr>
                <w:noProof/>
                <w:sz w:val="18"/>
              </w:rPr>
              <w:t>909,994</w:t>
            </w:r>
          </w:p>
        </w:tc>
        <w:tc>
          <w:tcPr>
            <w:tcW w:w="1080" w:type="dxa"/>
            <w:vAlign w:val="center"/>
          </w:tcPr>
          <w:p w:rsidR="008209B4" w:rsidRDefault="00A54173">
            <w:pPr>
              <w:spacing w:before="60" w:after="60" w:line="200" w:lineRule="exact"/>
              <w:jc w:val="right"/>
              <w:rPr>
                <w:b/>
                <w:noProof/>
                <w:sz w:val="16"/>
                <w:szCs w:val="16"/>
              </w:rPr>
            </w:pPr>
            <w:r>
              <w:rPr>
                <w:noProof/>
                <w:sz w:val="18"/>
              </w:rPr>
              <w:t>928,444</w:t>
            </w:r>
          </w:p>
        </w:tc>
        <w:tc>
          <w:tcPr>
            <w:tcW w:w="1080" w:type="dxa"/>
            <w:vAlign w:val="center"/>
          </w:tcPr>
          <w:p w:rsidR="008209B4" w:rsidRDefault="00A54173">
            <w:pPr>
              <w:spacing w:before="60" w:after="60" w:line="200" w:lineRule="exact"/>
              <w:jc w:val="right"/>
              <w:rPr>
                <w:b/>
                <w:noProof/>
                <w:sz w:val="16"/>
                <w:szCs w:val="16"/>
              </w:rPr>
            </w:pPr>
            <w:r>
              <w:rPr>
                <w:b/>
                <w:noProof/>
                <w:sz w:val="18"/>
              </w:rPr>
              <w:t>6 125,855</w:t>
            </w:r>
          </w:p>
        </w:tc>
      </w:tr>
    </w:tbl>
    <w:p w:rsidR="008209B4" w:rsidRDefault="008209B4">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209B4">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8209B4" w:rsidRDefault="00A54173">
            <w:pPr>
              <w:spacing w:before="60" w:after="60" w:line="200" w:lineRule="exact"/>
              <w:jc w:val="center"/>
              <w:rPr>
                <w:noProof/>
                <w:sz w:val="16"/>
                <w:szCs w:val="16"/>
              </w:rPr>
            </w:pPr>
            <w:r>
              <w:rPr>
                <w:b/>
                <w:noProof/>
                <w:sz w:val="16"/>
              </w:rPr>
              <w:t>ОБЩО</w:t>
            </w:r>
          </w:p>
        </w:tc>
        <w:tc>
          <w:tcPr>
            <w:tcW w:w="1080" w:type="dxa"/>
            <w:tcBorders>
              <w:top w:val="single" w:sz="12" w:space="0" w:color="auto"/>
              <w:left w:val="single" w:sz="2" w:space="0" w:color="auto"/>
              <w:bottom w:val="single" w:sz="12" w:space="0" w:color="auto"/>
              <w:right w:val="single" w:sz="2" w:space="0" w:color="auto"/>
            </w:tcBorders>
            <w:vAlign w:val="center"/>
          </w:tcPr>
          <w:p w:rsidR="008209B4" w:rsidRDefault="00A54173">
            <w:pPr>
              <w:spacing w:before="60" w:after="60" w:line="200" w:lineRule="exact"/>
              <w:jc w:val="right"/>
              <w:rPr>
                <w:b/>
                <w:noProof/>
                <w:sz w:val="16"/>
                <w:szCs w:val="16"/>
              </w:rPr>
            </w:pPr>
            <w:r>
              <w:rPr>
                <w:b/>
                <w:noProof/>
                <w:sz w:val="18"/>
              </w:rPr>
              <w:t>823,606</w:t>
            </w:r>
          </w:p>
        </w:tc>
        <w:tc>
          <w:tcPr>
            <w:tcW w:w="1080" w:type="dxa"/>
            <w:tcBorders>
              <w:top w:val="single" w:sz="12" w:space="0" w:color="auto"/>
              <w:left w:val="single" w:sz="2" w:space="0" w:color="auto"/>
              <w:bottom w:val="single" w:sz="12" w:space="0" w:color="auto"/>
              <w:right w:val="single" w:sz="2" w:space="0" w:color="auto"/>
            </w:tcBorders>
            <w:vAlign w:val="center"/>
          </w:tcPr>
          <w:p w:rsidR="008209B4" w:rsidRDefault="00A54173">
            <w:pPr>
              <w:spacing w:before="60" w:after="60" w:line="200" w:lineRule="exact"/>
              <w:jc w:val="right"/>
              <w:rPr>
                <w:b/>
                <w:noProof/>
                <w:sz w:val="16"/>
                <w:szCs w:val="16"/>
              </w:rPr>
            </w:pPr>
            <w:r>
              <w:rPr>
                <w:b/>
                <w:noProof/>
                <w:sz w:val="18"/>
              </w:rPr>
              <w:t>840,216</w:t>
            </w:r>
          </w:p>
        </w:tc>
        <w:tc>
          <w:tcPr>
            <w:tcW w:w="1080" w:type="dxa"/>
            <w:tcBorders>
              <w:top w:val="single" w:sz="12" w:space="0" w:color="auto"/>
              <w:left w:val="single" w:sz="2" w:space="0" w:color="auto"/>
              <w:bottom w:val="single" w:sz="12" w:space="0" w:color="auto"/>
              <w:right w:val="single" w:sz="2" w:space="0" w:color="auto"/>
            </w:tcBorders>
            <w:vAlign w:val="center"/>
          </w:tcPr>
          <w:p w:rsidR="008209B4" w:rsidRDefault="00A54173">
            <w:pPr>
              <w:spacing w:before="60" w:after="60" w:line="200" w:lineRule="exact"/>
              <w:jc w:val="right"/>
              <w:rPr>
                <w:b/>
                <w:noProof/>
                <w:sz w:val="16"/>
                <w:szCs w:val="16"/>
              </w:rPr>
            </w:pPr>
            <w:r>
              <w:rPr>
                <w:b/>
                <w:noProof/>
                <w:sz w:val="18"/>
              </w:rPr>
              <w:t>857,109</w:t>
            </w:r>
          </w:p>
        </w:tc>
        <w:tc>
          <w:tcPr>
            <w:tcW w:w="1080" w:type="dxa"/>
            <w:tcBorders>
              <w:top w:val="single" w:sz="12" w:space="0" w:color="auto"/>
              <w:left w:val="single" w:sz="2" w:space="0" w:color="auto"/>
              <w:bottom w:val="single" w:sz="12" w:space="0" w:color="auto"/>
              <w:right w:val="single" w:sz="2" w:space="0" w:color="auto"/>
            </w:tcBorders>
            <w:vAlign w:val="center"/>
          </w:tcPr>
          <w:p w:rsidR="008209B4" w:rsidRDefault="00A54173">
            <w:pPr>
              <w:spacing w:before="60" w:after="60" w:line="200" w:lineRule="exact"/>
              <w:jc w:val="right"/>
              <w:rPr>
                <w:b/>
                <w:noProof/>
                <w:sz w:val="16"/>
                <w:szCs w:val="16"/>
              </w:rPr>
            </w:pPr>
            <w:r>
              <w:rPr>
                <w:b/>
                <w:noProof/>
                <w:sz w:val="18"/>
              </w:rPr>
              <w:t>874,375</w:t>
            </w:r>
          </w:p>
        </w:tc>
        <w:tc>
          <w:tcPr>
            <w:tcW w:w="1080" w:type="dxa"/>
            <w:tcBorders>
              <w:top w:val="single" w:sz="12" w:space="0" w:color="auto"/>
              <w:left w:val="single" w:sz="2" w:space="0" w:color="auto"/>
              <w:bottom w:val="single" w:sz="12" w:space="0" w:color="auto"/>
              <w:right w:val="single" w:sz="2" w:space="0" w:color="auto"/>
            </w:tcBorders>
            <w:vAlign w:val="center"/>
          </w:tcPr>
          <w:p w:rsidR="008209B4" w:rsidRDefault="00A54173">
            <w:pPr>
              <w:spacing w:before="60" w:after="60" w:line="200" w:lineRule="exact"/>
              <w:jc w:val="right"/>
              <w:rPr>
                <w:b/>
                <w:noProof/>
                <w:sz w:val="16"/>
                <w:szCs w:val="16"/>
              </w:rPr>
            </w:pPr>
            <w:r>
              <w:rPr>
                <w:b/>
                <w:noProof/>
                <w:sz w:val="18"/>
              </w:rPr>
              <w:t>892,110</w:t>
            </w:r>
          </w:p>
        </w:tc>
        <w:tc>
          <w:tcPr>
            <w:tcW w:w="1080" w:type="dxa"/>
            <w:tcBorders>
              <w:top w:val="single" w:sz="12" w:space="0" w:color="auto"/>
              <w:left w:val="single" w:sz="2" w:space="0" w:color="auto"/>
              <w:bottom w:val="single" w:sz="12" w:space="0" w:color="auto"/>
              <w:right w:val="single" w:sz="2" w:space="0" w:color="auto"/>
            </w:tcBorders>
            <w:vAlign w:val="center"/>
          </w:tcPr>
          <w:p w:rsidR="008209B4" w:rsidRDefault="00A54173">
            <w:pPr>
              <w:spacing w:before="60" w:after="60" w:line="200" w:lineRule="exact"/>
              <w:jc w:val="right"/>
              <w:rPr>
                <w:b/>
                <w:noProof/>
                <w:sz w:val="16"/>
                <w:szCs w:val="16"/>
              </w:rPr>
            </w:pPr>
            <w:r>
              <w:rPr>
                <w:b/>
                <w:noProof/>
                <w:sz w:val="18"/>
              </w:rPr>
              <w:t>909,994</w:t>
            </w:r>
          </w:p>
        </w:tc>
        <w:tc>
          <w:tcPr>
            <w:tcW w:w="1080" w:type="dxa"/>
            <w:tcBorders>
              <w:top w:val="single" w:sz="12" w:space="0" w:color="auto"/>
              <w:left w:val="single" w:sz="2" w:space="0" w:color="auto"/>
              <w:bottom w:val="single" w:sz="12" w:space="0" w:color="auto"/>
              <w:right w:val="single" w:sz="2" w:space="0" w:color="auto"/>
            </w:tcBorders>
            <w:vAlign w:val="center"/>
          </w:tcPr>
          <w:p w:rsidR="008209B4" w:rsidRDefault="00A54173">
            <w:pPr>
              <w:spacing w:before="60" w:after="60" w:line="200" w:lineRule="exact"/>
              <w:jc w:val="right"/>
              <w:rPr>
                <w:b/>
                <w:noProof/>
                <w:sz w:val="16"/>
                <w:szCs w:val="16"/>
              </w:rPr>
            </w:pPr>
            <w:r>
              <w:rPr>
                <w:b/>
                <w:noProof/>
                <w:sz w:val="18"/>
              </w:rPr>
              <w:t>928,444</w:t>
            </w:r>
          </w:p>
        </w:tc>
        <w:tc>
          <w:tcPr>
            <w:tcW w:w="1080" w:type="dxa"/>
            <w:tcBorders>
              <w:top w:val="single" w:sz="12" w:space="0" w:color="auto"/>
              <w:left w:val="single" w:sz="2" w:space="0" w:color="auto"/>
              <w:bottom w:val="single" w:sz="12" w:space="0" w:color="auto"/>
              <w:right w:val="single" w:sz="12" w:space="0" w:color="auto"/>
            </w:tcBorders>
            <w:vAlign w:val="center"/>
          </w:tcPr>
          <w:p w:rsidR="008209B4" w:rsidRDefault="00A54173">
            <w:pPr>
              <w:spacing w:before="60" w:after="60" w:line="200" w:lineRule="exact"/>
              <w:jc w:val="right"/>
              <w:rPr>
                <w:b/>
                <w:noProof/>
                <w:sz w:val="16"/>
                <w:szCs w:val="16"/>
              </w:rPr>
            </w:pPr>
            <w:r>
              <w:rPr>
                <w:b/>
                <w:noProof/>
                <w:sz w:val="18"/>
              </w:rPr>
              <w:t>6 125,855</w:t>
            </w:r>
          </w:p>
        </w:tc>
      </w:tr>
    </w:tbl>
    <w:p w:rsidR="008209B4" w:rsidRDefault="00A54173">
      <w:pPr>
        <w:pStyle w:val="Text2"/>
        <w:spacing w:before="0" w:after="0"/>
        <w:ind w:left="0"/>
        <w:rPr>
          <w:rFonts w:eastAsia="Times New Roman"/>
          <w:iCs/>
          <w:noProof/>
          <w:sz w:val="20"/>
          <w:szCs w:val="20"/>
        </w:rPr>
      </w:pPr>
      <w:r>
        <w:rPr>
          <w:noProof/>
          <w:sz w:val="20"/>
        </w:rPr>
        <w:t xml:space="preserve">Необходимите бюджетни кредити за административни разходи ще бъдат покрити от бюджетните кредити, които вече са разпределени за управлението на действието и/или </w:t>
      </w:r>
      <w:r>
        <w:rPr>
          <w:noProof/>
          <w:sz w:val="20"/>
        </w:rPr>
        <w:t>които са преразпределени,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съществуващите бюджетни огран</w:t>
      </w:r>
      <w:r>
        <w:rPr>
          <w:noProof/>
          <w:sz w:val="20"/>
        </w:rPr>
        <w:t>ичения.</w:t>
      </w:r>
    </w:p>
    <w:p w:rsidR="008209B4" w:rsidRDefault="00A54173">
      <w:pPr>
        <w:pStyle w:val="ManualHeading4"/>
        <w:rPr>
          <w:bCs/>
          <w:noProof/>
          <w:szCs w:val="24"/>
        </w:rPr>
      </w:pPr>
      <w:r>
        <w:rPr>
          <w:noProof/>
        </w:rPr>
        <w:t>3.2.2.1.</w:t>
      </w:r>
      <w:r>
        <w:rPr>
          <w:noProof/>
        </w:rPr>
        <w:tab/>
        <w:t xml:space="preserve">Очаквани нужди от човешки ресурси </w:t>
      </w:r>
    </w:p>
    <w:p w:rsidR="008209B4" w:rsidRDefault="00A54173">
      <w:pPr>
        <w:pStyle w:val="ListDash1"/>
        <w:rPr>
          <w:noProof/>
        </w:rPr>
      </w:pPr>
      <w:r>
        <w:rPr>
          <w:noProof/>
        </w:rPr>
        <w:sym w:font="Wingdings" w:char="F0A8"/>
      </w:r>
      <w:r>
        <w:rPr>
          <w:noProof/>
        </w:rPr>
        <w:tab/>
        <w:t xml:space="preserve">Предложението/инициативата не налага използване на човешки ресурси </w:t>
      </w:r>
    </w:p>
    <w:p w:rsidR="008209B4" w:rsidRDefault="00A54173">
      <w:pPr>
        <w:pStyle w:val="ListDash1"/>
        <w:rPr>
          <w:noProof/>
        </w:rPr>
      </w:pPr>
      <w:r>
        <w:rPr>
          <w:noProof/>
        </w:rPr>
        <w:sym w:font="Wingdings" w:char="F0FE"/>
      </w:r>
      <w:r>
        <w:rPr>
          <w:noProof/>
        </w:rPr>
        <w:tab/>
        <w:t>Предложението/инициативата налага използване на човешки ресурси съгласно обяснението по-долу:</w:t>
      </w:r>
    </w:p>
    <w:p w:rsidR="008209B4" w:rsidRDefault="00A54173">
      <w:pPr>
        <w:spacing w:after="60"/>
        <w:jc w:val="right"/>
        <w:rPr>
          <w:i/>
          <w:noProof/>
          <w:sz w:val="20"/>
        </w:rPr>
      </w:pPr>
      <w:r>
        <w:rPr>
          <w:i/>
          <w:noProof/>
          <w:sz w:val="20"/>
        </w:rPr>
        <w:t>Оценката се посочва в еквиваленти на п</w:t>
      </w:r>
      <w:r>
        <w:rPr>
          <w:i/>
          <w:noProof/>
          <w:sz w:val="20"/>
        </w:rPr>
        <w:t>ълно работно време</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rsidR="008209B4">
        <w:trPr>
          <w:trHeight w:val="289"/>
        </w:trPr>
        <w:tc>
          <w:tcPr>
            <w:tcW w:w="1472" w:type="pct"/>
            <w:gridSpan w:val="2"/>
            <w:vAlign w:val="center"/>
          </w:tcPr>
          <w:p w:rsidR="008209B4" w:rsidRDefault="00A54173">
            <w:pPr>
              <w:pStyle w:val="Text1"/>
              <w:spacing w:before="40" w:after="40"/>
              <w:ind w:left="0"/>
              <w:jc w:val="center"/>
              <w:rPr>
                <w:i/>
                <w:noProof/>
                <w:sz w:val="16"/>
                <w:szCs w:val="16"/>
              </w:rPr>
            </w:pPr>
            <w:r>
              <w:rPr>
                <w:b/>
                <w:noProof/>
                <w:sz w:val="16"/>
              </w:rPr>
              <w:t>Години</w:t>
            </w:r>
          </w:p>
        </w:tc>
        <w:tc>
          <w:tcPr>
            <w:tcW w:w="466" w:type="pct"/>
            <w:shd w:val="clear" w:color="auto" w:fill="auto"/>
            <w:vAlign w:val="center"/>
          </w:tcPr>
          <w:p w:rsidR="008209B4" w:rsidRDefault="00A54173">
            <w:pPr>
              <w:spacing w:before="20" w:after="20"/>
              <w:jc w:val="center"/>
              <w:rPr>
                <w:b/>
                <w:noProof/>
                <w:sz w:val="16"/>
                <w:szCs w:val="16"/>
              </w:rPr>
            </w:pPr>
            <w:r>
              <w:rPr>
                <w:b/>
                <w:noProof/>
                <w:sz w:val="20"/>
              </w:rPr>
              <w:t>2021</w:t>
            </w:r>
          </w:p>
        </w:tc>
        <w:tc>
          <w:tcPr>
            <w:tcW w:w="534" w:type="pct"/>
            <w:shd w:val="clear" w:color="auto" w:fill="auto"/>
            <w:vAlign w:val="center"/>
          </w:tcPr>
          <w:p w:rsidR="008209B4" w:rsidRDefault="00A54173">
            <w:pPr>
              <w:spacing w:before="20" w:after="20"/>
              <w:jc w:val="center"/>
              <w:rPr>
                <w:b/>
                <w:noProof/>
                <w:sz w:val="20"/>
              </w:rPr>
            </w:pPr>
            <w:r>
              <w:rPr>
                <w:b/>
                <w:noProof/>
                <w:sz w:val="20"/>
              </w:rPr>
              <w:t>2022</w:t>
            </w:r>
          </w:p>
        </w:tc>
        <w:tc>
          <w:tcPr>
            <w:tcW w:w="466" w:type="pct"/>
            <w:shd w:val="clear" w:color="auto" w:fill="auto"/>
            <w:vAlign w:val="center"/>
          </w:tcPr>
          <w:p w:rsidR="008209B4" w:rsidRDefault="00A54173">
            <w:pPr>
              <w:spacing w:before="20" w:after="20"/>
              <w:jc w:val="center"/>
              <w:rPr>
                <w:b/>
                <w:noProof/>
                <w:sz w:val="20"/>
              </w:rPr>
            </w:pPr>
            <w:r>
              <w:rPr>
                <w:b/>
                <w:noProof/>
                <w:sz w:val="20"/>
              </w:rPr>
              <w:t>2023</w:t>
            </w:r>
          </w:p>
        </w:tc>
        <w:tc>
          <w:tcPr>
            <w:tcW w:w="534" w:type="pct"/>
            <w:shd w:val="clear" w:color="auto" w:fill="auto"/>
            <w:vAlign w:val="center"/>
          </w:tcPr>
          <w:p w:rsidR="008209B4" w:rsidRDefault="00A54173">
            <w:pPr>
              <w:spacing w:before="20" w:after="20"/>
              <w:jc w:val="center"/>
              <w:rPr>
                <w:b/>
                <w:noProof/>
                <w:sz w:val="20"/>
              </w:rPr>
            </w:pPr>
            <w:r>
              <w:rPr>
                <w:b/>
                <w:noProof/>
                <w:sz w:val="20"/>
              </w:rPr>
              <w:t>2024</w:t>
            </w:r>
          </w:p>
        </w:tc>
        <w:tc>
          <w:tcPr>
            <w:tcW w:w="533" w:type="pct"/>
            <w:shd w:val="clear" w:color="auto" w:fill="auto"/>
            <w:vAlign w:val="center"/>
          </w:tcPr>
          <w:p w:rsidR="008209B4" w:rsidRDefault="00A54173">
            <w:pPr>
              <w:jc w:val="center"/>
              <w:rPr>
                <w:b/>
                <w:noProof/>
                <w:sz w:val="20"/>
              </w:rPr>
            </w:pPr>
            <w:r>
              <w:rPr>
                <w:b/>
                <w:noProof/>
                <w:sz w:val="20"/>
              </w:rPr>
              <w:t>2025</w:t>
            </w:r>
          </w:p>
        </w:tc>
        <w:tc>
          <w:tcPr>
            <w:tcW w:w="468" w:type="pct"/>
            <w:shd w:val="clear" w:color="auto" w:fill="auto"/>
            <w:vAlign w:val="center"/>
          </w:tcPr>
          <w:p w:rsidR="008209B4" w:rsidRDefault="00A54173">
            <w:pPr>
              <w:jc w:val="center"/>
              <w:rPr>
                <w:b/>
                <w:noProof/>
                <w:sz w:val="20"/>
              </w:rPr>
            </w:pPr>
            <w:r>
              <w:rPr>
                <w:b/>
                <w:noProof/>
                <w:sz w:val="20"/>
              </w:rPr>
              <w:t>2026</w:t>
            </w:r>
          </w:p>
        </w:tc>
        <w:tc>
          <w:tcPr>
            <w:tcW w:w="527" w:type="pct"/>
            <w:shd w:val="clear" w:color="auto" w:fill="auto"/>
            <w:vAlign w:val="center"/>
          </w:tcPr>
          <w:p w:rsidR="008209B4" w:rsidRDefault="00A54173">
            <w:pPr>
              <w:jc w:val="center"/>
              <w:rPr>
                <w:b/>
                <w:noProof/>
                <w:sz w:val="20"/>
              </w:rPr>
            </w:pPr>
            <w:r>
              <w:rPr>
                <w:b/>
                <w:noProof/>
                <w:sz w:val="20"/>
              </w:rPr>
              <w:t>2027</w:t>
            </w:r>
          </w:p>
        </w:tc>
      </w:tr>
      <w:tr w:rsidR="008209B4">
        <w:trPr>
          <w:trHeight w:val="289"/>
        </w:trPr>
        <w:tc>
          <w:tcPr>
            <w:tcW w:w="5000" w:type="pct"/>
            <w:gridSpan w:val="9"/>
          </w:tcPr>
          <w:p w:rsidR="008209B4" w:rsidRDefault="00A54173">
            <w:pPr>
              <w:jc w:val="left"/>
              <w:rPr>
                <w:noProof/>
                <w:sz w:val="16"/>
                <w:szCs w:val="16"/>
              </w:rPr>
            </w:pPr>
            <w:r>
              <w:rPr>
                <w:b/>
                <w:noProof/>
                <w:sz w:val="16"/>
              </w:rPr>
              <w:sym w:font="Wingdings" w:char="F09F"/>
            </w:r>
            <w:r>
              <w:rPr>
                <w:b/>
                <w:noProof/>
                <w:sz w:val="16"/>
              </w:rPr>
              <w:t xml:space="preserve"> Длъжности в щатното разписание (длъжностни лица и срочно наети служители)</w:t>
            </w:r>
            <w:bookmarkStart w:id="1" w:name="_Ref514769230"/>
            <w:r>
              <w:rPr>
                <w:rStyle w:val="FootnoteReference"/>
                <w:noProof/>
              </w:rPr>
              <w:footnoteReference w:id="21"/>
            </w:r>
            <w:bookmarkEnd w:id="1"/>
          </w:p>
        </w:tc>
      </w:tr>
      <w:tr w:rsidR="008209B4">
        <w:trPr>
          <w:trHeight w:val="289"/>
        </w:trPr>
        <w:tc>
          <w:tcPr>
            <w:tcW w:w="1472" w:type="pct"/>
            <w:gridSpan w:val="2"/>
          </w:tcPr>
          <w:p w:rsidR="008209B4" w:rsidRDefault="00A54173">
            <w:pPr>
              <w:pStyle w:val="Text1"/>
              <w:spacing w:beforeLines="20" w:before="48" w:afterLines="20" w:after="48"/>
              <w:ind w:left="134"/>
              <w:jc w:val="left"/>
              <w:rPr>
                <w:b/>
                <w:noProof/>
                <w:sz w:val="16"/>
                <w:szCs w:val="16"/>
              </w:rPr>
            </w:pPr>
            <w:r>
              <w:rPr>
                <w:noProof/>
                <w:sz w:val="16"/>
              </w:rPr>
              <w:t>Централа и представителства на Комисията</w:t>
            </w:r>
          </w:p>
        </w:tc>
        <w:tc>
          <w:tcPr>
            <w:tcW w:w="466" w:type="pct"/>
            <w:shd w:val="clear" w:color="auto" w:fill="auto"/>
            <w:vAlign w:val="center"/>
          </w:tcPr>
          <w:p w:rsidR="008209B4" w:rsidRDefault="008209B4">
            <w:pPr>
              <w:spacing w:beforeLines="20" w:before="48" w:afterLines="20" w:after="48"/>
              <w:jc w:val="center"/>
              <w:rPr>
                <w:noProof/>
                <w:sz w:val="16"/>
                <w:szCs w:val="16"/>
              </w:rPr>
            </w:pPr>
          </w:p>
        </w:tc>
        <w:tc>
          <w:tcPr>
            <w:tcW w:w="534" w:type="pct"/>
            <w:shd w:val="clear" w:color="auto" w:fill="auto"/>
            <w:vAlign w:val="center"/>
          </w:tcPr>
          <w:p w:rsidR="008209B4" w:rsidRDefault="008209B4">
            <w:pPr>
              <w:spacing w:beforeLines="20" w:before="48" w:afterLines="20" w:after="48"/>
              <w:jc w:val="center"/>
              <w:rPr>
                <w:noProof/>
                <w:sz w:val="16"/>
                <w:szCs w:val="16"/>
              </w:rPr>
            </w:pPr>
          </w:p>
        </w:tc>
        <w:tc>
          <w:tcPr>
            <w:tcW w:w="466" w:type="pct"/>
            <w:shd w:val="clear" w:color="auto" w:fill="auto"/>
            <w:vAlign w:val="center"/>
          </w:tcPr>
          <w:p w:rsidR="008209B4" w:rsidRDefault="008209B4">
            <w:pPr>
              <w:spacing w:beforeLines="20" w:before="48" w:afterLines="20" w:after="48"/>
              <w:jc w:val="center"/>
              <w:rPr>
                <w:noProof/>
                <w:sz w:val="16"/>
                <w:szCs w:val="16"/>
              </w:rPr>
            </w:pPr>
          </w:p>
        </w:tc>
        <w:tc>
          <w:tcPr>
            <w:tcW w:w="534" w:type="pct"/>
            <w:shd w:val="clear" w:color="auto" w:fill="auto"/>
            <w:vAlign w:val="center"/>
          </w:tcPr>
          <w:p w:rsidR="008209B4" w:rsidRDefault="008209B4">
            <w:pPr>
              <w:spacing w:beforeLines="20" w:before="48" w:afterLines="20" w:after="48"/>
              <w:jc w:val="center"/>
              <w:rPr>
                <w:noProof/>
                <w:sz w:val="16"/>
                <w:szCs w:val="16"/>
              </w:rPr>
            </w:pPr>
          </w:p>
        </w:tc>
        <w:tc>
          <w:tcPr>
            <w:tcW w:w="533" w:type="pct"/>
            <w:shd w:val="clear" w:color="auto" w:fill="auto"/>
            <w:vAlign w:val="center"/>
          </w:tcPr>
          <w:p w:rsidR="008209B4" w:rsidRDefault="008209B4">
            <w:pPr>
              <w:spacing w:beforeLines="20" w:before="48" w:afterLines="20" w:after="48"/>
              <w:jc w:val="center"/>
              <w:rPr>
                <w:noProof/>
                <w:sz w:val="16"/>
                <w:szCs w:val="16"/>
              </w:rPr>
            </w:pPr>
          </w:p>
        </w:tc>
        <w:tc>
          <w:tcPr>
            <w:tcW w:w="468" w:type="pct"/>
            <w:shd w:val="clear" w:color="auto" w:fill="auto"/>
            <w:vAlign w:val="center"/>
          </w:tcPr>
          <w:p w:rsidR="008209B4" w:rsidRDefault="008209B4">
            <w:pPr>
              <w:spacing w:beforeLines="20" w:before="48" w:afterLines="20" w:after="48"/>
              <w:jc w:val="center"/>
              <w:rPr>
                <w:noProof/>
                <w:sz w:val="16"/>
                <w:szCs w:val="16"/>
              </w:rPr>
            </w:pPr>
          </w:p>
        </w:tc>
        <w:tc>
          <w:tcPr>
            <w:tcW w:w="527" w:type="pct"/>
            <w:shd w:val="clear" w:color="auto" w:fill="auto"/>
            <w:vAlign w:val="center"/>
          </w:tcPr>
          <w:p w:rsidR="008209B4" w:rsidRDefault="008209B4">
            <w:pPr>
              <w:spacing w:beforeLines="20" w:before="48" w:afterLines="20" w:after="48"/>
              <w:jc w:val="center"/>
              <w:rPr>
                <w:noProof/>
                <w:sz w:val="16"/>
                <w:szCs w:val="16"/>
              </w:rPr>
            </w:pPr>
          </w:p>
        </w:tc>
      </w:tr>
      <w:tr w:rsidR="008209B4">
        <w:trPr>
          <w:trHeight w:val="368"/>
        </w:trPr>
        <w:tc>
          <w:tcPr>
            <w:tcW w:w="1472" w:type="pct"/>
            <w:gridSpan w:val="2"/>
          </w:tcPr>
          <w:p w:rsidR="008209B4" w:rsidRDefault="00A54173">
            <w:pPr>
              <w:pStyle w:val="Text1"/>
              <w:spacing w:beforeLines="20" w:before="48" w:afterLines="20" w:after="48"/>
              <w:ind w:left="134"/>
              <w:jc w:val="left"/>
              <w:rPr>
                <w:noProof/>
                <w:sz w:val="16"/>
                <w:szCs w:val="16"/>
              </w:rPr>
            </w:pPr>
            <w:r>
              <w:rPr>
                <w:noProof/>
                <w:sz w:val="16"/>
              </w:rPr>
              <w:t>Делегации</w:t>
            </w:r>
          </w:p>
        </w:tc>
        <w:tc>
          <w:tcPr>
            <w:tcW w:w="466" w:type="pct"/>
            <w:shd w:val="clear" w:color="auto" w:fill="auto"/>
            <w:vAlign w:val="center"/>
          </w:tcPr>
          <w:p w:rsidR="008209B4" w:rsidRDefault="008209B4">
            <w:pPr>
              <w:spacing w:beforeLines="20" w:before="48" w:afterLines="20" w:after="48"/>
              <w:jc w:val="center"/>
              <w:rPr>
                <w:noProof/>
                <w:sz w:val="16"/>
                <w:szCs w:val="16"/>
              </w:rPr>
            </w:pPr>
          </w:p>
        </w:tc>
        <w:tc>
          <w:tcPr>
            <w:tcW w:w="534" w:type="pct"/>
            <w:shd w:val="clear" w:color="auto" w:fill="auto"/>
            <w:vAlign w:val="center"/>
          </w:tcPr>
          <w:p w:rsidR="008209B4" w:rsidRDefault="008209B4">
            <w:pPr>
              <w:spacing w:beforeLines="20" w:before="48" w:afterLines="20" w:after="48"/>
              <w:jc w:val="center"/>
              <w:rPr>
                <w:noProof/>
                <w:sz w:val="16"/>
                <w:szCs w:val="16"/>
              </w:rPr>
            </w:pPr>
          </w:p>
        </w:tc>
        <w:tc>
          <w:tcPr>
            <w:tcW w:w="466" w:type="pct"/>
            <w:shd w:val="clear" w:color="auto" w:fill="auto"/>
            <w:vAlign w:val="center"/>
          </w:tcPr>
          <w:p w:rsidR="008209B4" w:rsidRDefault="008209B4">
            <w:pPr>
              <w:spacing w:beforeLines="20" w:before="48" w:afterLines="20" w:after="48"/>
              <w:jc w:val="center"/>
              <w:rPr>
                <w:noProof/>
                <w:sz w:val="16"/>
                <w:szCs w:val="16"/>
              </w:rPr>
            </w:pPr>
          </w:p>
        </w:tc>
        <w:tc>
          <w:tcPr>
            <w:tcW w:w="534" w:type="pct"/>
            <w:shd w:val="clear" w:color="auto" w:fill="auto"/>
            <w:vAlign w:val="center"/>
          </w:tcPr>
          <w:p w:rsidR="008209B4" w:rsidRDefault="008209B4">
            <w:pPr>
              <w:spacing w:beforeLines="20" w:before="48" w:afterLines="20" w:after="48"/>
              <w:jc w:val="center"/>
              <w:rPr>
                <w:noProof/>
                <w:sz w:val="16"/>
                <w:szCs w:val="16"/>
              </w:rPr>
            </w:pPr>
          </w:p>
        </w:tc>
        <w:tc>
          <w:tcPr>
            <w:tcW w:w="533" w:type="pct"/>
            <w:shd w:val="clear" w:color="auto" w:fill="auto"/>
            <w:vAlign w:val="center"/>
          </w:tcPr>
          <w:p w:rsidR="008209B4" w:rsidRDefault="008209B4">
            <w:pPr>
              <w:spacing w:beforeLines="20" w:before="48" w:afterLines="20" w:after="48"/>
              <w:jc w:val="center"/>
              <w:rPr>
                <w:noProof/>
                <w:sz w:val="16"/>
                <w:szCs w:val="16"/>
              </w:rPr>
            </w:pPr>
          </w:p>
        </w:tc>
        <w:tc>
          <w:tcPr>
            <w:tcW w:w="468" w:type="pct"/>
            <w:shd w:val="clear" w:color="auto" w:fill="auto"/>
            <w:vAlign w:val="center"/>
          </w:tcPr>
          <w:p w:rsidR="008209B4" w:rsidRDefault="008209B4">
            <w:pPr>
              <w:spacing w:beforeLines="20" w:before="48" w:afterLines="20" w:after="48"/>
              <w:jc w:val="center"/>
              <w:rPr>
                <w:noProof/>
                <w:sz w:val="16"/>
                <w:szCs w:val="16"/>
              </w:rPr>
            </w:pPr>
          </w:p>
        </w:tc>
        <w:tc>
          <w:tcPr>
            <w:tcW w:w="527" w:type="pct"/>
            <w:shd w:val="clear" w:color="auto" w:fill="auto"/>
            <w:vAlign w:val="center"/>
          </w:tcPr>
          <w:p w:rsidR="008209B4" w:rsidRDefault="008209B4">
            <w:pPr>
              <w:spacing w:beforeLines="20" w:before="48" w:afterLines="20" w:after="48"/>
              <w:jc w:val="center"/>
              <w:rPr>
                <w:noProof/>
                <w:sz w:val="16"/>
                <w:szCs w:val="16"/>
              </w:rPr>
            </w:pPr>
          </w:p>
        </w:tc>
      </w:tr>
      <w:tr w:rsidR="008209B4">
        <w:trPr>
          <w:trHeight w:val="289"/>
        </w:trPr>
        <w:tc>
          <w:tcPr>
            <w:tcW w:w="1472" w:type="pct"/>
            <w:gridSpan w:val="2"/>
          </w:tcPr>
          <w:p w:rsidR="008209B4" w:rsidRDefault="00A54173">
            <w:pPr>
              <w:pStyle w:val="Text1"/>
              <w:spacing w:beforeLines="20" w:before="48" w:afterLines="20" w:after="48"/>
              <w:ind w:left="134"/>
              <w:jc w:val="left"/>
              <w:rPr>
                <w:noProof/>
                <w:sz w:val="16"/>
                <w:szCs w:val="16"/>
              </w:rPr>
            </w:pPr>
            <w:r>
              <w:rPr>
                <w:noProof/>
                <w:sz w:val="16"/>
              </w:rPr>
              <w:t>Научни изследвания</w:t>
            </w:r>
          </w:p>
        </w:tc>
        <w:tc>
          <w:tcPr>
            <w:tcW w:w="466" w:type="pct"/>
            <w:shd w:val="clear" w:color="auto" w:fill="auto"/>
            <w:vAlign w:val="center"/>
          </w:tcPr>
          <w:p w:rsidR="008209B4" w:rsidRDefault="00A54173">
            <w:pPr>
              <w:spacing w:beforeLines="20" w:before="48" w:afterLines="20" w:after="48"/>
              <w:jc w:val="center"/>
              <w:rPr>
                <w:noProof/>
                <w:sz w:val="16"/>
                <w:szCs w:val="16"/>
              </w:rPr>
            </w:pPr>
            <w:r>
              <w:rPr>
                <w:noProof/>
                <w:sz w:val="16"/>
              </w:rPr>
              <w:t>2620</w:t>
            </w:r>
          </w:p>
        </w:tc>
        <w:tc>
          <w:tcPr>
            <w:tcW w:w="534" w:type="pct"/>
            <w:shd w:val="clear" w:color="auto" w:fill="auto"/>
          </w:tcPr>
          <w:p w:rsidR="008209B4" w:rsidRDefault="00A54173">
            <w:pPr>
              <w:spacing w:beforeLines="20" w:before="48" w:afterLines="20" w:after="48"/>
              <w:jc w:val="center"/>
              <w:rPr>
                <w:noProof/>
                <w:sz w:val="16"/>
                <w:szCs w:val="16"/>
              </w:rPr>
            </w:pPr>
            <w:r>
              <w:rPr>
                <w:noProof/>
                <w:sz w:val="16"/>
              </w:rPr>
              <w:t>2620</w:t>
            </w:r>
          </w:p>
        </w:tc>
        <w:tc>
          <w:tcPr>
            <w:tcW w:w="466" w:type="pct"/>
            <w:shd w:val="clear" w:color="auto" w:fill="auto"/>
          </w:tcPr>
          <w:p w:rsidR="008209B4" w:rsidRDefault="00A54173">
            <w:pPr>
              <w:spacing w:beforeLines="20" w:before="48" w:afterLines="20" w:after="48"/>
              <w:jc w:val="center"/>
              <w:rPr>
                <w:noProof/>
                <w:sz w:val="16"/>
                <w:szCs w:val="16"/>
              </w:rPr>
            </w:pPr>
            <w:r>
              <w:rPr>
                <w:noProof/>
                <w:sz w:val="16"/>
              </w:rPr>
              <w:t>2620</w:t>
            </w:r>
          </w:p>
        </w:tc>
        <w:tc>
          <w:tcPr>
            <w:tcW w:w="534" w:type="pct"/>
            <w:shd w:val="clear" w:color="auto" w:fill="auto"/>
          </w:tcPr>
          <w:p w:rsidR="008209B4" w:rsidRDefault="00A54173">
            <w:pPr>
              <w:spacing w:beforeLines="20" w:before="48" w:afterLines="20" w:after="48"/>
              <w:jc w:val="center"/>
              <w:rPr>
                <w:noProof/>
                <w:sz w:val="16"/>
                <w:szCs w:val="16"/>
              </w:rPr>
            </w:pPr>
            <w:r>
              <w:rPr>
                <w:noProof/>
                <w:sz w:val="16"/>
              </w:rPr>
              <w:t>2620</w:t>
            </w:r>
          </w:p>
        </w:tc>
        <w:tc>
          <w:tcPr>
            <w:tcW w:w="533" w:type="pct"/>
            <w:shd w:val="clear" w:color="auto" w:fill="auto"/>
          </w:tcPr>
          <w:p w:rsidR="008209B4" w:rsidRDefault="00A54173">
            <w:pPr>
              <w:spacing w:beforeLines="20" w:before="48" w:afterLines="20" w:after="48"/>
              <w:jc w:val="center"/>
              <w:rPr>
                <w:noProof/>
                <w:sz w:val="16"/>
                <w:szCs w:val="16"/>
              </w:rPr>
            </w:pPr>
            <w:r>
              <w:rPr>
                <w:noProof/>
                <w:sz w:val="16"/>
              </w:rPr>
              <w:t>2620</w:t>
            </w:r>
          </w:p>
        </w:tc>
        <w:tc>
          <w:tcPr>
            <w:tcW w:w="468" w:type="pct"/>
            <w:shd w:val="clear" w:color="auto" w:fill="auto"/>
          </w:tcPr>
          <w:p w:rsidR="008209B4" w:rsidRDefault="00A54173">
            <w:pPr>
              <w:spacing w:beforeLines="20" w:before="48" w:afterLines="20" w:after="48"/>
              <w:jc w:val="center"/>
              <w:rPr>
                <w:noProof/>
                <w:sz w:val="16"/>
                <w:szCs w:val="16"/>
              </w:rPr>
            </w:pPr>
            <w:r>
              <w:rPr>
                <w:noProof/>
                <w:sz w:val="16"/>
              </w:rPr>
              <w:t>2620</w:t>
            </w:r>
          </w:p>
        </w:tc>
        <w:tc>
          <w:tcPr>
            <w:tcW w:w="527" w:type="pct"/>
            <w:shd w:val="clear" w:color="auto" w:fill="auto"/>
          </w:tcPr>
          <w:p w:rsidR="008209B4" w:rsidRDefault="00A54173">
            <w:pPr>
              <w:spacing w:beforeLines="20" w:before="48" w:afterLines="20" w:after="48"/>
              <w:jc w:val="center"/>
              <w:rPr>
                <w:noProof/>
                <w:sz w:val="16"/>
                <w:szCs w:val="16"/>
              </w:rPr>
            </w:pPr>
            <w:r>
              <w:rPr>
                <w:noProof/>
                <w:sz w:val="16"/>
              </w:rPr>
              <w:t>2620</w:t>
            </w:r>
          </w:p>
        </w:tc>
      </w:tr>
      <w:tr w:rsidR="008209B4">
        <w:trPr>
          <w:trHeight w:val="293"/>
        </w:trPr>
        <w:tc>
          <w:tcPr>
            <w:tcW w:w="5000" w:type="pct"/>
            <w:gridSpan w:val="9"/>
          </w:tcPr>
          <w:p w:rsidR="008209B4" w:rsidRDefault="00A54173">
            <w:pPr>
              <w:pStyle w:val="Text1"/>
              <w:spacing w:before="60" w:after="60"/>
              <w:ind w:left="0"/>
              <w:jc w:val="left"/>
              <w:rPr>
                <w:noProof/>
                <w:sz w:val="16"/>
                <w:szCs w:val="16"/>
              </w:rPr>
            </w:pPr>
            <w:r>
              <w:rPr>
                <w:b/>
                <w:noProof/>
                <w:sz w:val="16"/>
              </w:rPr>
              <w:sym w:font="Wingdings" w:char="F09F"/>
            </w:r>
            <w:r>
              <w:rPr>
                <w:b/>
                <w:noProof/>
                <w:sz w:val="16"/>
              </w:rPr>
              <w:t xml:space="preserve"> Външен персонал (в еквивалент на пълно работно време —  ЕПРВ) — ДНП , МП, КНЕ, ПНА и МЕД</w:t>
            </w:r>
            <w:r>
              <w:rPr>
                <w:rStyle w:val="FootnoteReference"/>
                <w:noProof/>
              </w:rPr>
              <w:fldChar w:fldCharType="begin"/>
            </w:r>
            <w:r>
              <w:rPr>
                <w:rStyle w:val="FootnoteReference"/>
                <w:noProof/>
              </w:rPr>
              <w:instrText xml:space="preserve"> NOTEREF _Ref514769230 \h  \* MERGEFORMAT </w:instrText>
            </w:r>
            <w:r>
              <w:rPr>
                <w:rStyle w:val="FootnoteReference"/>
                <w:noProof/>
              </w:rPr>
            </w:r>
            <w:r>
              <w:rPr>
                <w:rStyle w:val="FootnoteReference"/>
                <w:noProof/>
              </w:rPr>
              <w:fldChar w:fldCharType="separate"/>
            </w:r>
            <w:r>
              <w:rPr>
                <w:rStyle w:val="FootnoteReference"/>
                <w:noProof/>
              </w:rPr>
              <w:t>20</w:t>
            </w:r>
            <w:r>
              <w:rPr>
                <w:rStyle w:val="FootnoteReference"/>
                <w:noProof/>
              </w:rPr>
              <w:fldChar w:fldCharType="end"/>
            </w:r>
            <w:r>
              <w:rPr>
                <w:noProof/>
                <w:sz w:val="16"/>
              </w:rPr>
              <w:t xml:space="preserve"> </w:t>
            </w:r>
            <w:r>
              <w:rPr>
                <w:rStyle w:val="FootnoteReference"/>
                <w:noProof/>
              </w:rPr>
              <w:footnoteReference w:id="22"/>
            </w:r>
          </w:p>
        </w:tc>
      </w:tr>
      <w:tr w:rsidR="008209B4">
        <w:trPr>
          <w:trHeight w:val="485"/>
        </w:trPr>
        <w:tc>
          <w:tcPr>
            <w:tcW w:w="735" w:type="pct"/>
            <w:vMerge w:val="restart"/>
            <w:vAlign w:val="center"/>
          </w:tcPr>
          <w:p w:rsidR="008209B4" w:rsidRDefault="00A54173">
            <w:pPr>
              <w:pStyle w:val="Text1"/>
              <w:spacing w:beforeLines="20" w:before="48" w:afterLines="20" w:after="48"/>
              <w:ind w:left="136"/>
              <w:jc w:val="left"/>
              <w:rPr>
                <w:b/>
                <w:noProof/>
                <w:sz w:val="16"/>
                <w:szCs w:val="16"/>
              </w:rPr>
            </w:pPr>
            <w:r>
              <w:rPr>
                <w:noProof/>
                <w:sz w:val="16"/>
              </w:rPr>
              <w:t>Финансирани от ФУНКЦИЯ 7 от многогодишната финансова рамка</w:t>
            </w:r>
            <w:r>
              <w:rPr>
                <w:b/>
                <w:noProof/>
                <w:sz w:val="16"/>
              </w:rPr>
              <w:t xml:space="preserve"> </w:t>
            </w:r>
          </w:p>
        </w:tc>
        <w:tc>
          <w:tcPr>
            <w:tcW w:w="737" w:type="pct"/>
            <w:vAlign w:val="center"/>
          </w:tcPr>
          <w:p w:rsidR="008209B4" w:rsidRDefault="00A54173">
            <w:pPr>
              <w:pStyle w:val="Text1"/>
              <w:spacing w:beforeLines="20" w:before="48" w:afterLines="20" w:after="48"/>
              <w:ind w:left="136"/>
              <w:jc w:val="left"/>
              <w:rPr>
                <w:b/>
                <w:noProof/>
                <w:sz w:val="16"/>
                <w:szCs w:val="16"/>
              </w:rPr>
            </w:pPr>
            <w:r>
              <w:rPr>
                <w:noProof/>
                <w:sz w:val="16"/>
              </w:rPr>
              <w:t>- в централата</w:t>
            </w:r>
          </w:p>
        </w:tc>
        <w:tc>
          <w:tcPr>
            <w:tcW w:w="466" w:type="pct"/>
            <w:shd w:val="clear" w:color="auto" w:fill="auto"/>
            <w:vAlign w:val="center"/>
          </w:tcPr>
          <w:p w:rsidR="008209B4" w:rsidRDefault="008209B4">
            <w:pPr>
              <w:spacing w:beforeLines="20" w:before="48" w:afterLines="20" w:after="48"/>
              <w:jc w:val="center"/>
              <w:rPr>
                <w:noProof/>
                <w:sz w:val="16"/>
                <w:szCs w:val="16"/>
              </w:rPr>
            </w:pPr>
          </w:p>
        </w:tc>
        <w:tc>
          <w:tcPr>
            <w:tcW w:w="534" w:type="pct"/>
            <w:shd w:val="clear" w:color="auto" w:fill="auto"/>
            <w:vAlign w:val="center"/>
          </w:tcPr>
          <w:p w:rsidR="008209B4" w:rsidRDefault="008209B4">
            <w:pPr>
              <w:spacing w:beforeLines="20" w:before="48" w:afterLines="20" w:after="48"/>
              <w:jc w:val="center"/>
              <w:rPr>
                <w:noProof/>
                <w:sz w:val="16"/>
                <w:szCs w:val="16"/>
              </w:rPr>
            </w:pPr>
          </w:p>
        </w:tc>
        <w:tc>
          <w:tcPr>
            <w:tcW w:w="466" w:type="pct"/>
            <w:shd w:val="clear" w:color="auto" w:fill="auto"/>
            <w:vAlign w:val="center"/>
          </w:tcPr>
          <w:p w:rsidR="008209B4" w:rsidRDefault="008209B4">
            <w:pPr>
              <w:spacing w:beforeLines="20" w:before="48" w:afterLines="20" w:after="48"/>
              <w:jc w:val="center"/>
              <w:rPr>
                <w:noProof/>
                <w:sz w:val="16"/>
                <w:szCs w:val="16"/>
              </w:rPr>
            </w:pPr>
          </w:p>
        </w:tc>
        <w:tc>
          <w:tcPr>
            <w:tcW w:w="534" w:type="pct"/>
            <w:shd w:val="clear" w:color="auto" w:fill="auto"/>
            <w:vAlign w:val="center"/>
          </w:tcPr>
          <w:p w:rsidR="008209B4" w:rsidRDefault="008209B4">
            <w:pPr>
              <w:spacing w:beforeLines="20" w:before="48" w:afterLines="20" w:after="48"/>
              <w:jc w:val="center"/>
              <w:rPr>
                <w:noProof/>
                <w:sz w:val="16"/>
                <w:szCs w:val="16"/>
              </w:rPr>
            </w:pPr>
          </w:p>
        </w:tc>
        <w:tc>
          <w:tcPr>
            <w:tcW w:w="533" w:type="pct"/>
            <w:shd w:val="clear" w:color="auto" w:fill="auto"/>
            <w:vAlign w:val="center"/>
          </w:tcPr>
          <w:p w:rsidR="008209B4" w:rsidRDefault="008209B4">
            <w:pPr>
              <w:spacing w:beforeLines="20" w:before="48" w:afterLines="20" w:after="48"/>
              <w:jc w:val="center"/>
              <w:rPr>
                <w:noProof/>
                <w:sz w:val="16"/>
                <w:szCs w:val="16"/>
              </w:rPr>
            </w:pPr>
          </w:p>
        </w:tc>
        <w:tc>
          <w:tcPr>
            <w:tcW w:w="468" w:type="pct"/>
            <w:shd w:val="clear" w:color="auto" w:fill="auto"/>
            <w:vAlign w:val="center"/>
          </w:tcPr>
          <w:p w:rsidR="008209B4" w:rsidRDefault="008209B4">
            <w:pPr>
              <w:spacing w:beforeLines="20" w:before="48" w:afterLines="20" w:after="48"/>
              <w:jc w:val="center"/>
              <w:rPr>
                <w:noProof/>
                <w:sz w:val="16"/>
                <w:szCs w:val="16"/>
              </w:rPr>
            </w:pPr>
          </w:p>
        </w:tc>
        <w:tc>
          <w:tcPr>
            <w:tcW w:w="527" w:type="pct"/>
            <w:shd w:val="clear" w:color="auto" w:fill="auto"/>
            <w:vAlign w:val="center"/>
          </w:tcPr>
          <w:p w:rsidR="008209B4" w:rsidRDefault="008209B4">
            <w:pPr>
              <w:spacing w:beforeLines="20" w:before="48" w:afterLines="20" w:after="48"/>
              <w:jc w:val="center"/>
              <w:rPr>
                <w:noProof/>
                <w:sz w:val="16"/>
                <w:szCs w:val="16"/>
              </w:rPr>
            </w:pPr>
          </w:p>
        </w:tc>
      </w:tr>
      <w:tr w:rsidR="008209B4">
        <w:trPr>
          <w:trHeight w:val="289"/>
        </w:trPr>
        <w:tc>
          <w:tcPr>
            <w:tcW w:w="735" w:type="pct"/>
            <w:vMerge/>
            <w:vAlign w:val="center"/>
          </w:tcPr>
          <w:p w:rsidR="008209B4" w:rsidRDefault="008209B4">
            <w:pPr>
              <w:pStyle w:val="Text1"/>
              <w:spacing w:beforeLines="20" w:before="48" w:afterLines="20" w:after="48"/>
              <w:ind w:left="136"/>
              <w:jc w:val="left"/>
              <w:rPr>
                <w:noProof/>
                <w:sz w:val="16"/>
                <w:szCs w:val="16"/>
              </w:rPr>
            </w:pPr>
          </w:p>
        </w:tc>
        <w:tc>
          <w:tcPr>
            <w:tcW w:w="737" w:type="pct"/>
            <w:vAlign w:val="center"/>
          </w:tcPr>
          <w:p w:rsidR="008209B4" w:rsidRDefault="00A54173">
            <w:pPr>
              <w:pStyle w:val="Text1"/>
              <w:spacing w:beforeLines="20" w:before="48" w:afterLines="20" w:after="48"/>
              <w:ind w:left="136"/>
              <w:jc w:val="left"/>
              <w:rPr>
                <w:noProof/>
                <w:sz w:val="16"/>
                <w:szCs w:val="16"/>
              </w:rPr>
            </w:pPr>
            <w:r>
              <w:rPr>
                <w:noProof/>
                <w:sz w:val="16"/>
              </w:rPr>
              <w:t xml:space="preserve">- в делегациите </w:t>
            </w:r>
          </w:p>
        </w:tc>
        <w:tc>
          <w:tcPr>
            <w:tcW w:w="466" w:type="pct"/>
            <w:shd w:val="clear" w:color="auto" w:fill="auto"/>
            <w:vAlign w:val="center"/>
          </w:tcPr>
          <w:p w:rsidR="008209B4" w:rsidRDefault="008209B4">
            <w:pPr>
              <w:spacing w:beforeLines="20" w:before="48" w:afterLines="20" w:after="48"/>
              <w:jc w:val="center"/>
              <w:rPr>
                <w:noProof/>
                <w:sz w:val="16"/>
                <w:szCs w:val="16"/>
              </w:rPr>
            </w:pPr>
          </w:p>
        </w:tc>
        <w:tc>
          <w:tcPr>
            <w:tcW w:w="534" w:type="pct"/>
            <w:shd w:val="clear" w:color="auto" w:fill="auto"/>
            <w:vAlign w:val="center"/>
          </w:tcPr>
          <w:p w:rsidR="008209B4" w:rsidRDefault="008209B4">
            <w:pPr>
              <w:spacing w:beforeLines="20" w:before="48" w:afterLines="20" w:after="48"/>
              <w:jc w:val="center"/>
              <w:rPr>
                <w:noProof/>
                <w:sz w:val="16"/>
                <w:szCs w:val="16"/>
              </w:rPr>
            </w:pPr>
          </w:p>
        </w:tc>
        <w:tc>
          <w:tcPr>
            <w:tcW w:w="466" w:type="pct"/>
            <w:shd w:val="clear" w:color="auto" w:fill="auto"/>
            <w:vAlign w:val="center"/>
          </w:tcPr>
          <w:p w:rsidR="008209B4" w:rsidRDefault="008209B4">
            <w:pPr>
              <w:spacing w:beforeLines="20" w:before="48" w:afterLines="20" w:after="48"/>
              <w:jc w:val="center"/>
              <w:rPr>
                <w:noProof/>
                <w:sz w:val="16"/>
                <w:szCs w:val="16"/>
              </w:rPr>
            </w:pPr>
          </w:p>
        </w:tc>
        <w:tc>
          <w:tcPr>
            <w:tcW w:w="534" w:type="pct"/>
            <w:shd w:val="clear" w:color="auto" w:fill="auto"/>
            <w:vAlign w:val="center"/>
          </w:tcPr>
          <w:p w:rsidR="008209B4" w:rsidRDefault="008209B4">
            <w:pPr>
              <w:spacing w:beforeLines="20" w:before="48" w:afterLines="20" w:after="48"/>
              <w:jc w:val="center"/>
              <w:rPr>
                <w:noProof/>
                <w:sz w:val="16"/>
                <w:szCs w:val="16"/>
              </w:rPr>
            </w:pPr>
          </w:p>
        </w:tc>
        <w:tc>
          <w:tcPr>
            <w:tcW w:w="533" w:type="pct"/>
            <w:shd w:val="clear" w:color="auto" w:fill="auto"/>
            <w:vAlign w:val="center"/>
          </w:tcPr>
          <w:p w:rsidR="008209B4" w:rsidRDefault="008209B4">
            <w:pPr>
              <w:spacing w:beforeLines="20" w:before="48" w:afterLines="20" w:after="48"/>
              <w:jc w:val="center"/>
              <w:rPr>
                <w:noProof/>
                <w:sz w:val="16"/>
                <w:szCs w:val="16"/>
              </w:rPr>
            </w:pPr>
          </w:p>
        </w:tc>
        <w:tc>
          <w:tcPr>
            <w:tcW w:w="468" w:type="pct"/>
            <w:shd w:val="clear" w:color="auto" w:fill="auto"/>
            <w:vAlign w:val="center"/>
          </w:tcPr>
          <w:p w:rsidR="008209B4" w:rsidRDefault="008209B4">
            <w:pPr>
              <w:spacing w:beforeLines="20" w:before="48" w:afterLines="20" w:after="48"/>
              <w:jc w:val="center"/>
              <w:rPr>
                <w:noProof/>
                <w:sz w:val="16"/>
                <w:szCs w:val="16"/>
              </w:rPr>
            </w:pPr>
          </w:p>
        </w:tc>
        <w:tc>
          <w:tcPr>
            <w:tcW w:w="527" w:type="pct"/>
            <w:shd w:val="clear" w:color="auto" w:fill="auto"/>
            <w:vAlign w:val="center"/>
          </w:tcPr>
          <w:p w:rsidR="008209B4" w:rsidRDefault="008209B4">
            <w:pPr>
              <w:spacing w:beforeLines="20" w:before="48" w:afterLines="20" w:after="48"/>
              <w:jc w:val="center"/>
              <w:rPr>
                <w:noProof/>
                <w:sz w:val="16"/>
                <w:szCs w:val="16"/>
              </w:rPr>
            </w:pPr>
          </w:p>
        </w:tc>
      </w:tr>
      <w:tr w:rsidR="008209B4">
        <w:trPr>
          <w:trHeight w:val="370"/>
        </w:trPr>
        <w:tc>
          <w:tcPr>
            <w:tcW w:w="735" w:type="pct"/>
            <w:vMerge w:val="restart"/>
            <w:vAlign w:val="center"/>
          </w:tcPr>
          <w:p w:rsidR="008209B4" w:rsidRDefault="00A54173">
            <w:pPr>
              <w:pStyle w:val="Text1"/>
              <w:spacing w:beforeLines="20" w:before="48" w:afterLines="20" w:after="48"/>
              <w:ind w:left="136"/>
              <w:jc w:val="left"/>
              <w:rPr>
                <w:b/>
                <w:noProof/>
                <w:sz w:val="16"/>
                <w:szCs w:val="16"/>
              </w:rPr>
            </w:pPr>
            <w:r>
              <w:rPr>
                <w:noProof/>
                <w:sz w:val="16"/>
              </w:rPr>
              <w:t>Финансирани от финансовия пакет на програмата</w:t>
            </w:r>
            <w:r>
              <w:rPr>
                <w:b/>
                <w:noProof/>
                <w:sz w:val="16"/>
              </w:rPr>
              <w:t xml:space="preserve"> </w:t>
            </w:r>
            <w:r>
              <w:rPr>
                <w:rStyle w:val="FootnoteReference"/>
                <w:noProof/>
              </w:rPr>
              <w:footnoteReference w:id="23"/>
            </w:r>
          </w:p>
        </w:tc>
        <w:tc>
          <w:tcPr>
            <w:tcW w:w="737" w:type="pct"/>
            <w:shd w:val="clear" w:color="auto" w:fill="auto"/>
            <w:vAlign w:val="center"/>
          </w:tcPr>
          <w:p w:rsidR="008209B4" w:rsidRDefault="00A54173">
            <w:pPr>
              <w:pStyle w:val="Text1"/>
              <w:spacing w:beforeLines="20" w:before="48" w:afterLines="20" w:after="48"/>
              <w:ind w:left="136"/>
              <w:jc w:val="left"/>
              <w:rPr>
                <w:b/>
                <w:noProof/>
                <w:sz w:val="16"/>
                <w:szCs w:val="16"/>
              </w:rPr>
            </w:pPr>
            <w:r>
              <w:rPr>
                <w:noProof/>
                <w:sz w:val="16"/>
              </w:rPr>
              <w:t>- в централата</w:t>
            </w:r>
          </w:p>
        </w:tc>
        <w:tc>
          <w:tcPr>
            <w:tcW w:w="466" w:type="pct"/>
            <w:shd w:val="clear" w:color="auto" w:fill="auto"/>
            <w:vAlign w:val="center"/>
          </w:tcPr>
          <w:p w:rsidR="008209B4" w:rsidRDefault="008209B4">
            <w:pPr>
              <w:pStyle w:val="Text1"/>
              <w:spacing w:beforeLines="20" w:before="48" w:afterLines="20" w:after="48"/>
              <w:ind w:left="0"/>
              <w:jc w:val="center"/>
              <w:rPr>
                <w:noProof/>
                <w:sz w:val="16"/>
                <w:szCs w:val="16"/>
              </w:rPr>
            </w:pPr>
          </w:p>
        </w:tc>
        <w:tc>
          <w:tcPr>
            <w:tcW w:w="534" w:type="pct"/>
            <w:shd w:val="clear" w:color="auto" w:fill="auto"/>
            <w:vAlign w:val="center"/>
          </w:tcPr>
          <w:p w:rsidR="008209B4" w:rsidRDefault="008209B4">
            <w:pPr>
              <w:spacing w:beforeLines="20" w:before="48" w:afterLines="20" w:after="48"/>
              <w:jc w:val="center"/>
              <w:rPr>
                <w:noProof/>
                <w:sz w:val="16"/>
                <w:szCs w:val="16"/>
              </w:rPr>
            </w:pPr>
          </w:p>
        </w:tc>
        <w:tc>
          <w:tcPr>
            <w:tcW w:w="466" w:type="pct"/>
            <w:shd w:val="clear" w:color="auto" w:fill="auto"/>
            <w:vAlign w:val="center"/>
          </w:tcPr>
          <w:p w:rsidR="008209B4" w:rsidRDefault="008209B4">
            <w:pPr>
              <w:spacing w:beforeLines="20" w:before="48" w:afterLines="20" w:after="48"/>
              <w:jc w:val="center"/>
              <w:rPr>
                <w:noProof/>
                <w:sz w:val="16"/>
                <w:szCs w:val="16"/>
              </w:rPr>
            </w:pPr>
          </w:p>
        </w:tc>
        <w:tc>
          <w:tcPr>
            <w:tcW w:w="534" w:type="pct"/>
            <w:shd w:val="clear" w:color="auto" w:fill="auto"/>
            <w:vAlign w:val="center"/>
          </w:tcPr>
          <w:p w:rsidR="008209B4" w:rsidRDefault="008209B4">
            <w:pPr>
              <w:spacing w:beforeLines="20" w:before="48" w:afterLines="20" w:after="48"/>
              <w:jc w:val="center"/>
              <w:rPr>
                <w:noProof/>
                <w:sz w:val="16"/>
                <w:szCs w:val="16"/>
              </w:rPr>
            </w:pPr>
          </w:p>
        </w:tc>
        <w:tc>
          <w:tcPr>
            <w:tcW w:w="533" w:type="pct"/>
            <w:shd w:val="clear" w:color="auto" w:fill="auto"/>
            <w:vAlign w:val="center"/>
          </w:tcPr>
          <w:p w:rsidR="008209B4" w:rsidRDefault="008209B4">
            <w:pPr>
              <w:spacing w:beforeLines="20" w:before="48" w:afterLines="20" w:after="48"/>
              <w:jc w:val="center"/>
              <w:rPr>
                <w:noProof/>
                <w:sz w:val="16"/>
                <w:szCs w:val="16"/>
              </w:rPr>
            </w:pPr>
          </w:p>
        </w:tc>
        <w:tc>
          <w:tcPr>
            <w:tcW w:w="468" w:type="pct"/>
            <w:shd w:val="clear" w:color="auto" w:fill="auto"/>
            <w:vAlign w:val="center"/>
          </w:tcPr>
          <w:p w:rsidR="008209B4" w:rsidRDefault="008209B4">
            <w:pPr>
              <w:spacing w:beforeLines="20" w:before="48" w:afterLines="20" w:after="48"/>
              <w:jc w:val="center"/>
              <w:rPr>
                <w:noProof/>
                <w:sz w:val="16"/>
                <w:szCs w:val="16"/>
              </w:rPr>
            </w:pPr>
          </w:p>
        </w:tc>
        <w:tc>
          <w:tcPr>
            <w:tcW w:w="527" w:type="pct"/>
            <w:shd w:val="clear" w:color="auto" w:fill="auto"/>
            <w:vAlign w:val="center"/>
          </w:tcPr>
          <w:p w:rsidR="008209B4" w:rsidRDefault="008209B4">
            <w:pPr>
              <w:spacing w:beforeLines="20" w:before="48" w:afterLines="20" w:after="48"/>
              <w:jc w:val="center"/>
              <w:rPr>
                <w:noProof/>
                <w:sz w:val="16"/>
                <w:szCs w:val="16"/>
              </w:rPr>
            </w:pPr>
          </w:p>
        </w:tc>
      </w:tr>
      <w:tr w:rsidR="008209B4">
        <w:trPr>
          <w:trHeight w:val="289"/>
        </w:trPr>
        <w:tc>
          <w:tcPr>
            <w:tcW w:w="735" w:type="pct"/>
            <w:vMerge/>
          </w:tcPr>
          <w:p w:rsidR="008209B4" w:rsidRDefault="008209B4">
            <w:pPr>
              <w:pStyle w:val="Text1"/>
              <w:spacing w:beforeLines="20" w:before="48" w:afterLines="20" w:after="48"/>
              <w:ind w:left="136"/>
              <w:jc w:val="left"/>
              <w:rPr>
                <w:b/>
                <w:noProof/>
                <w:sz w:val="16"/>
                <w:szCs w:val="16"/>
              </w:rPr>
            </w:pPr>
          </w:p>
        </w:tc>
        <w:tc>
          <w:tcPr>
            <w:tcW w:w="737" w:type="pct"/>
            <w:shd w:val="clear" w:color="auto" w:fill="auto"/>
            <w:vAlign w:val="center"/>
          </w:tcPr>
          <w:p w:rsidR="008209B4" w:rsidRDefault="00A54173">
            <w:pPr>
              <w:pStyle w:val="Text1"/>
              <w:spacing w:beforeLines="20" w:before="48" w:afterLines="20" w:after="48"/>
              <w:ind w:left="136"/>
              <w:jc w:val="left"/>
              <w:rPr>
                <w:b/>
                <w:noProof/>
                <w:sz w:val="16"/>
                <w:szCs w:val="16"/>
              </w:rPr>
            </w:pPr>
            <w:r>
              <w:rPr>
                <w:noProof/>
                <w:sz w:val="16"/>
              </w:rPr>
              <w:t xml:space="preserve">- в делегациите </w:t>
            </w:r>
          </w:p>
        </w:tc>
        <w:tc>
          <w:tcPr>
            <w:tcW w:w="466" w:type="pct"/>
            <w:shd w:val="clear" w:color="auto" w:fill="auto"/>
            <w:vAlign w:val="center"/>
          </w:tcPr>
          <w:p w:rsidR="008209B4" w:rsidRDefault="008209B4">
            <w:pPr>
              <w:pStyle w:val="Text1"/>
              <w:spacing w:beforeLines="20" w:before="48" w:afterLines="20" w:after="48"/>
              <w:ind w:left="0"/>
              <w:jc w:val="center"/>
              <w:rPr>
                <w:noProof/>
                <w:sz w:val="16"/>
                <w:szCs w:val="16"/>
              </w:rPr>
            </w:pPr>
          </w:p>
        </w:tc>
        <w:tc>
          <w:tcPr>
            <w:tcW w:w="534" w:type="pct"/>
            <w:shd w:val="clear" w:color="auto" w:fill="auto"/>
            <w:vAlign w:val="center"/>
          </w:tcPr>
          <w:p w:rsidR="008209B4" w:rsidRDefault="008209B4">
            <w:pPr>
              <w:spacing w:beforeLines="20" w:before="48" w:afterLines="20" w:after="48"/>
              <w:jc w:val="center"/>
              <w:rPr>
                <w:noProof/>
                <w:sz w:val="16"/>
                <w:szCs w:val="16"/>
              </w:rPr>
            </w:pPr>
          </w:p>
        </w:tc>
        <w:tc>
          <w:tcPr>
            <w:tcW w:w="466" w:type="pct"/>
            <w:shd w:val="clear" w:color="auto" w:fill="auto"/>
            <w:vAlign w:val="center"/>
          </w:tcPr>
          <w:p w:rsidR="008209B4" w:rsidRDefault="008209B4">
            <w:pPr>
              <w:spacing w:beforeLines="20" w:before="48" w:afterLines="20" w:after="48"/>
              <w:jc w:val="center"/>
              <w:rPr>
                <w:noProof/>
                <w:sz w:val="16"/>
                <w:szCs w:val="16"/>
              </w:rPr>
            </w:pPr>
          </w:p>
        </w:tc>
        <w:tc>
          <w:tcPr>
            <w:tcW w:w="534" w:type="pct"/>
            <w:shd w:val="clear" w:color="auto" w:fill="auto"/>
            <w:vAlign w:val="center"/>
          </w:tcPr>
          <w:p w:rsidR="008209B4" w:rsidRDefault="008209B4">
            <w:pPr>
              <w:spacing w:beforeLines="20" w:before="48" w:afterLines="20" w:after="48"/>
              <w:jc w:val="center"/>
              <w:rPr>
                <w:noProof/>
                <w:sz w:val="16"/>
                <w:szCs w:val="16"/>
              </w:rPr>
            </w:pPr>
          </w:p>
        </w:tc>
        <w:tc>
          <w:tcPr>
            <w:tcW w:w="533" w:type="pct"/>
            <w:shd w:val="clear" w:color="auto" w:fill="auto"/>
            <w:vAlign w:val="center"/>
          </w:tcPr>
          <w:p w:rsidR="008209B4" w:rsidRDefault="008209B4">
            <w:pPr>
              <w:spacing w:beforeLines="20" w:before="48" w:afterLines="20" w:after="48"/>
              <w:jc w:val="center"/>
              <w:rPr>
                <w:noProof/>
                <w:sz w:val="16"/>
                <w:szCs w:val="16"/>
              </w:rPr>
            </w:pPr>
          </w:p>
        </w:tc>
        <w:tc>
          <w:tcPr>
            <w:tcW w:w="468" w:type="pct"/>
            <w:shd w:val="clear" w:color="auto" w:fill="auto"/>
            <w:vAlign w:val="center"/>
          </w:tcPr>
          <w:p w:rsidR="008209B4" w:rsidRDefault="008209B4">
            <w:pPr>
              <w:spacing w:beforeLines="20" w:before="48" w:afterLines="20" w:after="48"/>
              <w:jc w:val="center"/>
              <w:rPr>
                <w:noProof/>
                <w:sz w:val="16"/>
                <w:szCs w:val="16"/>
              </w:rPr>
            </w:pPr>
          </w:p>
        </w:tc>
        <w:tc>
          <w:tcPr>
            <w:tcW w:w="527" w:type="pct"/>
            <w:shd w:val="clear" w:color="auto" w:fill="auto"/>
            <w:vAlign w:val="center"/>
          </w:tcPr>
          <w:p w:rsidR="008209B4" w:rsidRDefault="008209B4">
            <w:pPr>
              <w:spacing w:beforeLines="20" w:before="48" w:afterLines="20" w:after="48"/>
              <w:jc w:val="center"/>
              <w:rPr>
                <w:noProof/>
                <w:sz w:val="16"/>
                <w:szCs w:val="16"/>
              </w:rPr>
            </w:pPr>
          </w:p>
        </w:tc>
      </w:tr>
      <w:tr w:rsidR="008209B4">
        <w:trPr>
          <w:trHeight w:val="289"/>
        </w:trPr>
        <w:tc>
          <w:tcPr>
            <w:tcW w:w="1472" w:type="pct"/>
            <w:gridSpan w:val="2"/>
          </w:tcPr>
          <w:p w:rsidR="008209B4" w:rsidRDefault="00A54173">
            <w:pPr>
              <w:pStyle w:val="Text1"/>
              <w:spacing w:beforeLines="20" w:before="48" w:afterLines="20" w:after="48"/>
              <w:ind w:left="136"/>
              <w:jc w:val="left"/>
              <w:rPr>
                <w:noProof/>
                <w:sz w:val="16"/>
                <w:szCs w:val="16"/>
              </w:rPr>
            </w:pPr>
            <w:r>
              <w:rPr>
                <w:noProof/>
                <w:sz w:val="16"/>
              </w:rPr>
              <w:t>Научни изследвания</w:t>
            </w:r>
          </w:p>
        </w:tc>
        <w:tc>
          <w:tcPr>
            <w:tcW w:w="466" w:type="pct"/>
            <w:shd w:val="clear" w:color="auto" w:fill="auto"/>
            <w:vAlign w:val="center"/>
          </w:tcPr>
          <w:p w:rsidR="008209B4" w:rsidRDefault="00A54173">
            <w:pPr>
              <w:spacing w:beforeLines="20" w:before="48" w:afterLines="20" w:after="48"/>
              <w:jc w:val="center"/>
              <w:rPr>
                <w:noProof/>
                <w:sz w:val="16"/>
                <w:szCs w:val="16"/>
              </w:rPr>
            </w:pPr>
            <w:r>
              <w:rPr>
                <w:noProof/>
                <w:sz w:val="16"/>
              </w:rPr>
              <w:t>1184</w:t>
            </w:r>
          </w:p>
        </w:tc>
        <w:tc>
          <w:tcPr>
            <w:tcW w:w="534" w:type="pct"/>
            <w:shd w:val="clear" w:color="auto" w:fill="auto"/>
          </w:tcPr>
          <w:p w:rsidR="008209B4" w:rsidRDefault="00A54173">
            <w:pPr>
              <w:spacing w:beforeLines="20" w:before="48" w:afterLines="20" w:after="48"/>
              <w:jc w:val="center"/>
              <w:rPr>
                <w:noProof/>
                <w:sz w:val="16"/>
                <w:szCs w:val="16"/>
              </w:rPr>
            </w:pPr>
            <w:r>
              <w:rPr>
                <w:noProof/>
                <w:sz w:val="16"/>
              </w:rPr>
              <w:t>1184</w:t>
            </w:r>
          </w:p>
        </w:tc>
        <w:tc>
          <w:tcPr>
            <w:tcW w:w="466" w:type="pct"/>
            <w:shd w:val="clear" w:color="auto" w:fill="auto"/>
          </w:tcPr>
          <w:p w:rsidR="008209B4" w:rsidRDefault="00A54173">
            <w:pPr>
              <w:spacing w:beforeLines="20" w:before="48" w:afterLines="20" w:after="48"/>
              <w:jc w:val="center"/>
              <w:rPr>
                <w:noProof/>
                <w:sz w:val="16"/>
                <w:szCs w:val="16"/>
              </w:rPr>
            </w:pPr>
            <w:r>
              <w:rPr>
                <w:noProof/>
                <w:sz w:val="16"/>
              </w:rPr>
              <w:t>1184</w:t>
            </w:r>
          </w:p>
        </w:tc>
        <w:tc>
          <w:tcPr>
            <w:tcW w:w="534" w:type="pct"/>
            <w:shd w:val="clear" w:color="auto" w:fill="auto"/>
          </w:tcPr>
          <w:p w:rsidR="008209B4" w:rsidRDefault="00A54173">
            <w:pPr>
              <w:spacing w:beforeLines="20" w:before="48" w:afterLines="20" w:after="48"/>
              <w:jc w:val="center"/>
              <w:rPr>
                <w:noProof/>
                <w:sz w:val="16"/>
                <w:szCs w:val="16"/>
              </w:rPr>
            </w:pPr>
            <w:r>
              <w:rPr>
                <w:noProof/>
                <w:sz w:val="16"/>
              </w:rPr>
              <w:t>1184</w:t>
            </w:r>
          </w:p>
        </w:tc>
        <w:tc>
          <w:tcPr>
            <w:tcW w:w="533" w:type="pct"/>
            <w:shd w:val="clear" w:color="auto" w:fill="auto"/>
          </w:tcPr>
          <w:p w:rsidR="008209B4" w:rsidRDefault="00A54173">
            <w:pPr>
              <w:spacing w:beforeLines="20" w:before="48" w:afterLines="20" w:after="48"/>
              <w:jc w:val="center"/>
              <w:rPr>
                <w:noProof/>
                <w:sz w:val="16"/>
                <w:szCs w:val="16"/>
              </w:rPr>
            </w:pPr>
            <w:r>
              <w:rPr>
                <w:noProof/>
                <w:sz w:val="16"/>
              </w:rPr>
              <w:t>1184</w:t>
            </w:r>
          </w:p>
        </w:tc>
        <w:tc>
          <w:tcPr>
            <w:tcW w:w="468" w:type="pct"/>
            <w:shd w:val="clear" w:color="auto" w:fill="auto"/>
          </w:tcPr>
          <w:p w:rsidR="008209B4" w:rsidRDefault="00A54173">
            <w:pPr>
              <w:spacing w:beforeLines="20" w:before="48" w:afterLines="20" w:after="48"/>
              <w:jc w:val="center"/>
              <w:rPr>
                <w:noProof/>
                <w:sz w:val="16"/>
                <w:szCs w:val="16"/>
              </w:rPr>
            </w:pPr>
            <w:r>
              <w:rPr>
                <w:noProof/>
                <w:sz w:val="16"/>
              </w:rPr>
              <w:t>1184</w:t>
            </w:r>
          </w:p>
        </w:tc>
        <w:tc>
          <w:tcPr>
            <w:tcW w:w="527" w:type="pct"/>
            <w:shd w:val="clear" w:color="auto" w:fill="auto"/>
          </w:tcPr>
          <w:p w:rsidR="008209B4" w:rsidRDefault="00A54173">
            <w:pPr>
              <w:spacing w:beforeLines="20" w:before="48" w:afterLines="20" w:after="48"/>
              <w:jc w:val="center"/>
              <w:rPr>
                <w:noProof/>
                <w:sz w:val="16"/>
                <w:szCs w:val="16"/>
              </w:rPr>
            </w:pPr>
            <w:r>
              <w:rPr>
                <w:noProof/>
                <w:sz w:val="16"/>
              </w:rPr>
              <w:t>1184</w:t>
            </w:r>
          </w:p>
        </w:tc>
      </w:tr>
      <w:tr w:rsidR="008209B4">
        <w:trPr>
          <w:trHeight w:val="289"/>
        </w:trPr>
        <w:tc>
          <w:tcPr>
            <w:tcW w:w="1472" w:type="pct"/>
            <w:gridSpan w:val="2"/>
            <w:tcBorders>
              <w:bottom w:val="double" w:sz="4" w:space="0" w:color="auto"/>
            </w:tcBorders>
          </w:tcPr>
          <w:p w:rsidR="008209B4" w:rsidRDefault="00A54173">
            <w:pPr>
              <w:pStyle w:val="Text1"/>
              <w:spacing w:beforeLines="20" w:before="48" w:afterLines="20" w:after="48"/>
              <w:ind w:left="134"/>
              <w:jc w:val="left"/>
              <w:rPr>
                <w:noProof/>
                <w:sz w:val="16"/>
                <w:szCs w:val="16"/>
              </w:rPr>
            </w:pPr>
            <w:r>
              <w:rPr>
                <w:noProof/>
                <w:sz w:val="16"/>
              </w:rPr>
              <w:t>Други бюджетни редове (да се посочат)</w:t>
            </w:r>
          </w:p>
        </w:tc>
        <w:tc>
          <w:tcPr>
            <w:tcW w:w="466" w:type="pct"/>
            <w:tcBorders>
              <w:bottom w:val="double" w:sz="4" w:space="0" w:color="auto"/>
            </w:tcBorders>
            <w:shd w:val="clear" w:color="auto" w:fill="auto"/>
            <w:vAlign w:val="center"/>
          </w:tcPr>
          <w:p w:rsidR="008209B4" w:rsidRDefault="008209B4">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8209B4" w:rsidRDefault="008209B4">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rsidR="008209B4" w:rsidRDefault="008209B4">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8209B4" w:rsidRDefault="008209B4">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rsidR="008209B4" w:rsidRDefault="008209B4">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rsidR="008209B4" w:rsidRDefault="008209B4">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rsidR="008209B4" w:rsidRDefault="008209B4">
            <w:pPr>
              <w:spacing w:beforeLines="20" w:before="48" w:afterLines="20" w:after="48"/>
              <w:jc w:val="center"/>
              <w:rPr>
                <w:noProof/>
                <w:sz w:val="16"/>
                <w:szCs w:val="16"/>
              </w:rPr>
            </w:pPr>
          </w:p>
        </w:tc>
      </w:tr>
      <w:tr w:rsidR="008209B4">
        <w:trPr>
          <w:trHeight w:val="289"/>
        </w:trPr>
        <w:tc>
          <w:tcPr>
            <w:tcW w:w="1472" w:type="pct"/>
            <w:gridSpan w:val="2"/>
            <w:tcBorders>
              <w:top w:val="double" w:sz="4" w:space="0" w:color="auto"/>
            </w:tcBorders>
          </w:tcPr>
          <w:p w:rsidR="008209B4" w:rsidRDefault="00A54173">
            <w:pPr>
              <w:pStyle w:val="Text1"/>
              <w:spacing w:beforeLines="20" w:before="48" w:afterLines="20" w:after="48"/>
              <w:ind w:left="136"/>
              <w:jc w:val="left"/>
              <w:rPr>
                <w:noProof/>
                <w:sz w:val="16"/>
                <w:szCs w:val="16"/>
              </w:rPr>
            </w:pPr>
            <w:r>
              <w:rPr>
                <w:b/>
                <w:noProof/>
                <w:sz w:val="16"/>
              </w:rPr>
              <w:t>ОБЩО</w:t>
            </w:r>
          </w:p>
        </w:tc>
        <w:tc>
          <w:tcPr>
            <w:tcW w:w="466" w:type="pct"/>
            <w:tcBorders>
              <w:top w:val="double" w:sz="4" w:space="0" w:color="auto"/>
            </w:tcBorders>
            <w:shd w:val="clear" w:color="auto" w:fill="auto"/>
            <w:vAlign w:val="center"/>
          </w:tcPr>
          <w:p w:rsidR="008209B4" w:rsidRDefault="00A54173">
            <w:pPr>
              <w:spacing w:beforeLines="20" w:before="48" w:afterLines="20" w:after="48"/>
              <w:jc w:val="center"/>
              <w:rPr>
                <w:b/>
                <w:noProof/>
                <w:sz w:val="16"/>
                <w:szCs w:val="16"/>
              </w:rPr>
            </w:pPr>
            <w:r>
              <w:rPr>
                <w:b/>
                <w:noProof/>
                <w:sz w:val="16"/>
              </w:rPr>
              <w:t>3804</w:t>
            </w:r>
          </w:p>
        </w:tc>
        <w:tc>
          <w:tcPr>
            <w:tcW w:w="534" w:type="pct"/>
            <w:tcBorders>
              <w:top w:val="double" w:sz="4" w:space="0" w:color="auto"/>
            </w:tcBorders>
            <w:shd w:val="clear" w:color="auto" w:fill="auto"/>
          </w:tcPr>
          <w:p w:rsidR="008209B4" w:rsidRDefault="00A54173">
            <w:pPr>
              <w:spacing w:beforeLines="20" w:before="48" w:afterLines="20" w:after="48"/>
              <w:jc w:val="center"/>
              <w:rPr>
                <w:b/>
                <w:noProof/>
                <w:sz w:val="16"/>
                <w:szCs w:val="16"/>
              </w:rPr>
            </w:pPr>
            <w:r>
              <w:rPr>
                <w:b/>
                <w:noProof/>
                <w:sz w:val="16"/>
              </w:rPr>
              <w:t>3804</w:t>
            </w:r>
          </w:p>
        </w:tc>
        <w:tc>
          <w:tcPr>
            <w:tcW w:w="466" w:type="pct"/>
            <w:tcBorders>
              <w:top w:val="double" w:sz="4" w:space="0" w:color="auto"/>
            </w:tcBorders>
            <w:shd w:val="clear" w:color="auto" w:fill="auto"/>
          </w:tcPr>
          <w:p w:rsidR="008209B4" w:rsidRDefault="00A54173">
            <w:pPr>
              <w:spacing w:beforeLines="20" w:before="48" w:afterLines="20" w:after="48"/>
              <w:jc w:val="center"/>
              <w:rPr>
                <w:b/>
                <w:noProof/>
                <w:sz w:val="16"/>
                <w:szCs w:val="16"/>
              </w:rPr>
            </w:pPr>
            <w:r>
              <w:rPr>
                <w:b/>
                <w:noProof/>
                <w:sz w:val="16"/>
              </w:rPr>
              <w:t>3804</w:t>
            </w:r>
          </w:p>
        </w:tc>
        <w:tc>
          <w:tcPr>
            <w:tcW w:w="534" w:type="pct"/>
            <w:tcBorders>
              <w:top w:val="double" w:sz="4" w:space="0" w:color="auto"/>
            </w:tcBorders>
            <w:shd w:val="clear" w:color="auto" w:fill="auto"/>
          </w:tcPr>
          <w:p w:rsidR="008209B4" w:rsidRDefault="00A54173">
            <w:pPr>
              <w:spacing w:beforeLines="20" w:before="48" w:afterLines="20" w:after="48"/>
              <w:jc w:val="center"/>
              <w:rPr>
                <w:b/>
                <w:noProof/>
                <w:sz w:val="16"/>
                <w:szCs w:val="16"/>
              </w:rPr>
            </w:pPr>
            <w:r>
              <w:rPr>
                <w:b/>
                <w:noProof/>
                <w:sz w:val="16"/>
              </w:rPr>
              <w:t>3804</w:t>
            </w:r>
          </w:p>
        </w:tc>
        <w:tc>
          <w:tcPr>
            <w:tcW w:w="533" w:type="pct"/>
            <w:tcBorders>
              <w:top w:val="double" w:sz="4" w:space="0" w:color="auto"/>
            </w:tcBorders>
            <w:shd w:val="clear" w:color="auto" w:fill="auto"/>
          </w:tcPr>
          <w:p w:rsidR="008209B4" w:rsidRDefault="00A54173">
            <w:pPr>
              <w:spacing w:beforeLines="20" w:before="48" w:afterLines="20" w:after="48"/>
              <w:jc w:val="center"/>
              <w:rPr>
                <w:b/>
                <w:noProof/>
                <w:sz w:val="16"/>
                <w:szCs w:val="16"/>
              </w:rPr>
            </w:pPr>
            <w:r>
              <w:rPr>
                <w:b/>
                <w:noProof/>
                <w:sz w:val="16"/>
              </w:rPr>
              <w:t>3804</w:t>
            </w:r>
          </w:p>
        </w:tc>
        <w:tc>
          <w:tcPr>
            <w:tcW w:w="468" w:type="pct"/>
            <w:tcBorders>
              <w:top w:val="double" w:sz="4" w:space="0" w:color="auto"/>
            </w:tcBorders>
            <w:shd w:val="clear" w:color="auto" w:fill="auto"/>
          </w:tcPr>
          <w:p w:rsidR="008209B4" w:rsidRDefault="00A54173">
            <w:pPr>
              <w:spacing w:beforeLines="20" w:before="48" w:afterLines="20" w:after="48"/>
              <w:jc w:val="center"/>
              <w:rPr>
                <w:b/>
                <w:noProof/>
                <w:sz w:val="16"/>
                <w:szCs w:val="16"/>
              </w:rPr>
            </w:pPr>
            <w:r>
              <w:rPr>
                <w:b/>
                <w:noProof/>
                <w:sz w:val="16"/>
              </w:rPr>
              <w:t>3804</w:t>
            </w:r>
          </w:p>
        </w:tc>
        <w:tc>
          <w:tcPr>
            <w:tcW w:w="527" w:type="pct"/>
            <w:tcBorders>
              <w:top w:val="double" w:sz="4" w:space="0" w:color="auto"/>
            </w:tcBorders>
            <w:shd w:val="clear" w:color="auto" w:fill="auto"/>
          </w:tcPr>
          <w:p w:rsidR="008209B4" w:rsidRDefault="00A54173">
            <w:pPr>
              <w:spacing w:beforeLines="20" w:before="48" w:afterLines="20" w:after="48"/>
              <w:jc w:val="center"/>
              <w:rPr>
                <w:b/>
                <w:noProof/>
                <w:sz w:val="16"/>
                <w:szCs w:val="16"/>
              </w:rPr>
            </w:pPr>
            <w:r>
              <w:rPr>
                <w:b/>
                <w:noProof/>
                <w:sz w:val="16"/>
              </w:rPr>
              <w:t>3804</w:t>
            </w:r>
          </w:p>
        </w:tc>
      </w:tr>
    </w:tbl>
    <w:p w:rsidR="008209B4" w:rsidRDefault="00A54173">
      <w:pPr>
        <w:rPr>
          <w:noProof/>
          <w:sz w:val="20"/>
        </w:rPr>
      </w:pPr>
      <w:r>
        <w:rPr>
          <w:noProof/>
          <w:sz w:val="20"/>
        </w:rPr>
        <w:t>Описание на задачите, които трябва да се изпълнят:</w:t>
      </w:r>
      <w:r>
        <w:rPr>
          <w:noProof/>
        </w:rPr>
        <w:t xml:space="preserve"> </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rsidR="008209B4">
        <w:tc>
          <w:tcPr>
            <w:tcW w:w="3240" w:type="dxa"/>
          </w:tcPr>
          <w:p w:rsidR="008209B4" w:rsidRDefault="00A54173">
            <w:pPr>
              <w:rPr>
                <w:noProof/>
                <w:sz w:val="20"/>
              </w:rPr>
            </w:pPr>
            <w:r>
              <w:rPr>
                <w:noProof/>
                <w:sz w:val="20"/>
              </w:rPr>
              <w:t xml:space="preserve">Длъжностни лица и срочно наети </w:t>
            </w:r>
            <w:r>
              <w:rPr>
                <w:noProof/>
                <w:sz w:val="20"/>
              </w:rPr>
              <w:t>служители</w:t>
            </w:r>
          </w:p>
        </w:tc>
        <w:tc>
          <w:tcPr>
            <w:tcW w:w="7392" w:type="dxa"/>
          </w:tcPr>
          <w:p w:rsidR="008209B4" w:rsidRDefault="00A54173">
            <w:pPr>
              <w:rPr>
                <w:noProof/>
                <w:sz w:val="20"/>
              </w:rPr>
            </w:pPr>
            <w:r>
              <w:rPr>
                <w:noProof/>
                <w:sz w:val="20"/>
              </w:rPr>
              <w:t>Общият брой на длъжностните лица и на временно наетите лица е определен с оглед постигане на целите на „Хоризонт Европа“ през целия процес — от подготовката на работната програма до разпространението на крайните резултати през периода 2021—2027 г</w:t>
            </w:r>
            <w:r>
              <w:rPr>
                <w:noProof/>
                <w:sz w:val="20"/>
              </w:rPr>
              <w:t>.</w:t>
            </w:r>
          </w:p>
        </w:tc>
      </w:tr>
      <w:tr w:rsidR="008209B4">
        <w:tc>
          <w:tcPr>
            <w:tcW w:w="3240" w:type="dxa"/>
          </w:tcPr>
          <w:p w:rsidR="008209B4" w:rsidRDefault="00A54173">
            <w:pPr>
              <w:spacing w:before="60" w:after="60"/>
              <w:rPr>
                <w:noProof/>
                <w:sz w:val="20"/>
              </w:rPr>
            </w:pPr>
            <w:r>
              <w:rPr>
                <w:noProof/>
                <w:sz w:val="20"/>
              </w:rPr>
              <w:t>Външен персонал</w:t>
            </w:r>
          </w:p>
        </w:tc>
        <w:tc>
          <w:tcPr>
            <w:tcW w:w="7392" w:type="dxa"/>
          </w:tcPr>
          <w:p w:rsidR="008209B4" w:rsidRDefault="00A54173">
            <w:pPr>
              <w:rPr>
                <w:noProof/>
                <w:sz w:val="20"/>
              </w:rPr>
            </w:pPr>
            <w:r>
              <w:rPr>
                <w:noProof/>
                <w:sz w:val="20"/>
              </w:rPr>
              <w:t xml:space="preserve">Общата численост на външния персонал е определена с оглед той да подпомага длъжностните лица и временно наетите лица за допринасяне за постигане на целите на „Хоризонт Европа“ през целия процес — от подготовката на работната програма до </w:t>
            </w:r>
            <w:r>
              <w:rPr>
                <w:noProof/>
                <w:sz w:val="20"/>
              </w:rPr>
              <w:t>разпространението на крайните резултати през периода 2021—2027 г.</w:t>
            </w:r>
          </w:p>
        </w:tc>
      </w:tr>
    </w:tbl>
    <w:p w:rsidR="008209B4" w:rsidRDefault="00A54173">
      <w:pPr>
        <w:rPr>
          <w:rFonts w:eastAsia="Times New Roman"/>
          <w:noProof/>
          <w:sz w:val="18"/>
          <w:szCs w:val="18"/>
        </w:rPr>
      </w:pPr>
      <w:r>
        <w:rPr>
          <w:noProof/>
          <w:sz w:val="18"/>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w:t>
      </w:r>
      <w:r>
        <w:rPr>
          <w:noProof/>
          <w:sz w:val="18"/>
        </w:rPr>
        <w:t>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r>
        <w:rPr>
          <w:noProof/>
        </w:rPr>
        <w:tab/>
      </w:r>
    </w:p>
    <w:p w:rsidR="008209B4" w:rsidRDefault="008209B4">
      <w:pPr>
        <w:rPr>
          <w:noProof/>
        </w:rPr>
        <w:sectPr w:rsidR="008209B4" w:rsidSect="00A54173">
          <w:headerReference w:type="default" r:id="rId33"/>
          <w:footerReference w:type="default" r:id="rId34"/>
          <w:headerReference w:type="first" r:id="rId35"/>
          <w:footerReference w:type="first" r:id="rId36"/>
          <w:pgSz w:w="11907" w:h="16840"/>
          <w:pgMar w:top="1134" w:right="1418" w:bottom="1134" w:left="1418" w:header="709" w:footer="709" w:gutter="0"/>
          <w:cols w:space="708"/>
          <w:docGrid w:linePitch="360"/>
        </w:sectPr>
      </w:pPr>
    </w:p>
    <w:p w:rsidR="008209B4" w:rsidRDefault="00A54173">
      <w:pPr>
        <w:pStyle w:val="ManualHeading3"/>
        <w:rPr>
          <w:bCs/>
          <w:noProof/>
          <w:szCs w:val="24"/>
        </w:rPr>
      </w:pPr>
      <w:r>
        <w:rPr>
          <w:noProof/>
        </w:rPr>
        <w:t>3.2.3.</w:t>
      </w:r>
      <w:r>
        <w:rPr>
          <w:noProof/>
        </w:rPr>
        <w:tab/>
        <w:t xml:space="preserve">Финансов принос от трети страни </w:t>
      </w:r>
    </w:p>
    <w:p w:rsidR="008209B4" w:rsidRDefault="00A54173">
      <w:pPr>
        <w:pStyle w:val="Text1"/>
        <w:rPr>
          <w:noProof/>
        </w:rPr>
      </w:pPr>
      <w:r>
        <w:rPr>
          <w:noProof/>
        </w:rPr>
        <w:t>Предложението/инициативата:</w:t>
      </w:r>
    </w:p>
    <w:p w:rsidR="008209B4" w:rsidRDefault="00A54173">
      <w:pPr>
        <w:pStyle w:val="ListDash1"/>
        <w:rPr>
          <w:noProof/>
        </w:rPr>
      </w:pPr>
      <w:r>
        <w:rPr>
          <w:noProof/>
        </w:rPr>
        <w:sym w:font="Wingdings" w:char="F0A8"/>
      </w:r>
      <w:r>
        <w:rPr>
          <w:noProof/>
        </w:rPr>
        <w:tab/>
        <w:t>не предвижда съфинансиране от трети страни</w:t>
      </w:r>
    </w:p>
    <w:p w:rsidR="008209B4" w:rsidRDefault="00A54173">
      <w:pPr>
        <w:pStyle w:val="ListDash1"/>
        <w:rPr>
          <w:noProof/>
        </w:rPr>
      </w:pPr>
      <w:r>
        <w:rPr>
          <w:noProof/>
        </w:rPr>
        <w:sym w:font="Wingdings" w:char="F0FE"/>
      </w:r>
      <w:r>
        <w:rPr>
          <w:noProof/>
        </w:rPr>
        <w:tab/>
        <w:t>предвижда следното съфинансиране от трети страни, като оценките са дадени по-долу:</w:t>
      </w:r>
    </w:p>
    <w:p w:rsidR="008209B4" w:rsidRDefault="00A54173">
      <w:pPr>
        <w:jc w:val="right"/>
        <w:rPr>
          <w:noProof/>
          <w:sz w:val="20"/>
        </w:rPr>
      </w:pPr>
      <w:r>
        <w:rPr>
          <w:noProof/>
          <w:sz w:val="20"/>
        </w:rPr>
        <w:t>Бюджетни кредити в млн. евро (до 3-тия знак след десетич</w:t>
      </w:r>
      <w:r>
        <w:rPr>
          <w:noProof/>
          <w:sz w:val="20"/>
        </w:rPr>
        <w:t>ната запетая)</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8209B4">
        <w:trPr>
          <w:cantSplit/>
          <w:jc w:val="center"/>
        </w:trPr>
        <w:tc>
          <w:tcPr>
            <w:tcW w:w="2340" w:type="dxa"/>
            <w:vAlign w:val="center"/>
          </w:tcPr>
          <w:p w:rsidR="008209B4" w:rsidRDefault="00A54173">
            <w:pPr>
              <w:spacing w:before="60" w:after="60"/>
              <w:jc w:val="center"/>
              <w:rPr>
                <w:b/>
                <w:noProof/>
                <w:sz w:val="20"/>
              </w:rPr>
            </w:pPr>
            <w:r>
              <w:rPr>
                <w:b/>
                <w:noProof/>
                <w:sz w:val="20"/>
              </w:rPr>
              <w:t>Години</w:t>
            </w:r>
          </w:p>
        </w:tc>
        <w:tc>
          <w:tcPr>
            <w:tcW w:w="964" w:type="dxa"/>
            <w:vAlign w:val="center"/>
          </w:tcPr>
          <w:p w:rsidR="008209B4" w:rsidRDefault="00A54173">
            <w:pPr>
              <w:jc w:val="center"/>
              <w:rPr>
                <w:noProof/>
                <w:sz w:val="20"/>
              </w:rPr>
            </w:pPr>
            <w:r>
              <w:rPr>
                <w:b/>
                <w:noProof/>
                <w:sz w:val="20"/>
              </w:rPr>
              <w:t>2021</w:t>
            </w:r>
          </w:p>
        </w:tc>
        <w:tc>
          <w:tcPr>
            <w:tcW w:w="964" w:type="dxa"/>
            <w:vAlign w:val="center"/>
          </w:tcPr>
          <w:p w:rsidR="008209B4" w:rsidRDefault="00A54173">
            <w:pPr>
              <w:jc w:val="center"/>
              <w:rPr>
                <w:b/>
                <w:noProof/>
                <w:sz w:val="20"/>
              </w:rPr>
            </w:pPr>
            <w:r>
              <w:rPr>
                <w:b/>
                <w:noProof/>
                <w:sz w:val="20"/>
              </w:rPr>
              <w:t>2022</w:t>
            </w:r>
          </w:p>
        </w:tc>
        <w:tc>
          <w:tcPr>
            <w:tcW w:w="964" w:type="dxa"/>
            <w:vAlign w:val="center"/>
          </w:tcPr>
          <w:p w:rsidR="008209B4" w:rsidRDefault="00A54173">
            <w:pPr>
              <w:jc w:val="center"/>
              <w:rPr>
                <w:b/>
                <w:noProof/>
                <w:sz w:val="20"/>
              </w:rPr>
            </w:pPr>
            <w:r>
              <w:rPr>
                <w:b/>
                <w:noProof/>
                <w:sz w:val="20"/>
              </w:rPr>
              <w:t>2023</w:t>
            </w:r>
          </w:p>
        </w:tc>
        <w:tc>
          <w:tcPr>
            <w:tcW w:w="964" w:type="dxa"/>
            <w:vAlign w:val="center"/>
          </w:tcPr>
          <w:p w:rsidR="008209B4" w:rsidRDefault="00A54173">
            <w:pPr>
              <w:jc w:val="center"/>
              <w:rPr>
                <w:b/>
                <w:noProof/>
                <w:sz w:val="20"/>
              </w:rPr>
            </w:pPr>
            <w:r>
              <w:rPr>
                <w:b/>
                <w:noProof/>
                <w:sz w:val="20"/>
              </w:rPr>
              <w:t>2024</w:t>
            </w:r>
          </w:p>
        </w:tc>
        <w:tc>
          <w:tcPr>
            <w:tcW w:w="964" w:type="dxa"/>
            <w:vAlign w:val="center"/>
          </w:tcPr>
          <w:p w:rsidR="008209B4" w:rsidRDefault="00A54173">
            <w:pPr>
              <w:jc w:val="center"/>
              <w:rPr>
                <w:b/>
                <w:noProof/>
                <w:sz w:val="20"/>
              </w:rPr>
            </w:pPr>
            <w:r>
              <w:rPr>
                <w:b/>
                <w:noProof/>
                <w:sz w:val="20"/>
              </w:rPr>
              <w:t>2025</w:t>
            </w:r>
          </w:p>
        </w:tc>
        <w:tc>
          <w:tcPr>
            <w:tcW w:w="964" w:type="dxa"/>
            <w:vAlign w:val="center"/>
          </w:tcPr>
          <w:p w:rsidR="008209B4" w:rsidRDefault="00A54173">
            <w:pPr>
              <w:jc w:val="center"/>
              <w:rPr>
                <w:b/>
                <w:noProof/>
                <w:sz w:val="20"/>
              </w:rPr>
            </w:pPr>
            <w:r>
              <w:rPr>
                <w:b/>
                <w:noProof/>
                <w:sz w:val="20"/>
              </w:rPr>
              <w:t>2026</w:t>
            </w:r>
          </w:p>
        </w:tc>
        <w:tc>
          <w:tcPr>
            <w:tcW w:w="964" w:type="dxa"/>
            <w:vAlign w:val="center"/>
          </w:tcPr>
          <w:p w:rsidR="008209B4" w:rsidRDefault="00A54173">
            <w:pPr>
              <w:jc w:val="center"/>
              <w:rPr>
                <w:b/>
                <w:noProof/>
                <w:sz w:val="20"/>
              </w:rPr>
            </w:pPr>
            <w:r>
              <w:rPr>
                <w:b/>
                <w:noProof/>
                <w:sz w:val="20"/>
              </w:rPr>
              <w:t>2027</w:t>
            </w:r>
          </w:p>
        </w:tc>
        <w:tc>
          <w:tcPr>
            <w:tcW w:w="1158" w:type="dxa"/>
            <w:vAlign w:val="center"/>
          </w:tcPr>
          <w:p w:rsidR="008209B4" w:rsidRDefault="00A54173">
            <w:pPr>
              <w:spacing w:before="60" w:after="60"/>
              <w:jc w:val="center"/>
              <w:rPr>
                <w:b/>
                <w:noProof/>
                <w:sz w:val="20"/>
              </w:rPr>
            </w:pPr>
            <w:r>
              <w:rPr>
                <w:b/>
                <w:noProof/>
                <w:sz w:val="20"/>
              </w:rPr>
              <w:t>ОБЩО</w:t>
            </w:r>
          </w:p>
        </w:tc>
      </w:tr>
      <w:tr w:rsidR="008209B4">
        <w:trPr>
          <w:cantSplit/>
          <w:jc w:val="center"/>
        </w:trPr>
        <w:tc>
          <w:tcPr>
            <w:tcW w:w="2340" w:type="dxa"/>
          </w:tcPr>
          <w:p w:rsidR="008209B4" w:rsidRDefault="00A54173">
            <w:pPr>
              <w:rPr>
                <w:noProof/>
              </w:rPr>
            </w:pPr>
            <w:r>
              <w:rPr>
                <w:noProof/>
                <w:sz w:val="20"/>
              </w:rPr>
              <w:t>Да се посочи съфинансиращият орган</w:t>
            </w:r>
            <w:r>
              <w:rPr>
                <w:i/>
                <w:noProof/>
                <w:sz w:val="20"/>
              </w:rPr>
              <w:t xml:space="preserve"> </w:t>
            </w:r>
          </w:p>
        </w:tc>
        <w:tc>
          <w:tcPr>
            <w:tcW w:w="964" w:type="dxa"/>
            <w:vAlign w:val="center"/>
          </w:tcPr>
          <w:p w:rsidR="008209B4" w:rsidRDefault="008209B4">
            <w:pPr>
              <w:spacing w:before="60" w:after="60"/>
              <w:jc w:val="center"/>
              <w:rPr>
                <w:noProof/>
                <w:sz w:val="20"/>
              </w:rPr>
            </w:pPr>
          </w:p>
        </w:tc>
        <w:tc>
          <w:tcPr>
            <w:tcW w:w="964" w:type="dxa"/>
            <w:vAlign w:val="center"/>
          </w:tcPr>
          <w:p w:rsidR="008209B4" w:rsidRDefault="008209B4">
            <w:pPr>
              <w:spacing w:before="60" w:after="60"/>
              <w:jc w:val="center"/>
              <w:rPr>
                <w:noProof/>
                <w:sz w:val="20"/>
              </w:rPr>
            </w:pPr>
          </w:p>
        </w:tc>
        <w:tc>
          <w:tcPr>
            <w:tcW w:w="964" w:type="dxa"/>
            <w:vAlign w:val="center"/>
          </w:tcPr>
          <w:p w:rsidR="008209B4" w:rsidRDefault="008209B4">
            <w:pPr>
              <w:spacing w:before="60" w:after="60"/>
              <w:jc w:val="center"/>
              <w:rPr>
                <w:noProof/>
                <w:sz w:val="20"/>
              </w:rPr>
            </w:pPr>
          </w:p>
        </w:tc>
        <w:tc>
          <w:tcPr>
            <w:tcW w:w="964" w:type="dxa"/>
            <w:vAlign w:val="center"/>
          </w:tcPr>
          <w:p w:rsidR="008209B4" w:rsidRDefault="008209B4">
            <w:pPr>
              <w:spacing w:before="60" w:after="60"/>
              <w:jc w:val="center"/>
              <w:rPr>
                <w:noProof/>
                <w:sz w:val="20"/>
              </w:rPr>
            </w:pPr>
          </w:p>
        </w:tc>
        <w:tc>
          <w:tcPr>
            <w:tcW w:w="964" w:type="dxa"/>
            <w:vAlign w:val="center"/>
          </w:tcPr>
          <w:p w:rsidR="008209B4" w:rsidRDefault="008209B4">
            <w:pPr>
              <w:spacing w:before="60" w:after="60"/>
              <w:jc w:val="center"/>
              <w:rPr>
                <w:noProof/>
                <w:sz w:val="20"/>
              </w:rPr>
            </w:pPr>
          </w:p>
        </w:tc>
        <w:tc>
          <w:tcPr>
            <w:tcW w:w="964" w:type="dxa"/>
            <w:vAlign w:val="center"/>
          </w:tcPr>
          <w:p w:rsidR="008209B4" w:rsidRDefault="008209B4">
            <w:pPr>
              <w:spacing w:before="60" w:after="60"/>
              <w:jc w:val="center"/>
              <w:rPr>
                <w:noProof/>
                <w:sz w:val="20"/>
              </w:rPr>
            </w:pPr>
          </w:p>
        </w:tc>
        <w:tc>
          <w:tcPr>
            <w:tcW w:w="964" w:type="dxa"/>
            <w:vAlign w:val="center"/>
          </w:tcPr>
          <w:p w:rsidR="008209B4" w:rsidRDefault="008209B4">
            <w:pPr>
              <w:spacing w:before="60" w:after="60"/>
              <w:jc w:val="center"/>
              <w:rPr>
                <w:noProof/>
                <w:sz w:val="20"/>
              </w:rPr>
            </w:pPr>
          </w:p>
        </w:tc>
        <w:tc>
          <w:tcPr>
            <w:tcW w:w="1158" w:type="dxa"/>
            <w:vAlign w:val="center"/>
          </w:tcPr>
          <w:p w:rsidR="008209B4" w:rsidRDefault="008209B4">
            <w:pPr>
              <w:spacing w:before="60" w:after="60"/>
              <w:jc w:val="center"/>
              <w:rPr>
                <w:noProof/>
                <w:sz w:val="20"/>
              </w:rPr>
            </w:pPr>
          </w:p>
        </w:tc>
      </w:tr>
      <w:tr w:rsidR="008209B4">
        <w:trPr>
          <w:cantSplit/>
          <w:jc w:val="center"/>
        </w:trPr>
        <w:tc>
          <w:tcPr>
            <w:tcW w:w="2340" w:type="dxa"/>
          </w:tcPr>
          <w:p w:rsidR="008209B4" w:rsidRDefault="00A54173">
            <w:pPr>
              <w:spacing w:before="60" w:after="60"/>
              <w:jc w:val="left"/>
              <w:rPr>
                <w:noProof/>
                <w:sz w:val="20"/>
              </w:rPr>
            </w:pPr>
            <w:r>
              <w:rPr>
                <w:noProof/>
                <w:sz w:val="20"/>
              </w:rPr>
              <w:t>ОБЩО съфинансирани бюджетни кредити</w:t>
            </w:r>
            <w:r>
              <w:rPr>
                <w:rStyle w:val="FootnoteReference"/>
                <w:noProof/>
              </w:rPr>
              <w:footnoteReference w:id="24"/>
            </w:r>
            <w:r>
              <w:rPr>
                <w:noProof/>
                <w:sz w:val="20"/>
              </w:rPr>
              <w:t xml:space="preserve"> </w:t>
            </w:r>
          </w:p>
        </w:tc>
        <w:tc>
          <w:tcPr>
            <w:tcW w:w="964" w:type="dxa"/>
            <w:vAlign w:val="center"/>
          </w:tcPr>
          <w:p w:rsidR="008209B4" w:rsidRDefault="00A54173">
            <w:pPr>
              <w:spacing w:before="60" w:after="60"/>
              <w:jc w:val="center"/>
              <w:rPr>
                <w:noProof/>
                <w:sz w:val="20"/>
              </w:rPr>
            </w:pPr>
            <w:r>
              <w:rPr>
                <w:noProof/>
                <w:sz w:val="20"/>
              </w:rPr>
              <w:t>p.m.</w:t>
            </w:r>
          </w:p>
        </w:tc>
        <w:tc>
          <w:tcPr>
            <w:tcW w:w="964" w:type="dxa"/>
            <w:vAlign w:val="center"/>
          </w:tcPr>
          <w:p w:rsidR="008209B4" w:rsidRDefault="00A54173">
            <w:pPr>
              <w:spacing w:before="60" w:after="60"/>
              <w:jc w:val="center"/>
              <w:rPr>
                <w:noProof/>
                <w:sz w:val="20"/>
              </w:rPr>
            </w:pPr>
            <w:r>
              <w:rPr>
                <w:noProof/>
                <w:sz w:val="20"/>
              </w:rPr>
              <w:t>p.m.</w:t>
            </w:r>
          </w:p>
        </w:tc>
        <w:tc>
          <w:tcPr>
            <w:tcW w:w="964" w:type="dxa"/>
            <w:vAlign w:val="center"/>
          </w:tcPr>
          <w:p w:rsidR="008209B4" w:rsidRDefault="00A54173">
            <w:pPr>
              <w:spacing w:before="60" w:after="60"/>
              <w:jc w:val="center"/>
              <w:rPr>
                <w:noProof/>
                <w:sz w:val="20"/>
              </w:rPr>
            </w:pPr>
            <w:r>
              <w:rPr>
                <w:noProof/>
                <w:sz w:val="20"/>
              </w:rPr>
              <w:t>p.m.</w:t>
            </w:r>
          </w:p>
        </w:tc>
        <w:tc>
          <w:tcPr>
            <w:tcW w:w="964" w:type="dxa"/>
            <w:vAlign w:val="center"/>
          </w:tcPr>
          <w:p w:rsidR="008209B4" w:rsidRDefault="00A54173">
            <w:pPr>
              <w:spacing w:before="60" w:after="60"/>
              <w:jc w:val="center"/>
              <w:rPr>
                <w:noProof/>
                <w:sz w:val="20"/>
              </w:rPr>
            </w:pPr>
            <w:r>
              <w:rPr>
                <w:noProof/>
                <w:sz w:val="20"/>
              </w:rPr>
              <w:t>p.m.</w:t>
            </w:r>
          </w:p>
        </w:tc>
        <w:tc>
          <w:tcPr>
            <w:tcW w:w="964" w:type="dxa"/>
            <w:vAlign w:val="center"/>
          </w:tcPr>
          <w:p w:rsidR="008209B4" w:rsidRDefault="00A54173">
            <w:pPr>
              <w:spacing w:before="60" w:after="60"/>
              <w:jc w:val="center"/>
              <w:rPr>
                <w:noProof/>
                <w:sz w:val="20"/>
              </w:rPr>
            </w:pPr>
            <w:r>
              <w:rPr>
                <w:noProof/>
                <w:sz w:val="20"/>
              </w:rPr>
              <w:t>p.m.</w:t>
            </w:r>
          </w:p>
        </w:tc>
        <w:tc>
          <w:tcPr>
            <w:tcW w:w="964" w:type="dxa"/>
            <w:vAlign w:val="center"/>
          </w:tcPr>
          <w:p w:rsidR="008209B4" w:rsidRDefault="00A54173">
            <w:pPr>
              <w:spacing w:before="60" w:after="60"/>
              <w:jc w:val="center"/>
              <w:rPr>
                <w:noProof/>
                <w:sz w:val="20"/>
              </w:rPr>
            </w:pPr>
            <w:r>
              <w:rPr>
                <w:noProof/>
                <w:sz w:val="20"/>
              </w:rPr>
              <w:t>p.m.</w:t>
            </w:r>
          </w:p>
        </w:tc>
        <w:tc>
          <w:tcPr>
            <w:tcW w:w="964" w:type="dxa"/>
            <w:vAlign w:val="center"/>
          </w:tcPr>
          <w:p w:rsidR="008209B4" w:rsidRDefault="00A54173">
            <w:pPr>
              <w:spacing w:before="60" w:after="60"/>
              <w:jc w:val="center"/>
              <w:rPr>
                <w:noProof/>
                <w:sz w:val="20"/>
              </w:rPr>
            </w:pPr>
            <w:r>
              <w:rPr>
                <w:noProof/>
                <w:sz w:val="20"/>
              </w:rPr>
              <w:t>p.m.</w:t>
            </w:r>
          </w:p>
        </w:tc>
        <w:tc>
          <w:tcPr>
            <w:tcW w:w="1158" w:type="dxa"/>
            <w:vAlign w:val="center"/>
          </w:tcPr>
          <w:p w:rsidR="008209B4" w:rsidRDefault="00A54173">
            <w:pPr>
              <w:spacing w:before="60" w:after="60"/>
              <w:jc w:val="center"/>
              <w:rPr>
                <w:noProof/>
                <w:sz w:val="20"/>
              </w:rPr>
            </w:pPr>
            <w:r>
              <w:rPr>
                <w:noProof/>
                <w:sz w:val="20"/>
              </w:rPr>
              <w:t>p.m.</w:t>
            </w:r>
          </w:p>
        </w:tc>
      </w:tr>
    </w:tbl>
    <w:p w:rsidR="008209B4" w:rsidRDefault="008209B4">
      <w:pPr>
        <w:rPr>
          <w:noProof/>
        </w:rPr>
      </w:pPr>
    </w:p>
    <w:p w:rsidR="008209B4" w:rsidRDefault="00A54173">
      <w:pPr>
        <w:pStyle w:val="ManualHeading2"/>
        <w:rPr>
          <w:bCs/>
          <w:noProof/>
          <w:szCs w:val="24"/>
        </w:rPr>
      </w:pPr>
      <w:r>
        <w:rPr>
          <w:noProof/>
        </w:rPr>
        <w:t>3.3.</w:t>
      </w:r>
      <w:r>
        <w:rPr>
          <w:noProof/>
        </w:rPr>
        <w:tab/>
        <w:t xml:space="preserve">Очаквано отражение върху приходите </w:t>
      </w:r>
    </w:p>
    <w:p w:rsidR="008209B4" w:rsidRDefault="00A54173">
      <w:pPr>
        <w:pStyle w:val="ListDash1"/>
        <w:rPr>
          <w:noProof/>
        </w:rPr>
      </w:pPr>
      <w:r>
        <w:rPr>
          <w:noProof/>
        </w:rPr>
        <w:sym w:font="Wingdings" w:char="F0A8"/>
      </w:r>
      <w:r>
        <w:rPr>
          <w:noProof/>
        </w:rPr>
        <w:tab/>
        <w:t>Предложението/инициативата</w:t>
      </w:r>
      <w:r>
        <w:rPr>
          <w:noProof/>
        </w:rPr>
        <w:t xml:space="preserve"> няма финансово отражение върху приходите.</w:t>
      </w:r>
    </w:p>
    <w:p w:rsidR="008209B4" w:rsidRDefault="00A54173">
      <w:pPr>
        <w:pStyle w:val="ListDash1"/>
        <w:rPr>
          <w:noProof/>
        </w:rPr>
      </w:pPr>
      <w:r>
        <w:rPr>
          <w:noProof/>
        </w:rPr>
        <w:sym w:font="Wingdings" w:char="F0FE"/>
      </w:r>
      <w:r>
        <w:rPr>
          <w:noProof/>
        </w:rPr>
        <w:tab/>
        <w:t>Предложението/инициативата има следното финансово отражение:</w:t>
      </w:r>
    </w:p>
    <w:p w:rsidR="008209B4" w:rsidRDefault="00A54173">
      <w:pPr>
        <w:pStyle w:val="ListNumberLevel3"/>
        <w:tabs>
          <w:tab w:val="clear" w:pos="2126"/>
          <w:tab w:val="num" w:pos="1843"/>
        </w:tabs>
        <w:rPr>
          <w:noProof/>
        </w:rPr>
      </w:pPr>
      <w:r>
        <w:rPr>
          <w:noProof/>
        </w:rPr>
        <w:sym w:font="Wingdings" w:char="F0A8"/>
      </w:r>
      <w:r>
        <w:rPr>
          <w:noProof/>
        </w:rPr>
        <w:tab/>
        <w:t xml:space="preserve">върху собствените ресурси </w:t>
      </w:r>
    </w:p>
    <w:p w:rsidR="008209B4" w:rsidRDefault="00A54173">
      <w:pPr>
        <w:pStyle w:val="ListNumberLevel3"/>
        <w:tabs>
          <w:tab w:val="clear" w:pos="2126"/>
          <w:tab w:val="num" w:pos="1843"/>
        </w:tabs>
        <w:rPr>
          <w:noProof/>
        </w:rPr>
      </w:pPr>
      <w:r>
        <w:rPr>
          <w:noProof/>
        </w:rPr>
        <w:sym w:font="Wingdings" w:char="F0FE"/>
      </w:r>
      <w:r>
        <w:rPr>
          <w:noProof/>
        </w:rPr>
        <w:tab/>
        <w:t>върху разните приходи</w:t>
      </w:r>
    </w:p>
    <w:p w:rsidR="008209B4" w:rsidRDefault="00A54173">
      <w:pPr>
        <w:jc w:val="right"/>
        <w:rPr>
          <w:noProof/>
        </w:rPr>
      </w:pPr>
      <w:r>
        <w:rPr>
          <w:noProof/>
        </w:rPr>
        <w:t xml:space="preserve">      Моля, посочете дали приходите са записани по разходни бюджетни редове. </w:t>
      </w:r>
      <w:r>
        <w:rPr>
          <w:noProof/>
        </w:rPr>
        <w:sym w:font="Wingdings" w:char="F0FE"/>
      </w:r>
      <w:r>
        <w:rPr>
          <w:noProof/>
        </w:rPr>
        <w:tab/>
      </w:r>
    </w:p>
    <w:p w:rsidR="008209B4" w:rsidRDefault="00A54173">
      <w:pPr>
        <w:jc w:val="right"/>
        <w:rPr>
          <w:i/>
          <w:noProof/>
          <w:sz w:val="20"/>
        </w:rPr>
      </w:pPr>
      <w:r>
        <w:rPr>
          <w:noProof/>
        </w:rPr>
        <w:t>млн. евро (до 3-т</w:t>
      </w:r>
      <w:r>
        <w:rPr>
          <w:noProof/>
        </w:rPr>
        <w:t>ия знак след десетичната запетая)</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rsidR="008209B4">
        <w:trPr>
          <w:trHeight w:val="388"/>
          <w:jc w:val="center"/>
        </w:trPr>
        <w:tc>
          <w:tcPr>
            <w:tcW w:w="2144" w:type="dxa"/>
            <w:vMerge w:val="restart"/>
            <w:vAlign w:val="center"/>
          </w:tcPr>
          <w:p w:rsidR="008209B4" w:rsidRDefault="00A54173">
            <w:pPr>
              <w:spacing w:before="40" w:after="40"/>
              <w:rPr>
                <w:noProof/>
                <w:sz w:val="18"/>
              </w:rPr>
            </w:pPr>
            <w:r>
              <w:rPr>
                <w:noProof/>
                <w:sz w:val="18"/>
              </w:rPr>
              <w:t>Приходен бюджетен ред:</w:t>
            </w:r>
          </w:p>
        </w:tc>
        <w:tc>
          <w:tcPr>
            <w:tcW w:w="7200" w:type="dxa"/>
            <w:gridSpan w:val="7"/>
            <w:vAlign w:val="center"/>
          </w:tcPr>
          <w:p w:rsidR="008209B4" w:rsidRDefault="00A54173">
            <w:pPr>
              <w:jc w:val="center"/>
              <w:rPr>
                <w:noProof/>
                <w:sz w:val="18"/>
              </w:rPr>
            </w:pPr>
            <w:r>
              <w:rPr>
                <w:noProof/>
                <w:sz w:val="18"/>
              </w:rPr>
              <w:t>Отражение на предложението/инициативата</w:t>
            </w:r>
          </w:p>
        </w:tc>
      </w:tr>
      <w:tr w:rsidR="008209B4">
        <w:trPr>
          <w:trHeight w:val="388"/>
          <w:jc w:val="center"/>
        </w:trPr>
        <w:tc>
          <w:tcPr>
            <w:tcW w:w="2144" w:type="dxa"/>
            <w:vMerge/>
          </w:tcPr>
          <w:p w:rsidR="008209B4" w:rsidRDefault="008209B4">
            <w:pPr>
              <w:spacing w:before="40" w:after="40"/>
              <w:rPr>
                <w:noProof/>
                <w:sz w:val="18"/>
              </w:rPr>
            </w:pPr>
          </w:p>
        </w:tc>
        <w:tc>
          <w:tcPr>
            <w:tcW w:w="1080" w:type="dxa"/>
            <w:vAlign w:val="center"/>
          </w:tcPr>
          <w:p w:rsidR="008209B4" w:rsidRDefault="00A54173">
            <w:pPr>
              <w:jc w:val="center"/>
              <w:rPr>
                <w:noProof/>
                <w:sz w:val="18"/>
              </w:rPr>
            </w:pPr>
            <w:r>
              <w:rPr>
                <w:b/>
                <w:noProof/>
                <w:sz w:val="20"/>
              </w:rPr>
              <w:t>2021</w:t>
            </w:r>
          </w:p>
        </w:tc>
        <w:tc>
          <w:tcPr>
            <w:tcW w:w="900" w:type="dxa"/>
            <w:vAlign w:val="center"/>
          </w:tcPr>
          <w:p w:rsidR="008209B4" w:rsidRDefault="00A54173">
            <w:pPr>
              <w:jc w:val="center"/>
              <w:rPr>
                <w:b/>
                <w:noProof/>
                <w:sz w:val="20"/>
              </w:rPr>
            </w:pPr>
            <w:r>
              <w:rPr>
                <w:b/>
                <w:noProof/>
                <w:sz w:val="20"/>
              </w:rPr>
              <w:t>2022</w:t>
            </w:r>
          </w:p>
        </w:tc>
        <w:tc>
          <w:tcPr>
            <w:tcW w:w="900" w:type="dxa"/>
            <w:vAlign w:val="center"/>
          </w:tcPr>
          <w:p w:rsidR="008209B4" w:rsidRDefault="00A54173">
            <w:pPr>
              <w:jc w:val="center"/>
              <w:rPr>
                <w:b/>
                <w:noProof/>
                <w:sz w:val="20"/>
              </w:rPr>
            </w:pPr>
            <w:r>
              <w:rPr>
                <w:b/>
                <w:noProof/>
                <w:sz w:val="20"/>
              </w:rPr>
              <w:t>2023</w:t>
            </w:r>
          </w:p>
        </w:tc>
        <w:tc>
          <w:tcPr>
            <w:tcW w:w="1080" w:type="dxa"/>
            <w:vAlign w:val="center"/>
          </w:tcPr>
          <w:p w:rsidR="008209B4" w:rsidRDefault="00A54173">
            <w:pPr>
              <w:jc w:val="center"/>
              <w:rPr>
                <w:b/>
                <w:noProof/>
                <w:sz w:val="20"/>
              </w:rPr>
            </w:pPr>
            <w:r>
              <w:rPr>
                <w:b/>
                <w:noProof/>
                <w:sz w:val="20"/>
              </w:rPr>
              <w:t>2024</w:t>
            </w:r>
          </w:p>
        </w:tc>
        <w:tc>
          <w:tcPr>
            <w:tcW w:w="1080" w:type="dxa"/>
            <w:vAlign w:val="center"/>
          </w:tcPr>
          <w:p w:rsidR="008209B4" w:rsidRDefault="00A54173">
            <w:pPr>
              <w:jc w:val="center"/>
              <w:rPr>
                <w:b/>
                <w:noProof/>
                <w:sz w:val="20"/>
              </w:rPr>
            </w:pPr>
            <w:r>
              <w:rPr>
                <w:b/>
                <w:noProof/>
                <w:sz w:val="20"/>
              </w:rPr>
              <w:t>2025</w:t>
            </w:r>
          </w:p>
        </w:tc>
        <w:tc>
          <w:tcPr>
            <w:tcW w:w="1080" w:type="dxa"/>
            <w:vAlign w:val="center"/>
          </w:tcPr>
          <w:p w:rsidR="008209B4" w:rsidRDefault="00A54173">
            <w:pPr>
              <w:jc w:val="center"/>
              <w:rPr>
                <w:b/>
                <w:noProof/>
                <w:sz w:val="20"/>
              </w:rPr>
            </w:pPr>
            <w:r>
              <w:rPr>
                <w:b/>
                <w:noProof/>
                <w:sz w:val="20"/>
              </w:rPr>
              <w:t>2026</w:t>
            </w:r>
          </w:p>
        </w:tc>
        <w:tc>
          <w:tcPr>
            <w:tcW w:w="1080" w:type="dxa"/>
            <w:vAlign w:val="center"/>
          </w:tcPr>
          <w:p w:rsidR="008209B4" w:rsidRDefault="00A54173">
            <w:pPr>
              <w:jc w:val="center"/>
              <w:rPr>
                <w:b/>
                <w:noProof/>
                <w:sz w:val="20"/>
              </w:rPr>
            </w:pPr>
            <w:r>
              <w:rPr>
                <w:b/>
                <w:noProof/>
                <w:sz w:val="20"/>
              </w:rPr>
              <w:t>2027</w:t>
            </w:r>
          </w:p>
        </w:tc>
      </w:tr>
      <w:tr w:rsidR="008209B4">
        <w:trPr>
          <w:trHeight w:val="388"/>
          <w:jc w:val="center"/>
        </w:trPr>
        <w:tc>
          <w:tcPr>
            <w:tcW w:w="2144" w:type="dxa"/>
            <w:vAlign w:val="center"/>
          </w:tcPr>
          <w:p w:rsidR="008209B4" w:rsidRDefault="00A54173">
            <w:pPr>
              <w:spacing w:before="40" w:after="40"/>
              <w:rPr>
                <w:noProof/>
                <w:sz w:val="18"/>
              </w:rPr>
            </w:pPr>
            <w:r>
              <w:rPr>
                <w:noProof/>
                <w:sz w:val="18"/>
              </w:rPr>
              <w:t>Позиция 6011</w:t>
            </w:r>
          </w:p>
          <w:p w:rsidR="008209B4" w:rsidRDefault="00A54173">
            <w:pPr>
              <w:spacing w:before="40" w:after="40"/>
              <w:rPr>
                <w:noProof/>
                <w:sz w:val="18"/>
              </w:rPr>
            </w:pPr>
            <w:r>
              <w:rPr>
                <w:noProof/>
                <w:sz w:val="18"/>
              </w:rPr>
              <w:t>Позиция 6012</w:t>
            </w:r>
          </w:p>
          <w:p w:rsidR="008209B4" w:rsidRDefault="00A54173">
            <w:pPr>
              <w:spacing w:before="40" w:after="40"/>
              <w:rPr>
                <w:noProof/>
                <w:sz w:val="18"/>
              </w:rPr>
            </w:pPr>
            <w:r>
              <w:rPr>
                <w:noProof/>
                <w:sz w:val="18"/>
              </w:rPr>
              <w:t>Позиция 6013</w:t>
            </w:r>
          </w:p>
          <w:p w:rsidR="008209B4" w:rsidRDefault="00A54173">
            <w:pPr>
              <w:spacing w:before="40" w:after="40"/>
              <w:rPr>
                <w:noProof/>
                <w:sz w:val="18"/>
              </w:rPr>
            </w:pPr>
            <w:r>
              <w:rPr>
                <w:noProof/>
                <w:sz w:val="18"/>
              </w:rPr>
              <w:t>Позиция 6031</w:t>
            </w:r>
          </w:p>
        </w:tc>
        <w:tc>
          <w:tcPr>
            <w:tcW w:w="1080" w:type="dxa"/>
          </w:tcPr>
          <w:p w:rsidR="008209B4" w:rsidRDefault="00A54173">
            <w:pPr>
              <w:spacing w:beforeLines="40" w:before="96" w:afterLines="40" w:after="96"/>
              <w:jc w:val="center"/>
              <w:rPr>
                <w:noProof/>
                <w:sz w:val="18"/>
              </w:rPr>
            </w:pPr>
            <w:r>
              <w:rPr>
                <w:noProof/>
                <w:sz w:val="18"/>
              </w:rPr>
              <w:t>p.m.</w:t>
            </w:r>
          </w:p>
        </w:tc>
        <w:tc>
          <w:tcPr>
            <w:tcW w:w="900" w:type="dxa"/>
          </w:tcPr>
          <w:p w:rsidR="008209B4" w:rsidRDefault="00A54173">
            <w:pPr>
              <w:spacing w:beforeLines="40" w:before="96" w:afterLines="40" w:after="96"/>
              <w:jc w:val="center"/>
              <w:rPr>
                <w:noProof/>
                <w:sz w:val="18"/>
              </w:rPr>
            </w:pPr>
            <w:r>
              <w:rPr>
                <w:noProof/>
                <w:sz w:val="18"/>
              </w:rPr>
              <w:t>p.m.</w:t>
            </w:r>
          </w:p>
        </w:tc>
        <w:tc>
          <w:tcPr>
            <w:tcW w:w="900" w:type="dxa"/>
          </w:tcPr>
          <w:p w:rsidR="008209B4" w:rsidRDefault="00A54173">
            <w:pPr>
              <w:spacing w:beforeLines="40" w:before="96" w:afterLines="40" w:after="96"/>
              <w:jc w:val="center"/>
              <w:rPr>
                <w:noProof/>
                <w:sz w:val="18"/>
              </w:rPr>
            </w:pPr>
            <w:r>
              <w:rPr>
                <w:noProof/>
                <w:sz w:val="18"/>
              </w:rPr>
              <w:t>p.m.</w:t>
            </w:r>
          </w:p>
        </w:tc>
        <w:tc>
          <w:tcPr>
            <w:tcW w:w="1080" w:type="dxa"/>
          </w:tcPr>
          <w:p w:rsidR="008209B4" w:rsidRDefault="00A54173">
            <w:pPr>
              <w:spacing w:beforeLines="40" w:before="96" w:afterLines="40" w:after="96"/>
              <w:jc w:val="center"/>
              <w:rPr>
                <w:noProof/>
                <w:sz w:val="18"/>
              </w:rPr>
            </w:pPr>
            <w:r>
              <w:rPr>
                <w:noProof/>
                <w:sz w:val="18"/>
              </w:rPr>
              <w:t>p.m.</w:t>
            </w:r>
          </w:p>
        </w:tc>
        <w:tc>
          <w:tcPr>
            <w:tcW w:w="1080" w:type="dxa"/>
          </w:tcPr>
          <w:p w:rsidR="008209B4" w:rsidRDefault="00A54173">
            <w:pPr>
              <w:spacing w:beforeLines="40" w:before="96" w:afterLines="40" w:after="96"/>
              <w:jc w:val="center"/>
              <w:rPr>
                <w:noProof/>
                <w:sz w:val="18"/>
              </w:rPr>
            </w:pPr>
            <w:r>
              <w:rPr>
                <w:noProof/>
                <w:sz w:val="18"/>
              </w:rPr>
              <w:t>p.m.</w:t>
            </w:r>
          </w:p>
        </w:tc>
        <w:tc>
          <w:tcPr>
            <w:tcW w:w="1080" w:type="dxa"/>
          </w:tcPr>
          <w:p w:rsidR="008209B4" w:rsidRDefault="00A54173">
            <w:pPr>
              <w:spacing w:beforeLines="40" w:before="96" w:afterLines="40" w:after="96"/>
              <w:jc w:val="center"/>
              <w:rPr>
                <w:noProof/>
                <w:sz w:val="18"/>
              </w:rPr>
            </w:pPr>
            <w:r>
              <w:rPr>
                <w:noProof/>
                <w:sz w:val="18"/>
              </w:rPr>
              <w:t>p.m.</w:t>
            </w:r>
          </w:p>
        </w:tc>
        <w:tc>
          <w:tcPr>
            <w:tcW w:w="1080" w:type="dxa"/>
          </w:tcPr>
          <w:p w:rsidR="008209B4" w:rsidRDefault="00A54173">
            <w:pPr>
              <w:spacing w:beforeLines="40" w:before="96" w:afterLines="40" w:after="96"/>
              <w:jc w:val="center"/>
              <w:rPr>
                <w:noProof/>
                <w:sz w:val="18"/>
              </w:rPr>
            </w:pPr>
            <w:r>
              <w:rPr>
                <w:noProof/>
                <w:sz w:val="18"/>
              </w:rPr>
              <w:t>p.m.</w:t>
            </w:r>
          </w:p>
        </w:tc>
      </w:tr>
    </w:tbl>
    <w:p w:rsidR="008209B4" w:rsidRDefault="00A54173">
      <w:pPr>
        <w:pStyle w:val="Text1"/>
        <w:rPr>
          <w:noProof/>
          <w:sz w:val="20"/>
        </w:rPr>
      </w:pPr>
      <w:r>
        <w:rPr>
          <w:noProof/>
          <w:sz w:val="20"/>
        </w:rPr>
        <w:t>За целевите приходи да се посочат</w:t>
      </w:r>
      <w:r>
        <w:rPr>
          <w:noProof/>
          <w:sz w:val="20"/>
        </w:rPr>
        <w:t xml:space="preserve"> съответните разходни бюджетни редове.</w:t>
      </w:r>
    </w:p>
    <w:p w:rsidR="008209B4" w:rsidRDefault="00A54173">
      <w:pPr>
        <w:pStyle w:val="Text1"/>
        <w:pBdr>
          <w:top w:val="single" w:sz="4" w:space="1" w:color="auto"/>
          <w:left w:val="single" w:sz="4" w:space="4" w:color="auto"/>
          <w:bottom w:val="single" w:sz="4" w:space="1" w:color="auto"/>
          <w:right w:val="single" w:sz="4" w:space="4" w:color="auto"/>
        </w:pBdr>
        <w:tabs>
          <w:tab w:val="left" w:pos="2016"/>
        </w:tabs>
        <w:rPr>
          <w:noProof/>
        </w:rPr>
      </w:pPr>
      <w:r>
        <w:rPr>
          <w:noProof/>
        </w:rPr>
        <w:t>01.02XX Бюджетни кредити, начислени от вноски от трети страни</w:t>
      </w:r>
    </w:p>
    <w:p w:rsidR="008209B4" w:rsidRDefault="00A54173">
      <w:pPr>
        <w:pStyle w:val="Text1"/>
        <w:rPr>
          <w:noProof/>
          <w:sz w:val="20"/>
        </w:rPr>
      </w:pPr>
      <w:r>
        <w:rPr>
          <w:noProof/>
          <w:sz w:val="20"/>
        </w:rPr>
        <w:t>Други забележки (например метод/формула за изчисляване на отражението върху приходите или друга информация).</w:t>
      </w:r>
    </w:p>
    <w:p w:rsidR="008209B4" w:rsidRDefault="00A54173">
      <w:pPr>
        <w:pStyle w:val="Text1"/>
        <w:pBdr>
          <w:top w:val="single" w:sz="4" w:space="1" w:color="auto"/>
          <w:left w:val="single" w:sz="4" w:space="4" w:color="auto"/>
          <w:bottom w:val="single" w:sz="4" w:space="1" w:color="auto"/>
          <w:right w:val="single" w:sz="4" w:space="4" w:color="auto"/>
        </w:pBdr>
        <w:rPr>
          <w:noProof/>
        </w:rPr>
      </w:pPr>
      <w:r>
        <w:rPr>
          <w:noProof/>
        </w:rPr>
        <w:t xml:space="preserve">Трети държави могат да имат принос към </w:t>
      </w:r>
      <w:r>
        <w:rPr>
          <w:noProof/>
        </w:rPr>
        <w:t>програмата чрез споразумения за асоцииране. Условията, определящи равнището на финансовия принос, се определят в споразумения за асоцииране с всяка държава и трябва да осигуряват автоматична корекция на всеки значителен дисбаланс спрямо сумата, която субек</w:t>
      </w:r>
      <w:r>
        <w:rPr>
          <w:noProof/>
        </w:rPr>
        <w:t>тите, установени в асоциираната държава, получават чрез участието си в програмата, като се вземат предвид разходите за управление на програмата.</w:t>
      </w:r>
    </w:p>
    <w:p w:rsidR="008209B4" w:rsidRDefault="008209B4">
      <w:pPr>
        <w:pStyle w:val="Text1"/>
        <w:rPr>
          <w:noProof/>
        </w:rPr>
      </w:pPr>
    </w:p>
    <w:sectPr w:rsidR="008209B4" w:rsidSect="00A54173">
      <w:pgSz w:w="11907" w:h="16840" w:code="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9B4" w:rsidRDefault="00A54173">
      <w:pPr>
        <w:spacing w:before="0" w:after="0"/>
      </w:pPr>
      <w:r>
        <w:separator/>
      </w:r>
    </w:p>
  </w:endnote>
  <w:endnote w:type="continuationSeparator" w:id="0">
    <w:p w:rsidR="008209B4" w:rsidRDefault="00A54173">
      <w:pPr>
        <w:spacing w:before="0" w:after="0"/>
      </w:pPr>
      <w:r>
        <w:continuationSeparator/>
      </w:r>
    </w:p>
  </w:endnote>
  <w:endnote w:type="continuationNotice" w:id="1">
    <w:p w:rsidR="008209B4" w:rsidRDefault="008209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FooterLandscape"/>
      <w:rPr>
        <w:rFonts w:ascii="Arial" w:hAnsi="Arial" w:cs="Arial"/>
        <w:b/>
        <w:sz w:val="48"/>
      </w:rPr>
    </w:pPr>
    <w:r w:rsidRPr="00A54173">
      <w:rPr>
        <w:rFonts w:ascii="Arial" w:hAnsi="Arial" w:cs="Arial"/>
        <w:b/>
        <w:sz w:val="48"/>
      </w:rPr>
      <w:t>BG</w:t>
    </w:r>
    <w:r w:rsidRPr="00A54173">
      <w:rPr>
        <w:rFonts w:ascii="Arial" w:hAnsi="Arial" w:cs="Arial"/>
        <w:b/>
        <w:sz w:val="48"/>
      </w:rPr>
      <w:tab/>
    </w:r>
    <w:r>
      <w:fldChar w:fldCharType="begin"/>
    </w:r>
    <w:r>
      <w:instrText xml:space="preserve"> PAGE  \* MERGEFORMAT </w:instrText>
    </w:r>
    <w:r>
      <w:fldChar w:fldCharType="separate"/>
    </w:r>
    <w:r>
      <w:rPr>
        <w:noProof/>
      </w:rPr>
      <w:t>32</w:t>
    </w:r>
    <w:r>
      <w:fldChar w:fldCharType="end"/>
    </w:r>
    <w:r>
      <w:tab/>
    </w:r>
    <w:r w:rsidRPr="00A54173">
      <w:tab/>
    </w:r>
    <w:r w:rsidRPr="00A54173">
      <w:rPr>
        <w:rFonts w:ascii="Arial" w:hAnsi="Arial" w:cs="Arial"/>
        <w:b/>
        <w:sz w:val="48"/>
      </w:rPr>
      <w:t>BG</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B4" w:rsidRPr="00A54173" w:rsidRDefault="00A54173" w:rsidP="00A54173">
    <w:pPr>
      <w:pStyle w:val="Footer"/>
      <w:rPr>
        <w:rFonts w:ascii="Arial" w:hAnsi="Arial" w:cs="Arial"/>
        <w:b/>
        <w:sz w:val="48"/>
      </w:rPr>
    </w:pPr>
    <w:r w:rsidRPr="00A54173">
      <w:rPr>
        <w:rFonts w:ascii="Arial" w:hAnsi="Arial" w:cs="Arial"/>
        <w:b/>
        <w:sz w:val="48"/>
      </w:rPr>
      <w:t>BG</w:t>
    </w:r>
    <w:r w:rsidRPr="00A54173">
      <w:rPr>
        <w:rFonts w:ascii="Arial" w:hAnsi="Arial" w:cs="Arial"/>
        <w:b/>
        <w:sz w:val="48"/>
      </w:rPr>
      <w:tab/>
    </w:r>
    <w:r>
      <w:fldChar w:fldCharType="begin"/>
    </w:r>
    <w:r>
      <w:instrText xml:space="preserve"> PAGE  \* MERGEFORMAT </w:instrText>
    </w:r>
    <w:r>
      <w:fldChar w:fldCharType="separate"/>
    </w:r>
    <w:r>
      <w:rPr>
        <w:noProof/>
      </w:rPr>
      <w:t>39</w:t>
    </w:r>
    <w:r>
      <w:fldChar w:fldCharType="end"/>
    </w:r>
    <w:r>
      <w:tab/>
    </w:r>
    <w:r w:rsidRPr="00A54173">
      <w:tab/>
    </w:r>
    <w:r w:rsidRPr="00A54173">
      <w:rPr>
        <w:rFonts w:ascii="Arial" w:hAnsi="Arial" w:cs="Arial"/>
        <w:b/>
        <w:sz w:val="48"/>
      </w:rPr>
      <w:t>BG</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B4" w:rsidRPr="00A54173" w:rsidRDefault="00A54173" w:rsidP="00A54173">
    <w:pPr>
      <w:pStyle w:val="Footer"/>
      <w:rPr>
        <w:rFonts w:ascii="Arial" w:hAnsi="Arial" w:cs="Arial"/>
        <w:b/>
        <w:sz w:val="48"/>
      </w:rPr>
    </w:pPr>
    <w:r w:rsidRPr="00A54173">
      <w:rPr>
        <w:rFonts w:ascii="Arial" w:hAnsi="Arial" w:cs="Arial"/>
        <w:b/>
        <w:sz w:val="48"/>
      </w:rPr>
      <w:t>BG</w:t>
    </w:r>
    <w:r w:rsidRPr="00A54173">
      <w:rPr>
        <w:rFonts w:ascii="Arial" w:hAnsi="Arial" w:cs="Arial"/>
        <w:b/>
        <w:sz w:val="48"/>
      </w:rPr>
      <w:tab/>
    </w:r>
    <w:r w:rsidRPr="00A54173">
      <w:rPr>
        <w:rFonts w:ascii="Arial" w:hAnsi="Arial" w:cs="Arial"/>
        <w:b/>
        <w:sz w:val="48"/>
      </w:rPr>
      <w:tab/>
    </w:r>
    <w:r w:rsidRPr="00A54173">
      <w:tab/>
    </w:r>
    <w:proofErr w:type="spellStart"/>
    <w:r w:rsidRPr="00A54173">
      <w:rPr>
        <w:rFonts w:ascii="Arial" w:hAnsi="Arial" w:cs="Arial"/>
        <w:b/>
        <w:sz w:val="48"/>
      </w:rPr>
      <w:t>BG</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Footer"/>
      <w:rPr>
        <w:rFonts w:ascii="Arial" w:hAnsi="Arial" w:cs="Arial"/>
        <w:b/>
        <w:sz w:val="48"/>
      </w:rPr>
    </w:pPr>
    <w:r w:rsidRPr="00A54173">
      <w:rPr>
        <w:rFonts w:ascii="Arial" w:hAnsi="Arial" w:cs="Arial"/>
        <w:b/>
        <w:sz w:val="48"/>
      </w:rPr>
      <w:t>BG</w:t>
    </w:r>
    <w:r w:rsidRPr="00A5417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54173">
      <w:tab/>
    </w:r>
    <w:r w:rsidRPr="00A54173">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B4" w:rsidRPr="00A54173" w:rsidRDefault="00A54173">
    <w:pPr>
      <w:pStyle w:val="Footer"/>
      <w:rPr>
        <w:rFonts w:ascii="Arial" w:hAnsi="Arial" w:cs="Arial"/>
        <w:b/>
        <w:sz w:val="48"/>
      </w:rPr>
    </w:pPr>
    <w:r w:rsidRPr="00A54173">
      <w:rPr>
        <w:rFonts w:ascii="Arial" w:hAnsi="Arial" w:cs="Arial"/>
        <w:b/>
        <w:sz w:val="48"/>
      </w:rPr>
      <w:t>BG</w:t>
    </w:r>
    <w:r w:rsidRPr="00A54173">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rsidRPr="00A54173">
      <w:tab/>
    </w:r>
    <w:r w:rsidRPr="00A54173">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B4" w:rsidRPr="00A54173" w:rsidRDefault="00A54173" w:rsidP="00A54173">
    <w:pPr>
      <w:pStyle w:val="Footer"/>
      <w:rPr>
        <w:rFonts w:ascii="Arial" w:hAnsi="Arial" w:cs="Arial"/>
        <w:b/>
        <w:sz w:val="48"/>
      </w:rPr>
    </w:pPr>
    <w:r w:rsidRPr="00A54173">
      <w:rPr>
        <w:rFonts w:ascii="Arial" w:hAnsi="Arial" w:cs="Arial"/>
        <w:b/>
        <w:sz w:val="48"/>
      </w:rPr>
      <w:t>BG</w:t>
    </w:r>
    <w:r w:rsidRPr="00A54173">
      <w:rPr>
        <w:rFonts w:ascii="Arial" w:hAnsi="Arial" w:cs="Arial"/>
        <w:b/>
        <w:sz w:val="48"/>
      </w:rPr>
      <w:tab/>
    </w:r>
    <w:r>
      <w:fldChar w:fldCharType="begin"/>
    </w:r>
    <w:r>
      <w:instrText xml:space="preserve"> PAGE  \* MERGEFORMAT </w:instrText>
    </w:r>
    <w:r>
      <w:fldChar w:fldCharType="separate"/>
    </w:r>
    <w:r>
      <w:rPr>
        <w:noProof/>
      </w:rPr>
      <w:t>32</w:t>
    </w:r>
    <w:r>
      <w:fldChar w:fldCharType="end"/>
    </w:r>
    <w:r>
      <w:tab/>
    </w:r>
    <w:r w:rsidRPr="00A54173">
      <w:tab/>
    </w:r>
    <w:r w:rsidRPr="00A54173">
      <w:rPr>
        <w:rFonts w:ascii="Arial" w:hAnsi="Arial" w:cs="Arial"/>
        <w:b/>
        <w:sz w:val="48"/>
      </w:rPr>
      <w:t>BG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9B4" w:rsidRDefault="00A54173">
      <w:pPr>
        <w:spacing w:before="0" w:after="0"/>
      </w:pPr>
      <w:r>
        <w:separator/>
      </w:r>
    </w:p>
  </w:footnote>
  <w:footnote w:type="continuationSeparator" w:id="0">
    <w:p w:rsidR="008209B4" w:rsidRDefault="00A54173">
      <w:pPr>
        <w:spacing w:before="0" w:after="0"/>
      </w:pPr>
      <w:r>
        <w:continuationSeparator/>
      </w:r>
    </w:p>
  </w:footnote>
  <w:footnote w:type="continuationNotice" w:id="1">
    <w:p w:rsidR="008209B4" w:rsidRDefault="008209B4">
      <w:pPr>
        <w:spacing w:before="0" w:after="0"/>
      </w:pPr>
    </w:p>
  </w:footnote>
  <w:footnote w:id="2">
    <w:p w:rsidR="008209B4" w:rsidRDefault="00A54173">
      <w:pPr>
        <w:pStyle w:val="FootnoteText"/>
        <w:rPr>
          <w:lang w:val="pl-PL"/>
        </w:rPr>
      </w:pPr>
      <w:r>
        <w:rPr>
          <w:rStyle w:val="FootnoteReference"/>
        </w:rPr>
        <w:footnoteRef/>
      </w:r>
      <w:r>
        <w:tab/>
        <w:t>ОВ С [...], [...] г., стр. [...].</w:t>
      </w:r>
    </w:p>
  </w:footnote>
  <w:footnote w:id="3">
    <w:p w:rsidR="008209B4" w:rsidRDefault="00A54173">
      <w:pPr>
        <w:pStyle w:val="FootnoteText"/>
      </w:pPr>
      <w:r>
        <w:rPr>
          <w:rStyle w:val="FootnoteReference"/>
        </w:rPr>
        <w:footnoteRef/>
      </w:r>
      <w:r>
        <w:tab/>
        <w:t>ОВ С [...], [...] г., стр. [...].</w:t>
      </w:r>
    </w:p>
  </w:footnote>
  <w:footnote w:id="4">
    <w:p w:rsidR="008209B4" w:rsidRDefault="00A54173">
      <w:pPr>
        <w:pStyle w:val="FootnoteText"/>
      </w:pPr>
      <w:r>
        <w:rPr>
          <w:rStyle w:val="FootnoteReference"/>
        </w:rPr>
        <w:footnoteRef/>
      </w:r>
      <w:r>
        <w:tab/>
        <w:t xml:space="preserve">ОВ С [...], [...] г., стр. </w:t>
      </w:r>
      <w:r>
        <w:t>[...].</w:t>
      </w:r>
    </w:p>
    <w:p w:rsidR="008209B4" w:rsidRDefault="008209B4">
      <w:pPr>
        <w:pStyle w:val="FootnoteText"/>
        <w:ind w:left="0" w:firstLine="0"/>
      </w:pPr>
    </w:p>
  </w:footnote>
  <w:footnote w:id="5">
    <w:p w:rsidR="008209B4" w:rsidRDefault="00A54173">
      <w:pPr>
        <w:pStyle w:val="FootnoteText"/>
      </w:pPr>
      <w:r>
        <w:rPr>
          <w:rStyle w:val="FootnoteReference"/>
        </w:rPr>
        <w:footnoteRef/>
      </w:r>
      <w:r>
        <w:tab/>
        <w:t xml:space="preserve">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w:t>
      </w:r>
      <w:r>
        <w:t>от страна на Комисията (ОВ L 55, 28.2.2011 г., стр. 13).</w:t>
      </w:r>
    </w:p>
  </w:footnote>
  <w:footnote w:id="6">
    <w:p w:rsidR="008209B4" w:rsidRDefault="00A54173">
      <w:pPr>
        <w:pStyle w:val="FootnoteText"/>
      </w:pPr>
      <w:r>
        <w:rPr>
          <w:rStyle w:val="FootnoteReference"/>
        </w:rPr>
        <w:footnoteRef/>
      </w:r>
      <w:r>
        <w:tab/>
        <w:t>Решение 96/282/</w:t>
      </w:r>
      <w:proofErr w:type="spellStart"/>
      <w:r>
        <w:t>Евратом</w:t>
      </w:r>
      <w:proofErr w:type="spellEnd"/>
      <w:r>
        <w:t xml:space="preserve"> на Комисията от 10 април 1996 г. относно реорганизацията на Съвместния изследователски център (ОВ L 107, 30.4.1996 г., стр. 12).</w:t>
      </w:r>
    </w:p>
  </w:footnote>
  <w:footnote w:id="7">
    <w:p w:rsidR="008209B4" w:rsidRDefault="00A54173">
      <w:pPr>
        <w:pStyle w:val="FootnoteText"/>
      </w:pPr>
      <w:r>
        <w:rPr>
          <w:rStyle w:val="FootnoteReference"/>
        </w:rPr>
        <w:footnoteRef/>
      </w:r>
      <w:r>
        <w:tab/>
        <w:t xml:space="preserve">В </w:t>
      </w:r>
      <w:hyperlink r:id="rId1">
        <w:r>
          <w:t>Съобщението на Комисията „Нова, модерна многогодишна финансова рамка за Европейския съюз, с която ефикасно да постига резултати по своите приоритети след 2020 г.“</w:t>
        </w:r>
      </w:hyperlink>
      <w:r>
        <w:t xml:space="preserve"> се установява, че за основни цифрови дейности</w:t>
      </w:r>
      <w:r>
        <w:t xml:space="preserve"> по Рамковата програма за научни изследвания и иновации „Хоризонт 2020“ са изразходвани 13 млрд. евро (</w:t>
      </w:r>
      <w:hyperlink r:id="rId2">
        <w:r>
          <w:t>https://eur-lex.europa.eu/legal-content/bg/ALL/?uri=CELEX%3A5201</w:t>
        </w:r>
        <w:r>
          <w:t>8DC0098</w:t>
        </w:r>
      </w:hyperlink>
      <w:r>
        <w:t>).</w:t>
      </w:r>
    </w:p>
    <w:p w:rsidR="008209B4" w:rsidRDefault="008209B4">
      <w:pPr>
        <w:pStyle w:val="FootnoteText"/>
      </w:pPr>
    </w:p>
  </w:footnote>
  <w:footnote w:id="8">
    <w:p w:rsidR="008209B4" w:rsidRDefault="00A54173">
      <w:pPr>
        <w:pStyle w:val="FootnoteText"/>
      </w:pPr>
      <w:r>
        <w:rPr>
          <w:rStyle w:val="FootnoteReference"/>
        </w:rPr>
        <w:footnoteRef/>
      </w:r>
      <w:r>
        <w:tab/>
        <w:t xml:space="preserve">ОВ C 373, 20.12.2013 г., стр. 23. </w:t>
      </w:r>
    </w:p>
  </w:footnote>
  <w:footnote w:id="9">
    <w:p w:rsidR="008209B4" w:rsidRDefault="00A54173">
      <w:pPr>
        <w:pStyle w:val="FootnoteText"/>
      </w:pPr>
      <w:r>
        <w:rPr>
          <w:rStyle w:val="FootnoteReference"/>
        </w:rPr>
        <w:footnoteRef/>
      </w:r>
      <w:r>
        <w:tab/>
        <w:t>С оглед улесняване на изпълнението на програмата, за всяко заседание на Програмния комитет съгласно дневния ред Комисията ще възстановява разходите, в съответствие с установените от нея насоки, на един пред</w:t>
      </w:r>
      <w:r>
        <w:t>ставител от всяка държава членка, както и на един експерт/консултант от всяка държава членка, за онези точки от дневния ред, по които държава членка изисква конкретен експертен опит.</w:t>
      </w:r>
    </w:p>
  </w:footnote>
  <w:footnote w:id="10">
    <w:p w:rsidR="008209B4" w:rsidRDefault="00A54173">
      <w:pPr>
        <w:pStyle w:val="FootnoteText"/>
        <w:rPr>
          <w:szCs w:val="24"/>
        </w:rPr>
      </w:pPr>
      <w:r>
        <w:rPr>
          <w:rStyle w:val="FootnoteReference"/>
        </w:rPr>
        <w:footnoteRef/>
      </w:r>
      <w:r>
        <w:tab/>
        <w:t>Съгласно член 58, параграф 2, буква а) или б) от Финансовия регламент.</w:t>
      </w:r>
    </w:p>
  </w:footnote>
  <w:footnote w:id="11">
    <w:p w:rsidR="008209B4" w:rsidRDefault="00A54173">
      <w:pPr>
        <w:pStyle w:val="FootnoteText"/>
        <w:jc w:val="left"/>
        <w:rPr>
          <w:szCs w:val="24"/>
        </w:rPr>
      </w:pPr>
      <w:r>
        <w:rPr>
          <w:rStyle w:val="FootnoteReference"/>
        </w:rPr>
        <w:footnoteRef/>
      </w:r>
      <w:r>
        <w:tab/>
        <w:t xml:space="preserve">Подробности във връзка с методите на управление и позоваванията на Финансовия регламент могат да бъдат намерени на уебсайта </w:t>
      </w:r>
      <w:proofErr w:type="spellStart"/>
      <w:r>
        <w:t>BudgWeb</w:t>
      </w:r>
      <w:proofErr w:type="spellEnd"/>
      <w:r>
        <w:t xml:space="preserve">: </w:t>
      </w:r>
      <w:hyperlink r:id="rId3">
        <w:r>
          <w:rPr>
            <w:rStyle w:val="Hyperlink"/>
          </w:rPr>
          <w:t>https://myintracomm.ec</w:t>
        </w:r>
        <w:r>
          <w:rPr>
            <w:rStyle w:val="Hyperlink"/>
          </w:rPr>
          <w:t>.europa.eu/budgweb/EN/man/budgmanag/Pages/budgmanag.aspx.</w:t>
        </w:r>
      </w:hyperlink>
      <w:r>
        <w:t xml:space="preserve"> </w:t>
      </w:r>
    </w:p>
  </w:footnote>
  <w:footnote w:id="12">
    <w:p w:rsidR="008209B4" w:rsidRDefault="00A54173">
      <w:pPr>
        <w:pStyle w:val="FootnoteText"/>
      </w:pPr>
      <w:r>
        <w:rPr>
          <w:rStyle w:val="FootnoteReference"/>
        </w:rPr>
        <w:footnoteRef/>
      </w:r>
      <w:r>
        <w:tab/>
        <w:t>% от стойността в евро спрямо всички корекции в преки разходи в полза на бюджета на ЕС</w:t>
      </w:r>
    </w:p>
  </w:footnote>
  <w:footnote w:id="13">
    <w:p w:rsidR="008209B4" w:rsidRDefault="00A54173">
      <w:pPr>
        <w:pStyle w:val="FootnoteText"/>
      </w:pPr>
      <w:r>
        <w:rPr>
          <w:rStyle w:val="FootnoteReference"/>
        </w:rPr>
        <w:footnoteRef/>
      </w:r>
      <w:r>
        <w:tab/>
        <w:t>Очакваното финансово отражение за оперативните разходи се представя на равнище бюджетни статии за четирите</w:t>
      </w:r>
      <w:r>
        <w:t xml:space="preserve"> програмни части. Допълнителна разбивка на бюджета въз основа на стратегическото планиране може да се представи като част от годишните бюджетни процедури.</w:t>
      </w:r>
    </w:p>
  </w:footnote>
  <w:footnote w:id="14">
    <w:p w:rsidR="008209B4" w:rsidRDefault="00A54173">
      <w:pPr>
        <w:pStyle w:val="FootnoteText"/>
        <w:rPr>
          <w:szCs w:val="24"/>
        </w:rPr>
      </w:pPr>
      <w:r>
        <w:rPr>
          <w:rStyle w:val="FootnoteReference"/>
        </w:rPr>
        <w:footnoteRef/>
      </w:r>
      <w:r>
        <w:tab/>
      </w:r>
      <w:proofErr w:type="spellStart"/>
      <w:r>
        <w:t>Многогод</w:t>
      </w:r>
      <w:proofErr w:type="spellEnd"/>
      <w:r>
        <w:t xml:space="preserve">. = многогодишни бюджетни кредити / </w:t>
      </w:r>
      <w:proofErr w:type="spellStart"/>
      <w:r>
        <w:t>Едногод</w:t>
      </w:r>
      <w:proofErr w:type="spellEnd"/>
      <w:r>
        <w:t>. = едногодишни бюджетни кредити.</w:t>
      </w:r>
    </w:p>
  </w:footnote>
  <w:footnote w:id="15">
    <w:p w:rsidR="008209B4" w:rsidRDefault="00A54173">
      <w:pPr>
        <w:pStyle w:val="FootnoteText"/>
        <w:rPr>
          <w:szCs w:val="24"/>
        </w:rPr>
      </w:pPr>
      <w:r>
        <w:rPr>
          <w:rStyle w:val="FootnoteReference"/>
        </w:rPr>
        <w:footnoteRef/>
      </w:r>
      <w:r>
        <w:tab/>
        <w:t>ЕАСТ: Европе</w:t>
      </w:r>
      <w:r>
        <w:t xml:space="preserve">йска асоциация за свободна търговия. </w:t>
      </w:r>
    </w:p>
  </w:footnote>
  <w:footnote w:id="16">
    <w:p w:rsidR="008209B4" w:rsidRDefault="00A54173">
      <w:pPr>
        <w:pStyle w:val="FootnoteText"/>
        <w:rPr>
          <w:szCs w:val="24"/>
        </w:rPr>
      </w:pPr>
      <w:r>
        <w:rPr>
          <w:rStyle w:val="FootnoteReference"/>
        </w:rPr>
        <w:footnoteRef/>
      </w:r>
      <w:r>
        <w:tab/>
        <w:t>Държави кандидатки и, ако е приложимо, потенциални кандидатки от Западните Балкани.</w:t>
      </w:r>
    </w:p>
  </w:footnote>
  <w:footnote w:id="17">
    <w:p w:rsidR="008209B4" w:rsidRDefault="00A54173">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действия на ЕС (предишни редове BA),</w:t>
      </w:r>
      <w:r>
        <w:t xml:space="preserve"> непреки научни изследвания, преки научни изследвания.</w:t>
      </w:r>
    </w:p>
  </w:footnote>
  <w:footnote w:id="18">
    <w:p w:rsidR="008209B4" w:rsidRDefault="00A54173">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действия на ЕС (предишни редове BA), непреки научни изследвания, преки научни изследвания.</w:t>
      </w:r>
    </w:p>
  </w:footnote>
  <w:footnote w:id="19">
    <w:p w:rsidR="008209B4" w:rsidRDefault="00A54173">
      <w:pPr>
        <w:pStyle w:val="FootnoteText"/>
      </w:pPr>
      <w:r>
        <w:rPr>
          <w:rStyle w:val="FootnoteReference"/>
        </w:rPr>
        <w:footnoteRef/>
      </w:r>
      <w:r>
        <w:tab/>
        <w:t>Тези данни в</w:t>
      </w:r>
      <w:r>
        <w:t xml:space="preserve">ключват само </w:t>
      </w:r>
      <w:proofErr w:type="spellStart"/>
      <w:r>
        <w:t>оправомощения</w:t>
      </w:r>
      <w:proofErr w:type="spellEnd"/>
      <w:r>
        <w:t xml:space="preserve"> персонал, наличен през 2020 г. в генералните дирекции, и не включват необходимия персонал, който ще бъде нужен на изпълнителни агенции, съвместни предприятия и други децентрализирани органи, както и допълнителния персонал, чиито </w:t>
      </w:r>
      <w:r>
        <w:t xml:space="preserve">възнаграждения са изплащани от финансовия принос на бъдещите асоциирани държави. </w:t>
      </w:r>
    </w:p>
  </w:footnote>
  <w:footnote w:id="20">
    <w:p w:rsidR="008209B4" w:rsidRDefault="00A54173">
      <w:pPr>
        <w:pStyle w:val="FootnoteText"/>
      </w:pPr>
      <w:r>
        <w:rPr>
          <w:rStyle w:val="FootnoteReference"/>
        </w:rPr>
        <w:footnoteRef/>
      </w:r>
      <w:r>
        <w:tab/>
        <w:t>Тези данни представляват прогнозните максимални административни разходи, които са необходими за прилагането на правното основание. Тези стойности включват също така безвъзм</w:t>
      </w:r>
      <w:r>
        <w:t xml:space="preserve">ездните средства, необходими на изпълнителните агенции (включително разходи за персонал), които ще осъществяват част от „Хоризонт Европа“. В този контекст, тези суми ще бъдат коригирани в резултат от предвижданата процедура за </w:t>
      </w:r>
      <w:proofErr w:type="spellStart"/>
      <w:r>
        <w:t>подизпълнение</w:t>
      </w:r>
      <w:proofErr w:type="spellEnd"/>
      <w:r>
        <w:t xml:space="preserve">. </w:t>
      </w:r>
    </w:p>
    <w:p w:rsidR="008209B4" w:rsidRDefault="008209B4">
      <w:pPr>
        <w:pStyle w:val="FootnoteText"/>
      </w:pPr>
    </w:p>
  </w:footnote>
  <w:footnote w:id="21">
    <w:p w:rsidR="008209B4" w:rsidRDefault="00A54173">
      <w:pPr>
        <w:pStyle w:val="FootnoteText"/>
      </w:pPr>
      <w:r>
        <w:rPr>
          <w:rStyle w:val="FootnoteReference"/>
        </w:rPr>
        <w:footnoteRef/>
      </w:r>
      <w:r>
        <w:tab/>
        <w:t>Тези данни</w:t>
      </w:r>
      <w:r>
        <w:t xml:space="preserve"> включват само </w:t>
      </w:r>
      <w:proofErr w:type="spellStart"/>
      <w:r>
        <w:t>оправомощения</w:t>
      </w:r>
      <w:proofErr w:type="spellEnd"/>
      <w:r>
        <w:t xml:space="preserve"> персонал, наличен през 2020 г. в генералните дирекции, и не включват необходимия персонал, който ще бъде нужен на изпълнителни агенции, съвместни предприятия и други децентрализирани органи, както и допълнителния персонал, чиит</w:t>
      </w:r>
      <w:r>
        <w:t>о възнаграждения са изплащани от финансовия принос на бъдещите асоциирани държави.</w:t>
      </w:r>
    </w:p>
  </w:footnote>
  <w:footnote w:id="22">
    <w:p w:rsidR="008209B4" w:rsidRDefault="00A54173">
      <w:pPr>
        <w:pStyle w:val="FootnoteText"/>
        <w:rPr>
          <w:szCs w:val="24"/>
        </w:rPr>
      </w:pPr>
      <w:r>
        <w:rPr>
          <w:rStyle w:val="FootnoteReference"/>
        </w:rPr>
        <w:footnoteRef/>
      </w:r>
      <w:r>
        <w:tab/>
      </w:r>
      <w:r>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23">
    <w:p w:rsidR="008209B4" w:rsidRDefault="00A54173">
      <w:pPr>
        <w:pStyle w:val="FootnoteText"/>
        <w:rPr>
          <w:szCs w:val="24"/>
        </w:rPr>
      </w:pPr>
      <w:r>
        <w:rPr>
          <w:rStyle w:val="FootnoteReference"/>
        </w:rPr>
        <w:footnoteRef/>
      </w:r>
      <w:r>
        <w:tab/>
      </w:r>
      <w:proofErr w:type="spellStart"/>
      <w:r>
        <w:t>Подтаван</w:t>
      </w:r>
      <w:proofErr w:type="spellEnd"/>
      <w:r>
        <w:t xml:space="preserve"> за външния персонал, покрит с бюджетните кредити за оперативни </w:t>
      </w:r>
      <w:r>
        <w:t>разходи (предишни редове BA).</w:t>
      </w:r>
    </w:p>
  </w:footnote>
  <w:footnote w:id="24">
    <w:p w:rsidR="008209B4" w:rsidRDefault="00A54173">
      <w:pPr>
        <w:pStyle w:val="FootnoteText"/>
      </w:pPr>
      <w:r>
        <w:rPr>
          <w:rStyle w:val="FootnoteReference"/>
        </w:rPr>
        <w:footnoteRef/>
      </w:r>
      <w:r>
        <w:tab/>
        <w:t>Двустранните споразумения за асоцииране все още не са уточнени. Финансовият принос от асоциираните държави ще бъде в допълнение към сумите, представени в настоящата законодателна финансова обосновка.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B4" w:rsidRDefault="008209B4" w:rsidP="00A5417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B4" w:rsidRDefault="008209B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B4" w:rsidRDefault="008209B4" w:rsidP="00A5417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Default="00A54173" w:rsidP="00A54173">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73" w:rsidRPr="00A54173" w:rsidRDefault="00A54173" w:rsidP="00A54173">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14AD79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488D2B8"/>
    <w:lvl w:ilvl="0">
      <w:start w:val="1"/>
      <w:numFmt w:val="decimal"/>
      <w:pStyle w:val="ListNumber3"/>
      <w:lvlText w:val="%1."/>
      <w:lvlJc w:val="left"/>
      <w:pPr>
        <w:tabs>
          <w:tab w:val="num" w:pos="926"/>
        </w:tabs>
        <w:ind w:left="926" w:hanging="360"/>
      </w:pPr>
    </w:lvl>
  </w:abstractNum>
  <w:abstractNum w:abstractNumId="2">
    <w:nsid w:val="FFFFFF7F"/>
    <w:multiLevelType w:val="singleLevel"/>
    <w:tmpl w:val="292AAA5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AAE600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20A25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650478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styleLink w:val="NumbLstTableBullet8"/>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4E24C82"/>
    <w:multiLevelType w:val="multilevel"/>
    <w:tmpl w:val="22C2E1B6"/>
    <w:styleLink w:val="appendix"/>
    <w:lvl w:ilvl="0">
      <w:start w:val="1"/>
      <w:numFmt w:val="decimal"/>
      <w:pStyle w:val="AppendixH1"/>
      <w:lvlText w:val="%1 "/>
      <w:lvlJc w:val="left"/>
      <w:pPr>
        <w:ind w:left="454" w:hanging="454"/>
      </w:pPr>
      <w:rPr>
        <w:rFonts w:ascii="Times New Roman" w:hAnsi="Times New Roman" w:hint="default"/>
        <w:b/>
        <w:sz w:val="24"/>
      </w:rPr>
    </w:lvl>
    <w:lvl w:ilvl="1">
      <w:start w:val="1"/>
      <w:numFmt w:val="decimal"/>
      <w:pStyle w:val="AppendixH2"/>
      <w:lvlText w:val="%1.%2"/>
      <w:lvlJc w:val="left"/>
      <w:pPr>
        <w:ind w:left="454" w:hanging="646"/>
      </w:pPr>
      <w:rPr>
        <w:rFonts w:ascii="Times New Roman" w:hAnsi="Times New Roman" w:hint="default"/>
        <w:b/>
        <w:sz w:val="24"/>
      </w:rPr>
    </w:lvl>
    <w:lvl w:ilvl="2">
      <w:start w:val="1"/>
      <w:numFmt w:val="decimal"/>
      <w:pStyle w:val="AppendixH3"/>
      <w:lvlText w:val="%1.%2.%3"/>
      <w:lvlJc w:val="left"/>
      <w:pPr>
        <w:ind w:left="454" w:hanging="454"/>
      </w:pPr>
      <w:rPr>
        <w:rFonts w:ascii="Times New Roman" w:hAnsi="Times New Roman" w:hint="default"/>
        <w:i/>
        <w:sz w:val="24"/>
      </w:rPr>
    </w:lvl>
    <w:lvl w:ilvl="3">
      <w:start w:val="1"/>
      <w:numFmt w:val="decimal"/>
      <w:lvlText w:val="(%4)"/>
      <w:lvlJc w:val="left"/>
      <w:pPr>
        <w:ind w:left="1608" w:hanging="360"/>
      </w:pPr>
      <w:rPr>
        <w:rFonts w:hint="default"/>
      </w:rPr>
    </w:lvl>
    <w:lvl w:ilvl="4">
      <w:start w:val="1"/>
      <w:numFmt w:val="lowerLetter"/>
      <w:lvlText w:val="(%5)"/>
      <w:lvlJc w:val="left"/>
      <w:pPr>
        <w:ind w:left="1968" w:hanging="360"/>
      </w:pPr>
      <w:rPr>
        <w:rFonts w:hint="default"/>
      </w:rPr>
    </w:lvl>
    <w:lvl w:ilvl="5">
      <w:start w:val="1"/>
      <w:numFmt w:val="lowerRoman"/>
      <w:lvlText w:val="(%6)"/>
      <w:lvlJc w:val="left"/>
      <w:pPr>
        <w:ind w:left="2328" w:hanging="360"/>
      </w:pPr>
      <w:rPr>
        <w:rFonts w:hint="default"/>
      </w:rPr>
    </w:lvl>
    <w:lvl w:ilvl="6">
      <w:start w:val="1"/>
      <w:numFmt w:val="decimal"/>
      <w:lvlText w:val="%7."/>
      <w:lvlJc w:val="left"/>
      <w:pPr>
        <w:ind w:left="2688" w:hanging="360"/>
      </w:pPr>
      <w:rPr>
        <w:rFonts w:hint="default"/>
      </w:rPr>
    </w:lvl>
    <w:lvl w:ilvl="7">
      <w:start w:val="1"/>
      <w:numFmt w:val="lowerLetter"/>
      <w:lvlText w:val="%8."/>
      <w:lvlJc w:val="left"/>
      <w:pPr>
        <w:ind w:left="3048" w:hanging="360"/>
      </w:pPr>
      <w:rPr>
        <w:rFonts w:hint="default"/>
      </w:rPr>
    </w:lvl>
    <w:lvl w:ilvl="8">
      <w:start w:val="1"/>
      <w:numFmt w:val="lowerRoman"/>
      <w:lvlText w:val="%9."/>
      <w:lvlJc w:val="left"/>
      <w:pPr>
        <w:ind w:left="3408" w:hanging="360"/>
      </w:pPr>
      <w:rPr>
        <w:rFonts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6"/>
  </w:num>
  <w:num w:numId="3">
    <w:abstractNumId w:val="15"/>
  </w:num>
  <w:num w:numId="4">
    <w:abstractNumId w:val="24"/>
  </w:num>
  <w:num w:numId="5">
    <w:abstractNumId w:val="21"/>
  </w:num>
  <w:num w:numId="6">
    <w:abstractNumId w:val="5"/>
  </w:num>
  <w:num w:numId="7">
    <w:abstractNumId w:val="4"/>
  </w:num>
  <w:num w:numId="8">
    <w:abstractNumId w:val="3"/>
  </w:num>
  <w:num w:numId="9">
    <w:abstractNumId w:val="7"/>
    <w:lvlOverride w:ilvl="0">
      <w:lvl w:ilvl="0">
        <w:start w:val="1"/>
        <w:numFmt w:val="decimal"/>
        <w:pStyle w:val="AppendixH1"/>
        <w:lvlText w:val="%1 "/>
        <w:lvlJc w:val="left"/>
        <w:pPr>
          <w:ind w:left="454" w:hanging="45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AppendixH2"/>
        <w:lvlText w:val="%1.%2"/>
        <w:lvlJc w:val="left"/>
        <w:pPr>
          <w:ind w:left="454" w:hanging="646"/>
        </w:pPr>
        <w:rPr>
          <w:rFonts w:ascii="Times New Roman" w:hAnsi="Times New Roman" w:hint="default"/>
          <w:b/>
          <w:sz w:val="24"/>
        </w:rPr>
      </w:lvl>
    </w:lvlOverride>
    <w:lvlOverride w:ilvl="2">
      <w:lvl w:ilvl="2">
        <w:start w:val="1"/>
        <w:numFmt w:val="decimal"/>
        <w:pStyle w:val="AppendixH3"/>
        <w:lvlText w:val="%1.%2.%3"/>
        <w:lvlJc w:val="left"/>
        <w:pPr>
          <w:ind w:left="454" w:hanging="454"/>
        </w:pPr>
        <w:rPr>
          <w:rFonts w:ascii="Times New Roman" w:hAnsi="Times New Roman" w:hint="default"/>
          <w:i/>
          <w:sz w:val="24"/>
        </w:rPr>
      </w:lvl>
    </w:lvlOverride>
    <w:lvlOverride w:ilvl="3">
      <w:lvl w:ilvl="3">
        <w:start w:val="1"/>
        <w:numFmt w:val="decimal"/>
        <w:lvlText w:val="(%4)"/>
        <w:lvlJc w:val="left"/>
        <w:pPr>
          <w:ind w:left="1608" w:hanging="360"/>
        </w:pPr>
        <w:rPr>
          <w:rFonts w:hint="default"/>
        </w:rPr>
      </w:lvl>
    </w:lvlOverride>
    <w:lvlOverride w:ilvl="4">
      <w:lvl w:ilvl="4">
        <w:start w:val="1"/>
        <w:numFmt w:val="lowerLetter"/>
        <w:lvlText w:val="(%5)"/>
        <w:lvlJc w:val="left"/>
        <w:pPr>
          <w:ind w:left="1968" w:hanging="360"/>
        </w:pPr>
        <w:rPr>
          <w:rFonts w:hint="default"/>
        </w:rPr>
      </w:lvl>
    </w:lvlOverride>
    <w:lvlOverride w:ilvl="5">
      <w:lvl w:ilvl="5">
        <w:start w:val="1"/>
        <w:numFmt w:val="lowerRoman"/>
        <w:lvlText w:val="(%6)"/>
        <w:lvlJc w:val="left"/>
        <w:pPr>
          <w:ind w:left="2328" w:hanging="360"/>
        </w:pPr>
        <w:rPr>
          <w:rFonts w:hint="default"/>
        </w:rPr>
      </w:lvl>
    </w:lvlOverride>
    <w:lvlOverride w:ilvl="6">
      <w:lvl w:ilvl="6">
        <w:start w:val="1"/>
        <w:numFmt w:val="decimal"/>
        <w:lvlText w:val="%7."/>
        <w:lvlJc w:val="left"/>
        <w:pPr>
          <w:ind w:left="2688" w:hanging="360"/>
        </w:pPr>
        <w:rPr>
          <w:rFonts w:hint="default"/>
        </w:rPr>
      </w:lvl>
    </w:lvlOverride>
    <w:lvlOverride w:ilvl="7">
      <w:lvl w:ilvl="7">
        <w:start w:val="1"/>
        <w:numFmt w:val="lowerLetter"/>
        <w:lvlText w:val="%8."/>
        <w:lvlJc w:val="left"/>
        <w:pPr>
          <w:ind w:left="3048" w:hanging="360"/>
        </w:pPr>
        <w:rPr>
          <w:rFonts w:hint="default"/>
        </w:rPr>
      </w:lvl>
    </w:lvlOverride>
    <w:lvlOverride w:ilvl="8">
      <w:lvl w:ilvl="8">
        <w:start w:val="1"/>
        <w:numFmt w:val="lowerRoman"/>
        <w:lvlText w:val="%9."/>
        <w:lvlJc w:val="left"/>
        <w:pPr>
          <w:ind w:left="3408" w:hanging="360"/>
        </w:pPr>
        <w:rPr>
          <w:rFonts w:hint="default"/>
        </w:rPr>
      </w:lvl>
    </w:lvlOverride>
  </w:num>
  <w:num w:numId="10">
    <w:abstractNumId w:val="0"/>
  </w:num>
  <w:num w:numId="11">
    <w:abstractNumId w:val="7"/>
  </w:num>
  <w:num w:numId="12">
    <w:abstractNumId w:val="2"/>
  </w:num>
  <w:num w:numId="13">
    <w:abstractNumId w:val="1"/>
  </w:num>
  <w:num w:numId="14">
    <w:abstractNumId w:val="14"/>
    <w:lvlOverride w:ilvl="0">
      <w:startOverride w:val="1"/>
    </w:lvlOverride>
  </w:num>
  <w:num w:numId="15">
    <w:abstractNumId w:val="12"/>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num>
  <w:num w:numId="18">
    <w:abstractNumId w:val="25"/>
    <w:lvlOverride w:ilvl="0">
      <w:startOverride w:val="1"/>
    </w:lvlOverride>
  </w:num>
  <w:num w:numId="19">
    <w:abstractNumId w:val="20"/>
  </w:num>
  <w:num w:numId="20">
    <w:abstractNumId w:val="12"/>
  </w:num>
  <w:num w:numId="21">
    <w:abstractNumId w:val="23"/>
  </w:num>
  <w:num w:numId="22">
    <w:abstractNumId w:val="11"/>
  </w:num>
  <w:num w:numId="23">
    <w:abstractNumId w:val="13"/>
  </w:num>
  <w:num w:numId="24">
    <w:abstractNumId w:val="9"/>
  </w:num>
  <w:num w:numId="25">
    <w:abstractNumId w:val="22"/>
  </w:num>
  <w:num w:numId="26">
    <w:abstractNumId w:val="8"/>
  </w:num>
  <w:num w:numId="27">
    <w:abstractNumId w:val="14"/>
  </w:num>
  <w:num w:numId="28">
    <w:abstractNumId w:val="18"/>
  </w:num>
  <w:num w:numId="29">
    <w:abstractNumId w:val="19"/>
  </w:num>
  <w:num w:numId="30">
    <w:abstractNumId w:val="10"/>
  </w:num>
  <w:num w:numId="31">
    <w:abstractNumId w:val="17"/>
  </w:num>
  <w:num w:numId="32">
    <w:abstractNumId w:val="2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BATIER Nicolas (RTD)">
    <w15:presenceInfo w15:providerId="None" w15:userId="SABATIER Nicolas (R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proofState w:spelling="clean"/>
  <w:attachedTemplate r:id="rId1"/>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11 11:01:5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40"/>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C05BC42D-2A96-4FF7-BD58-B11E0CBB7BA9"/>
    <w:docVar w:name="LW_COVERPAGE_TYPE" w:val="1"/>
    <w:docVar w:name="LW_CROSSREFERENCE" w:val="{SEC(2018) 291 final}_x000a_{SWD(2018) 307 final}_x000a_{SWD(2018) 308 final}_x000a_{SWD(2018) 309 final}"/>
    <w:docVar w:name="LW_DocType" w:val="COM"/>
    <w:docVar w:name="LW_EMISSION" w:val="7.6.2018"/>
    <w:docVar w:name="LW_EMISSION_ISODATE" w:val="2018-06-07"/>
    <w:docVar w:name="LW_EMISSION_LOCATION" w:val="BRX"/>
    <w:docVar w:name="LW_EMISSION_PREFIX" w:val="\u1041?\u1088?\u1102?\u1082?\u1089?\u1077?\u1083?,"/>
    <w:docVar w:name="LW_EMISSION_SUFFIX" w:val="&lt;EMPTY&gt;"/>
    <w:docVar w:name="LW_ID_DOCMODEL" w:val="SJ-025"/>
    <w:docVar w:name="LW_ID_DOCSIGNATURE" w:val="SJ-025"/>
    <w:docVar w:name="LW_ID_DOCSTRUCTURE" w:val="COM/PL/ORG"/>
    <w:docVar w:name="LW_ID_DOCTYPE" w:val="SJ-025"/>
    <w:docVar w:name="LW_ID_EXP.MOTIFS.NEW" w:val="EM_PL_"/>
    <w:docVar w:name="LW_ID_STATUT" w:val="SJ-025"/>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25"/>
    <w:docVar w:name="LW_REF.II.NEW.CP_YEAR" w:val="2018"/>
    <w:docVar w:name="LW_REF.INST.NEW" w:val="COM"/>
    <w:docVar w:name="LW_REF.INST.NEW_ADOPTED" w:val="final"/>
    <w:docVar w:name="LW_REF.INST.NEW_TEXT" w:val="(2018) 4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9?\u1098?\u1079?\u1076?\u1072?\u1074?\u1072?\u1085?\u1077? \u1085?\u1072? \u1089?\u1087?\u1077?\u1094?\u1080?\u1092?\u1080?\u1095?\u1085?\u1072? \u1087?\u1088?\u1086?\u1075?\u1088?\u1072?\u1084?\u1072? \u1079?\u1072? \u1086?\u1089?\u1098?\u1097?\u1077?\u1089?\u1090?\u1074?\u1103?\u1074?\u1072?\u1085?\u1077? \u1085?\u1072? \u1056?\u1072?\u1084?\u1082?\u1086?\u1074?\u1072?\u1090?\u1072? \u1087?\u1088?\u1086?\u1075?\u1088?\u1072?\u1084?\u1072? \u1079?\u1072? \u1085?\u1072?\u1091?\u1095?\u1085?\u1080? \u1080?\u1079?\u1089?\u1083?\u1077?\u1076?\u1074?\u1072?\u1085?\u1080?\u1103? \u1080? \u1080?\u1085?\u1086?\u1074?\u1072?\u1094?\u1080?\u1080? \u8222?\u1061?\u1086?\u1088?\u1080?\u1079?\u1086?\u1085?\u1090? \u1045?\u1074?\u1088?\u1086?\u1087?\u1072?\u8220? "/>
    <w:docVar w:name="LW_TYPE.DOC.CP" w:val="\u1056?\u1045?\u1064?\u1045?\u1053?\u1048?\u1045? \u1053?\u1040? \u1045?\u1042?\u1056?\u1054?\u1055?\u1045?\u1049?\u1057?\u1050?\u1048?\u1071? \u1055?\u1040?\u1056?\u1051?\u1040?\u1052?\u1045?\u1053?\u1058? \u1048? \u1053?\u1040? \u1057?\u1066?\u1042?\u1045?\u1058?\u1040?"/>
  </w:docVars>
  <w:rsids>
    <w:rsidRoot w:val="008209B4"/>
    <w:rsid w:val="008209B4"/>
    <w:rsid w:val="00A5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List Bullet" w:uiPriority="0"/>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bg-BG"/>
    </w:rPr>
  </w:style>
  <w:style w:type="paragraph" w:styleId="BalloonText">
    <w:name w:val="Balloon Text"/>
    <w:basedOn w:val="Normal"/>
    <w:link w:val="BalloonTextChar"/>
    <w:semiHidden/>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bg-BG"/>
    </w:rPr>
  </w:style>
  <w:style w:type="paragraph" w:styleId="ListParagraph">
    <w:name w:val="List Paragraph"/>
    <w:aliases w:val="Nad,Odstavec_muj,Table/Figure Heading,Colorful List - Accent 11,Dot pt,F5 List Paragraph,List Paragraph1,No Spacing1,List Paragraph Char Char Char,Indicator Text,Numbered Para 1,Bullet Points,MAIN CONTENT,List Paragraph11,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ad Char,Odstavec_muj Char,Table/Figure Heading Char,Colorful List - Accent 11 Char,Dot pt Char,F5 List Paragraph Char,List Paragraph1 Char,No Spacing1 Char,List Paragraph Char Char Char Char,Indicator Text Char,Numbered Para 1 Char"/>
    <w:basedOn w:val="DefaultParagraphFont"/>
    <w:link w:val="ListParagraph"/>
    <w:uiPriority w:val="34"/>
    <w:locked/>
    <w:rPr>
      <w:lang w:val="bg-BG"/>
    </w:rPr>
  </w:style>
  <w:style w:type="table" w:styleId="TableGrid">
    <w:name w:val="Table Grid"/>
    <w:aliases w:val="Document Table,CV1,Standard table format"/>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leformat1">
    <w:name w:val="Standard table format1"/>
    <w:basedOn w:val="TableNormal"/>
    <w:next w:val="TableGrid"/>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leformat2">
    <w:name w:val="Standard table format2"/>
    <w:basedOn w:val="TableNormal"/>
    <w:next w:val="TableGrid"/>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1">
    <w:name w:val="Appendix H1"/>
    <w:basedOn w:val="Normal"/>
    <w:link w:val="AppendixH1Char"/>
    <w:qFormat/>
    <w:pPr>
      <w:numPr>
        <w:numId w:val="9"/>
      </w:numPr>
      <w:suppressAutoHyphens/>
      <w:autoSpaceDN w:val="0"/>
      <w:spacing w:before="200" w:after="200" w:line="276" w:lineRule="auto"/>
      <w:jc w:val="left"/>
      <w:textAlignment w:val="baseline"/>
      <w:outlineLvl w:val="1"/>
    </w:pPr>
    <w:rPr>
      <w:rFonts w:eastAsia="Calibri"/>
      <w:b/>
      <w:color w:val="7C1B71"/>
      <w:szCs w:val="24"/>
    </w:rPr>
  </w:style>
  <w:style w:type="paragraph" w:customStyle="1" w:styleId="AppendixH2">
    <w:name w:val="Appendix H2"/>
    <w:basedOn w:val="Normal"/>
    <w:qFormat/>
    <w:pPr>
      <w:numPr>
        <w:ilvl w:val="1"/>
        <w:numId w:val="9"/>
      </w:numPr>
      <w:suppressAutoHyphens/>
      <w:autoSpaceDN w:val="0"/>
      <w:spacing w:before="0" w:after="200" w:line="276" w:lineRule="auto"/>
      <w:ind w:left="646"/>
      <w:jc w:val="left"/>
      <w:textAlignment w:val="baseline"/>
    </w:pPr>
    <w:rPr>
      <w:rFonts w:eastAsia="Calibri"/>
      <w:b/>
      <w:color w:val="7C1B71"/>
      <w:szCs w:val="24"/>
    </w:rPr>
  </w:style>
  <w:style w:type="character" w:customStyle="1" w:styleId="AppendixH1Char">
    <w:name w:val="Appendix H1 Char"/>
    <w:basedOn w:val="DefaultParagraphFont"/>
    <w:link w:val="AppendixH1"/>
    <w:rPr>
      <w:rFonts w:ascii="Times New Roman" w:eastAsia="Calibri" w:hAnsi="Times New Roman" w:cs="Times New Roman"/>
      <w:b/>
      <w:color w:val="7C1B71"/>
      <w:sz w:val="24"/>
      <w:szCs w:val="24"/>
      <w:lang w:val="en-GB"/>
    </w:rPr>
  </w:style>
  <w:style w:type="paragraph" w:customStyle="1" w:styleId="AppendixH3">
    <w:name w:val="Appendix H3"/>
    <w:basedOn w:val="Normal"/>
    <w:qFormat/>
    <w:pPr>
      <w:numPr>
        <w:ilvl w:val="2"/>
        <w:numId w:val="9"/>
      </w:numPr>
      <w:suppressAutoHyphens/>
      <w:autoSpaceDN w:val="0"/>
      <w:spacing w:before="0" w:after="200" w:line="276" w:lineRule="auto"/>
      <w:jc w:val="left"/>
      <w:textAlignment w:val="baseline"/>
    </w:pPr>
    <w:rPr>
      <w:rFonts w:eastAsia="Calibri"/>
      <w:i/>
      <w:szCs w:val="24"/>
    </w:rPr>
  </w:style>
  <w:style w:type="numbering" w:customStyle="1" w:styleId="appendix">
    <w:name w:val="appendix"/>
    <w:uiPriority w:val="99"/>
    <w:pPr>
      <w:numPr>
        <w:numId w:val="11"/>
      </w:numPr>
    </w:pPr>
  </w:style>
  <w:style w:type="paragraph" w:styleId="NormalWeb">
    <w:name w:val="Normal (Web)"/>
    <w:basedOn w:val="Normal"/>
    <w:uiPriority w:val="99"/>
    <w:unhideWhenUsed/>
    <w:pPr>
      <w:spacing w:before="0" w:after="200" w:line="276" w:lineRule="auto"/>
      <w:jc w:val="left"/>
    </w:pPr>
    <w:rPr>
      <w:szCs w:val="24"/>
    </w:rPr>
  </w:style>
  <w:style w:type="paragraph" w:customStyle="1" w:styleId="Footnotenumber">
    <w:name w:val="Footnote number"/>
    <w:aliases w:val="fr"/>
    <w:basedOn w:val="Normal"/>
    <w:uiPriority w:val="99"/>
    <w:pPr>
      <w:spacing w:before="0" w:after="160" w:line="240" w:lineRule="exact"/>
      <w:jc w:val="left"/>
    </w:pPr>
    <w:rPr>
      <w:rFonts w:asciiTheme="minorHAnsi" w:hAnsiTheme="minorHAnsi" w:cstheme="minorBidi"/>
      <w:sz w:val="22"/>
      <w:vertAlign w:val="superscript"/>
    </w:rPr>
  </w:style>
  <w:style w:type="numbering" w:customStyle="1" w:styleId="NumbLstTableBullet8">
    <w:name w:val="NumbLstTableBullet8"/>
    <w:uiPriority w:val="99"/>
    <w:pPr>
      <w:numPr>
        <w:numId w:val="1"/>
      </w:numPr>
    </w:p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lang w:val="bg-BG"/>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NoList1">
    <w:name w:val="No List1"/>
    <w:next w:val="NoList"/>
    <w:uiPriority w:val="99"/>
    <w:semiHidden/>
    <w:unhideWhenUsed/>
  </w:style>
  <w:style w:type="numbering" w:customStyle="1" w:styleId="NumbLstTableBullet81">
    <w:name w:val="NumbLstTableBullet81"/>
    <w:uiPriority w:val="99"/>
  </w:style>
  <w:style w:type="numbering" w:customStyle="1" w:styleId="NoList2">
    <w:name w:val="No List2"/>
    <w:next w:val="NoList"/>
    <w:uiPriority w:val="99"/>
    <w:semiHidden/>
    <w:unhideWhenUsed/>
  </w:style>
  <w:style w:type="numbering" w:customStyle="1" w:styleId="NumbLstTableBullet82">
    <w:name w:val="NumbLstTableBullet82"/>
    <w:uiPriority w:val="99"/>
  </w:style>
  <w:style w:type="numbering" w:customStyle="1" w:styleId="NumbLstTableBullet83">
    <w:name w:val="NumbLstTableBullet83"/>
    <w:uiPriority w:val="99"/>
  </w:style>
  <w:style w:type="character" w:customStyle="1" w:styleId="st1">
    <w:name w:val="st1"/>
    <w:basedOn w:val="DefaultParagraphFont"/>
  </w:style>
  <w:style w:type="numbering" w:customStyle="1" w:styleId="NumbLstTableBullet84">
    <w:name w:val="NumbLstTableBullet84"/>
    <w:uiPriority w:val="99"/>
  </w:style>
  <w:style w:type="numbering" w:customStyle="1" w:styleId="NoList3">
    <w:name w:val="No List3"/>
    <w:next w:val="NoList"/>
    <w:uiPriority w:val="99"/>
    <w:semiHidden/>
    <w:unhideWhenUsed/>
  </w:style>
  <w:style w:type="character" w:styleId="PageNumber">
    <w:name w:val="page number"/>
    <w:rPr>
      <w:rFonts w:cs="Times New Roman"/>
      <w:lang w:val="bg-BG" w:eastAsia="bg-BG"/>
    </w:rPr>
  </w:style>
  <w:style w:type="character" w:customStyle="1" w:styleId="tw4winMark">
    <w:name w:val="tw4winMark"/>
    <w:rPr>
      <w:rFonts w:ascii="Times New Roman" w:hAnsi="Times New Roman"/>
      <w:vanish/>
      <w:color w:val="800080"/>
      <w:sz w:val="24"/>
      <w:vertAlign w:val="subscript"/>
      <w:lang w:val="bg-BG" w:eastAsia="bg-BG"/>
    </w:rPr>
  </w:style>
  <w:style w:type="character" w:customStyle="1" w:styleId="tw4winError">
    <w:name w:val="tw4winError"/>
    <w:rPr>
      <w:color w:val="00FF00"/>
      <w:sz w:val="40"/>
      <w:lang w:val="bg-BG" w:eastAsia="bg-BG"/>
    </w:rPr>
  </w:style>
  <w:style w:type="character" w:customStyle="1" w:styleId="tw4winTerm">
    <w:name w:val="tw4winTerm"/>
    <w:rPr>
      <w:color w:val="0000FF"/>
      <w:lang w:val="bg-BG" w:eastAsia="bg-BG"/>
    </w:rPr>
  </w:style>
  <w:style w:type="character" w:customStyle="1" w:styleId="tw4winPopup">
    <w:name w:val="tw4winPopup"/>
    <w:rPr>
      <w:noProof/>
      <w:color w:val="008000"/>
      <w:lang w:val="bg-BG" w:eastAsia="bg-BG"/>
    </w:rPr>
  </w:style>
  <w:style w:type="character" w:customStyle="1" w:styleId="tw4winJump">
    <w:name w:val="tw4winJump"/>
    <w:rPr>
      <w:noProof/>
      <w:color w:val="008080"/>
      <w:lang w:val="bg-BG" w:eastAsia="bg-BG"/>
    </w:rPr>
  </w:style>
  <w:style w:type="character" w:customStyle="1" w:styleId="tw4winExternal">
    <w:name w:val="tw4winExternal"/>
    <w:rPr>
      <w:noProof/>
      <w:color w:val="808080"/>
      <w:lang w:val="bg-BG" w:eastAsia="bg-BG"/>
    </w:rPr>
  </w:style>
  <w:style w:type="character" w:customStyle="1" w:styleId="tw4winInternal">
    <w:name w:val="tw4winInternal"/>
    <w:rPr>
      <w:noProof/>
      <w:color w:val="FF0000"/>
      <w:lang w:val="bg-BG" w:eastAsia="bg-BG"/>
    </w:rPr>
  </w:style>
  <w:style w:type="character" w:customStyle="1" w:styleId="DONOTTRANSLATE">
    <w:name w:val="DO_NOT_TRANSLATE"/>
    <w:rPr>
      <w:noProof/>
      <w:color w:val="800000"/>
      <w:lang w:val="bg-BG" w:eastAsia="bg-BG"/>
    </w:rPr>
  </w:style>
  <w:style w:type="paragraph" w:styleId="CommentSubject">
    <w:name w:val="annotation subject"/>
    <w:basedOn w:val="CommentText"/>
    <w:next w:val="CommentText"/>
    <w:link w:val="CommentSubjectChar"/>
    <w:semiHidden/>
    <w:pPr>
      <w:spacing w:before="0" w:after="0"/>
      <w:jc w:val="left"/>
    </w:pPr>
    <w:rPr>
      <w:rFonts w:eastAsia="Times New Roman"/>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bg-BG" w:eastAsia="bg-BG"/>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rPr>
  </w:style>
  <w:style w:type="character" w:customStyle="1" w:styleId="FooterCoverPageChar">
    <w:name w:val="Footer Cover Page Char"/>
    <w:link w:val="FooterCoverPage"/>
    <w:rPr>
      <w:rFonts w:ascii="Times New Roman" w:eastAsia="Times New Roman" w:hAnsi="Times New Roman" w:cs="Times New Roman"/>
      <w:sz w:val="24"/>
      <w:szCs w:val="24"/>
      <w:lang w:val="bg-BG" w:eastAsia="bg-BG"/>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rPr>
  </w:style>
  <w:style w:type="character" w:customStyle="1" w:styleId="HeaderCoverPageChar">
    <w:name w:val="Header Cover Page Char"/>
    <w:link w:val="HeaderCoverPage"/>
    <w:rPr>
      <w:rFonts w:ascii="Times New Roman" w:eastAsia="Times New Roman" w:hAnsi="Times New Roman" w:cs="Times New Roman"/>
      <w:sz w:val="24"/>
      <w:szCs w:val="24"/>
      <w:lang w:val="bg-BG" w:eastAsia="bg-BG"/>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ListNumber4">
    <w:name w:val="List Number 4"/>
    <w:basedOn w:val="Normal"/>
    <w:pPr>
      <w:numPr>
        <w:numId w:val="10"/>
      </w:numPr>
      <w:contextualSpacing/>
    </w:pPr>
    <w:rPr>
      <w:rFonts w:eastAsia="Times New Roman"/>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PlainText">
    <w:name w:val="Plain Text"/>
    <w:basedOn w:val="Normal"/>
    <w:link w:val="PlainTextChar"/>
    <w:uiPriority w:val="99"/>
    <w:semiHidden/>
    <w:unhideWhenUsed/>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lang w:val="bg-BG"/>
    </w:rPr>
  </w:style>
  <w:style w:type="paragraph" w:styleId="Header">
    <w:name w:val="header"/>
    <w:basedOn w:val="Normal"/>
    <w:link w:val="HeaderChar"/>
    <w:uiPriority w:val="99"/>
    <w:unhideWhenUsed/>
    <w:rsid w:val="00A54173"/>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A54173"/>
    <w:rPr>
      <w:rFonts w:ascii="Times New Roman" w:hAnsi="Times New Roman" w:cs="Times New Roman"/>
      <w:sz w:val="24"/>
      <w:lang w:eastAsia="en-US" w:bidi="ar-SA"/>
    </w:rPr>
  </w:style>
  <w:style w:type="paragraph" w:styleId="Footer">
    <w:name w:val="footer"/>
    <w:basedOn w:val="Normal"/>
    <w:link w:val="FooterChar"/>
    <w:uiPriority w:val="99"/>
    <w:unhideWhenUsed/>
    <w:rsid w:val="00A54173"/>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A54173"/>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54173"/>
    <w:pPr>
      <w:tabs>
        <w:tab w:val="center" w:pos="7285"/>
        <w:tab w:val="right" w:pos="14003"/>
      </w:tabs>
      <w:spacing w:before="0"/>
    </w:pPr>
    <w:rPr>
      <w:lang w:eastAsia="en-US" w:bidi="ar-SA"/>
    </w:rPr>
  </w:style>
  <w:style w:type="paragraph" w:customStyle="1" w:styleId="FooterLandscape">
    <w:name w:val="FooterLandscape"/>
    <w:basedOn w:val="Normal"/>
    <w:rsid w:val="00A54173"/>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54173"/>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A54173"/>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List Bullet" w:uiPriority="0"/>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bg-BG"/>
    </w:rPr>
  </w:style>
  <w:style w:type="paragraph" w:styleId="BalloonText">
    <w:name w:val="Balloon Text"/>
    <w:basedOn w:val="Normal"/>
    <w:link w:val="BalloonTextChar"/>
    <w:semiHidden/>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bg-BG"/>
    </w:rPr>
  </w:style>
  <w:style w:type="paragraph" w:styleId="ListParagraph">
    <w:name w:val="List Paragraph"/>
    <w:aliases w:val="Nad,Odstavec_muj,Table/Figure Heading,Colorful List - Accent 11,Dot pt,F5 List Paragraph,List Paragraph1,No Spacing1,List Paragraph Char Char Char,Indicator Text,Numbered Para 1,Bullet Points,MAIN CONTENT,List Paragraph11,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ad Char,Odstavec_muj Char,Table/Figure Heading Char,Colorful List - Accent 11 Char,Dot pt Char,F5 List Paragraph Char,List Paragraph1 Char,No Spacing1 Char,List Paragraph Char Char Char Char,Indicator Text Char,Numbered Para 1 Char"/>
    <w:basedOn w:val="DefaultParagraphFont"/>
    <w:link w:val="ListParagraph"/>
    <w:uiPriority w:val="34"/>
    <w:locked/>
    <w:rPr>
      <w:lang w:val="bg-BG"/>
    </w:rPr>
  </w:style>
  <w:style w:type="table" w:styleId="TableGrid">
    <w:name w:val="Table Grid"/>
    <w:aliases w:val="Document Table,CV1,Standard table format"/>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leformat1">
    <w:name w:val="Standard table format1"/>
    <w:basedOn w:val="TableNormal"/>
    <w:next w:val="TableGrid"/>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leformat2">
    <w:name w:val="Standard table format2"/>
    <w:basedOn w:val="TableNormal"/>
    <w:next w:val="TableGrid"/>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1">
    <w:name w:val="Appendix H1"/>
    <w:basedOn w:val="Normal"/>
    <w:link w:val="AppendixH1Char"/>
    <w:qFormat/>
    <w:pPr>
      <w:numPr>
        <w:numId w:val="9"/>
      </w:numPr>
      <w:suppressAutoHyphens/>
      <w:autoSpaceDN w:val="0"/>
      <w:spacing w:before="200" w:after="200" w:line="276" w:lineRule="auto"/>
      <w:jc w:val="left"/>
      <w:textAlignment w:val="baseline"/>
      <w:outlineLvl w:val="1"/>
    </w:pPr>
    <w:rPr>
      <w:rFonts w:eastAsia="Calibri"/>
      <w:b/>
      <w:color w:val="7C1B71"/>
      <w:szCs w:val="24"/>
    </w:rPr>
  </w:style>
  <w:style w:type="paragraph" w:customStyle="1" w:styleId="AppendixH2">
    <w:name w:val="Appendix H2"/>
    <w:basedOn w:val="Normal"/>
    <w:qFormat/>
    <w:pPr>
      <w:numPr>
        <w:ilvl w:val="1"/>
        <w:numId w:val="9"/>
      </w:numPr>
      <w:suppressAutoHyphens/>
      <w:autoSpaceDN w:val="0"/>
      <w:spacing w:before="0" w:after="200" w:line="276" w:lineRule="auto"/>
      <w:ind w:left="646"/>
      <w:jc w:val="left"/>
      <w:textAlignment w:val="baseline"/>
    </w:pPr>
    <w:rPr>
      <w:rFonts w:eastAsia="Calibri"/>
      <w:b/>
      <w:color w:val="7C1B71"/>
      <w:szCs w:val="24"/>
    </w:rPr>
  </w:style>
  <w:style w:type="character" w:customStyle="1" w:styleId="AppendixH1Char">
    <w:name w:val="Appendix H1 Char"/>
    <w:basedOn w:val="DefaultParagraphFont"/>
    <w:link w:val="AppendixH1"/>
    <w:rPr>
      <w:rFonts w:ascii="Times New Roman" w:eastAsia="Calibri" w:hAnsi="Times New Roman" w:cs="Times New Roman"/>
      <w:b/>
      <w:color w:val="7C1B71"/>
      <w:sz w:val="24"/>
      <w:szCs w:val="24"/>
      <w:lang w:val="en-GB"/>
    </w:rPr>
  </w:style>
  <w:style w:type="paragraph" w:customStyle="1" w:styleId="AppendixH3">
    <w:name w:val="Appendix H3"/>
    <w:basedOn w:val="Normal"/>
    <w:qFormat/>
    <w:pPr>
      <w:numPr>
        <w:ilvl w:val="2"/>
        <w:numId w:val="9"/>
      </w:numPr>
      <w:suppressAutoHyphens/>
      <w:autoSpaceDN w:val="0"/>
      <w:spacing w:before="0" w:after="200" w:line="276" w:lineRule="auto"/>
      <w:jc w:val="left"/>
      <w:textAlignment w:val="baseline"/>
    </w:pPr>
    <w:rPr>
      <w:rFonts w:eastAsia="Calibri"/>
      <w:i/>
      <w:szCs w:val="24"/>
    </w:rPr>
  </w:style>
  <w:style w:type="numbering" w:customStyle="1" w:styleId="appendix">
    <w:name w:val="appendix"/>
    <w:uiPriority w:val="99"/>
    <w:pPr>
      <w:numPr>
        <w:numId w:val="11"/>
      </w:numPr>
    </w:pPr>
  </w:style>
  <w:style w:type="paragraph" w:styleId="NormalWeb">
    <w:name w:val="Normal (Web)"/>
    <w:basedOn w:val="Normal"/>
    <w:uiPriority w:val="99"/>
    <w:unhideWhenUsed/>
    <w:pPr>
      <w:spacing w:before="0" w:after="200" w:line="276" w:lineRule="auto"/>
      <w:jc w:val="left"/>
    </w:pPr>
    <w:rPr>
      <w:szCs w:val="24"/>
    </w:rPr>
  </w:style>
  <w:style w:type="paragraph" w:customStyle="1" w:styleId="Footnotenumber">
    <w:name w:val="Footnote number"/>
    <w:aliases w:val="fr"/>
    <w:basedOn w:val="Normal"/>
    <w:uiPriority w:val="99"/>
    <w:pPr>
      <w:spacing w:before="0" w:after="160" w:line="240" w:lineRule="exact"/>
      <w:jc w:val="left"/>
    </w:pPr>
    <w:rPr>
      <w:rFonts w:asciiTheme="minorHAnsi" w:hAnsiTheme="minorHAnsi" w:cstheme="minorBidi"/>
      <w:sz w:val="22"/>
      <w:vertAlign w:val="superscript"/>
    </w:rPr>
  </w:style>
  <w:style w:type="numbering" w:customStyle="1" w:styleId="NumbLstTableBullet8">
    <w:name w:val="NumbLstTableBullet8"/>
    <w:uiPriority w:val="99"/>
    <w:pPr>
      <w:numPr>
        <w:numId w:val="1"/>
      </w:numPr>
    </w:p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lang w:val="bg-BG"/>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NoList1">
    <w:name w:val="No List1"/>
    <w:next w:val="NoList"/>
    <w:uiPriority w:val="99"/>
    <w:semiHidden/>
    <w:unhideWhenUsed/>
  </w:style>
  <w:style w:type="numbering" w:customStyle="1" w:styleId="NumbLstTableBullet81">
    <w:name w:val="NumbLstTableBullet81"/>
    <w:uiPriority w:val="99"/>
  </w:style>
  <w:style w:type="numbering" w:customStyle="1" w:styleId="NoList2">
    <w:name w:val="No List2"/>
    <w:next w:val="NoList"/>
    <w:uiPriority w:val="99"/>
    <w:semiHidden/>
    <w:unhideWhenUsed/>
  </w:style>
  <w:style w:type="numbering" w:customStyle="1" w:styleId="NumbLstTableBullet82">
    <w:name w:val="NumbLstTableBullet82"/>
    <w:uiPriority w:val="99"/>
  </w:style>
  <w:style w:type="numbering" w:customStyle="1" w:styleId="NumbLstTableBullet83">
    <w:name w:val="NumbLstTableBullet83"/>
    <w:uiPriority w:val="99"/>
  </w:style>
  <w:style w:type="character" w:customStyle="1" w:styleId="st1">
    <w:name w:val="st1"/>
    <w:basedOn w:val="DefaultParagraphFont"/>
  </w:style>
  <w:style w:type="numbering" w:customStyle="1" w:styleId="NumbLstTableBullet84">
    <w:name w:val="NumbLstTableBullet84"/>
    <w:uiPriority w:val="99"/>
  </w:style>
  <w:style w:type="numbering" w:customStyle="1" w:styleId="NoList3">
    <w:name w:val="No List3"/>
    <w:next w:val="NoList"/>
    <w:uiPriority w:val="99"/>
    <w:semiHidden/>
    <w:unhideWhenUsed/>
  </w:style>
  <w:style w:type="character" w:styleId="PageNumber">
    <w:name w:val="page number"/>
    <w:rPr>
      <w:rFonts w:cs="Times New Roman"/>
      <w:lang w:val="bg-BG" w:eastAsia="bg-BG"/>
    </w:rPr>
  </w:style>
  <w:style w:type="character" w:customStyle="1" w:styleId="tw4winMark">
    <w:name w:val="tw4winMark"/>
    <w:rPr>
      <w:rFonts w:ascii="Times New Roman" w:hAnsi="Times New Roman"/>
      <w:vanish/>
      <w:color w:val="800080"/>
      <w:sz w:val="24"/>
      <w:vertAlign w:val="subscript"/>
      <w:lang w:val="bg-BG" w:eastAsia="bg-BG"/>
    </w:rPr>
  </w:style>
  <w:style w:type="character" w:customStyle="1" w:styleId="tw4winError">
    <w:name w:val="tw4winError"/>
    <w:rPr>
      <w:color w:val="00FF00"/>
      <w:sz w:val="40"/>
      <w:lang w:val="bg-BG" w:eastAsia="bg-BG"/>
    </w:rPr>
  </w:style>
  <w:style w:type="character" w:customStyle="1" w:styleId="tw4winTerm">
    <w:name w:val="tw4winTerm"/>
    <w:rPr>
      <w:color w:val="0000FF"/>
      <w:lang w:val="bg-BG" w:eastAsia="bg-BG"/>
    </w:rPr>
  </w:style>
  <w:style w:type="character" w:customStyle="1" w:styleId="tw4winPopup">
    <w:name w:val="tw4winPopup"/>
    <w:rPr>
      <w:noProof/>
      <w:color w:val="008000"/>
      <w:lang w:val="bg-BG" w:eastAsia="bg-BG"/>
    </w:rPr>
  </w:style>
  <w:style w:type="character" w:customStyle="1" w:styleId="tw4winJump">
    <w:name w:val="tw4winJump"/>
    <w:rPr>
      <w:noProof/>
      <w:color w:val="008080"/>
      <w:lang w:val="bg-BG" w:eastAsia="bg-BG"/>
    </w:rPr>
  </w:style>
  <w:style w:type="character" w:customStyle="1" w:styleId="tw4winExternal">
    <w:name w:val="tw4winExternal"/>
    <w:rPr>
      <w:noProof/>
      <w:color w:val="808080"/>
      <w:lang w:val="bg-BG" w:eastAsia="bg-BG"/>
    </w:rPr>
  </w:style>
  <w:style w:type="character" w:customStyle="1" w:styleId="tw4winInternal">
    <w:name w:val="tw4winInternal"/>
    <w:rPr>
      <w:noProof/>
      <w:color w:val="FF0000"/>
      <w:lang w:val="bg-BG" w:eastAsia="bg-BG"/>
    </w:rPr>
  </w:style>
  <w:style w:type="character" w:customStyle="1" w:styleId="DONOTTRANSLATE">
    <w:name w:val="DO_NOT_TRANSLATE"/>
    <w:rPr>
      <w:noProof/>
      <w:color w:val="800000"/>
      <w:lang w:val="bg-BG" w:eastAsia="bg-BG"/>
    </w:rPr>
  </w:style>
  <w:style w:type="paragraph" w:styleId="CommentSubject">
    <w:name w:val="annotation subject"/>
    <w:basedOn w:val="CommentText"/>
    <w:next w:val="CommentText"/>
    <w:link w:val="CommentSubjectChar"/>
    <w:semiHidden/>
    <w:pPr>
      <w:spacing w:before="0" w:after="0"/>
      <w:jc w:val="left"/>
    </w:pPr>
    <w:rPr>
      <w:rFonts w:eastAsia="Times New Roman"/>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bg-BG" w:eastAsia="bg-BG"/>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rPr>
  </w:style>
  <w:style w:type="character" w:customStyle="1" w:styleId="FooterCoverPageChar">
    <w:name w:val="Footer Cover Page Char"/>
    <w:link w:val="FooterCoverPage"/>
    <w:rPr>
      <w:rFonts w:ascii="Times New Roman" w:eastAsia="Times New Roman" w:hAnsi="Times New Roman" w:cs="Times New Roman"/>
      <w:sz w:val="24"/>
      <w:szCs w:val="24"/>
      <w:lang w:val="bg-BG" w:eastAsia="bg-BG"/>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rPr>
  </w:style>
  <w:style w:type="character" w:customStyle="1" w:styleId="HeaderCoverPageChar">
    <w:name w:val="Header Cover Page Char"/>
    <w:link w:val="HeaderCoverPage"/>
    <w:rPr>
      <w:rFonts w:ascii="Times New Roman" w:eastAsia="Times New Roman" w:hAnsi="Times New Roman" w:cs="Times New Roman"/>
      <w:sz w:val="24"/>
      <w:szCs w:val="24"/>
      <w:lang w:val="bg-BG" w:eastAsia="bg-BG"/>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ListNumber4">
    <w:name w:val="List Number 4"/>
    <w:basedOn w:val="Normal"/>
    <w:pPr>
      <w:numPr>
        <w:numId w:val="10"/>
      </w:numPr>
      <w:contextualSpacing/>
    </w:pPr>
    <w:rPr>
      <w:rFonts w:eastAsia="Times New Roman"/>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PlainText">
    <w:name w:val="Plain Text"/>
    <w:basedOn w:val="Normal"/>
    <w:link w:val="PlainTextChar"/>
    <w:uiPriority w:val="99"/>
    <w:semiHidden/>
    <w:unhideWhenUsed/>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lang w:val="bg-BG"/>
    </w:rPr>
  </w:style>
  <w:style w:type="paragraph" w:styleId="Header">
    <w:name w:val="header"/>
    <w:basedOn w:val="Normal"/>
    <w:link w:val="HeaderChar"/>
    <w:uiPriority w:val="99"/>
    <w:unhideWhenUsed/>
    <w:rsid w:val="00A54173"/>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A54173"/>
    <w:rPr>
      <w:rFonts w:ascii="Times New Roman" w:hAnsi="Times New Roman" w:cs="Times New Roman"/>
      <w:sz w:val="24"/>
      <w:lang w:eastAsia="en-US" w:bidi="ar-SA"/>
    </w:rPr>
  </w:style>
  <w:style w:type="paragraph" w:styleId="Footer">
    <w:name w:val="footer"/>
    <w:basedOn w:val="Normal"/>
    <w:link w:val="FooterChar"/>
    <w:uiPriority w:val="99"/>
    <w:unhideWhenUsed/>
    <w:rsid w:val="00A54173"/>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A54173"/>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54173"/>
    <w:pPr>
      <w:tabs>
        <w:tab w:val="center" w:pos="7285"/>
        <w:tab w:val="right" w:pos="14003"/>
      </w:tabs>
      <w:spacing w:before="0"/>
    </w:pPr>
    <w:rPr>
      <w:lang w:eastAsia="en-US" w:bidi="ar-SA"/>
    </w:rPr>
  </w:style>
  <w:style w:type="paragraph" w:customStyle="1" w:styleId="FooterLandscape">
    <w:name w:val="FooterLandscape"/>
    <w:basedOn w:val="Normal"/>
    <w:rsid w:val="00A54173"/>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54173"/>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A54173"/>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5750">
      <w:bodyDiv w:val="1"/>
      <w:marLeft w:val="0"/>
      <w:marRight w:val="0"/>
      <w:marTop w:val="0"/>
      <w:marBottom w:val="0"/>
      <w:divBdr>
        <w:top w:val="none" w:sz="0" w:space="0" w:color="auto"/>
        <w:left w:val="none" w:sz="0" w:space="0" w:color="auto"/>
        <w:bottom w:val="none" w:sz="0" w:space="0" w:color="auto"/>
        <w:right w:val="none" w:sz="0" w:space="0" w:color="auto"/>
      </w:divBdr>
    </w:div>
    <w:div w:id="270817444">
      <w:bodyDiv w:val="1"/>
      <w:marLeft w:val="0"/>
      <w:marRight w:val="0"/>
      <w:marTop w:val="0"/>
      <w:marBottom w:val="0"/>
      <w:divBdr>
        <w:top w:val="none" w:sz="0" w:space="0" w:color="auto"/>
        <w:left w:val="none" w:sz="0" w:space="0" w:color="auto"/>
        <w:bottom w:val="none" w:sz="0" w:space="0" w:color="auto"/>
        <w:right w:val="none" w:sz="0" w:space="0" w:color="auto"/>
      </w:divBdr>
    </w:div>
    <w:div w:id="318846891">
      <w:bodyDiv w:val="1"/>
      <w:marLeft w:val="0"/>
      <w:marRight w:val="0"/>
      <w:marTop w:val="0"/>
      <w:marBottom w:val="0"/>
      <w:divBdr>
        <w:top w:val="none" w:sz="0" w:space="0" w:color="auto"/>
        <w:left w:val="none" w:sz="0" w:space="0" w:color="auto"/>
        <w:bottom w:val="none" w:sz="0" w:space="0" w:color="auto"/>
        <w:right w:val="none" w:sz="0" w:space="0" w:color="auto"/>
      </w:divBdr>
    </w:div>
    <w:div w:id="560218275">
      <w:bodyDiv w:val="1"/>
      <w:marLeft w:val="0"/>
      <w:marRight w:val="0"/>
      <w:marTop w:val="0"/>
      <w:marBottom w:val="0"/>
      <w:divBdr>
        <w:top w:val="none" w:sz="0" w:space="0" w:color="auto"/>
        <w:left w:val="none" w:sz="0" w:space="0" w:color="auto"/>
        <w:bottom w:val="none" w:sz="0" w:space="0" w:color="auto"/>
        <w:right w:val="none" w:sz="0" w:space="0" w:color="auto"/>
      </w:divBdr>
    </w:div>
    <w:div w:id="938754671">
      <w:bodyDiv w:val="1"/>
      <w:marLeft w:val="0"/>
      <w:marRight w:val="0"/>
      <w:marTop w:val="0"/>
      <w:marBottom w:val="0"/>
      <w:divBdr>
        <w:top w:val="none" w:sz="0" w:space="0" w:color="auto"/>
        <w:left w:val="none" w:sz="0" w:space="0" w:color="auto"/>
        <w:bottom w:val="none" w:sz="0" w:space="0" w:color="auto"/>
        <w:right w:val="none" w:sz="0" w:space="0" w:color="auto"/>
      </w:divBdr>
    </w:div>
    <w:div w:id="994798631">
      <w:bodyDiv w:val="1"/>
      <w:marLeft w:val="0"/>
      <w:marRight w:val="0"/>
      <w:marTop w:val="0"/>
      <w:marBottom w:val="0"/>
      <w:divBdr>
        <w:top w:val="none" w:sz="0" w:space="0" w:color="auto"/>
        <w:left w:val="none" w:sz="0" w:space="0" w:color="auto"/>
        <w:bottom w:val="none" w:sz="0" w:space="0" w:color="auto"/>
        <w:right w:val="none" w:sz="0" w:space="0" w:color="auto"/>
      </w:divBdr>
    </w:div>
    <w:div w:id="1178933160">
      <w:bodyDiv w:val="1"/>
      <w:marLeft w:val="0"/>
      <w:marRight w:val="0"/>
      <w:marTop w:val="0"/>
      <w:marBottom w:val="0"/>
      <w:divBdr>
        <w:top w:val="none" w:sz="0" w:space="0" w:color="auto"/>
        <w:left w:val="none" w:sz="0" w:space="0" w:color="auto"/>
        <w:bottom w:val="none" w:sz="0" w:space="0" w:color="auto"/>
        <w:right w:val="none" w:sz="0" w:space="0" w:color="auto"/>
      </w:divBdr>
    </w:div>
    <w:div w:id="1410537909">
      <w:bodyDiv w:val="1"/>
      <w:marLeft w:val="0"/>
      <w:marRight w:val="0"/>
      <w:marTop w:val="0"/>
      <w:marBottom w:val="0"/>
      <w:divBdr>
        <w:top w:val="none" w:sz="0" w:space="0" w:color="auto"/>
        <w:left w:val="none" w:sz="0" w:space="0" w:color="auto"/>
        <w:bottom w:val="none" w:sz="0" w:space="0" w:color="auto"/>
        <w:right w:val="none" w:sz="0" w:space="0" w:color="auto"/>
      </w:divBdr>
    </w:div>
    <w:div w:id="15321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2.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eader" Target="header8.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budgweb/EN/man/budgmanag/Pages/budgmanag.aspx." TargetMode="External"/><Relationship Id="rId2" Type="http://schemas.openxmlformats.org/officeDocument/2006/relationships/hyperlink" Target="https://eur-lex.europa.eu/legal-content/bg/ALL/?uri=CELEX:52018DC0098" TargetMode="External"/><Relationship Id="rId1" Type="http://schemas.openxmlformats.org/officeDocument/2006/relationships/hyperlink" Target="https://eur-lex.europa.eu/legal-content/bg/ALL/?uri=CELEX:52018DC00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9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6220B9CDD5B4AA251AE0A4FB43EDD" ma:contentTypeVersion="0" ma:contentTypeDescription="Create a new document." ma:contentTypeScope="" ma:versionID="4a3ad58c74ce6b717f7c202ddeb4ce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F7638-20D2-42CF-8467-311761C1F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85AF58-088D-4983-9D7B-633F54990D48}">
  <ds:schemaRef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01A47155-FE20-48F1-89E8-C900C265456C}">
  <ds:schemaRefs>
    <ds:schemaRef ds:uri="http://schemas.microsoft.com/sharepoint/v3/contenttype/forms"/>
  </ds:schemaRefs>
</ds:datastoreItem>
</file>

<file path=customXml/itemProps4.xml><?xml version="1.0" encoding="utf-8"?>
<ds:datastoreItem xmlns:ds="http://schemas.openxmlformats.org/officeDocument/2006/customXml" ds:itemID="{45419EFE-7D43-4D63-8D6E-5F7207B38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40</Pages>
  <Words>11187</Words>
  <Characters>66233</Characters>
  <Application>Microsoft Office Word</Application>
  <DocSecurity>0</DocSecurity>
  <Lines>1892</Lines>
  <Paragraphs>979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19</cp:revision>
  <cp:lastPrinted>2018-06-05T14:31:00Z</cp:lastPrinted>
  <dcterms:created xsi:type="dcterms:W3CDTF">2018-06-09T19:21:00Z</dcterms:created>
  <dcterms:modified xsi:type="dcterms:W3CDTF">2018-06-11T09:10:00Z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ContentTypeId">
    <vt:lpwstr>0x010100E276220B9CDD5B4AA251AE0A4FB43EDD</vt:lpwstr>
  </property>
  <property fmtid="{D5CDD505-2E9C-101B-9397-08002B2CF9AE}" pid="11" name="DQCStatus">
    <vt:lpwstr>Yellow (DQC version 03)</vt:lpwstr>
  </property>
</Properties>
</file>