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538C211-D223-4C12-B187-2B553A8013A0" style="width:450.8pt;height:307.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keepNext/>
        <w:spacing w:after="480" w:line="240" w:lineRule="auto"/>
        <w:jc w:val="center"/>
        <w:rPr>
          <w:rFonts w:ascii="Times New Roman" w:eastAsia="Times New Roman" w:hAnsi="Times New Roman" w:cs="Times New Roman"/>
          <w:b/>
          <w:smallCaps/>
          <w:noProof/>
          <w:sz w:val="28"/>
          <w:szCs w:val="20"/>
        </w:rPr>
      </w:pPr>
      <w:bookmarkStart w:id="1" w:name="_GoBack"/>
      <w:bookmarkEnd w:id="1"/>
      <w:r>
        <w:rPr>
          <w:rFonts w:ascii="Times New Roman" w:hAnsi="Times New Roman"/>
          <w:b/>
          <w:smallCaps/>
          <w:noProof/>
          <w:sz w:val="28"/>
        </w:rPr>
        <w:lastRenderedPageBreak/>
        <w:t>Sección 1 – Contexto y principios generales</w:t>
      </w:r>
    </w:p>
    <w:p>
      <w:pPr>
        <w:pStyle w:val="Heading1"/>
        <w:rPr>
          <w:noProof/>
        </w:rPr>
      </w:pPr>
      <w:r>
        <w:rPr>
          <w:noProof/>
        </w:rPr>
        <w:t>1.</w:t>
      </w:r>
      <w:r>
        <w:rPr>
          <w:noProof/>
        </w:rPr>
        <w:tab/>
        <w:t>Base jurídica</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En el presente informe se aborda el nivel de representación de los nacionales de cada Estado miembro entre los funcionarios de las instituciones a las que se aplica el Estatuto de los funcionarios (Estatuto). Se presenta de conformidad con el artículo 27, párrafo tercero, del Estatuto de los Funcionarios de la Unión Europea (Estatuto), y con el artículo 12, apartado 1, párrafo cuarto, del Régimen aplicable a los otros agentes de la Unión Europea (ROA). Salvo indicación en contrario, toda referencia al artículo 27 del Estatuto también se refiere al artículo 12 del ROA.</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Como norma general, en los Tratados, la Carta de los Derechos Fundamentales de la UE y el Estatuto de los funcionarios de la UE se prohíbe la discriminación por razón de nacionalidad</w:t>
      </w:r>
      <w:r>
        <w:rPr>
          <w:rFonts w:ascii="Times New Roman" w:hAnsi="Times New Roman"/>
          <w:noProof/>
          <w:sz w:val="24"/>
          <w:vertAlign w:val="superscript"/>
        </w:rPr>
        <w:footnoteReference w:id="1"/>
      </w:r>
      <w:r>
        <w:rPr>
          <w:rFonts w:ascii="Times New Roman" w:hAnsi="Times New Roman"/>
          <w:noProof/>
          <w:sz w:val="24"/>
        </w:rPr>
        <w:t>. Al mismo tiempo, el Estatuto de los funcionarios obliga a las instituciones de la UE a contratar personal sobre una base geográfica lo más amplia posible (artículo 27 del Estatuto)</w:t>
      </w:r>
      <w:r>
        <w:rPr>
          <w:rFonts w:ascii="Times New Roman" w:hAnsi="Times New Roman"/>
          <w:noProof/>
          <w:sz w:val="24"/>
          <w:vertAlign w:val="superscript"/>
        </w:rPr>
        <w:footnoteReference w:id="2"/>
      </w:r>
      <w:r>
        <w:rPr>
          <w:rFonts w:ascii="Times New Roman" w:hAnsi="Times New Roman"/>
          <w:noProof/>
          <w:sz w:val="24"/>
        </w:rPr>
        <w:t>. El equilibrio entre estos dos elementos ya permite a las instituciones tener en cuenta la nacionalidad, incluso para cubrir puestos concretos «en caso de que las cualificaciones de los interesados sean sustancialmente idénticos»</w:t>
      </w:r>
      <w:r>
        <w:rPr>
          <w:rFonts w:ascii="Times New Roman" w:hAnsi="Times New Roman"/>
          <w:noProof/>
          <w:sz w:val="24"/>
          <w:vertAlign w:val="superscript"/>
        </w:rPr>
        <w:footnoteReference w:id="3"/>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Con la reforma del Estatuto de los funcionarios de 2013 y su referencia al principio de igualdad de todos los ciudadanos de la Unión, los colegisladores introdujeron una nueva base jurídica para que cada institución adoptase las medidas apropiadas si observaba un desequilibrio significativo entre las nacionalidades de los funcionarios que no estuviera justificado mediante criterios objetivos. El objeto de esta enmienda era proporcionar los medios legales necesarios para abordar las situaciones de desequilibrio significativo, que vendrían a contradecir el principio mismo de la igualdad de los ciudadanos de la Unión. </w:t>
      </w:r>
    </w:p>
    <w:p>
      <w:pPr>
        <w:spacing w:after="0" w:line="240" w:lineRule="auto"/>
        <w:rPr>
          <w:rFonts w:ascii="Times New Roman" w:eastAsia="Times New Roman" w:hAnsi="Times New Roman" w:cs="Times New Roman"/>
          <w:noProof/>
          <w:sz w:val="24"/>
          <w:szCs w:val="20"/>
        </w:rPr>
      </w:pPr>
      <w:r>
        <w:rPr>
          <w:noProof/>
        </w:rPr>
        <w:br w:type="page"/>
      </w:r>
    </w:p>
    <w:p>
      <w:pPr>
        <w:spacing w:after="240" w:line="240" w:lineRule="auto"/>
        <w:jc w:val="both"/>
        <w:rPr>
          <w:rFonts w:ascii="Times New Roman" w:eastAsia="Times New Roman" w:hAnsi="Times New Roman" w:cs="Times New Roman"/>
          <w:noProof/>
          <w:sz w:val="24"/>
          <w:szCs w:val="20"/>
        </w:rPr>
      </w:pPr>
    </w:p>
    <w:p>
      <w:pPr>
        <w:pStyle w:val="Heading1"/>
        <w:rPr>
          <w:noProof/>
        </w:rPr>
      </w:pPr>
      <w:r>
        <w:rPr>
          <w:noProof/>
        </w:rPr>
        <w:t>2.</w:t>
      </w:r>
      <w:r>
        <w:rPr>
          <w:noProof/>
        </w:rPr>
        <w:tab/>
        <w:t>Ámbito del informe</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El artículo 27 del Estatuto exige que la Comisión presente un informe al Parlamento Europeo y al Consejo sobre la aplicación de este artículo. A efectos del presente informe, se aplicarán las siguientes definiciones:</w:t>
      </w:r>
    </w:p>
    <w:p>
      <w:pPr>
        <w:tabs>
          <w:tab w:val="num" w:pos="283"/>
        </w:tabs>
        <w:spacing w:after="240" w:line="240" w:lineRule="auto"/>
        <w:ind w:left="283" w:hanging="283"/>
        <w:jc w:val="both"/>
        <w:rPr>
          <w:rFonts w:ascii="Times New Roman" w:eastAsia="Times New Roman" w:hAnsi="Times New Roman" w:cs="Times New Roman"/>
          <w:noProof/>
          <w:sz w:val="24"/>
          <w:szCs w:val="20"/>
        </w:rPr>
      </w:pPr>
      <w:r>
        <w:rPr>
          <w:rFonts w:ascii="Times New Roman" w:hAnsi="Times New Roman"/>
          <w:b/>
          <w:noProof/>
          <w:sz w:val="24"/>
        </w:rPr>
        <w:t xml:space="preserve">Instituciones: </w:t>
      </w:r>
      <w:r>
        <w:rPr>
          <w:rFonts w:ascii="Times New Roman" w:hAnsi="Times New Roman"/>
          <w:noProof/>
          <w:sz w:val="24"/>
        </w:rPr>
        <w:t>las instituciones interesadas son aquellas a las que se aplica el Estatuto de los funcionarios. La Comisión invitó a todas las instituciones y a las agencias descentralizadas a que hicieran aportaciones. Se dedica una sección específica a las instituciones y las agencias que han hecho aportaciones.</w:t>
      </w:r>
    </w:p>
    <w:p>
      <w:pPr>
        <w:tabs>
          <w:tab w:val="num" w:pos="283"/>
        </w:tabs>
        <w:spacing w:after="240" w:line="240" w:lineRule="auto"/>
        <w:ind w:left="283" w:hanging="283"/>
        <w:jc w:val="both"/>
        <w:rPr>
          <w:rFonts w:ascii="Times New Roman" w:eastAsia="Times New Roman" w:hAnsi="Times New Roman" w:cs="Times New Roman"/>
          <w:noProof/>
          <w:sz w:val="24"/>
          <w:szCs w:val="20"/>
        </w:rPr>
      </w:pPr>
      <w:r>
        <w:rPr>
          <w:rFonts w:ascii="Times New Roman" w:hAnsi="Times New Roman"/>
          <w:b/>
          <w:noProof/>
          <w:sz w:val="24"/>
        </w:rPr>
        <w:t>Personal</w:t>
      </w:r>
      <w:r>
        <w:rPr>
          <w:rFonts w:ascii="Times New Roman" w:hAnsi="Times New Roman"/>
          <w:noProof/>
          <w:sz w:val="24"/>
        </w:rPr>
        <w:t>: la base jurídica abarca a los funcionarios (artículo 27 del Estatuto) y a los agentes temporales (artículo 12 del ROA). Ambos grupos se examinan de manera conjunta.</w:t>
      </w:r>
    </w:p>
    <w:p>
      <w:pPr>
        <w:tabs>
          <w:tab w:val="num" w:pos="283"/>
        </w:tabs>
        <w:spacing w:after="240" w:line="240" w:lineRule="auto"/>
        <w:ind w:left="283" w:hanging="283"/>
        <w:jc w:val="both"/>
        <w:rPr>
          <w:rFonts w:ascii="Times New Roman" w:eastAsia="Times New Roman" w:hAnsi="Times New Roman" w:cs="Times New Roman"/>
          <w:noProof/>
          <w:sz w:val="24"/>
          <w:szCs w:val="20"/>
        </w:rPr>
      </w:pPr>
      <w:r>
        <w:rPr>
          <w:rFonts w:ascii="Times New Roman" w:hAnsi="Times New Roman"/>
          <w:b/>
          <w:noProof/>
          <w:sz w:val="24"/>
        </w:rPr>
        <w:t xml:space="preserve">Grupo de funciones: </w:t>
      </w:r>
      <w:r>
        <w:rPr>
          <w:rFonts w:ascii="Times New Roman" w:hAnsi="Times New Roman"/>
          <w:noProof/>
          <w:sz w:val="24"/>
        </w:rPr>
        <w:t xml:space="preserve">la base jurídica no exige que se hagan distinciones por grupo de funciones. No obstante, teniendo en cuenta el objetivo subyacente del informe, el análisis concerniente a la Comisión se centrará en el grupo de funciones AD. </w:t>
      </w:r>
    </w:p>
    <w:p>
      <w:pPr>
        <w:spacing w:after="240" w:line="240" w:lineRule="auto"/>
        <w:jc w:val="both"/>
        <w:rPr>
          <w:rFonts w:ascii="Times New Roman" w:eastAsia="Times New Roman" w:hAnsi="Times New Roman" w:cs="Times New Roman"/>
          <w:noProof/>
          <w:sz w:val="24"/>
          <w:szCs w:val="20"/>
        </w:rPr>
      </w:pPr>
    </w:p>
    <w:p>
      <w:pPr>
        <w:keepNext/>
        <w:spacing w:after="480" w:line="240" w:lineRule="auto"/>
        <w:jc w:val="center"/>
        <w:rPr>
          <w:rFonts w:ascii="Times New Roman" w:eastAsia="Times New Roman" w:hAnsi="Times New Roman" w:cs="Times New Roman"/>
          <w:b/>
          <w:smallCaps/>
          <w:noProof/>
          <w:sz w:val="28"/>
          <w:szCs w:val="20"/>
        </w:rPr>
      </w:pPr>
      <w:r>
        <w:rPr>
          <w:rFonts w:ascii="Times New Roman" w:hAnsi="Times New Roman"/>
          <w:b/>
          <w:smallCaps/>
          <w:noProof/>
          <w:sz w:val="28"/>
        </w:rPr>
        <w:t>Sección 2 - Comisión Europea</w:t>
      </w:r>
    </w:p>
    <w:p>
      <w:pPr>
        <w:keepNext/>
        <w:numPr>
          <w:ilvl w:val="0"/>
          <w:numId w:val="19"/>
        </w:numPr>
        <w:spacing w:before="240" w:after="240" w:line="240" w:lineRule="auto"/>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Metodología</w:t>
      </w:r>
    </w:p>
    <w:p>
      <w:pPr>
        <w:keepNext/>
        <w:numPr>
          <w:ilvl w:val="1"/>
          <w:numId w:val="0"/>
        </w:numPr>
        <w:tabs>
          <w:tab w:val="num" w:pos="567"/>
        </w:tabs>
        <w:spacing w:after="240" w:line="240" w:lineRule="auto"/>
        <w:ind w:left="567" w:hanging="567"/>
        <w:jc w:val="both"/>
        <w:outlineLvl w:val="1"/>
        <w:rPr>
          <w:rFonts w:ascii="Times New Roman" w:eastAsia="Times New Roman" w:hAnsi="Times New Roman" w:cs="Times New Roman"/>
          <w:b/>
          <w:noProof/>
          <w:sz w:val="24"/>
          <w:szCs w:val="20"/>
        </w:rPr>
      </w:pPr>
      <w:r>
        <w:rPr>
          <w:rFonts w:ascii="Times New Roman" w:hAnsi="Times New Roman"/>
          <w:b/>
          <w:noProof/>
          <w:sz w:val="24"/>
        </w:rPr>
        <w:t>1.1.</w:t>
      </w:r>
      <w:r>
        <w:rPr>
          <w:noProof/>
        </w:rPr>
        <w:tab/>
      </w:r>
      <w:r>
        <w:rPr>
          <w:rFonts w:ascii="Times New Roman" w:hAnsi="Times New Roman"/>
          <w:b/>
          <w:noProof/>
          <w:sz w:val="24"/>
        </w:rPr>
        <w:t>Contexto</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Antes de la entrada en vigor del artículo 27 del Estatuto en su versión actual, la cuestión del equilibrio geográfico se abordaba principalmente durante las ampliaciones de la Unión a nuevos Estados miembros. El objetivo en cada caso era alcanzar, dentro de un periodo limitado, un nivel adecuado de representación de los nacionales de los nuevos Estados miembros, teniendo en cuenta el tamaño relativo de la ampliación en comparación con la situación existente.</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Comisión adoptó varias comunicaciones por las que se establecía la metodología para definir el objetivo a alcanzar, ya fuera en forma de «índices guía» antes de 2003</w:t>
      </w:r>
      <w:r>
        <w:rPr>
          <w:rFonts w:ascii="Times New Roman" w:hAnsi="Times New Roman"/>
          <w:noProof/>
          <w:sz w:val="24"/>
          <w:vertAlign w:val="superscript"/>
        </w:rPr>
        <w:footnoteReference w:id="4"/>
      </w:r>
      <w:r>
        <w:rPr>
          <w:rFonts w:ascii="Times New Roman" w:hAnsi="Times New Roman"/>
          <w:noProof/>
          <w:sz w:val="24"/>
        </w:rPr>
        <w:t xml:space="preserve"> o de «objetivos indicativos en materia de contratación» desde 2003</w:t>
      </w:r>
      <w:r>
        <w:rPr>
          <w:rFonts w:ascii="Times New Roman" w:hAnsi="Times New Roman"/>
          <w:noProof/>
          <w:sz w:val="24"/>
          <w:vertAlign w:val="superscript"/>
        </w:rPr>
        <w:footnoteReference w:id="5"/>
      </w:r>
      <w:r>
        <w:rPr>
          <w:rFonts w:ascii="Times New Roman" w:hAnsi="Times New Roman"/>
          <w:noProof/>
          <w:sz w:val="24"/>
        </w:rPr>
        <w:t>. La Comisión informó regularmente sobre los progresos para alcanzar los objetivos de contratación y adoptó las medidas correctoras oportunas cuando fue necesario.</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lastRenderedPageBreak/>
        <w:t xml:space="preserve">En el anexo 2 se ofrece una descripción detallada de la evolución de los «índices guía» aplicables antes de 2003, junto con un cuadro en el que se indican los objetivos en materia de contratación adoptados a partir de 2003.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La metodología para establecer los índices guía y los objetivos indicativos en materia de contratación en 2003 se consideró transitoria, y la última fase de transición finalizaba en 2018 tras la adhesión de Croacia. Por lo tanto, ahora se cumplen las condiciones para definir los «índices guía» para los Estados miembros basados en una metodología única.</w:t>
      </w:r>
    </w:p>
    <w:p>
      <w:pPr>
        <w:spacing w:after="240" w:line="240" w:lineRule="auto"/>
        <w:jc w:val="both"/>
        <w:rPr>
          <w:rFonts w:ascii="Times New Roman" w:eastAsia="Times New Roman" w:hAnsi="Times New Roman" w:cs="Times New Roman"/>
          <w:noProof/>
          <w:sz w:val="24"/>
          <w:szCs w:val="20"/>
        </w:rPr>
      </w:pPr>
    </w:p>
    <w:p>
      <w:pPr>
        <w:keepNext/>
        <w:numPr>
          <w:ilvl w:val="1"/>
          <w:numId w:val="0"/>
        </w:numPr>
        <w:tabs>
          <w:tab w:val="num" w:pos="567"/>
        </w:tabs>
        <w:spacing w:after="240" w:line="240" w:lineRule="auto"/>
        <w:ind w:left="567" w:hanging="567"/>
        <w:jc w:val="both"/>
        <w:outlineLvl w:val="1"/>
        <w:rPr>
          <w:rFonts w:ascii="Times New Roman" w:eastAsia="Times New Roman" w:hAnsi="Times New Roman" w:cs="Times New Roman"/>
          <w:b/>
          <w:noProof/>
          <w:sz w:val="24"/>
          <w:szCs w:val="20"/>
        </w:rPr>
      </w:pPr>
      <w:r>
        <w:rPr>
          <w:rFonts w:ascii="Times New Roman" w:hAnsi="Times New Roman"/>
          <w:b/>
          <w:noProof/>
          <w:sz w:val="24"/>
        </w:rPr>
        <w:t>1.2.</w:t>
      </w:r>
      <w:r>
        <w:rPr>
          <w:noProof/>
        </w:rPr>
        <w:tab/>
      </w:r>
      <w:r>
        <w:rPr>
          <w:rFonts w:ascii="Times New Roman" w:hAnsi="Times New Roman"/>
          <w:b/>
          <w:noProof/>
          <w:sz w:val="24"/>
        </w:rPr>
        <w:t>Nivel de representación de las nacionalidades</w:t>
      </w:r>
    </w:p>
    <w:p>
      <w:pPr>
        <w:keepNext/>
        <w:numPr>
          <w:ilvl w:val="2"/>
          <w:numId w:val="0"/>
        </w:numPr>
        <w:tabs>
          <w:tab w:val="num" w:pos="709"/>
        </w:tabs>
        <w:spacing w:after="240" w:line="240" w:lineRule="auto"/>
        <w:ind w:left="709" w:hanging="709"/>
        <w:jc w:val="both"/>
        <w:outlineLvl w:val="2"/>
        <w:rPr>
          <w:rFonts w:ascii="Times New Roman" w:eastAsia="Times New Roman" w:hAnsi="Times New Roman" w:cs="Times New Roman"/>
          <w:i/>
          <w:noProof/>
          <w:sz w:val="24"/>
          <w:szCs w:val="20"/>
        </w:rPr>
      </w:pPr>
      <w:r>
        <w:rPr>
          <w:rFonts w:ascii="Times New Roman" w:hAnsi="Times New Roman"/>
          <w:i/>
          <w:noProof/>
          <w:sz w:val="24"/>
        </w:rPr>
        <w:t>1.2.1.</w:t>
      </w:r>
      <w:r>
        <w:rPr>
          <w:noProof/>
        </w:rPr>
        <w:tab/>
      </w:r>
      <w:r>
        <w:rPr>
          <w:rFonts w:ascii="Times New Roman" w:hAnsi="Times New Roman"/>
          <w:i/>
          <w:noProof/>
          <w:sz w:val="24"/>
        </w:rPr>
        <w:t>Nacionalidad</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Con arreglo al artículo 28 bis del Estatuto, solo podrán ser nombrados funcionarios las personas que sean nacionales de uno de los Estados miembros de la Unión, salvo excepción acordada por la autoridad facultada para proceder a los nombramientos.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Por lo tanto, cada funcionario debe declarar como mínimo una nacionalidad en el momento de su nombramiento. Esta nacionalidad se codifica en el sistema de información como «primera nacionalidad» y se mantiene inalterada salvo que el funcionario solicite su modificación.</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«primera nacionalidad» se usa como base para el establecimiento del presente informe.</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Los funcionarios podrán</w:t>
      </w:r>
      <w:r>
        <w:rPr>
          <w:rFonts w:ascii="Times New Roman" w:hAnsi="Times New Roman"/>
          <w:noProof/>
          <w:sz w:val="24"/>
          <w:vertAlign w:val="superscript"/>
        </w:rPr>
        <w:footnoteReference w:id="6"/>
      </w:r>
      <w:r>
        <w:rPr>
          <w:rFonts w:ascii="Times New Roman" w:hAnsi="Times New Roman"/>
          <w:noProof/>
          <w:sz w:val="24"/>
        </w:rPr>
        <w:t xml:space="preserve"> declarar otras nacionalidades, bien en el momento de su nombramiento o bien durante el desarrollo de su carrera. Todas las nacionalidades que se añadan a la «primera nacionalidad» se codifican en el sistema de información como «segunda nacionalidad», «tercera nacionalidad» y así sucesivamente.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El 1 de enero de 2018, 1 041 funcionarios y agentes temporales habían declarado más de una nacionalidad. En el anexo 7d se ofrece una descripción detallada de las primeras y segundas nacionalidades.</w:t>
      </w:r>
    </w:p>
    <w:p>
      <w:pPr>
        <w:spacing w:after="240" w:line="240" w:lineRule="auto"/>
        <w:jc w:val="both"/>
        <w:rPr>
          <w:rFonts w:ascii="Times New Roman" w:eastAsia="Times New Roman" w:hAnsi="Times New Roman" w:cs="Times New Roman"/>
          <w:noProof/>
          <w:sz w:val="24"/>
          <w:szCs w:val="20"/>
        </w:rPr>
      </w:pPr>
    </w:p>
    <w:p>
      <w:pPr>
        <w:keepNext/>
        <w:numPr>
          <w:ilvl w:val="2"/>
          <w:numId w:val="0"/>
        </w:numPr>
        <w:tabs>
          <w:tab w:val="num" w:pos="709"/>
        </w:tabs>
        <w:spacing w:after="240" w:line="240" w:lineRule="auto"/>
        <w:ind w:left="709" w:hanging="709"/>
        <w:jc w:val="both"/>
        <w:outlineLvl w:val="2"/>
        <w:rPr>
          <w:rFonts w:ascii="Times New Roman" w:eastAsia="Times New Roman" w:hAnsi="Times New Roman" w:cs="Times New Roman"/>
          <w:i/>
          <w:noProof/>
          <w:sz w:val="24"/>
          <w:szCs w:val="20"/>
        </w:rPr>
      </w:pPr>
      <w:r>
        <w:rPr>
          <w:rFonts w:ascii="Times New Roman" w:hAnsi="Times New Roman"/>
          <w:i/>
          <w:noProof/>
          <w:sz w:val="24"/>
        </w:rPr>
        <w:t>1.2.2.</w:t>
      </w:r>
      <w:r>
        <w:rPr>
          <w:noProof/>
        </w:rPr>
        <w:tab/>
      </w:r>
      <w:r>
        <w:rPr>
          <w:rFonts w:ascii="Times New Roman" w:hAnsi="Times New Roman"/>
          <w:i/>
          <w:noProof/>
          <w:sz w:val="24"/>
        </w:rPr>
        <w:t>Índices guía</w:t>
      </w:r>
    </w:p>
    <w:p>
      <w:pPr>
        <w:keepNext/>
        <w:numPr>
          <w:ilvl w:val="3"/>
          <w:numId w:val="0"/>
        </w:numPr>
        <w:tabs>
          <w:tab w:val="num" w:pos="851"/>
        </w:tabs>
        <w:spacing w:after="240" w:line="240" w:lineRule="auto"/>
        <w:ind w:left="851" w:hanging="851"/>
        <w:jc w:val="both"/>
        <w:outlineLvl w:val="3"/>
        <w:rPr>
          <w:rFonts w:ascii="Times New Roman" w:eastAsia="Times New Roman" w:hAnsi="Times New Roman" w:cs="Times New Roman"/>
          <w:noProof/>
          <w:sz w:val="24"/>
          <w:szCs w:val="20"/>
        </w:rPr>
      </w:pPr>
      <w:r>
        <w:rPr>
          <w:rFonts w:ascii="Times New Roman" w:hAnsi="Times New Roman"/>
          <w:noProof/>
          <w:sz w:val="24"/>
        </w:rPr>
        <w:t>1.2.2.1.</w:t>
      </w:r>
      <w:r>
        <w:rPr>
          <w:noProof/>
        </w:rPr>
        <w:tab/>
      </w:r>
      <w:r>
        <w:rPr>
          <w:rFonts w:ascii="Times New Roman" w:hAnsi="Times New Roman"/>
          <w:noProof/>
          <w:sz w:val="24"/>
        </w:rPr>
        <w:t>Reino Unido</w:t>
      </w:r>
    </w:p>
    <w:p>
      <w:pPr>
        <w:tabs>
          <w:tab w:val="left" w:pos="8364"/>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Tras la notificación del Reino Unido al Consejo, el 29 de marzo de 2017, de su intención de retirarse de la Unión, no se define ningún índice guía para el Reino Unido. De hecho, el análisis realizado en el informe servirá como base para las acciones futuras. Por lo tanto, si bien se reconoce plenamente el hecho de que el Reino Unido es un Estado miembro de la Unión en el momento de la adopción del informe, no parece apropiado en esta fase establecer un índice guía para la representación de los nacionales del Reino Unido en el futuro. </w:t>
      </w:r>
    </w:p>
    <w:p>
      <w:pPr>
        <w:tabs>
          <w:tab w:val="left" w:pos="8364"/>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lastRenderedPageBreak/>
        <w:t>A fin de tener plenamente en cuenta el hecho de que el Reino Unido sigue siendo un Estado miembro hasta el día que abandone la Unión, y con vistas a abordar el asunto sin prejuzgar los resultados de las negociaciones en curso, se propone recalcular las cifras pertinentes sin incluir los valores para el Reino Unido. En el informe se ofrece una descripción detallada de la presencia actual de los nacionales del Reino Unido en el grupo de funciones AD de la Comisión (véase el anexo 7c). Los nacionales del Reino Unido ocupan predominantemente grados superiores a AD9. La mitad de ellos tenían más de 50,5 años el 1 de enero de 2017.</w:t>
      </w:r>
    </w:p>
    <w:p>
      <w:pPr>
        <w:tabs>
          <w:tab w:val="left" w:pos="8364"/>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Comisión ha tomado nota del hecho de que varios nacionales del Reino Unido de su personal han solicitado o podrían solicitar un cambio relacionado con la primera nacionalidad. </w:t>
      </w:r>
    </w:p>
    <w:p>
      <w:pPr>
        <w:tabs>
          <w:tab w:val="left" w:pos="8364"/>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Estos cambios son de carácter excepcional y, por lo tanto, merecen un tratamiento específico.</w:t>
      </w:r>
    </w:p>
    <w:p>
      <w:pPr>
        <w:tabs>
          <w:tab w:val="left" w:pos="8364"/>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Como consecuencia de ello, se considerará que los miembros del personal originarios del Reino Unido que declaren un cambio de nacionalidad después del 29 de marzo de 2017 han conservado la nacionalidad británica como primera nacionalidad</w:t>
      </w:r>
      <w:r>
        <w:rPr>
          <w:rFonts w:ascii="Times New Roman" w:hAnsi="Times New Roman"/>
          <w:noProof/>
          <w:sz w:val="24"/>
          <w:vertAlign w:val="superscript"/>
        </w:rPr>
        <w:footnoteReference w:id="7"/>
      </w:r>
      <w:r>
        <w:rPr>
          <w:rFonts w:ascii="Times New Roman" w:hAnsi="Times New Roman"/>
          <w:noProof/>
          <w:sz w:val="24"/>
        </w:rPr>
        <w:t xml:space="preserve"> a los efectos de garantizar una representación equilibrada del personal en el seno de la Comisión, principalmente en el nivel de alta dirección y de dirección intermedia. </w:t>
      </w:r>
    </w:p>
    <w:p>
      <w:pPr>
        <w:tabs>
          <w:tab w:val="left" w:pos="8364"/>
        </w:tabs>
        <w:spacing w:after="240" w:line="240" w:lineRule="auto"/>
        <w:jc w:val="both"/>
        <w:rPr>
          <w:rFonts w:ascii="Times New Roman" w:eastAsia="Times New Roman" w:hAnsi="Times New Roman" w:cs="Times New Roman"/>
          <w:noProof/>
          <w:sz w:val="24"/>
          <w:szCs w:val="20"/>
        </w:rPr>
      </w:pPr>
    </w:p>
    <w:p>
      <w:pPr>
        <w:keepNext/>
        <w:numPr>
          <w:ilvl w:val="3"/>
          <w:numId w:val="0"/>
        </w:numPr>
        <w:tabs>
          <w:tab w:val="num" w:pos="851"/>
        </w:tabs>
        <w:spacing w:after="240" w:line="240" w:lineRule="auto"/>
        <w:ind w:left="851" w:hanging="851"/>
        <w:jc w:val="both"/>
        <w:outlineLvl w:val="3"/>
        <w:rPr>
          <w:rFonts w:ascii="Times New Roman" w:eastAsia="Times New Roman" w:hAnsi="Times New Roman" w:cs="Times New Roman"/>
          <w:noProof/>
          <w:sz w:val="24"/>
          <w:szCs w:val="20"/>
        </w:rPr>
      </w:pPr>
      <w:r>
        <w:rPr>
          <w:rFonts w:ascii="Times New Roman" w:hAnsi="Times New Roman"/>
          <w:noProof/>
          <w:sz w:val="24"/>
        </w:rPr>
        <w:t>1.2.2.2.</w:t>
      </w:r>
      <w:r>
        <w:rPr>
          <w:noProof/>
        </w:rPr>
        <w:tab/>
      </w:r>
      <w:r>
        <w:rPr>
          <w:rFonts w:ascii="Times New Roman" w:hAnsi="Times New Roman"/>
          <w:noProof/>
          <w:sz w:val="24"/>
        </w:rPr>
        <w:t>Definición de los índices guía para los veintisiete Estados miembros restantes</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Debe determinarse un método para armonizar la ponderación de los Estados miembros. El indicador adoptado en 2003 para definir los objetivos indicativos en materia de contratación se basa en criterios objetivos, proporciona un equilibrio justo entre la necesidad de reflejar la composición de la población de la UE y la necesidad de garantizar una representación mínima de los Estados miembros más pequeños, y resulta fácil de aplicar</w:t>
      </w:r>
      <w:r>
        <w:rPr>
          <w:rFonts w:ascii="Times New Roman" w:hAnsi="Times New Roman"/>
          <w:noProof/>
          <w:sz w:val="24"/>
          <w:vertAlign w:val="superscript"/>
        </w:rPr>
        <w:footnoteReference w:id="8"/>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Los servicios de la Comisión llevan usando </w:t>
      </w:r>
      <w:r>
        <w:rPr>
          <w:rFonts w:ascii="Times New Roman" w:hAnsi="Times New Roman"/>
          <w:i/>
          <w:noProof/>
          <w:sz w:val="24"/>
        </w:rPr>
        <w:t>de facto</w:t>
      </w:r>
      <w:r>
        <w:rPr>
          <w:rFonts w:ascii="Times New Roman" w:hAnsi="Times New Roman"/>
          <w:noProof/>
          <w:sz w:val="24"/>
        </w:rPr>
        <w:t xml:space="preserve"> este indicador desde 2003 para realizar los análisis de la situación en términos de equilibrio geográfico y se propone conservar este mismo indicador, sin el Reino Unido, a los efectos del presente informe. Se actualizará periódicamente para reflejar la evolución de sus componentes.</w:t>
      </w:r>
    </w:p>
    <w:p>
      <w:pPr>
        <w:spacing w:after="0" w:line="240" w:lineRule="auto"/>
        <w:rPr>
          <w:rFonts w:ascii="Times New Roman" w:eastAsia="Times New Roman" w:hAnsi="Times New Roman" w:cs="Times New Roman"/>
          <w:noProof/>
          <w:sz w:val="24"/>
          <w:szCs w:val="20"/>
        </w:rPr>
      </w:pPr>
      <w:r>
        <w:rPr>
          <w:noProof/>
        </w:rPr>
        <w:br w:type="page"/>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lastRenderedPageBreak/>
        <w:t>Los índices guía resultantes son actualmente como sigue (cálculo en el anexo 5):</w:t>
      </w:r>
    </w:p>
    <w:tbl>
      <w:tblPr>
        <w:tblW w:w="6819" w:type="dxa"/>
        <w:tblInd w:w="93" w:type="dxa"/>
        <w:tblLook w:val="04A0" w:firstRow="1" w:lastRow="0" w:firstColumn="1" w:lastColumn="0" w:noHBand="0" w:noVBand="1"/>
      </w:tblPr>
      <w:tblGrid>
        <w:gridCol w:w="1500"/>
        <w:gridCol w:w="1280"/>
        <w:gridCol w:w="960"/>
        <w:gridCol w:w="1804"/>
        <w:gridCol w:w="1275"/>
      </w:tblGrid>
      <w:tr>
        <w:trPr>
          <w:trHeight w:val="720"/>
        </w:trPr>
        <w:tc>
          <w:tcPr>
            <w:tcW w:w="1500" w:type="dxa"/>
            <w:tcBorders>
              <w:top w:val="single" w:sz="4" w:space="0" w:color="000000"/>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Estado miembro</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b/>
                <w:bCs/>
                <w:noProof/>
                <w:color w:val="000000"/>
              </w:rPr>
            </w:pPr>
            <w:r>
              <w:rPr>
                <w:rFonts w:ascii="Calibri" w:hAnsi="Calibri"/>
                <w:b/>
                <w:noProof/>
                <w:color w:val="000000"/>
              </w:rPr>
              <w:t>Índice guía</w:t>
            </w:r>
          </w:p>
        </w:tc>
        <w:tc>
          <w:tcPr>
            <w:tcW w:w="96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804" w:type="dxa"/>
            <w:tcBorders>
              <w:top w:val="single" w:sz="4" w:space="0" w:color="000000"/>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Estado miembro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Times New Roman"/>
                <w:b/>
                <w:bCs/>
                <w:noProof/>
                <w:color w:val="000000"/>
              </w:rPr>
            </w:pPr>
            <w:r>
              <w:rPr>
                <w:rFonts w:ascii="Calibri" w:hAnsi="Calibri"/>
                <w:b/>
                <w:noProof/>
                <w:color w:val="000000"/>
              </w:rPr>
              <w:t>Índice guía</w:t>
            </w:r>
          </w:p>
        </w:tc>
      </w:tr>
      <w:tr>
        <w:trPr>
          <w:trHeight w:val="300"/>
        </w:trPr>
        <w:tc>
          <w:tcPr>
            <w:tcW w:w="1500"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Malta</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0,6 %</w:t>
            </w:r>
          </w:p>
        </w:tc>
        <w:tc>
          <w:tcPr>
            <w:tcW w:w="96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Hungría</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3,0 %</w:t>
            </w:r>
          </w:p>
        </w:tc>
      </w:tr>
      <w:tr>
        <w:trPr>
          <w:trHeight w:val="300"/>
        </w:trPr>
        <w:tc>
          <w:tcPr>
            <w:tcW w:w="1500"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Luxemburgo</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0,8 %</w:t>
            </w:r>
          </w:p>
        </w:tc>
        <w:tc>
          <w:tcPr>
            <w:tcW w:w="96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Portugal</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3,1 %</w:t>
            </w:r>
          </w:p>
        </w:tc>
      </w:tr>
      <w:tr>
        <w:trPr>
          <w:trHeight w:val="300"/>
        </w:trPr>
        <w:tc>
          <w:tcPr>
            <w:tcW w:w="1500"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Chipre</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0,8 %</w:t>
            </w:r>
          </w:p>
        </w:tc>
        <w:tc>
          <w:tcPr>
            <w:tcW w:w="96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Chequia</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3,1 %</w:t>
            </w:r>
          </w:p>
        </w:tc>
      </w:tr>
      <w:tr>
        <w:trPr>
          <w:trHeight w:val="300"/>
        </w:trPr>
        <w:tc>
          <w:tcPr>
            <w:tcW w:w="1500"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Estonia</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0,8 %</w:t>
            </w:r>
          </w:p>
        </w:tc>
        <w:tc>
          <w:tcPr>
            <w:tcW w:w="96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Grecia</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3,1 %</w:t>
            </w:r>
          </w:p>
        </w:tc>
      </w:tr>
      <w:tr>
        <w:trPr>
          <w:trHeight w:val="300"/>
        </w:trPr>
        <w:tc>
          <w:tcPr>
            <w:tcW w:w="1500"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Letonia</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1,0 %</w:t>
            </w:r>
          </w:p>
        </w:tc>
        <w:tc>
          <w:tcPr>
            <w:tcW w:w="96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Bélgica</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3,1 %</w:t>
            </w:r>
          </w:p>
        </w:tc>
      </w:tr>
      <w:tr>
        <w:trPr>
          <w:trHeight w:val="300"/>
        </w:trPr>
        <w:tc>
          <w:tcPr>
            <w:tcW w:w="1500"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Eslovenia</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1,0 %</w:t>
            </w:r>
          </w:p>
        </w:tc>
        <w:tc>
          <w:tcPr>
            <w:tcW w:w="96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Países Bajos</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3,9 %</w:t>
            </w:r>
          </w:p>
        </w:tc>
      </w:tr>
      <w:tr>
        <w:trPr>
          <w:trHeight w:val="300"/>
        </w:trPr>
        <w:tc>
          <w:tcPr>
            <w:tcW w:w="1500"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Lituania</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1,5 %</w:t>
            </w:r>
          </w:p>
        </w:tc>
        <w:tc>
          <w:tcPr>
            <w:tcW w:w="96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Rumanía</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4,5 %</w:t>
            </w:r>
          </w:p>
        </w:tc>
      </w:tr>
      <w:tr>
        <w:trPr>
          <w:trHeight w:val="300"/>
        </w:trPr>
        <w:tc>
          <w:tcPr>
            <w:tcW w:w="1500"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Croacia</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1,6 %</w:t>
            </w:r>
          </w:p>
        </w:tc>
        <w:tc>
          <w:tcPr>
            <w:tcW w:w="96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Polonia</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8,2 %</w:t>
            </w:r>
          </w:p>
        </w:tc>
      </w:tr>
      <w:tr>
        <w:trPr>
          <w:trHeight w:val="300"/>
        </w:trPr>
        <w:tc>
          <w:tcPr>
            <w:tcW w:w="1500"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Irlanda</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1,6 %</w:t>
            </w:r>
          </w:p>
        </w:tc>
        <w:tc>
          <w:tcPr>
            <w:tcW w:w="96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España</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8,9 %</w:t>
            </w:r>
          </w:p>
        </w:tc>
      </w:tr>
      <w:tr>
        <w:trPr>
          <w:trHeight w:val="300"/>
        </w:trPr>
        <w:tc>
          <w:tcPr>
            <w:tcW w:w="1500"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Eslovaquia</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1,8 %</w:t>
            </w:r>
          </w:p>
        </w:tc>
        <w:tc>
          <w:tcPr>
            <w:tcW w:w="96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Italia</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11,2 %</w:t>
            </w:r>
          </w:p>
        </w:tc>
      </w:tr>
      <w:tr>
        <w:trPr>
          <w:trHeight w:val="300"/>
        </w:trPr>
        <w:tc>
          <w:tcPr>
            <w:tcW w:w="1500"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Finlandia</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1,8 %</w:t>
            </w:r>
          </w:p>
        </w:tc>
        <w:tc>
          <w:tcPr>
            <w:tcW w:w="96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Francia</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11,6 %</w:t>
            </w:r>
          </w:p>
        </w:tc>
      </w:tr>
      <w:tr>
        <w:trPr>
          <w:trHeight w:val="300"/>
        </w:trPr>
        <w:tc>
          <w:tcPr>
            <w:tcW w:w="1500"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Dinamarca</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1,8 %</w:t>
            </w:r>
          </w:p>
        </w:tc>
        <w:tc>
          <w:tcPr>
            <w:tcW w:w="96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Alemania</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13,8 %</w:t>
            </w:r>
          </w:p>
        </w:tc>
      </w:tr>
      <w:tr>
        <w:trPr>
          <w:trHeight w:val="300"/>
        </w:trPr>
        <w:tc>
          <w:tcPr>
            <w:tcW w:w="1500"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Bulgaria</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2,4 %</w:t>
            </w:r>
          </w:p>
        </w:tc>
        <w:tc>
          <w:tcPr>
            <w:tcW w:w="96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804"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275"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Times New Roman"/>
                <w:noProof/>
                <w:color w:val="000000"/>
              </w:rPr>
            </w:pPr>
          </w:p>
        </w:tc>
      </w:tr>
      <w:tr>
        <w:trPr>
          <w:trHeight w:val="300"/>
        </w:trPr>
        <w:tc>
          <w:tcPr>
            <w:tcW w:w="1500"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Austria</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2,6 %</w:t>
            </w:r>
          </w:p>
        </w:tc>
        <w:tc>
          <w:tcPr>
            <w:tcW w:w="96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804"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275"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Times New Roman"/>
                <w:noProof/>
                <w:color w:val="000000"/>
              </w:rPr>
            </w:pPr>
          </w:p>
        </w:tc>
      </w:tr>
      <w:tr>
        <w:trPr>
          <w:trHeight w:val="300"/>
        </w:trPr>
        <w:tc>
          <w:tcPr>
            <w:tcW w:w="1500" w:type="dxa"/>
            <w:tcBorders>
              <w:top w:val="nil"/>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Suecia</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2,7 %</w:t>
            </w:r>
          </w:p>
        </w:tc>
        <w:tc>
          <w:tcPr>
            <w:tcW w:w="96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804" w:type="dxa"/>
            <w:tcBorders>
              <w:top w:val="single" w:sz="4" w:space="0" w:color="000000"/>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Total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100,0 %</w:t>
            </w:r>
          </w:p>
        </w:tc>
      </w:tr>
    </w:tbl>
    <w:p>
      <w:pPr>
        <w:spacing w:after="240" w:line="240" w:lineRule="auto"/>
        <w:jc w:val="both"/>
        <w:rPr>
          <w:rFonts w:ascii="Times New Roman" w:eastAsia="Times New Roman" w:hAnsi="Times New Roman" w:cs="Times New Roman"/>
          <w:noProof/>
          <w:sz w:val="24"/>
          <w:szCs w:val="20"/>
        </w:rPr>
      </w:pPr>
    </w:p>
    <w:p>
      <w:pPr>
        <w:keepNext/>
        <w:numPr>
          <w:ilvl w:val="2"/>
          <w:numId w:val="0"/>
        </w:numPr>
        <w:tabs>
          <w:tab w:val="num" w:pos="709"/>
        </w:tabs>
        <w:spacing w:after="240" w:line="240" w:lineRule="auto"/>
        <w:ind w:left="709" w:hanging="709"/>
        <w:jc w:val="both"/>
        <w:outlineLvl w:val="2"/>
        <w:rPr>
          <w:rFonts w:ascii="Times New Roman" w:eastAsia="Times New Roman" w:hAnsi="Times New Roman" w:cs="Times New Roman"/>
          <w:i/>
          <w:noProof/>
          <w:sz w:val="24"/>
          <w:szCs w:val="20"/>
        </w:rPr>
      </w:pPr>
      <w:r>
        <w:rPr>
          <w:rFonts w:ascii="Times New Roman" w:hAnsi="Times New Roman"/>
          <w:i/>
          <w:noProof/>
          <w:sz w:val="24"/>
        </w:rPr>
        <w:t>1.2.3.</w:t>
      </w:r>
      <w:r>
        <w:rPr>
          <w:noProof/>
        </w:rPr>
        <w:tab/>
      </w:r>
      <w:r>
        <w:rPr>
          <w:rFonts w:ascii="Times New Roman" w:hAnsi="Times New Roman"/>
          <w:i/>
          <w:noProof/>
          <w:sz w:val="24"/>
        </w:rPr>
        <w:t>Definición de una «presencia mínima» para cada nacionalidad</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Las disposiciones legales aplicables relativas al equilibrio geográfico reflejan dos requisitos fundamentales. En primer lugar, se espera que los procesos de selección y contratación estén diseñados para evitar cualquier sesgo basado en la nacionalidad. En segundo lugar, es necesaria una representación geográfica equilibrada entre el personal para que la Comisión cumpla uno de sus objetivos fundamentales, es decir, estar cerca de los ciudadanos y reflejar la diversidad de los Estados miembros.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En consecuencia, la Comisión considera que: </w:t>
      </w:r>
    </w:p>
    <w:p>
      <w:pPr>
        <w:pStyle w:val="ListParagraph"/>
        <w:numPr>
          <w:ilvl w:val="0"/>
          <w:numId w:val="36"/>
        </w:num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se debe definir y garantizar un nivel mínimo de presencia (entre el personal de la Comisión) para cada nacionalidad de la UE; </w:t>
      </w:r>
    </w:p>
    <w:p>
      <w:pPr>
        <w:pStyle w:val="ListParagraph"/>
        <w:numPr>
          <w:ilvl w:val="0"/>
          <w:numId w:val="36"/>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se tolerarán desviaciones limitadas de los índices guía, no solo porque se considere que estas no ponen en riesgo el equilibrio geográfico, sino porque además son necesarias para prevenir el riesgo de ineficiencias.</w:t>
      </w:r>
    </w:p>
    <w:p>
      <w:pPr>
        <w:spacing w:after="240" w:line="240" w:lineRule="auto"/>
        <w:contextualSpacing/>
        <w:jc w:val="both"/>
        <w:rPr>
          <w:rFonts w:ascii="Times New Roman" w:eastAsia="Times New Roman" w:hAnsi="Times New Roman" w:cs="Times New Roman"/>
          <w:noProof/>
          <w:sz w:val="24"/>
          <w:szCs w:val="20"/>
        </w:rPr>
      </w:pPr>
      <w:r>
        <w:rPr>
          <w:rFonts w:ascii="Times New Roman" w:hAnsi="Times New Roman"/>
          <w:noProof/>
          <w:sz w:val="24"/>
        </w:rPr>
        <w:t>En la práctica, la Comisión considera que existe un desequilibrio significativo si la cuota de nacionales de uno o más Estados miembros entre el personal es inferior al 80 % del índice guía pertinente.</w:t>
      </w:r>
    </w:p>
    <w:p>
      <w:pPr>
        <w:spacing w:after="240" w:line="240" w:lineRule="auto"/>
        <w:contextualSpacing/>
        <w:jc w:val="both"/>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b/>
          <w:noProof/>
          <w:sz w:val="24"/>
          <w:szCs w:val="20"/>
        </w:rPr>
      </w:pPr>
      <w:r>
        <w:rPr>
          <w:noProof/>
        </w:rPr>
        <w:br w:type="page"/>
      </w:r>
    </w:p>
    <w:p>
      <w:pPr>
        <w:keepNext/>
        <w:numPr>
          <w:ilvl w:val="1"/>
          <w:numId w:val="0"/>
        </w:numPr>
        <w:tabs>
          <w:tab w:val="num" w:pos="567"/>
        </w:tabs>
        <w:spacing w:after="240" w:line="240" w:lineRule="auto"/>
        <w:ind w:left="567" w:hanging="567"/>
        <w:jc w:val="both"/>
        <w:outlineLvl w:val="1"/>
        <w:rPr>
          <w:rFonts w:ascii="Times New Roman" w:eastAsia="Times New Roman" w:hAnsi="Times New Roman" w:cs="Times New Roman"/>
          <w:b/>
          <w:noProof/>
          <w:sz w:val="24"/>
          <w:szCs w:val="20"/>
        </w:rPr>
      </w:pPr>
      <w:r>
        <w:rPr>
          <w:rFonts w:ascii="Times New Roman" w:hAnsi="Times New Roman"/>
          <w:b/>
          <w:noProof/>
          <w:sz w:val="24"/>
        </w:rPr>
        <w:t>1.3.</w:t>
      </w:r>
      <w:r>
        <w:rPr>
          <w:noProof/>
        </w:rPr>
        <w:tab/>
      </w:r>
      <w:r>
        <w:rPr>
          <w:rFonts w:ascii="Times New Roman" w:hAnsi="Times New Roman"/>
          <w:b/>
          <w:noProof/>
          <w:sz w:val="24"/>
        </w:rPr>
        <w:t xml:space="preserve">Ámbito de aplicación </w:t>
      </w:r>
    </w:p>
    <w:p>
      <w:pPr>
        <w:keepNext/>
        <w:numPr>
          <w:ilvl w:val="2"/>
          <w:numId w:val="0"/>
        </w:numPr>
        <w:tabs>
          <w:tab w:val="num" w:pos="709"/>
        </w:tabs>
        <w:spacing w:after="240" w:line="240" w:lineRule="auto"/>
        <w:ind w:left="709" w:hanging="709"/>
        <w:jc w:val="both"/>
        <w:outlineLvl w:val="2"/>
        <w:rPr>
          <w:rFonts w:ascii="Times New Roman" w:eastAsia="Times New Roman" w:hAnsi="Times New Roman" w:cs="Times New Roman"/>
          <w:i/>
          <w:noProof/>
          <w:sz w:val="24"/>
          <w:szCs w:val="20"/>
        </w:rPr>
      </w:pPr>
      <w:r>
        <w:rPr>
          <w:rFonts w:ascii="Times New Roman" w:hAnsi="Times New Roman"/>
          <w:i/>
          <w:noProof/>
          <w:sz w:val="24"/>
        </w:rPr>
        <w:t>1.3.1.</w:t>
      </w:r>
      <w:r>
        <w:rPr>
          <w:noProof/>
        </w:rPr>
        <w:tab/>
      </w:r>
      <w:r>
        <w:rPr>
          <w:rFonts w:ascii="Times New Roman" w:hAnsi="Times New Roman"/>
          <w:i/>
          <w:noProof/>
          <w:sz w:val="24"/>
        </w:rPr>
        <w:t>Grupo de funciones</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Con vistas a garantizar la proporcionalidad de las medidas, este informe se centrará solamente en el grupo de funciones AD. Si bien el artículo 27 del Estatuto se aplica a todo el personal con independencia del grupo de funciones, se permite un margen de tolerancia para los grupos de funciones AST y AST-SC. De hecho, la obligación de reflejar la diversidad nacional de la Unión Europea es más estricta para los funcionarios que desempeñan funciones de dirección, de concepción, y de estudio, así como funciones lingüísticas y científicas (es decir, los incluidos en el grupo de funciones AD) que para los funcionarios que desempeñan funciones ejecutivas y técnicas (es decir, los incluidos en el grupo de funciones AST) o funciones de secretaría y de oficina (es decir, los incluidos en el grupo de funciones AST-SC).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Asimismo, las tareas ejecutivas, técnicas, de secretaría y de oficina las suele desempeñar personal contratado a escala local y son menos atractivas para los expatriados.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Por este motivo, el análisis, así como las posibles medidas adoptadas en virtud del artículo 27, párrafo segundo, del Estatuto, se limitan al grupo de funciones AD.</w:t>
      </w:r>
    </w:p>
    <w:p>
      <w:pPr>
        <w:spacing w:after="240" w:line="240" w:lineRule="auto"/>
        <w:jc w:val="both"/>
        <w:rPr>
          <w:rFonts w:ascii="Times New Roman" w:eastAsia="Times New Roman" w:hAnsi="Times New Roman" w:cs="Times New Roman"/>
          <w:noProof/>
          <w:sz w:val="24"/>
          <w:szCs w:val="20"/>
        </w:rPr>
      </w:pPr>
    </w:p>
    <w:p>
      <w:pPr>
        <w:keepNext/>
        <w:numPr>
          <w:ilvl w:val="2"/>
          <w:numId w:val="0"/>
        </w:numPr>
        <w:tabs>
          <w:tab w:val="num" w:pos="709"/>
        </w:tabs>
        <w:spacing w:after="240" w:line="240" w:lineRule="auto"/>
        <w:ind w:left="709" w:hanging="709"/>
        <w:jc w:val="both"/>
        <w:outlineLvl w:val="2"/>
        <w:rPr>
          <w:rFonts w:ascii="Times New Roman" w:eastAsia="Times New Roman" w:hAnsi="Times New Roman" w:cs="Times New Roman"/>
          <w:i/>
          <w:noProof/>
          <w:sz w:val="24"/>
          <w:szCs w:val="20"/>
        </w:rPr>
      </w:pPr>
      <w:r>
        <w:rPr>
          <w:rFonts w:ascii="Times New Roman" w:hAnsi="Times New Roman"/>
          <w:i/>
          <w:noProof/>
          <w:sz w:val="24"/>
        </w:rPr>
        <w:t>1.3.2.</w:t>
      </w:r>
      <w:r>
        <w:rPr>
          <w:noProof/>
        </w:rPr>
        <w:tab/>
      </w:r>
      <w:r>
        <w:rPr>
          <w:rFonts w:ascii="Times New Roman" w:hAnsi="Times New Roman"/>
          <w:i/>
          <w:noProof/>
          <w:sz w:val="24"/>
        </w:rPr>
        <w:t>Funciones desempeñadas</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En el informe solo se analiza la distribución del personal que desempeña funciones no directivas. La distribución de las nacionalidades del personal directivo de la Comisión está sujeta a diversas normas y prácticas, así como a supervisión específica</w:t>
      </w:r>
      <w:r>
        <w:rPr>
          <w:rFonts w:ascii="Times New Roman" w:hAnsi="Times New Roman"/>
          <w:noProof/>
          <w:sz w:val="24"/>
          <w:vertAlign w:val="superscript"/>
        </w:rPr>
        <w:footnoteReference w:id="9"/>
      </w:r>
      <w:r>
        <w:rPr>
          <w:rFonts w:ascii="Times New Roman" w:hAnsi="Times New Roman"/>
          <w:noProof/>
          <w:sz w:val="24"/>
        </w:rPr>
        <w:t>.</w:t>
      </w:r>
    </w:p>
    <w:p>
      <w:pPr>
        <w:spacing w:after="240" w:line="240" w:lineRule="auto"/>
        <w:jc w:val="both"/>
        <w:rPr>
          <w:rFonts w:ascii="Times New Roman" w:eastAsia="Times New Roman" w:hAnsi="Times New Roman" w:cs="Times New Roman"/>
          <w:noProof/>
          <w:sz w:val="24"/>
          <w:szCs w:val="20"/>
        </w:rPr>
      </w:pPr>
    </w:p>
    <w:p>
      <w:pPr>
        <w:keepNext/>
        <w:numPr>
          <w:ilvl w:val="2"/>
          <w:numId w:val="0"/>
        </w:numPr>
        <w:tabs>
          <w:tab w:val="num" w:pos="709"/>
        </w:tabs>
        <w:spacing w:after="240" w:line="240" w:lineRule="auto"/>
        <w:ind w:left="709" w:hanging="709"/>
        <w:jc w:val="both"/>
        <w:outlineLvl w:val="2"/>
        <w:rPr>
          <w:rFonts w:ascii="Times New Roman" w:eastAsia="Times New Roman" w:hAnsi="Times New Roman" w:cs="Times New Roman"/>
          <w:i/>
          <w:noProof/>
          <w:sz w:val="24"/>
          <w:szCs w:val="20"/>
        </w:rPr>
      </w:pPr>
      <w:r>
        <w:rPr>
          <w:rFonts w:ascii="Times New Roman" w:hAnsi="Times New Roman"/>
          <w:i/>
          <w:noProof/>
          <w:sz w:val="24"/>
        </w:rPr>
        <w:t>1.3.3.</w:t>
      </w:r>
      <w:r>
        <w:rPr>
          <w:noProof/>
        </w:rPr>
        <w:tab/>
      </w:r>
      <w:r>
        <w:rPr>
          <w:rFonts w:ascii="Times New Roman" w:hAnsi="Times New Roman"/>
          <w:i/>
          <w:noProof/>
          <w:sz w:val="24"/>
        </w:rPr>
        <w:t xml:space="preserve">Servicios lingüísticos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El objetivo de una representación nacional equilibrada de personal no puede perseguirse de la misma forma en el ámbito de los servicios lingüísticos y de los servicios no lingüísticos.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Debido a su naturaleza y sus objetivos específicos, la contratación de personal para prestar servicios lingüísticos se atiene a una justificación </w:t>
      </w:r>
      <w:r>
        <w:rPr>
          <w:rFonts w:ascii="Times New Roman" w:hAnsi="Times New Roman"/>
          <w:i/>
          <w:noProof/>
          <w:sz w:val="24"/>
        </w:rPr>
        <w:t>sui generis</w:t>
      </w:r>
      <w:r>
        <w:rPr>
          <w:rFonts w:ascii="Times New Roman" w:hAnsi="Times New Roman"/>
          <w:noProof/>
          <w:sz w:val="24"/>
        </w:rPr>
        <w:t xml:space="preserve">. En primer lugar, el número necesario de miembros del personal que domina la lengua de llegada está predeterminado y es independiente del tamaño del Estado miembro correspondiente. En segundo lugar, si bien las contrataciones en los servicios lingüísticos no se basan en la nacionalidad, sino en las competencias lingüísticas, existe una estrecha correlación entre ambas. En tercer lugar, algunos Estados miembros tienen varias lenguas oficiales. Por lo tanto, en función de la lengua de que se trate, la distribución por nacionalidad del personal de los servicios lingüísticos sigue un patrón que no es comparable con el de los servicios no lingüísticos.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aplicación de los «índices guía» descritos en la sección 1.2 anterior a los servicios lingüísticos no es ni lógica ni deseable. En el cuadro del anexo 6 se ofrece la distribución del personal no directivo del grupo de funciones AD de los servicios lingüísticos de la Comisión (es decir, la DG Traducción y la DG Interpretación). En el cuadro se observa que la mayoría de los Estados miembros más grandes, así como aquellos que «comparten» su(s) lengua(s) oficial(es) con otros Estados miembros, están infrarrepresentados. Los desequilibrios son aún más evidentes si se analizan por separado las horquillas AD5-AD8 y AD9-AD12, pero está claro que la contratación realizada sobre esta base para esas nacionalidades no cumpliría ningún requisito operativo.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En consecuencia, habida cuenta de las limitaciones objetivas inherentes a la contratación de personal para los servicios lingüísticos, la Comisión excluye estos servicios del ámbito de la evaluación del equilibrio geográfico.</w:t>
      </w:r>
    </w:p>
    <w:p>
      <w:pPr>
        <w:spacing w:after="240" w:line="240" w:lineRule="auto"/>
        <w:jc w:val="both"/>
        <w:rPr>
          <w:rFonts w:ascii="Times New Roman" w:eastAsia="Times New Roman" w:hAnsi="Times New Roman" w:cs="Times New Roman"/>
          <w:noProof/>
          <w:sz w:val="24"/>
          <w:szCs w:val="20"/>
        </w:rPr>
      </w:pPr>
    </w:p>
    <w:p>
      <w:pPr>
        <w:keepNext/>
        <w:numPr>
          <w:ilvl w:val="2"/>
          <w:numId w:val="0"/>
        </w:numPr>
        <w:tabs>
          <w:tab w:val="num" w:pos="709"/>
        </w:tabs>
        <w:spacing w:after="240" w:line="240" w:lineRule="auto"/>
        <w:ind w:left="709" w:hanging="709"/>
        <w:jc w:val="both"/>
        <w:outlineLvl w:val="2"/>
        <w:rPr>
          <w:rFonts w:ascii="Times New Roman" w:eastAsia="Times New Roman" w:hAnsi="Times New Roman" w:cs="Times New Roman"/>
          <w:i/>
          <w:noProof/>
          <w:sz w:val="24"/>
          <w:szCs w:val="20"/>
        </w:rPr>
      </w:pPr>
      <w:r>
        <w:rPr>
          <w:rFonts w:ascii="Times New Roman" w:hAnsi="Times New Roman"/>
          <w:i/>
          <w:noProof/>
          <w:sz w:val="24"/>
        </w:rPr>
        <w:t>1.3.4.</w:t>
      </w:r>
      <w:r>
        <w:rPr>
          <w:noProof/>
        </w:rPr>
        <w:tab/>
      </w:r>
      <w:r>
        <w:rPr>
          <w:rFonts w:ascii="Times New Roman" w:hAnsi="Times New Roman"/>
          <w:i/>
          <w:noProof/>
          <w:sz w:val="24"/>
        </w:rPr>
        <w:t>Grados</w:t>
      </w:r>
    </w:p>
    <w:p>
      <w:pPr>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El artículo 27 del Estatuto es el primer artículo del capítulo sobre contratación. En aplicación del artículo 31 del Estatuto, los funcionarios del grupo de funciones AD solo podrán ser nombrados en los grados AD5 a AD8 y, si procede, en los grados AD 9, AD 10, AD 11 o, excepcionalmente, AD 12. De conformidad con esta distinción, en el informe se examinan por separado las siguientes horquillas: </w:t>
      </w:r>
    </w:p>
    <w:p>
      <w:pPr>
        <w:pStyle w:val="ListParagraph"/>
        <w:numPr>
          <w:ilvl w:val="0"/>
          <w:numId w:val="37"/>
        </w:numPr>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AD9-AD12 (en los que los nombramientos no podrán superar el 20 % de todos los nombramientos en el grupo de funciones AD en un año determinado);</w:t>
      </w:r>
    </w:p>
    <w:p>
      <w:pPr>
        <w:pStyle w:val="ListParagraph"/>
        <w:numPr>
          <w:ilvl w:val="0"/>
          <w:numId w:val="37"/>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AD5-AD8 (que son los grados más habituales por lo que se refiere a las contrataciones).</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También hay que tener en cuenta que los grados AD13-AD14 no son, en general, grados de contratación y que, por lo tanto, no entran en el ámbito de este análisis. Además, estos grados están reservados a funciones de gestión o asesoramiento desde la entrada en vigor de la revisión del Estatuto de los funcionarios de 2014. La población de funcionarios que desempeñan funciones no directivas en esta horquilla de grados es una herencia del pasado, y disminuirá considerablemente con el tiempo, también si se tiene en cuenta su distribución por edad, que indica que la gran mayoría de ellos se jubilará en los próximos diez o quince años.</w:t>
      </w:r>
    </w:p>
    <w:p>
      <w:pPr>
        <w:spacing w:after="240" w:line="240" w:lineRule="auto"/>
        <w:jc w:val="both"/>
        <w:rPr>
          <w:rFonts w:ascii="Times New Roman" w:eastAsia="Times New Roman" w:hAnsi="Times New Roman" w:cs="Times New Roman"/>
          <w:noProof/>
          <w:sz w:val="24"/>
          <w:szCs w:val="20"/>
        </w:rPr>
      </w:pP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2.</w:t>
      </w:r>
      <w:r>
        <w:rPr>
          <w:noProof/>
        </w:rPr>
        <w:tab/>
      </w:r>
      <w:r>
        <w:rPr>
          <w:rFonts w:ascii="Times New Roman" w:hAnsi="Times New Roman"/>
          <w:b/>
          <w:smallCaps/>
          <w:noProof/>
          <w:sz w:val="24"/>
        </w:rPr>
        <w:t>Conclusiones y análisis</w:t>
      </w:r>
    </w:p>
    <w:p>
      <w:pPr>
        <w:keepNext/>
        <w:numPr>
          <w:ilvl w:val="1"/>
          <w:numId w:val="0"/>
        </w:numPr>
        <w:tabs>
          <w:tab w:val="num" w:pos="567"/>
        </w:tabs>
        <w:spacing w:after="240" w:line="240" w:lineRule="auto"/>
        <w:ind w:left="567" w:hanging="567"/>
        <w:jc w:val="both"/>
        <w:outlineLvl w:val="1"/>
        <w:rPr>
          <w:rFonts w:ascii="Times New Roman" w:eastAsia="Times New Roman" w:hAnsi="Times New Roman" w:cs="Times New Roman"/>
          <w:b/>
          <w:noProof/>
          <w:sz w:val="24"/>
          <w:szCs w:val="20"/>
        </w:rPr>
      </w:pPr>
      <w:r>
        <w:rPr>
          <w:rFonts w:ascii="Times New Roman" w:hAnsi="Times New Roman"/>
          <w:b/>
          <w:noProof/>
          <w:sz w:val="24"/>
        </w:rPr>
        <w:t>2.1.</w:t>
      </w:r>
      <w:r>
        <w:rPr>
          <w:noProof/>
        </w:rPr>
        <w:tab/>
      </w:r>
      <w:r>
        <w:rPr>
          <w:rFonts w:ascii="Times New Roman" w:hAnsi="Times New Roman"/>
          <w:b/>
          <w:noProof/>
          <w:sz w:val="24"/>
        </w:rPr>
        <w:t xml:space="preserve">Situación a 1 de enero de 2017 </w:t>
      </w:r>
    </w:p>
    <w:p>
      <w:pPr>
        <w:keepNext/>
        <w:numPr>
          <w:ilvl w:val="2"/>
          <w:numId w:val="0"/>
        </w:numPr>
        <w:tabs>
          <w:tab w:val="num" w:pos="709"/>
        </w:tabs>
        <w:spacing w:after="240" w:line="240" w:lineRule="auto"/>
        <w:ind w:left="709" w:hanging="709"/>
        <w:jc w:val="both"/>
        <w:outlineLvl w:val="2"/>
        <w:rPr>
          <w:rFonts w:ascii="Times New Roman" w:eastAsia="Times New Roman" w:hAnsi="Times New Roman" w:cs="Times New Roman"/>
          <w:i/>
          <w:noProof/>
          <w:sz w:val="24"/>
          <w:szCs w:val="20"/>
        </w:rPr>
      </w:pPr>
      <w:r>
        <w:rPr>
          <w:rFonts w:ascii="Times New Roman" w:hAnsi="Times New Roman"/>
          <w:i/>
          <w:noProof/>
          <w:sz w:val="24"/>
        </w:rPr>
        <w:t>2.1.1.</w:t>
      </w:r>
      <w:r>
        <w:rPr>
          <w:noProof/>
        </w:rPr>
        <w:tab/>
      </w:r>
      <w:r>
        <w:rPr>
          <w:rFonts w:ascii="Times New Roman" w:hAnsi="Times New Roman"/>
          <w:i/>
          <w:noProof/>
          <w:sz w:val="24"/>
        </w:rPr>
        <w:t xml:space="preserve">Horquilla de grados AD9-AD12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En el anexo 7b se ofrece una descripción de la situación a 1 de enero de 2017. Las principales conclusiones son, que en esa fecha,</w:t>
      </w:r>
    </w:p>
    <w:p>
      <w:pPr>
        <w:pStyle w:val="ListParagraph"/>
        <w:numPr>
          <w:ilvl w:val="0"/>
          <w:numId w:val="38"/>
        </w:num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catorce nacionalidades están significativamente infrarrepresentadas: todos los Estados miembros que se adhirieron después de 2004 más Luxemburgo.</w:t>
      </w:r>
    </w:p>
    <w:p>
      <w:pPr>
        <w:pStyle w:val="ListParagraph"/>
        <w:numPr>
          <w:ilvl w:val="0"/>
          <w:numId w:val="38"/>
        </w:num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En términos absolutos, los mayores déficits afectan a los polacos (160 personas) y rumanos (155 personas).</w:t>
      </w:r>
    </w:p>
    <w:p>
      <w:pPr>
        <w:pStyle w:val="ListParagraph"/>
        <w:numPr>
          <w:ilvl w:val="0"/>
          <w:numId w:val="38"/>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En términos relativos, los mayores déficits afectan a los croatas (que alcanzan el 5 % de su índice guía), búlgaros (8 %) y rumanos (13 %).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infrarrepresentación de los nacionales de los Estados miembros que se adhirieron después de 2004 en la horquilla de grados AD9-AD12 era, hasta cierto punto, predecible, ya que no se organizaron oposiciones en estos grados en virtud de las medidas de derogación específicas para la ampliación (excepto para puestos directivos). El objetivo era cubrir progresivamente todos los grados, empezando por abajo. Por esta razón, esta situación afecta a todas las nacionalidades de los Estados miembros que se adhirieron después de 2004.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situación evoluciona con arreglo a las expectativas. Todas las nacionalidades de los Estados miembros que se adhirieron en 2004 han alcanzado entre el 50 % y el 70 % de su objetivo. En lo tocante a los nacionales de los Estados miembros que se adhirieron en 2007 y 2013, aún es demasiado pronto</w:t>
      </w:r>
      <w:r>
        <w:rPr>
          <w:rFonts w:ascii="Times New Roman" w:hAnsi="Times New Roman"/>
          <w:noProof/>
          <w:sz w:val="24"/>
          <w:vertAlign w:val="superscript"/>
        </w:rPr>
        <w:footnoteReference w:id="10"/>
      </w:r>
      <w:r>
        <w:rPr>
          <w:rFonts w:ascii="Times New Roman" w:hAnsi="Times New Roman"/>
          <w:noProof/>
          <w:sz w:val="24"/>
        </w:rPr>
        <w:t xml:space="preserve"> para observar una presencia apreciable en estos grados. Sin embargo, su nivel de representación en la horquilla de grados AD5-AD8 (respectivamente más del 200 % y el 140 % del objetivo, véase el anexo 7a) ofrece garantías razonables de la buena marcha del proceso. La Comisión seguirá supervisando de cerca la evolución de su nivel de representación en estos grados con vistas a verificar la continuación de la tendencia actual.</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Solo la infrarrepresentación significativa de los nacionales de Luxemburgo en esta horquilla de grados no parece justificada. Sin embargo, cabe mencionar que esta infrarrepresentación podría estar asociada al pequeño tamaño de la población de que se trata: si hubiera solo cuatro nacionales más en los grados afectados, Luxemburgo no estaría incluida en la lista de nacionalidades infrarrepresentadas.</w:t>
      </w:r>
    </w:p>
    <w:p>
      <w:pPr>
        <w:spacing w:after="240" w:line="240" w:lineRule="auto"/>
        <w:jc w:val="both"/>
        <w:rPr>
          <w:rFonts w:ascii="Times New Roman" w:eastAsia="Times New Roman" w:hAnsi="Times New Roman" w:cs="Times New Roman"/>
          <w:noProof/>
          <w:sz w:val="24"/>
          <w:szCs w:val="20"/>
        </w:rPr>
      </w:pPr>
    </w:p>
    <w:p>
      <w:pPr>
        <w:keepNext/>
        <w:numPr>
          <w:ilvl w:val="2"/>
          <w:numId w:val="0"/>
        </w:numPr>
        <w:tabs>
          <w:tab w:val="num" w:pos="709"/>
        </w:tabs>
        <w:spacing w:after="240" w:line="240" w:lineRule="auto"/>
        <w:ind w:left="709" w:hanging="709"/>
        <w:jc w:val="both"/>
        <w:outlineLvl w:val="2"/>
        <w:rPr>
          <w:rFonts w:ascii="Times New Roman" w:eastAsia="Times New Roman" w:hAnsi="Times New Roman" w:cs="Times New Roman"/>
          <w:i/>
          <w:noProof/>
          <w:sz w:val="24"/>
          <w:szCs w:val="20"/>
        </w:rPr>
      </w:pPr>
      <w:r>
        <w:rPr>
          <w:rFonts w:ascii="Times New Roman" w:hAnsi="Times New Roman"/>
          <w:i/>
          <w:noProof/>
          <w:sz w:val="24"/>
        </w:rPr>
        <w:t>2.1.2.</w:t>
      </w:r>
      <w:r>
        <w:rPr>
          <w:noProof/>
        </w:rPr>
        <w:tab/>
      </w:r>
      <w:r>
        <w:rPr>
          <w:rFonts w:ascii="Times New Roman" w:hAnsi="Times New Roman"/>
          <w:i/>
          <w:noProof/>
          <w:sz w:val="24"/>
        </w:rPr>
        <w:t xml:space="preserve">Horquilla de grados AD5-AD8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horquilla de grados AD5-AD8 merece una atención especial desde una perspectiva dinámica. De hecho, de acuerdo con los requisitos del Estatuto de los funcionarios, esta es la horquilla en la que se realiza como mínimo el 80 % de los nombramientos. El nivel de representación de las nacionalidades en esta horquilla de grados determinará el nivel de representación de las nacionalidades en la horquilla AD9-AD12 en el plazo de una década. Entre esta población se elegirá en ese mismo plazo a los directores (y más específicamente, a los directores intermedios). Una representación equilibrada en la horquilla AD5-AD8 es hoy un requisito previo para lograr una representación equilibrada de nacionalidades entre los grados más altos a largo plazo.</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En el anexo 7a se ofrece una descripción de la situación a 1 de enero de 2017. Las principales conclusiones son, que en esa fecha,</w:t>
      </w:r>
    </w:p>
    <w:p>
      <w:pPr>
        <w:pStyle w:val="ListParagraph"/>
        <w:numPr>
          <w:ilvl w:val="0"/>
          <w:numId w:val="39"/>
        </w:num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diez nacionalidades (todas ellas de los Estados miembros que se adhirieron antes de 2004</w:t>
      </w:r>
      <w:r>
        <w:rPr>
          <w:rStyle w:val="FootnoteReference"/>
          <w:rFonts w:ascii="Times New Roman" w:hAnsi="Times New Roman"/>
          <w:noProof/>
          <w:sz w:val="24"/>
        </w:rPr>
        <w:footnoteReference w:id="11"/>
      </w:r>
      <w:r>
        <w:rPr>
          <w:rFonts w:ascii="Times New Roman" w:hAnsi="Times New Roman"/>
          <w:noProof/>
          <w:sz w:val="24"/>
        </w:rPr>
        <w:t>) están significativamente infrarrepresentadas: Dinamarca, Alemania, Irlanda, Francia, Luxemburgo, Países Bajos, Austria, Portugal, Finlandia y Suecia.</w:t>
      </w:r>
    </w:p>
    <w:p>
      <w:pPr>
        <w:pStyle w:val="ListParagraph"/>
        <w:numPr>
          <w:ilvl w:val="0"/>
          <w:numId w:val="39"/>
        </w:num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En términos absolutos, los mayores déficits afectan a los nacionales de Alemania (casi 230 personas) y de Francia (140 personas).</w:t>
      </w:r>
    </w:p>
    <w:p>
      <w:pPr>
        <w:pStyle w:val="ListParagraph"/>
        <w:numPr>
          <w:ilvl w:val="0"/>
          <w:numId w:val="39"/>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En términos relativos, los mayores déficits afectan a los nacionales de Luxemburgo (no hay luxemburgueses), de Suecia y de Dinamarca (que solo alcanzaron alrededor del 30 % de su índice guía).</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infrarrepresentación de la mayoría de las nacionalidades de la EU-14</w:t>
      </w:r>
      <w:r>
        <w:rPr>
          <w:rFonts w:ascii="Times New Roman" w:hAnsi="Times New Roman"/>
          <w:noProof/>
          <w:sz w:val="24"/>
          <w:vertAlign w:val="superscript"/>
        </w:rPr>
        <w:footnoteReference w:id="12"/>
      </w:r>
      <w:r>
        <w:rPr>
          <w:rFonts w:ascii="Times New Roman" w:hAnsi="Times New Roman"/>
          <w:noProof/>
          <w:sz w:val="24"/>
        </w:rPr>
        <w:t xml:space="preserve"> en la horquilla de grados AD5-AD8 se puede explicar, al menos en parte, por los patrones de contratación posteriores a 2004. Esto se debe al hecho de que la mayoría de los puestos reservados para la contratación de nacionales de los Estados miembros que se adhirieron después de 2004 estaban en la horquilla de funciones AD5-AD8. La concentración de la contratación de personal de los Estados miembros nuevos en los grados básicos ha provocado, casi automáticamente, una infrarrepresentación de los nacionales de los Estados miembros que se adhirieron antes de 2004.</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Solo cuatro de las nacionalidades de la EU-14 están suficientemente representadas en la horquilla AD5-AD8. Dos están ligeramente por debajo de su índice guía (españoles e italianos) y dos han alcanzado su índice guía (belgas y griegos).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Esta situación exige la adopción de las medidas específicas apropiadas para aumentar el nivel de representación de esas nacionalidades, que de otro modo corren el riesgo de sufrir una «brecha generacional».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No obstante, es discutible si estas medidas específicas oportunas serán suficientes para garantizar una representación equilibrada de todas las nacionalidades a largo plazo. A este respecto pueden plantearse dos elementos.</w:t>
      </w:r>
    </w:p>
    <w:p>
      <w:pPr>
        <w:spacing w:after="240" w:line="240" w:lineRule="auto"/>
        <w:jc w:val="both"/>
        <w:rPr>
          <w:rFonts w:ascii="Times New Roman" w:eastAsia="Times New Roman" w:hAnsi="Times New Roman" w:cs="Times New Roman"/>
          <w:noProof/>
          <w:sz w:val="24"/>
          <w:szCs w:val="20"/>
        </w:rPr>
      </w:pPr>
    </w:p>
    <w:p>
      <w:pPr>
        <w:keepNext/>
        <w:numPr>
          <w:ilvl w:val="1"/>
          <w:numId w:val="0"/>
        </w:numPr>
        <w:tabs>
          <w:tab w:val="num" w:pos="567"/>
        </w:tabs>
        <w:spacing w:after="240" w:line="240" w:lineRule="auto"/>
        <w:ind w:left="567" w:hanging="567"/>
        <w:jc w:val="both"/>
        <w:outlineLvl w:val="1"/>
        <w:rPr>
          <w:rFonts w:ascii="Times New Roman" w:eastAsia="Times New Roman" w:hAnsi="Times New Roman" w:cs="Times New Roman"/>
          <w:b/>
          <w:noProof/>
          <w:sz w:val="24"/>
          <w:szCs w:val="20"/>
        </w:rPr>
      </w:pPr>
      <w:r>
        <w:rPr>
          <w:rFonts w:ascii="Times New Roman" w:hAnsi="Times New Roman"/>
          <w:b/>
          <w:noProof/>
          <w:sz w:val="24"/>
        </w:rPr>
        <w:t>2.2.</w:t>
      </w:r>
      <w:r>
        <w:rPr>
          <w:noProof/>
        </w:rPr>
        <w:tab/>
      </w:r>
      <w:r>
        <w:rPr>
          <w:rFonts w:ascii="Times New Roman" w:hAnsi="Times New Roman"/>
          <w:b/>
          <w:noProof/>
          <w:sz w:val="24"/>
        </w:rPr>
        <w:t>Razones subyacentes de la infrarrepresentación en la horquilla de grados AD5-AD8</w:t>
      </w:r>
    </w:p>
    <w:p>
      <w:pPr>
        <w:keepNext/>
        <w:numPr>
          <w:ilvl w:val="2"/>
          <w:numId w:val="0"/>
        </w:numPr>
        <w:tabs>
          <w:tab w:val="num" w:pos="709"/>
        </w:tabs>
        <w:spacing w:after="240" w:line="240" w:lineRule="auto"/>
        <w:ind w:left="709" w:hanging="709"/>
        <w:jc w:val="both"/>
        <w:outlineLvl w:val="2"/>
        <w:rPr>
          <w:rFonts w:ascii="Times New Roman" w:eastAsia="Times New Roman" w:hAnsi="Times New Roman" w:cs="Times New Roman"/>
          <w:i/>
          <w:noProof/>
          <w:sz w:val="24"/>
          <w:szCs w:val="20"/>
        </w:rPr>
      </w:pPr>
      <w:r>
        <w:rPr>
          <w:rFonts w:ascii="Times New Roman" w:hAnsi="Times New Roman"/>
          <w:i/>
          <w:noProof/>
          <w:sz w:val="24"/>
        </w:rPr>
        <w:t>2.2.1.</w:t>
      </w:r>
      <w:r>
        <w:rPr>
          <w:noProof/>
        </w:rPr>
        <w:tab/>
      </w:r>
      <w:r>
        <w:rPr>
          <w:rFonts w:ascii="Times New Roman" w:hAnsi="Times New Roman"/>
          <w:i/>
          <w:noProof/>
          <w:sz w:val="24"/>
        </w:rPr>
        <w:t>Candidatos aptos disponibles en las listas de reserva de la EPSO</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El hecho de que cuatro nacionalidades de la EU-14 estén suficientemente representadas a pesar de los patrones de contratación de los últimos doce años parece indicar que existen otras razones que explican el déficit de determinadas nacionalidades. Una de esas explicaciones es la distribución de los candidatos aptos de la EPSO.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En los cuadros de los anexos 8a y 8b se muestra que la disponibilidad de candidatos aptos desde 2010 no estuvo en consonancia con los índices guía. La situación es especialmente llamativa en las oposiciones para perfiles especializados del grupo de funciones AD, donde veintitrés de las veintisiete nacionalidades están insuficientemente representadas en comparación con su índice guía. Solo cuatro nacionalidades cumplen sus índices guía: la belga, la griega, la italiana y la española</w:t>
      </w:r>
      <w:r>
        <w:rPr>
          <w:rFonts w:ascii="Times New Roman" w:hAnsi="Times New Roman"/>
          <w:noProof/>
          <w:sz w:val="24"/>
          <w:vertAlign w:val="superscript"/>
        </w:rPr>
        <w:footnoteReference w:id="13"/>
      </w:r>
      <w:r>
        <w:rPr>
          <w:rFonts w:ascii="Times New Roman" w:hAnsi="Times New Roman"/>
          <w:noProof/>
          <w:sz w:val="24"/>
        </w:rPr>
        <w:t xml:space="preserve">, es decir, las cuatro nacionalidades de la EU-14 que están suficientemente representadas en la horquilla AD5-AD8 como se indicó en la sección 2.1.2. arriba.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En este contexto, cabe destacar que la escasez de candidatos aptos de algunas nacionalidades no se debe a la falta de méritos, sino a una participación en las oposiciones inferior a la esperada. De hecho, los datos de los anexos 8a y 8b también muestran que en muchos casos en los que se observa una infrarrepresentación significativa, los nacionales de los Estados miembros pertinentes tienen una tasa de participación relativa mucho más baja y una tasa de éxito relativa más alta (véase, por ejemplo, Países Bajos, Francia o Alemania en las oposiciones generales).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Es probable que la cuestión de la composición nacional de las listas de la EPSO también influya en el equilibrio geográfico futuro si no se adoptan medidas. De hecho, si las tendencias observadas durante los últimos ocho años se confirman en el futuro, no es probable que los desequilibrios actuales se absorban «de forma natural» y, además, algunas nacionalidades podrían estar infrarrepresentadas en las generaciones venideras</w:t>
      </w:r>
      <w:r>
        <w:rPr>
          <w:rFonts w:ascii="Times New Roman" w:hAnsi="Times New Roman"/>
          <w:noProof/>
          <w:sz w:val="24"/>
          <w:vertAlign w:val="superscript"/>
        </w:rPr>
        <w:footnoteReference w:id="14"/>
      </w:r>
      <w:r>
        <w:rPr>
          <w:rFonts w:ascii="Times New Roman" w:hAnsi="Times New Roman"/>
          <w:noProof/>
          <w:sz w:val="24"/>
        </w:rPr>
        <w:t>: checos, chipriotas, daneses, eslovenos, estonios, irlandeses, letones, lituanos, luxemburgueses y polacos.</w:t>
      </w:r>
    </w:p>
    <w:p>
      <w:pPr>
        <w:spacing w:after="240" w:line="240" w:lineRule="auto"/>
        <w:jc w:val="both"/>
        <w:rPr>
          <w:rFonts w:ascii="Times New Roman" w:eastAsia="Times New Roman" w:hAnsi="Times New Roman" w:cs="Times New Roman"/>
          <w:noProof/>
          <w:sz w:val="24"/>
          <w:szCs w:val="20"/>
        </w:rPr>
      </w:pPr>
    </w:p>
    <w:p>
      <w:pPr>
        <w:keepNext/>
        <w:numPr>
          <w:ilvl w:val="2"/>
          <w:numId w:val="0"/>
        </w:numPr>
        <w:tabs>
          <w:tab w:val="num" w:pos="709"/>
        </w:tabs>
        <w:spacing w:after="240" w:line="240" w:lineRule="auto"/>
        <w:ind w:left="709" w:hanging="709"/>
        <w:jc w:val="both"/>
        <w:outlineLvl w:val="2"/>
        <w:rPr>
          <w:rFonts w:ascii="Times New Roman" w:eastAsia="Times New Roman" w:hAnsi="Times New Roman" w:cs="Times New Roman"/>
          <w:i/>
          <w:noProof/>
          <w:sz w:val="24"/>
          <w:szCs w:val="20"/>
        </w:rPr>
      </w:pPr>
      <w:r>
        <w:rPr>
          <w:rFonts w:ascii="Times New Roman" w:hAnsi="Times New Roman"/>
          <w:i/>
          <w:noProof/>
          <w:sz w:val="24"/>
        </w:rPr>
        <w:t>2.2.2.</w:t>
      </w:r>
      <w:r>
        <w:rPr>
          <w:noProof/>
        </w:rPr>
        <w:tab/>
      </w:r>
      <w:r>
        <w:rPr>
          <w:rFonts w:ascii="Times New Roman" w:hAnsi="Times New Roman"/>
          <w:i/>
          <w:noProof/>
          <w:sz w:val="24"/>
        </w:rPr>
        <w:t>La cuestión del atractivo</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Una segunda cuestión tiene que ver con la capacidad de la Comisión para atraer a un número suficiente de candidatos altamente cualificados de todos los Estados miembros. El número de participantes por cada millón de habitantes en las oposiciones al grado AD5 durante los últimos ocho años (véase el anexo 8a) revela discrepancias considerables entre unos Estados miembros y otros. Los nacionales de tres Estados miembros (Alemania, Francia y Países Bajos) tienen un nivel de participación inferior a la mitad de la media en la UE.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EPSO ya ha intentado animar a los ciudadanos de los Estados miembros «deficitarios» a que participen en las oposiciones al grupo de funciones AD. Sin embargo, no parece que hasta la fecha estos esfuerzos hayan dado los frutos deseados, tal y como muestra la distribución de los interesados en la oposición al grupo de funciones AD más reciente y en curso (véase el anexo 8c). Los nacionales de Alemania y Francia siguen participando menos de la mitad que la media. La participación de los neerlandeses ha aumentado, pero la de los suecos y polacos ha disminuido notablemente.</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Estos datos plantean un desafío de promover el atractivo de la Comisión en un momento en el que quizá se perciba que el paquete de prestaciones ofrecido (es decir, la combinación de salario, cobertura social, derechos de pensión, equilibrio entre la vida privada y la vida laboral, etc.) ha sufrido un deterioro en términos relativos con el paso del tiempo.</w:t>
      </w:r>
    </w:p>
    <w:p>
      <w:pPr>
        <w:spacing w:after="240" w:line="240" w:lineRule="auto"/>
        <w:jc w:val="both"/>
        <w:rPr>
          <w:rFonts w:ascii="Times New Roman" w:eastAsia="Times New Roman" w:hAnsi="Times New Roman" w:cs="Times New Roman"/>
          <w:noProof/>
          <w:sz w:val="24"/>
          <w:szCs w:val="20"/>
        </w:rPr>
      </w:pP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3.</w:t>
      </w:r>
      <w:r>
        <w:rPr>
          <w:noProof/>
        </w:rPr>
        <w:tab/>
      </w:r>
      <w:r>
        <w:rPr>
          <w:rFonts w:ascii="Times New Roman" w:hAnsi="Times New Roman"/>
          <w:b/>
          <w:smallCaps/>
          <w:noProof/>
          <w:sz w:val="24"/>
        </w:rPr>
        <w:t xml:space="preserve">Conclusión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Del análisis anterior pueden extraerse cuatro lecciones.</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primera, que la situación de las horquillas AD5-AD8 y AD9-AD12 difiere considerablemente una de otra. En ambos casos se observa una infrarrepresentación significativa, pero ni los Estados miembros afectados ni la dinámica son los mismos.</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segunda, que si bien existe un vínculo claro entre estos desequilibrios observados y los patrones de contratación de los últimos diez o quince años, parece que una fuente importante de desequilibrio se halla en la composición de las listas de la EPSO. Este desequilibrio no parece responder a razones objetivas, ni a cuestiones relacionadas con los méritos.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tercera, que es probable que los desequilibrios en las listas de la EPSO generen nuevos desequilibrios en el futuro.</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cuarta, que los intentos a través de acciones de comunicación de promover la participación en las oposiciones de la EPSO en su formato actual no han generado un aumento suficiente de los niveles de participación de los nacionales de los Estados miembros pertinentes.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En paralelo, debe prestarse una atención constante al atractivo de las instituciones de la UE como empleadores.</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A la luz de este contexto, la Comisión está trabajando para identificar medidas que sirvan para revertir las tendencias descritas anteriormente, respetando plenamente el marco jurídico vigente. La Comisión contempla la redacción de disposiciones generales de ejecución relativas a la aplicación del artículo 27, párrafo segundo, del Estatuto, con vistas a adoptarlas de conformidad con el artículo 110. Dichas disposiciones deben tener por objeto una mejor armonización de la distribución por nacionalidad de los candidatos aptos disponibles en las listas de reserva, al objeto de garantizar que el personal de la Comisión refleje adecuadamente la distribución de los ciudadanos de la UE por nacionalidad. </w:t>
      </w:r>
    </w:p>
    <w:p>
      <w:pPr>
        <w:spacing w:after="240" w:line="240" w:lineRule="auto"/>
        <w:jc w:val="both"/>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sectPr>
          <w:headerReference w:type="even" r:id="rId16"/>
          <w:headerReference w:type="default" r:id="rId17"/>
          <w:footerReference w:type="even" r:id="rId18"/>
          <w:footerReference w:type="default" r:id="rId19"/>
          <w:headerReference w:type="first" r:id="rId20"/>
          <w:footerReference w:type="first" r:id="rId21"/>
          <w:pgSz w:w="11906" w:h="16838"/>
          <w:pgMar w:top="1021" w:right="1701" w:bottom="1021" w:left="1588" w:header="601" w:footer="1077" w:gutter="0"/>
          <w:pgNumType w:start="1"/>
          <w:cols w:space="720"/>
          <w:titlePg/>
          <w:docGrid w:linePitch="299"/>
        </w:sectPr>
      </w:pPr>
      <w:r>
        <w:rPr>
          <w:noProof/>
        </w:rPr>
        <w:br w:type="page"/>
      </w:r>
    </w:p>
    <w:p>
      <w:pPr>
        <w:spacing w:after="0" w:line="240" w:lineRule="auto"/>
        <w:rPr>
          <w:rFonts w:ascii="Times New Roman" w:eastAsia="Times New Roman" w:hAnsi="Times New Roman" w:cs="Times New Roman"/>
          <w:noProof/>
          <w:sz w:val="24"/>
          <w:szCs w:val="20"/>
        </w:rPr>
      </w:pPr>
    </w:p>
    <w:p>
      <w:pPr>
        <w:keepNext/>
        <w:spacing w:after="480" w:line="240" w:lineRule="auto"/>
        <w:jc w:val="center"/>
        <w:rPr>
          <w:rFonts w:ascii="Times New Roman" w:eastAsia="Times New Roman" w:hAnsi="Times New Roman" w:cs="Times New Roman"/>
          <w:b/>
          <w:smallCaps/>
          <w:noProof/>
          <w:sz w:val="28"/>
          <w:szCs w:val="20"/>
        </w:rPr>
      </w:pPr>
      <w:r>
        <w:rPr>
          <w:rFonts w:ascii="Times New Roman" w:hAnsi="Times New Roman"/>
          <w:b/>
          <w:smallCaps/>
          <w:noProof/>
          <w:sz w:val="28"/>
        </w:rPr>
        <w:t xml:space="preserve">Sección 3 - Otras instituciones de la UE </w:t>
      </w:r>
      <w:r>
        <w:rPr>
          <w:rFonts w:ascii="Times New Roman" w:eastAsia="Times New Roman" w:hAnsi="Times New Roman" w:cs="Times New Roman"/>
          <w:b/>
          <w:smallCaps/>
          <w:noProof/>
          <w:sz w:val="28"/>
          <w:szCs w:val="20"/>
        </w:rPr>
        <w:br/>
      </w:r>
      <w:r>
        <w:rPr>
          <w:rFonts w:ascii="Times New Roman" w:hAnsi="Times New Roman"/>
          <w:b/>
          <w:smallCaps/>
          <w:noProof/>
          <w:sz w:val="28"/>
        </w:rPr>
        <w:t>en las que se aplica el Estatuto de los funcionarios</w:t>
      </w:r>
    </w:p>
    <w:p>
      <w:pPr>
        <w:spacing w:after="0" w:line="240" w:lineRule="auto"/>
        <w:rPr>
          <w:rFonts w:ascii="Times New Roman" w:eastAsia="Times New Roman" w:hAnsi="Times New Roman" w:cs="Times New Roman"/>
          <w:noProof/>
          <w:sz w:val="24"/>
          <w:szCs w:val="20"/>
        </w:rPr>
      </w:pPr>
    </w:p>
    <w:p>
      <w:pPr>
        <w:keepNext/>
        <w:numPr>
          <w:ilvl w:val="0"/>
          <w:numId w:val="20"/>
        </w:numPr>
        <w:spacing w:before="240" w:after="240" w:line="240" w:lineRule="auto"/>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Introducción</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El artículo 27 del Estatuto exige que la Comisión presente un informe al Parlamento Europeo y al Consejo sobre la aplicación del párrafo segundo de este artículo. A tal fin, la Comisión recogió información pertinente de las instituciones interesadas.</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Las aportaciones de las distintas instituciones se resumen en el cuadro de los anexos 9 y 12, mientras que los datos numéricos pertinentes se recogen en los anexos 10, 11, 13 y 14.</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En el informe se resumen las aportaciones de las distintas instituciones, sin comentarios con respecto a ellas.</w:t>
      </w: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2.</w:t>
      </w:r>
      <w:r>
        <w:rPr>
          <w:noProof/>
        </w:rPr>
        <w:tab/>
      </w:r>
      <w:r>
        <w:rPr>
          <w:rFonts w:ascii="Times New Roman" w:hAnsi="Times New Roman"/>
          <w:b/>
          <w:smallCaps/>
          <w:noProof/>
          <w:sz w:val="24"/>
        </w:rPr>
        <w:t>Instituciones y órganos tratados como instituciones en virtud del artículo 1 ter del Estatuto de los funcionarios (Instituciones)</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Comisión recibió aportaciones de todas las instituciones en cuestión.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A excepción del Servicio Europeo de Acción Exterior, ninguna de estas instituciones ha adoptado formalmente una definición de equilibrio geográfico, desequilibrio o desequilibrio significativo. No obstante, la mayoría de ellas supervisa la representación geográfica del personal y la compara con la población del Estado miembro en cuestión o con el indicador compuesto desarrollado por la Comisión para los países que se adhirieron después de 2004 (la media de la cuota de población, diputados al PE y ponderación del voto en el Consejo antes del Tratado de Lisboa).</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Esta supervisión está diseñada para reflejar las necesidades y las limitaciones de la institución en cuestión.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mayoría de las instituciones sufren desequilibrios geográficos en la composición de su personal; en algunos casos, el desequilibrio se considera significativo. Sin embargo, todas las instituciones consideraban que los desequilibrios (significativos) observados se justificaban con razones objetivas. Las justificaciones más alegadas fueron el denominado efecto «sede»</w:t>
      </w:r>
      <w:r>
        <w:rPr>
          <w:rFonts w:ascii="Times New Roman" w:hAnsi="Times New Roman"/>
          <w:noProof/>
          <w:sz w:val="24"/>
          <w:vertAlign w:val="superscript"/>
        </w:rPr>
        <w:footnoteReference w:id="15"/>
      </w:r>
      <w:r>
        <w:rPr>
          <w:rFonts w:ascii="Times New Roman" w:hAnsi="Times New Roman"/>
          <w:noProof/>
          <w:sz w:val="24"/>
        </w:rPr>
        <w:t>, la composición de las listas de la EPSO, la capacidad para atraer personal de Estados miembros específicos y el tamaño relativo de los servicios lingüísticos.</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Puesto que todos los desequilibrios se consideraron justificados objetivamente, ninguna institución ha tomado la iniciativa de adoptar disposiciones generales de ejecución relativas a la aplicación del artículo 27, párrafo segundo, del Estatuto.</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Asimismo, ninguna institución espera que se produzca un desequilibrio significativo en el futuro (al menos no en el grupo de funciones AD) y, en consecuencia, no se están preparando disposiciones generales de ejecución.</w:t>
      </w:r>
    </w:p>
    <w:p>
      <w:pPr>
        <w:spacing w:after="240" w:line="240" w:lineRule="auto"/>
        <w:jc w:val="both"/>
        <w:rPr>
          <w:rFonts w:ascii="Times New Roman" w:eastAsia="Times New Roman" w:hAnsi="Times New Roman" w:cs="Times New Roman"/>
          <w:noProof/>
          <w:sz w:val="24"/>
          <w:szCs w:val="20"/>
        </w:rPr>
      </w:pP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3.</w:t>
      </w:r>
      <w:r>
        <w:rPr>
          <w:noProof/>
        </w:rPr>
        <w:tab/>
      </w:r>
      <w:r>
        <w:rPr>
          <w:rFonts w:ascii="Times New Roman" w:hAnsi="Times New Roman"/>
          <w:b/>
          <w:smallCaps/>
          <w:noProof/>
          <w:sz w:val="24"/>
        </w:rPr>
        <w:t>Agencias descentralizadas</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Comisión recibió las aportaciones de diecinueve agencias descentralizadas.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Por lo general, las agencias tienen menor tamaño que las instituciones referidas en el capítulo anterior. Suelen estar ubicadas en otros Estados miembros, más precisamente en ciudades alejadas de las sedes principales de las instituciones de la UE más importantes. Su ámbito de actividades es especializado. Presentan importantes diferencias entre sí, tanto en términos de tamaño como de ámbito y ubicación. Por este motivo, ni la Comisión ni las propias agencias consideran apropiado tener un enfoque común sobre la cuestión del equilibrio geográfico.</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El examen del cuadro del anexo 12 muestra que no existe una definición uniforme de lo que debe ser el equilibrio geográfico. No obstante, teniendo en cuenta las respectivas limitaciones, la mayoría de las agencias consideraban que no observan un desequilibrio geográfico significativo. Por lo tanto, no tienen previsto adoptar disposiciones generales de ejecución relativas a la aplicación del artículo 27 del Estatuto.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Dos agencias observaron desequilibrios significativos. En ambos casos, las agencias consideran que el desequilibrio está causado por varios factores, entre ellos el coeficiente de corrección aplicable y la dificultad que los cónyuges encuentran para trabajar en el mercado local.</w:t>
      </w:r>
      <w:r>
        <w:rPr>
          <w:noProof/>
        </w:rPr>
        <w:tab/>
      </w:r>
      <w:r>
        <w:rPr>
          <w:rFonts w:ascii="Times New Roman" w:eastAsia="Times New Roman" w:hAnsi="Times New Roman" w:cs="Times New Roman"/>
          <w:noProof/>
          <w:sz w:val="24"/>
          <w:szCs w:val="20"/>
        </w:rPr>
        <w:br/>
      </w:r>
      <w:r>
        <w:rPr>
          <w:rFonts w:ascii="Times New Roman" w:hAnsi="Times New Roman"/>
          <w:noProof/>
          <w:sz w:val="24"/>
        </w:rPr>
        <w:t>Una agencia observó un desequilibrio creciente en favor de los nacionales del Estado miembro anfitrión. Esta agencia está considerando la posibilidad de redactar una disposición general de ejecución relativa a la aplicación del artículo 27 del Estatuto en caso de que este desequilibrio siga creciendo.</w:t>
      </w:r>
    </w:p>
    <w:p>
      <w:pPr>
        <w:spacing w:after="0" w:line="24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spacing w:after="0" w:line="240" w:lineRule="auto"/>
        <w:rPr>
          <w:rFonts w:ascii="Times New Roman" w:eastAsia="Times New Roman" w:hAnsi="Times New Roman" w:cs="Times New Roman"/>
          <w:b/>
          <w:noProof/>
          <w:sz w:val="24"/>
          <w:szCs w:val="20"/>
        </w:rPr>
      </w:pPr>
      <w:r>
        <w:rPr>
          <w:rFonts w:ascii="Times New Roman" w:hAnsi="Times New Roman"/>
          <w:b/>
          <w:noProof/>
          <w:sz w:val="24"/>
        </w:rPr>
        <w:t>ANEXO 1: Base jurídica</w:t>
      </w:r>
    </w:p>
    <w:p>
      <w:pPr>
        <w:spacing w:after="0" w:line="240" w:lineRule="auto"/>
        <w:rPr>
          <w:rFonts w:ascii="Times New Roman" w:eastAsia="Times New Roman" w:hAnsi="Times New Roman" w:cs="Times New Roman"/>
          <w:noProof/>
          <w:sz w:val="24"/>
          <w:szCs w:val="20"/>
        </w:rPr>
      </w:pPr>
    </w:p>
    <w:p>
      <w:pPr>
        <w:spacing w:after="240" w:line="240" w:lineRule="auto"/>
        <w:jc w:val="both"/>
        <w:rPr>
          <w:rFonts w:ascii="Times New Roman" w:eastAsia="Times New Roman" w:hAnsi="Times New Roman" w:cs="Times New Roman"/>
          <w:noProof/>
          <w:sz w:val="24"/>
          <w:szCs w:val="20"/>
        </w:rPr>
      </w:pPr>
      <w:r>
        <w:rPr>
          <w:rFonts w:ascii="Times New Roman" w:hAnsi="Times New Roman"/>
          <w:b/>
          <w:noProof/>
          <w:sz w:val="24"/>
        </w:rPr>
        <w:t>Artículo 9 del Tratado</w:t>
      </w:r>
      <w:r>
        <w:rPr>
          <w:rFonts w:ascii="Times New Roman" w:hAnsi="Times New Roman"/>
          <w:noProof/>
          <w:sz w:val="24"/>
        </w:rPr>
        <w:t xml:space="preserve"> </w:t>
      </w:r>
      <w:r>
        <w:rPr>
          <w:rFonts w:ascii="Times New Roman" w:hAnsi="Times New Roman"/>
          <w:b/>
          <w:noProof/>
          <w:sz w:val="24"/>
        </w:rPr>
        <w:t>de la Unión Europea:</w:t>
      </w:r>
      <w:r>
        <w:rPr>
          <w:rFonts w:ascii="Times New Roman" w:hAnsi="Times New Roman"/>
          <w:noProof/>
          <w:sz w:val="24"/>
        </w:rPr>
        <w:t xml:space="preserve"> </w:t>
      </w:r>
      <w:r>
        <w:rPr>
          <w:noProof/>
        </w:rPr>
        <w:tab/>
      </w:r>
      <w:r>
        <w:rPr>
          <w:rFonts w:ascii="Times New Roman" w:eastAsia="Times New Roman" w:hAnsi="Times New Roman" w:cs="Times New Roman"/>
          <w:noProof/>
          <w:sz w:val="24"/>
          <w:szCs w:val="20"/>
        </w:rPr>
        <w:br/>
      </w:r>
      <w:r>
        <w:rPr>
          <w:rFonts w:ascii="Times New Roman" w:hAnsi="Times New Roman"/>
          <w:noProof/>
          <w:sz w:val="24"/>
        </w:rPr>
        <w:t xml:space="preserve">«la Unión respetará en todas sus actividades el principio de la igualdad de sus ciudadanos». </w:t>
      </w:r>
    </w:p>
    <w:p>
      <w:pPr>
        <w:spacing w:after="80" w:line="23" w:lineRule="atLeast"/>
        <w:jc w:val="both"/>
        <w:rPr>
          <w:rFonts w:ascii="Times New Roman" w:eastAsia="Calibri" w:hAnsi="Times New Roman" w:cs="Times New Roman"/>
          <w:noProof/>
          <w:sz w:val="24"/>
          <w:szCs w:val="24"/>
        </w:rPr>
      </w:pPr>
      <w:r>
        <w:rPr>
          <w:rFonts w:ascii="Times New Roman" w:hAnsi="Times New Roman"/>
          <w:b/>
          <w:noProof/>
          <w:sz w:val="24"/>
        </w:rPr>
        <w:t>Artículo 18 del Tratado de Funcionamiento de la Unión Europea (TFUE):</w:t>
      </w:r>
      <w:r>
        <w:rPr>
          <w:noProof/>
        </w:rPr>
        <w:tab/>
      </w:r>
      <w:r>
        <w:rPr>
          <w:rFonts w:ascii="Times New Roman" w:eastAsia="Calibri" w:hAnsi="Times New Roman" w:cs="Times New Roman"/>
          <w:b/>
          <w:noProof/>
          <w:sz w:val="24"/>
          <w:szCs w:val="24"/>
        </w:rPr>
        <w:br/>
      </w:r>
      <w:r>
        <w:rPr>
          <w:rFonts w:ascii="Times New Roman" w:hAnsi="Times New Roman"/>
          <w:noProof/>
          <w:sz w:val="24"/>
        </w:rPr>
        <w:t xml:space="preserve">«En el ámbito de aplicación de los Tratados, y sin perjuicio de las disposiciones particulares previstas en los mismos, </w:t>
      </w:r>
      <w:r>
        <w:rPr>
          <w:rFonts w:ascii="Times New Roman" w:hAnsi="Times New Roman"/>
          <w:noProof/>
          <w:sz w:val="24"/>
          <w:u w:val="single"/>
        </w:rPr>
        <w:t>se prohibirá toda discriminación por razón de la nacionalidad</w:t>
      </w:r>
      <w:r>
        <w:rPr>
          <w:rFonts w:ascii="Times New Roman" w:hAnsi="Times New Roman"/>
          <w:noProof/>
          <w:sz w:val="24"/>
        </w:rPr>
        <w:t>.</w:t>
      </w:r>
    </w:p>
    <w:p>
      <w:pPr>
        <w:autoSpaceDE w:val="0"/>
        <w:autoSpaceDN w:val="0"/>
        <w:spacing w:after="80" w:line="23" w:lineRule="atLeast"/>
        <w:jc w:val="both"/>
        <w:rPr>
          <w:rFonts w:ascii="Times New Roman" w:eastAsia="Calibri" w:hAnsi="Times New Roman" w:cs="Times New Roman"/>
          <w:noProof/>
          <w:sz w:val="24"/>
          <w:szCs w:val="24"/>
        </w:rPr>
      </w:pPr>
      <w:r>
        <w:rPr>
          <w:rFonts w:ascii="Times New Roman" w:hAnsi="Times New Roman"/>
          <w:noProof/>
          <w:sz w:val="24"/>
        </w:rPr>
        <w:t>».</w:t>
      </w:r>
    </w:p>
    <w:p>
      <w:pPr>
        <w:autoSpaceDE w:val="0"/>
        <w:autoSpaceDN w:val="0"/>
        <w:spacing w:after="80" w:line="23" w:lineRule="atLeast"/>
        <w:jc w:val="both"/>
        <w:rPr>
          <w:rFonts w:ascii="Times New Roman" w:eastAsia="Calibri" w:hAnsi="Times New Roman" w:cs="Times New Roman"/>
          <w:noProof/>
          <w:sz w:val="24"/>
          <w:szCs w:val="24"/>
        </w:rPr>
      </w:pPr>
    </w:p>
    <w:p>
      <w:pPr>
        <w:autoSpaceDE w:val="0"/>
        <w:autoSpaceDN w:val="0"/>
        <w:spacing w:after="80" w:line="23" w:lineRule="atLeast"/>
        <w:jc w:val="both"/>
        <w:rPr>
          <w:rFonts w:ascii="Times New Roman" w:eastAsia="Calibri" w:hAnsi="Times New Roman" w:cs="Times New Roman"/>
          <w:noProof/>
          <w:color w:val="000000"/>
          <w:sz w:val="24"/>
          <w:szCs w:val="24"/>
        </w:rPr>
      </w:pPr>
      <w:r>
        <w:rPr>
          <w:rFonts w:ascii="Times New Roman" w:hAnsi="Times New Roman"/>
          <w:b/>
          <w:noProof/>
          <w:sz w:val="24"/>
        </w:rPr>
        <w:t xml:space="preserve">Artículo 21 de la Carta de los Derechos Fundamentales. No discriminación: </w:t>
      </w:r>
    </w:p>
    <w:p>
      <w:pPr>
        <w:numPr>
          <w:ilvl w:val="0"/>
          <w:numId w:val="21"/>
        </w:numPr>
        <w:autoSpaceDE w:val="0"/>
        <w:autoSpaceDN w:val="0"/>
        <w:spacing w:after="0" w:line="23" w:lineRule="atLeast"/>
        <w:jc w:val="both"/>
        <w:rPr>
          <w:rFonts w:ascii="Times New Roman" w:hAnsi="Times New Roman" w:cs="Times New Roman"/>
          <w:noProof/>
          <w:sz w:val="24"/>
          <w:szCs w:val="24"/>
        </w:rPr>
      </w:pPr>
      <w:r>
        <w:rPr>
          <w:rFonts w:ascii="Times New Roman" w:hAnsi="Times New Roman"/>
          <w:noProof/>
          <w:sz w:val="24"/>
        </w:rPr>
        <w:t>Se prohíbe toda discriminación, y en particular la ejercida por razón de sexo, raza, color, orígenes étnicos o sociales, características genéticas, lengua, religión o convicciones, opiniones políticas o de cualquier otro tipo, pertenencia a una minoría nacional, patrimonio, nacimiento, discapacidad, edad u orientación sexual.</w:t>
      </w:r>
    </w:p>
    <w:p>
      <w:pPr>
        <w:numPr>
          <w:ilvl w:val="0"/>
          <w:numId w:val="21"/>
        </w:numPr>
        <w:autoSpaceDE w:val="0"/>
        <w:autoSpaceDN w:val="0"/>
        <w:spacing w:before="60" w:after="60" w:line="23" w:lineRule="atLeast"/>
        <w:jc w:val="both"/>
        <w:rPr>
          <w:rFonts w:ascii="Times New Roman" w:hAnsi="Times New Roman" w:cs="Times New Roman"/>
          <w:noProof/>
          <w:color w:val="000000"/>
          <w:sz w:val="24"/>
          <w:szCs w:val="24"/>
        </w:rPr>
      </w:pPr>
      <w:r>
        <w:rPr>
          <w:rFonts w:ascii="Times New Roman" w:hAnsi="Times New Roman"/>
          <w:noProof/>
          <w:sz w:val="24"/>
        </w:rPr>
        <w:t xml:space="preserve">En el ámbito de aplicación de los Tratados, y sin perjuicio de sus disposiciones particulares, </w:t>
      </w:r>
      <w:r>
        <w:rPr>
          <w:rFonts w:ascii="Times New Roman" w:hAnsi="Times New Roman"/>
          <w:noProof/>
          <w:sz w:val="24"/>
          <w:u w:val="single"/>
        </w:rPr>
        <w:t>se prohibirá toda discriminación por razón de la nacionalidad</w:t>
      </w:r>
      <w:r>
        <w:rPr>
          <w:rFonts w:ascii="Times New Roman" w:hAnsi="Times New Roman"/>
          <w:noProof/>
          <w:sz w:val="24"/>
        </w:rPr>
        <w:t>.</w:t>
      </w:r>
    </w:p>
    <w:p>
      <w:pPr>
        <w:spacing w:after="24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Cabe mencionar los principios generales del derecho constitucional de la UE sobre la </w:t>
      </w:r>
      <w:r>
        <w:rPr>
          <w:rFonts w:ascii="Times New Roman" w:hAnsi="Times New Roman"/>
          <w:b/>
          <w:noProof/>
          <w:sz w:val="24"/>
        </w:rPr>
        <w:t>autonomía institucional</w:t>
      </w:r>
      <w:r>
        <w:rPr>
          <w:rFonts w:ascii="Times New Roman" w:hAnsi="Times New Roman"/>
          <w:noProof/>
          <w:sz w:val="24"/>
        </w:rPr>
        <w:t xml:space="preserve"> y la </w:t>
      </w:r>
      <w:r>
        <w:rPr>
          <w:rFonts w:ascii="Times New Roman" w:hAnsi="Times New Roman"/>
          <w:b/>
          <w:noProof/>
          <w:sz w:val="24"/>
        </w:rPr>
        <w:t>cooperación sincera</w:t>
      </w:r>
      <w:r>
        <w:rPr>
          <w:rFonts w:ascii="Times New Roman" w:hAnsi="Times New Roman"/>
          <w:noProof/>
          <w:sz w:val="24"/>
        </w:rPr>
        <w:t>.</w:t>
      </w:r>
    </w:p>
    <w:p>
      <w:pPr>
        <w:spacing w:after="24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El </w:t>
      </w:r>
      <w:r>
        <w:rPr>
          <w:rFonts w:ascii="Times New Roman" w:hAnsi="Times New Roman"/>
          <w:b/>
          <w:noProof/>
          <w:sz w:val="24"/>
        </w:rPr>
        <w:t>Estatuto de los funcionarios</w:t>
      </w:r>
      <w:r>
        <w:rPr>
          <w:rFonts w:ascii="Times New Roman" w:hAnsi="Times New Roman"/>
          <w:noProof/>
          <w:sz w:val="24"/>
        </w:rPr>
        <w:t xml:space="preserve"> contiene prescripciones y prohibiciones para guiar a la autoridad facultada para proceder a los nombramientos a la hora de tomar sus decisiones. Como norma general, dicha autoridad debe basar todas sus decisiones únicamente en el interés del servicio y en los méritos de los individuos. En función del área de que se trate, el Estatuto de los funcionarios también proporciona una «lista negra» de criterios que la autoridad facultada para proceder a los nombramientos no puede usar. Las referencias a la nacionalidad solo se prohíben explícitamente en caso de cubrir puestos individuales:</w:t>
      </w:r>
    </w:p>
    <w:p>
      <w:pPr>
        <w:tabs>
          <w:tab w:val="num" w:pos="765"/>
        </w:tabs>
        <w:spacing w:after="240" w:line="240" w:lineRule="auto"/>
        <w:ind w:left="765" w:hanging="283"/>
        <w:jc w:val="both"/>
        <w:rPr>
          <w:rFonts w:ascii="Times New Roman" w:eastAsia="Times New Roman" w:hAnsi="Times New Roman" w:cs="Times New Roman"/>
          <w:noProof/>
          <w:sz w:val="24"/>
          <w:szCs w:val="20"/>
        </w:rPr>
      </w:pPr>
      <w:r>
        <w:rPr>
          <w:rFonts w:ascii="Times New Roman" w:hAnsi="Times New Roman"/>
          <w:i/>
          <w:noProof/>
          <w:sz w:val="24"/>
        </w:rPr>
        <w:t>En general (aplicable a todo el Estatuto de los funcionarios)</w:t>
      </w:r>
      <w:r>
        <w:rPr>
          <w:rFonts w:ascii="Times New Roman" w:hAnsi="Times New Roman"/>
          <w:noProof/>
          <w:sz w:val="24"/>
        </w:rPr>
        <w:t xml:space="preserve">: El artículo 1 </w:t>
      </w:r>
      <w:r>
        <w:rPr>
          <w:rFonts w:ascii="Times New Roman" w:hAnsi="Times New Roman"/>
          <w:i/>
          <w:noProof/>
          <w:sz w:val="24"/>
        </w:rPr>
        <w:t>quinquies</w:t>
      </w:r>
      <w:r>
        <w:rPr>
          <w:rFonts w:ascii="Times New Roman" w:hAnsi="Times New Roman"/>
          <w:noProof/>
          <w:sz w:val="24"/>
        </w:rPr>
        <w:t xml:space="preserve"> del Estatuto de los funcionarios prohíbe «toda discriminación, y en particular la ejercida por razón de sexo, raza, color, orígenes étnicos o sociales, características genéticas, lengua, religión o creencias, opiniones políticas o de cualquier otro tipo, pertenencia a una minoría nacional, patrimonio, nacimiento, discapacidad, edad u orientación sexual». </w:t>
      </w:r>
      <w:r>
        <w:rPr>
          <w:rFonts w:ascii="Times New Roman" w:hAnsi="Times New Roman"/>
          <w:noProof/>
          <w:sz w:val="24"/>
          <w:vertAlign w:val="superscript"/>
        </w:rPr>
        <w:footnoteReference w:id="16"/>
      </w:r>
      <w:r>
        <w:rPr>
          <w:rFonts w:ascii="Times New Roman" w:hAnsi="Times New Roman"/>
          <w:noProof/>
          <w:sz w:val="24"/>
        </w:rPr>
        <w:t>;</w:t>
      </w:r>
    </w:p>
    <w:p>
      <w:pPr>
        <w:tabs>
          <w:tab w:val="num" w:pos="765"/>
        </w:tabs>
        <w:spacing w:after="240" w:line="240" w:lineRule="auto"/>
        <w:ind w:left="765" w:hanging="283"/>
        <w:jc w:val="both"/>
        <w:rPr>
          <w:rFonts w:ascii="Times New Roman" w:eastAsia="Times New Roman" w:hAnsi="Times New Roman" w:cs="Times New Roman"/>
          <w:noProof/>
          <w:sz w:val="24"/>
          <w:szCs w:val="20"/>
        </w:rPr>
      </w:pPr>
      <w:r>
        <w:rPr>
          <w:rFonts w:ascii="Times New Roman" w:hAnsi="Times New Roman"/>
          <w:i/>
          <w:noProof/>
          <w:sz w:val="24"/>
        </w:rPr>
        <w:t xml:space="preserve">Contratación: </w:t>
      </w:r>
      <w:r>
        <w:rPr>
          <w:rFonts w:ascii="Times New Roman" w:hAnsi="Times New Roman"/>
          <w:noProof/>
          <w:sz w:val="24"/>
        </w:rPr>
        <w:t>El artículo 27 exige que los funcionarios «sean seleccionados según una base geográfica lo más amplia posible entre los nacionales de los Estados miembros de la Unión». Aunque no se menciona explícitamente la nacionalidad, «base geográfica lo más amplia posible» se interpreta como equivalente a nacionalidad;</w:t>
      </w:r>
    </w:p>
    <w:p>
      <w:pPr>
        <w:tabs>
          <w:tab w:val="num" w:pos="765"/>
        </w:tabs>
        <w:spacing w:after="240" w:line="240" w:lineRule="auto"/>
        <w:ind w:left="765" w:hanging="283"/>
        <w:jc w:val="both"/>
        <w:rPr>
          <w:rFonts w:ascii="Times New Roman" w:eastAsia="Times New Roman" w:hAnsi="Times New Roman" w:cs="Times New Roman"/>
          <w:noProof/>
          <w:sz w:val="24"/>
          <w:szCs w:val="20"/>
        </w:rPr>
      </w:pPr>
      <w:r>
        <w:rPr>
          <w:rFonts w:ascii="Times New Roman" w:hAnsi="Times New Roman"/>
          <w:i/>
          <w:noProof/>
          <w:sz w:val="24"/>
        </w:rPr>
        <w:t xml:space="preserve">Cubrir puestos individuales: </w:t>
      </w:r>
      <w:r>
        <w:rPr>
          <w:rFonts w:ascii="Times New Roman" w:hAnsi="Times New Roman"/>
          <w:noProof/>
          <w:sz w:val="24"/>
        </w:rPr>
        <w:t xml:space="preserve">Con arreglo al artículo 7, «la autoridad facultada para proceder a los nombramientos destinará a cada funcionario a un puesto (...), tomando en cuenta únicamente el interés del servicio y </w:t>
      </w:r>
      <w:r>
        <w:rPr>
          <w:rFonts w:ascii="Times New Roman" w:hAnsi="Times New Roman"/>
          <w:noProof/>
          <w:sz w:val="24"/>
          <w:u w:val="single"/>
        </w:rPr>
        <w:t>sin consideración de la nacionalidad</w:t>
      </w:r>
      <w:r>
        <w:rPr>
          <w:rFonts w:ascii="Times New Roman" w:hAnsi="Times New Roman"/>
          <w:noProof/>
          <w:sz w:val="24"/>
        </w:rPr>
        <w:t xml:space="preserve">»; el artículo 27 prevé que «ningún puesto de trabajo podrá estar reservado a </w:t>
      </w:r>
      <w:r>
        <w:rPr>
          <w:rFonts w:ascii="Times New Roman" w:hAnsi="Times New Roman"/>
          <w:noProof/>
          <w:sz w:val="24"/>
          <w:u w:val="single"/>
        </w:rPr>
        <w:t>nacionales</w:t>
      </w:r>
      <w:r>
        <w:rPr>
          <w:rFonts w:ascii="Times New Roman" w:hAnsi="Times New Roman"/>
          <w:noProof/>
          <w:sz w:val="24"/>
        </w:rPr>
        <w:t xml:space="preserve"> de un Estado miembro determinado». </w:t>
      </w:r>
      <w:r>
        <w:rPr>
          <w:noProof/>
        </w:rPr>
        <w:tab/>
      </w:r>
      <w:r>
        <w:rPr>
          <w:rFonts w:ascii="Times New Roman" w:eastAsia="Times New Roman" w:hAnsi="Times New Roman" w:cs="Times New Roman"/>
          <w:noProof/>
          <w:sz w:val="24"/>
          <w:szCs w:val="20"/>
        </w:rPr>
        <w:br/>
      </w:r>
      <w:r>
        <w:rPr>
          <w:rFonts w:ascii="Times New Roman" w:hAnsi="Times New Roman"/>
          <w:noProof/>
          <w:sz w:val="24"/>
        </w:rPr>
        <w:t>La jurisprudencia ha ratificado que estas disposiciones prohíben reservar puestos específicos a nacionalidades específicas, pero no impiden que las instituciones adopten medidas para garantizar un equilibrio global (en particular, teniendo en cuenta la nacionalidad para cubrir puestos específicos «en casos en los que las cualificaciones de los interesados sean sustancialmente idénticas»</w:t>
      </w:r>
      <w:r>
        <w:rPr>
          <w:rFonts w:ascii="Times New Roman" w:hAnsi="Times New Roman"/>
          <w:noProof/>
          <w:sz w:val="24"/>
          <w:vertAlign w:val="superscript"/>
        </w:rPr>
        <w:footnoteReference w:id="17"/>
      </w:r>
      <w:r>
        <w:rPr>
          <w:rFonts w:ascii="Times New Roman" w:hAnsi="Times New Roman"/>
          <w:noProof/>
          <w:sz w:val="24"/>
        </w:rPr>
        <w:t>).</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Con ocasión de la </w:t>
      </w:r>
      <w:r>
        <w:rPr>
          <w:rFonts w:ascii="Times New Roman" w:hAnsi="Times New Roman"/>
          <w:b/>
          <w:noProof/>
          <w:sz w:val="24"/>
        </w:rPr>
        <w:t>revisión del Estatuto de los funcionarios de 2014</w:t>
      </w:r>
      <w:r>
        <w:rPr>
          <w:rFonts w:ascii="Times New Roman" w:hAnsi="Times New Roman"/>
          <w:noProof/>
          <w:sz w:val="24"/>
        </w:rPr>
        <w:t>, se introdujo una referencia específica a la nacionalidad por lo que se refiere a la contratación. En particular:</w:t>
      </w:r>
    </w:p>
    <w:p>
      <w:pPr>
        <w:tabs>
          <w:tab w:val="num" w:pos="765"/>
        </w:tabs>
        <w:spacing w:after="240" w:line="240" w:lineRule="auto"/>
        <w:ind w:left="765" w:hanging="283"/>
        <w:jc w:val="both"/>
        <w:rPr>
          <w:rFonts w:ascii="Times New Roman" w:eastAsia="Times New Roman" w:hAnsi="Times New Roman" w:cs="Times New Roman"/>
          <w:noProof/>
          <w:sz w:val="24"/>
          <w:szCs w:val="20"/>
        </w:rPr>
      </w:pPr>
      <w:r>
        <w:rPr>
          <w:rFonts w:ascii="Times New Roman" w:hAnsi="Times New Roman"/>
          <w:noProof/>
          <w:sz w:val="24"/>
        </w:rPr>
        <w:t xml:space="preserve">El considerando 2 del </w:t>
      </w:r>
      <w:r>
        <w:rPr>
          <w:rFonts w:ascii="Times New Roman" w:hAnsi="Times New Roman"/>
          <w:b/>
          <w:noProof/>
          <w:sz w:val="24"/>
        </w:rPr>
        <w:t>Reglamento n.° 1023/2013</w:t>
      </w:r>
      <w:r>
        <w:rPr>
          <w:rFonts w:ascii="Times New Roman" w:hAnsi="Times New Roman"/>
          <w:noProof/>
          <w:sz w:val="24"/>
        </w:rPr>
        <w:t xml:space="preserve"> del Parlamento Europeo y del Consejo</w:t>
      </w:r>
      <w:r>
        <w:rPr>
          <w:rFonts w:ascii="Times New Roman" w:hAnsi="Times New Roman"/>
          <w:noProof/>
          <w:sz w:val="24"/>
          <w:vertAlign w:val="superscript"/>
        </w:rPr>
        <w:footnoteReference w:id="18"/>
      </w:r>
      <w:r>
        <w:rPr>
          <w:rFonts w:ascii="Times New Roman" w:hAnsi="Times New Roman"/>
          <w:noProof/>
          <w:sz w:val="24"/>
        </w:rPr>
        <w:t xml:space="preserve"> establece que «es necesario preservar un marco para atraer, reclutar y mantener personal altamente cualificado y multilingüe, seleccionado con arreglo a una base geográfica lo más amplia posible entre los ciudadanos de los Estados miembros». Asimismo, con arreglo al considerando 5 del mismo Reglamento, «El valor de la función pública europea reside (...) en su diversidad cultural y lingüística, que solo puede garantizarse si se logra un equilibrio adecuado en las nacionalidades de los funcionarios».</w:t>
      </w:r>
    </w:p>
    <w:p>
      <w:pPr>
        <w:tabs>
          <w:tab w:val="num" w:pos="765"/>
        </w:tabs>
        <w:spacing w:after="240" w:line="240" w:lineRule="auto"/>
        <w:ind w:left="765" w:hanging="283"/>
        <w:jc w:val="both"/>
        <w:rPr>
          <w:rFonts w:ascii="Times New Roman" w:eastAsia="Times New Roman" w:hAnsi="Times New Roman" w:cs="Times New Roman"/>
          <w:noProof/>
          <w:sz w:val="24"/>
          <w:szCs w:val="20"/>
        </w:rPr>
      </w:pPr>
      <w:r>
        <w:rPr>
          <w:rFonts w:ascii="Times New Roman" w:hAnsi="Times New Roman"/>
          <w:noProof/>
          <w:sz w:val="24"/>
        </w:rPr>
        <w:t xml:space="preserve">El artículo 27 del </w:t>
      </w:r>
      <w:r>
        <w:rPr>
          <w:rFonts w:ascii="Times New Roman" w:hAnsi="Times New Roman"/>
          <w:b/>
          <w:noProof/>
          <w:sz w:val="24"/>
        </w:rPr>
        <w:t>Estatuto de los funcionarios</w:t>
      </w:r>
      <w:r>
        <w:rPr>
          <w:rFonts w:ascii="Times New Roman" w:hAnsi="Times New Roman"/>
          <w:noProof/>
          <w:sz w:val="24"/>
        </w:rPr>
        <w:t xml:space="preserve"> modificado establece que «el principio de la igualdad de los ciudadanos de la Unión permitirá a cada institución adoptar medidas apropiadas a raíz de la observación de un desequilibrio significativo entre las nacionalidades de los funcionarios, que no esté justificado por criterios objetivos». </w:t>
      </w:r>
    </w:p>
    <w:p>
      <w:pPr>
        <w:spacing w:after="24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El supuesto subyacente de estas disposiciones (modificadas) es que el «paquete» ofrecido a los posibles candidatos, así como los procesos de selección y contratación, están diseñados de forma que, en ausencia de una justificación objetiva, la distribución por nacionalidad de los interesados, los candidatos aptos y el personal contratado de la institución (y, por lo tanto, del personal activo) debe reflejar en líneas generales la distribución por nacionalidad de los ciudadanos de la Unión. En ausencia de una justificación objetiva, toda desviación significativa observada podría ser considerada una violación del principio de igualdad de los ciudadanos, que justificaría la adopción de medidas correctoras.</w:t>
      </w:r>
    </w:p>
    <w:p>
      <w:pPr>
        <w:tabs>
          <w:tab w:val="num" w:pos="765"/>
        </w:tabs>
        <w:spacing w:after="240" w:line="240" w:lineRule="auto"/>
        <w:ind w:left="765" w:hanging="283"/>
        <w:jc w:val="both"/>
        <w:rPr>
          <w:rFonts w:ascii="Times New Roman" w:eastAsia="Times New Roman" w:hAnsi="Times New Roman" w:cs="Times New Roman"/>
          <w:noProof/>
          <w:sz w:val="24"/>
          <w:szCs w:val="20"/>
        </w:rPr>
      </w:pPr>
      <w:r>
        <w:rPr>
          <w:rFonts w:ascii="Times New Roman" w:hAnsi="Times New Roman"/>
          <w:noProof/>
          <w:sz w:val="24"/>
        </w:rPr>
        <w:t xml:space="preserve">El </w:t>
      </w:r>
      <w:r>
        <w:rPr>
          <w:rFonts w:ascii="Times New Roman" w:hAnsi="Times New Roman"/>
          <w:b/>
          <w:noProof/>
          <w:sz w:val="24"/>
        </w:rPr>
        <w:t>Régimen aplicable a los otros agentes de la UE</w:t>
      </w:r>
      <w:r>
        <w:rPr>
          <w:rFonts w:ascii="Times New Roman" w:hAnsi="Times New Roman"/>
          <w:noProof/>
          <w:sz w:val="24"/>
        </w:rPr>
        <w:t xml:space="preserve">, y en particular el artículo 12 del mismo, contiene disposiciones similares aplicables a los agentes temporales. </w:t>
      </w:r>
    </w:p>
    <w:p>
      <w:pPr>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Para aplicar el artículo 27 del Estatuto de los funcionarios modificado, cada institución debería:</w:t>
      </w:r>
    </w:p>
    <w:p>
      <w:pPr>
        <w:pStyle w:val="ListParagraph"/>
        <w:numPr>
          <w:ilvl w:val="0"/>
          <w:numId w:val="30"/>
        </w:numPr>
        <w:tabs>
          <w:tab w:val="num" w:pos="709"/>
        </w:tabs>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interpretar qué significa «equilibrio» entre nacionalidades;</w:t>
      </w:r>
    </w:p>
    <w:p>
      <w:pPr>
        <w:pStyle w:val="ListParagraph"/>
        <w:numPr>
          <w:ilvl w:val="0"/>
          <w:numId w:val="30"/>
        </w:numPr>
        <w:tabs>
          <w:tab w:val="num" w:pos="709"/>
        </w:tabs>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interpretar qué significa un desequilibrio «significativo»;</w:t>
      </w:r>
    </w:p>
    <w:p>
      <w:pPr>
        <w:pStyle w:val="ListParagraph"/>
        <w:numPr>
          <w:ilvl w:val="0"/>
          <w:numId w:val="30"/>
        </w:numPr>
        <w:tabs>
          <w:tab w:val="num" w:pos="709"/>
        </w:tabs>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supervisar la situación factual con vistas a «observar» el equilibrio entre nacionalidades;</w:t>
      </w:r>
    </w:p>
    <w:p>
      <w:pPr>
        <w:pStyle w:val="ListParagraph"/>
        <w:numPr>
          <w:ilvl w:val="0"/>
          <w:numId w:val="30"/>
        </w:numPr>
        <w:tabs>
          <w:tab w:val="num" w:pos="709"/>
        </w:tabs>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en su caso, identificar las «razones» para dicho desequilibrio significativo y determinar si constituyen una «justificación objetiva» para el desequilibrio;</w:t>
      </w:r>
    </w:p>
    <w:p>
      <w:pPr>
        <w:pStyle w:val="ListParagraph"/>
        <w:numPr>
          <w:ilvl w:val="0"/>
          <w:numId w:val="30"/>
        </w:numPr>
        <w:tabs>
          <w:tab w:val="num" w:pos="709"/>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si procede, identificar o adoptar «medidas correctivas apropiadas».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El artículo 27 del Estatuto también estipula que transcurrido un periodo de tres años desde el 1 de enero de 2014, la Comisión presentará un informe al Parlamento Europeo y al Consejo sobre la aplicación del párrafo segundo de este artículo.</w:t>
      </w:r>
    </w:p>
    <w:p>
      <w:pPr>
        <w:spacing w:after="0" w:line="240" w:lineRule="auto"/>
        <w:rPr>
          <w:rFonts w:ascii="Times New Roman" w:eastAsia="Times New Roman" w:hAnsi="Times New Roman" w:cs="Times New Roman"/>
          <w:b/>
          <w:noProof/>
          <w:sz w:val="24"/>
          <w:szCs w:val="20"/>
        </w:rPr>
      </w:pPr>
      <w:r>
        <w:rPr>
          <w:noProof/>
        </w:rPr>
        <w:br w:type="page"/>
      </w:r>
      <w:r>
        <w:rPr>
          <w:rFonts w:ascii="Times New Roman" w:hAnsi="Times New Roman"/>
          <w:b/>
          <w:noProof/>
          <w:sz w:val="24"/>
        </w:rPr>
        <w:t>ANEXO 2: Índices guía para los Estados miembros de la EU-15</w:t>
      </w:r>
      <w:r>
        <w:rPr>
          <w:rFonts w:ascii="Times New Roman" w:hAnsi="Times New Roman"/>
          <w:b/>
          <w:noProof/>
          <w:sz w:val="24"/>
          <w:vertAlign w:val="superscript"/>
        </w:rPr>
        <w:footnoteReference w:id="19"/>
      </w:r>
    </w:p>
    <w:p>
      <w:pPr>
        <w:spacing w:after="240" w:line="240" w:lineRule="auto"/>
        <w:jc w:val="right"/>
        <w:rPr>
          <w:rFonts w:ascii="Times New Roman" w:eastAsia="Times New Roman" w:hAnsi="Times New Roman" w:cs="Times New Roman"/>
          <w:b/>
          <w:noProof/>
          <w:sz w:val="24"/>
          <w:szCs w:val="20"/>
        </w:rPr>
      </w:pPr>
      <w:r>
        <w:rPr>
          <w:rFonts w:ascii="Times New Roman" w:hAnsi="Times New Roman"/>
          <w:b/>
          <w:noProof/>
          <w:sz w:val="24"/>
        </w:rPr>
        <w:t>Anexo 1</w:t>
      </w:r>
    </w:p>
    <w:p>
      <w:pPr>
        <w:keepNext/>
        <w:spacing w:before="240" w:after="240" w:line="240" w:lineRule="auto"/>
        <w:jc w:val="center"/>
        <w:outlineLvl w:val="0"/>
        <w:rPr>
          <w:rFonts w:ascii="Times New Roman" w:eastAsia="Times New Roman" w:hAnsi="Times New Roman" w:cs="Times New Roman"/>
          <w:b/>
          <w:smallCaps/>
          <w:noProof/>
          <w:sz w:val="24"/>
          <w:szCs w:val="20"/>
        </w:rPr>
      </w:pPr>
      <w:r>
        <w:rPr>
          <w:rFonts w:ascii="Times New Roman" w:hAnsi="Times New Roman"/>
          <w:b/>
          <w:smallCaps/>
          <w:noProof/>
          <w:sz w:val="24"/>
        </w:rPr>
        <w:t>Equilibrio geográfico en ampliaciones anteriores</w:t>
      </w:r>
    </w:p>
    <w:p>
      <w:pPr>
        <w:spacing w:after="240" w:line="240" w:lineRule="auto"/>
        <w:ind w:left="482"/>
        <w:jc w:val="center"/>
        <w:rPr>
          <w:rFonts w:ascii="Times New Roman" w:eastAsia="Times New Roman" w:hAnsi="Times New Roman" w:cs="Times New Roman"/>
          <w:noProof/>
          <w:sz w:val="24"/>
          <w:szCs w:val="20"/>
        </w:rPr>
      </w:pPr>
      <w:r>
        <w:rPr>
          <w:rFonts w:ascii="Times New Roman" w:hAnsi="Times New Roman"/>
          <w:noProof/>
          <w:sz w:val="24"/>
        </w:rPr>
        <w:t>Cifras del anexo 1a</w:t>
      </w:r>
    </w:p>
    <w:p>
      <w:pPr>
        <w:spacing w:after="240" w:line="240" w:lineRule="auto"/>
        <w:ind w:left="482"/>
        <w:jc w:val="both"/>
        <w:rPr>
          <w:rFonts w:ascii="Times New Roman" w:eastAsia="Times New Roman" w:hAnsi="Times New Roman" w:cs="Times New Roman"/>
          <w:noProof/>
          <w:sz w:val="24"/>
          <w:szCs w:val="20"/>
        </w:rPr>
      </w:pPr>
    </w:p>
    <w:p>
      <w:pPr>
        <w:numPr>
          <w:ilvl w:val="0"/>
          <w:numId w:val="24"/>
        </w:numPr>
        <w:tabs>
          <w:tab w:val="num" w:pos="1134"/>
        </w:tabs>
        <w:spacing w:before="120" w:after="120" w:line="240" w:lineRule="auto"/>
        <w:ind w:left="1134"/>
        <w:jc w:val="both"/>
        <w:rPr>
          <w:rFonts w:ascii="Times New Roman" w:eastAsia="Times New Roman" w:hAnsi="Times New Roman" w:cs="Times New Roman"/>
          <w:noProof/>
          <w:sz w:val="24"/>
          <w:szCs w:val="20"/>
        </w:rPr>
      </w:pPr>
      <w:r>
        <w:rPr>
          <w:rFonts w:ascii="Times New Roman" w:hAnsi="Times New Roman"/>
          <w:b/>
          <w:noProof/>
          <w:sz w:val="24"/>
        </w:rPr>
        <w:t xml:space="preserve">Punto de partida (1958): equilibrio geográfico basado en las cifras negociadas </w:t>
      </w:r>
      <w:r>
        <w:rPr>
          <w:rFonts w:ascii="Times New Roman" w:hAnsi="Times New Roman"/>
          <w:b/>
          <w:noProof/>
          <w:sz w:val="24"/>
        </w:rPr>
        <w:br/>
      </w:r>
      <w:r>
        <w:rPr>
          <w:rFonts w:ascii="Times New Roman" w:hAnsi="Times New Roman"/>
          <w:noProof/>
          <w:sz w:val="24"/>
        </w:rPr>
        <w:t xml:space="preserve">Cuando había seis Estados miembros, el principio rector era la igualdad entre los principales Estados miembros y el total de los más pequeños. Los objetivos teóricos establecidos fueron el 25 % para Francia, Alemania, Italia y Benelux. Los valores de referencia no oficiales se aplicaban de un modo flexible y limitado a los altos funcionarios del grado A. </w:t>
      </w:r>
    </w:p>
    <w:p>
      <w:pPr>
        <w:numPr>
          <w:ilvl w:val="0"/>
          <w:numId w:val="24"/>
        </w:numPr>
        <w:tabs>
          <w:tab w:val="num" w:pos="1134"/>
        </w:tabs>
        <w:spacing w:before="120" w:after="120" w:line="240" w:lineRule="auto"/>
        <w:ind w:left="1134"/>
        <w:jc w:val="both"/>
        <w:rPr>
          <w:rFonts w:ascii="Times New Roman" w:eastAsia="Times New Roman" w:hAnsi="Times New Roman" w:cs="Times New Roman"/>
          <w:noProof/>
          <w:sz w:val="24"/>
          <w:szCs w:val="20"/>
        </w:rPr>
      </w:pPr>
      <w:r>
        <w:rPr>
          <w:rFonts w:ascii="Times New Roman" w:hAnsi="Times New Roman"/>
          <w:b/>
          <w:noProof/>
          <w:sz w:val="24"/>
        </w:rPr>
        <w:t>Primera ampliación (1973): el equilibrio geográfico sigue basado en las cifras negociadas</w:t>
      </w:r>
      <w:r>
        <w:rPr>
          <w:rFonts w:ascii="Times New Roman" w:eastAsia="Times New Roman" w:hAnsi="Times New Roman" w:cs="Times New Roman"/>
          <w:noProof/>
          <w:sz w:val="24"/>
          <w:szCs w:val="20"/>
        </w:rPr>
        <w:br/>
      </w:r>
      <w:r>
        <w:rPr>
          <w:rFonts w:ascii="Times New Roman" w:hAnsi="Times New Roman"/>
          <w:noProof/>
          <w:sz w:val="24"/>
        </w:rPr>
        <w:t>En el proceso de ampliación de 1973, se creyó que el Reino Unido debía tener la misma cuota que los otros tres Estados miembros más grandes (18 % después del reajuste), mientras que Dinamarca, Irlanda y Noruega juntas debían tener una cuota equivalente al 10 %. No se realizó ningún reajuste específico cuando Noruega decidió no adherirse, aunque se calculó que la cuota combinada de Dinamarca e Irlanda debía ser del orden del 7-8 %.</w:t>
      </w:r>
    </w:p>
    <w:p>
      <w:pPr>
        <w:numPr>
          <w:ilvl w:val="0"/>
          <w:numId w:val="24"/>
        </w:numPr>
        <w:tabs>
          <w:tab w:val="num" w:pos="1134"/>
        </w:tabs>
        <w:spacing w:before="120" w:after="120" w:line="240" w:lineRule="auto"/>
        <w:ind w:left="1134"/>
        <w:jc w:val="both"/>
        <w:rPr>
          <w:rFonts w:ascii="Times New Roman" w:eastAsia="Times New Roman" w:hAnsi="Times New Roman" w:cs="Times New Roman"/>
          <w:noProof/>
          <w:sz w:val="24"/>
          <w:szCs w:val="20"/>
        </w:rPr>
      </w:pPr>
      <w:r>
        <w:rPr>
          <w:rFonts w:ascii="Times New Roman" w:hAnsi="Times New Roman"/>
          <w:b/>
          <w:noProof/>
          <w:sz w:val="24"/>
        </w:rPr>
        <w:t>Segunda ampliación (1981): el equilibrio geográfico se basa en una combinación de cifras negociadas y criterios objetivos (datos de población y PIB)</w:t>
      </w:r>
      <w:r>
        <w:rPr>
          <w:rFonts w:ascii="Times New Roman" w:eastAsia="Times New Roman" w:hAnsi="Times New Roman" w:cs="Times New Roman"/>
          <w:noProof/>
          <w:sz w:val="24"/>
          <w:szCs w:val="20"/>
        </w:rPr>
        <w:br/>
      </w:r>
      <w:r>
        <w:rPr>
          <w:rFonts w:ascii="Times New Roman" w:hAnsi="Times New Roman"/>
          <w:noProof/>
          <w:sz w:val="24"/>
        </w:rPr>
        <w:t>Con ocasión de la adhesión de Grecia, se mantuvo el principio de la igualdad de representación de los Estados miembros más grandes y la sobrerrepresentación de los más pequeños. Sin embargo, aunque el nuevo documento [COM(78)190] indicaba que Grecia debía ocupar una posición similar a la de Bélgica y los Países Bajos, la cuota de Grecia se fijó finalmente en el 4,5 %, más baja que el 8,1 % asignado a Bélgica y los Países Bajos. Por primera vez se proporcionaron los datos de población y PIB para ilustrar este enfoque.</w:t>
      </w:r>
    </w:p>
    <w:p>
      <w:pPr>
        <w:numPr>
          <w:ilvl w:val="0"/>
          <w:numId w:val="24"/>
        </w:numPr>
        <w:tabs>
          <w:tab w:val="num" w:pos="1134"/>
        </w:tabs>
        <w:spacing w:before="120" w:after="120" w:line="240" w:lineRule="auto"/>
        <w:ind w:left="1134"/>
        <w:jc w:val="both"/>
        <w:rPr>
          <w:rFonts w:ascii="Times New Roman" w:eastAsia="Times New Roman" w:hAnsi="Times New Roman" w:cs="Times New Roman"/>
          <w:noProof/>
          <w:sz w:val="24"/>
          <w:szCs w:val="20"/>
        </w:rPr>
      </w:pPr>
      <w:r>
        <w:rPr>
          <w:rFonts w:ascii="Times New Roman" w:hAnsi="Times New Roman"/>
          <w:b/>
          <w:noProof/>
          <w:sz w:val="24"/>
        </w:rPr>
        <w:t>Tercera ampliación (1986): el equilibrio geográfico sigue basándose en una combinación de cifras negociadas y criterios objetivos (datos de población y PIB)</w:t>
      </w:r>
      <w:r>
        <w:rPr>
          <w:rFonts w:ascii="Times New Roman" w:eastAsia="Times New Roman" w:hAnsi="Times New Roman" w:cs="Times New Roman"/>
          <w:noProof/>
          <w:sz w:val="24"/>
          <w:szCs w:val="20"/>
        </w:rPr>
        <w:br/>
      </w:r>
      <w:r>
        <w:rPr>
          <w:rFonts w:ascii="Times New Roman" w:hAnsi="Times New Roman"/>
          <w:noProof/>
          <w:sz w:val="24"/>
        </w:rPr>
        <w:t xml:space="preserve">Cuando se adhirieron los países de la Península Ibérica en 1986, se completaron los valores de referencia no oficiales, que hasta ese momento solo existían para los grados A1 a A3. Sin referencia explícita a ningún criterio, la cuota para España se fijó en el valor medio entre el de los Países Bajos y el de un país grande, mientras que la cuota de Portugal se fijó en el mismo nivel que la de Grecia. </w:t>
      </w:r>
    </w:p>
    <w:p>
      <w:pPr>
        <w:numPr>
          <w:ilvl w:val="0"/>
          <w:numId w:val="24"/>
        </w:numPr>
        <w:tabs>
          <w:tab w:val="num" w:pos="1134"/>
        </w:tabs>
        <w:spacing w:before="120" w:after="120" w:line="240" w:lineRule="auto"/>
        <w:ind w:left="1134"/>
        <w:jc w:val="both"/>
        <w:rPr>
          <w:rFonts w:ascii="Times New Roman" w:eastAsia="Times New Roman" w:hAnsi="Times New Roman" w:cs="Times New Roman"/>
          <w:noProof/>
          <w:sz w:val="24"/>
          <w:szCs w:val="20"/>
        </w:rPr>
      </w:pPr>
      <w:r>
        <w:rPr>
          <w:rFonts w:ascii="Times New Roman" w:hAnsi="Times New Roman"/>
          <w:b/>
          <w:noProof/>
          <w:sz w:val="24"/>
        </w:rPr>
        <w:t xml:space="preserve">Cuarta ampliación (1995): el equilibrio geográfico sigue basándose en una combinación de cifras negociadas y criterios objetivos (datos de población y PIB) </w:t>
      </w:r>
      <w:r>
        <w:rPr>
          <w:rFonts w:ascii="Times New Roman" w:eastAsia="Times New Roman" w:hAnsi="Times New Roman" w:cs="Times New Roman"/>
          <w:noProof/>
          <w:sz w:val="24"/>
          <w:szCs w:val="20"/>
        </w:rPr>
        <w:br/>
      </w:r>
      <w:r>
        <w:rPr>
          <w:rFonts w:ascii="Times New Roman" w:hAnsi="Times New Roman"/>
          <w:noProof/>
          <w:sz w:val="24"/>
        </w:rPr>
        <w:t>En la Comunicación de la Comisión SEC 94/844, de 17 de mayo de 1994, se establecieron los valores de referencia para los tres nuevos Estados miembros y se describió la metodología aplicada. El equilibrio geográfico se adaptó sobre la base de comparaciones de las situaciones relativas de los nuevos Estados miembros con respecto a sus poblaciones y a los datos sociales y económicos en el seno de la Unión ampliada. Las características de Finlandia eran comparables a las de Dinamarca, y el objetivo fijado fue contratar a un número de nacionales finlandeses similar al número de nacionales daneses presentes en el servicio. Las características relativas a Austria y Suecia eran una vez y media mayores que las de Dinamarca, y los objetivos de contratación se fijaron en consecuencia. En el anexo 1b se ilustra este enfoque.</w:t>
      </w:r>
    </w:p>
    <w:p>
      <w:pPr>
        <w:numPr>
          <w:ilvl w:val="0"/>
          <w:numId w:val="24"/>
        </w:numPr>
        <w:tabs>
          <w:tab w:val="num" w:pos="1134"/>
        </w:tabs>
        <w:spacing w:before="120" w:after="120" w:line="240" w:lineRule="auto"/>
        <w:ind w:left="1134"/>
        <w:jc w:val="both"/>
        <w:rPr>
          <w:rFonts w:ascii="Times New Roman" w:eastAsia="Times New Roman" w:hAnsi="Times New Roman" w:cs="Times New Roman"/>
          <w:noProof/>
          <w:sz w:val="24"/>
          <w:szCs w:val="20"/>
        </w:rPr>
      </w:pPr>
      <w:r>
        <w:rPr>
          <w:rFonts w:ascii="Times New Roman" w:hAnsi="Times New Roman"/>
          <w:b/>
          <w:noProof/>
          <w:sz w:val="24"/>
        </w:rPr>
        <w:t>Resumen: los tres principios más importantes aplicados hasta el momento:</w:t>
      </w:r>
      <w:r>
        <w:rPr>
          <w:rFonts w:ascii="Times New Roman" w:eastAsia="Times New Roman" w:hAnsi="Times New Roman" w:cs="Times New Roman"/>
          <w:noProof/>
          <w:sz w:val="24"/>
          <w:szCs w:val="20"/>
        </w:rPr>
        <w:br/>
      </w:r>
      <w:r>
        <w:rPr>
          <w:rFonts w:ascii="Times New Roman" w:hAnsi="Times New Roman"/>
          <w:noProof/>
          <w:sz w:val="24"/>
        </w:rPr>
        <w:t>de lo anterior se desprende que la interpretación de la Comisión de equilibrio geográfico sigue un patrón triple:</w:t>
      </w:r>
    </w:p>
    <w:p>
      <w:pPr>
        <w:numPr>
          <w:ilvl w:val="0"/>
          <w:numId w:val="22"/>
        </w:numPr>
        <w:spacing w:before="120" w:after="120" w:line="240" w:lineRule="auto"/>
        <w:ind w:left="1985" w:hanging="567"/>
        <w:jc w:val="both"/>
        <w:rPr>
          <w:rFonts w:ascii="Times New Roman" w:eastAsia="Times New Roman" w:hAnsi="Times New Roman" w:cs="Times New Roman"/>
          <w:noProof/>
          <w:sz w:val="24"/>
          <w:szCs w:val="20"/>
        </w:rPr>
      </w:pPr>
      <w:r>
        <w:rPr>
          <w:rFonts w:ascii="Times New Roman" w:hAnsi="Times New Roman"/>
          <w:noProof/>
          <w:sz w:val="24"/>
        </w:rPr>
        <w:t>el equilibrio geográfico ha sido una preocupación desde el principio, especialmente para los altos funcionarios de grado A;</w:t>
      </w:r>
    </w:p>
    <w:p>
      <w:pPr>
        <w:numPr>
          <w:ilvl w:val="0"/>
          <w:numId w:val="22"/>
        </w:numPr>
        <w:spacing w:before="120" w:after="120" w:line="240" w:lineRule="auto"/>
        <w:ind w:left="1985" w:hanging="567"/>
        <w:jc w:val="both"/>
        <w:rPr>
          <w:rFonts w:ascii="Times New Roman" w:eastAsia="Times New Roman" w:hAnsi="Times New Roman" w:cs="Times New Roman"/>
          <w:noProof/>
          <w:sz w:val="24"/>
          <w:szCs w:val="20"/>
        </w:rPr>
      </w:pPr>
      <w:r>
        <w:rPr>
          <w:rFonts w:ascii="Times New Roman" w:hAnsi="Times New Roman"/>
          <w:noProof/>
          <w:sz w:val="24"/>
        </w:rPr>
        <w:t xml:space="preserve">el equilibrio geográfico siempre se ha basado en la doble regla de: </w:t>
      </w:r>
      <w:r>
        <w:rPr>
          <w:noProof/>
        </w:rPr>
        <w:tab/>
      </w:r>
      <w:r>
        <w:rPr>
          <w:rFonts w:ascii="Times New Roman" w:eastAsia="Times New Roman" w:hAnsi="Times New Roman" w:cs="Times New Roman"/>
          <w:noProof/>
          <w:sz w:val="24"/>
          <w:szCs w:val="20"/>
        </w:rPr>
        <w:br/>
      </w:r>
      <w:r>
        <w:rPr>
          <w:rFonts w:ascii="Times New Roman" w:hAnsi="Times New Roman"/>
          <w:noProof/>
          <w:sz w:val="24"/>
        </w:rPr>
        <w:t>a) la igualdad de representación de los cuatro (originalmente tres) Estados miembros más grandes;</w:t>
      </w:r>
      <w:r>
        <w:rPr>
          <w:rFonts w:ascii="Times New Roman" w:eastAsia="Times New Roman" w:hAnsi="Times New Roman" w:cs="Times New Roman"/>
          <w:noProof/>
          <w:sz w:val="24"/>
          <w:szCs w:val="20"/>
        </w:rPr>
        <w:br/>
      </w:r>
      <w:r>
        <w:rPr>
          <w:rFonts w:ascii="Times New Roman" w:hAnsi="Times New Roman"/>
          <w:noProof/>
          <w:sz w:val="24"/>
        </w:rPr>
        <w:t>b) la sobrerrepresentación de los Estados miembros más pequeños, para garantizar una representación mínima;</w:t>
      </w:r>
    </w:p>
    <w:p>
      <w:pPr>
        <w:numPr>
          <w:ilvl w:val="0"/>
          <w:numId w:val="22"/>
        </w:numPr>
        <w:spacing w:before="120" w:after="120" w:line="240" w:lineRule="auto"/>
        <w:ind w:left="1985" w:hanging="567"/>
        <w:jc w:val="both"/>
        <w:rPr>
          <w:rFonts w:ascii="Times New Roman" w:eastAsia="Times New Roman" w:hAnsi="Times New Roman" w:cs="Times New Roman"/>
          <w:noProof/>
          <w:sz w:val="24"/>
          <w:szCs w:val="20"/>
        </w:rPr>
      </w:pPr>
      <w:r>
        <w:rPr>
          <w:rFonts w:ascii="Times New Roman" w:hAnsi="Times New Roman"/>
          <w:noProof/>
          <w:sz w:val="24"/>
        </w:rPr>
        <w:t>las sucesivas ampliaciones nunca han dado lugar a la modificación del peso relativo de los Estados miembros preexistentes. Por lo tanto:</w:t>
      </w:r>
      <w:r>
        <w:rPr>
          <w:noProof/>
        </w:rPr>
        <w:tab/>
      </w:r>
      <w:r>
        <w:rPr>
          <w:rFonts w:ascii="Times New Roman" w:eastAsia="Times New Roman" w:hAnsi="Times New Roman" w:cs="Times New Roman"/>
          <w:noProof/>
          <w:sz w:val="24"/>
          <w:szCs w:val="20"/>
        </w:rPr>
        <w:br/>
      </w:r>
      <w:r>
        <w:rPr>
          <w:rFonts w:ascii="Times New Roman" w:hAnsi="Times New Roman"/>
          <w:noProof/>
          <w:sz w:val="24"/>
        </w:rPr>
        <w:t>a) con respecto a los Estados miembros preexistentes, todos los pesos relativos se mantuvieron inalterados tras las sucesivas ampliaciones (p. ej., el peso de Bélgica siguió siendo el mismo que el de los Países Bajos y el 45 % del de Alemania después de las ampliaciones de 1981, 1986 y 1995);</w:t>
      </w:r>
      <w:r>
        <w:rPr>
          <w:noProof/>
        </w:rPr>
        <w:tab/>
      </w:r>
      <w:r>
        <w:rPr>
          <w:rFonts w:ascii="Times New Roman" w:eastAsia="Times New Roman" w:hAnsi="Times New Roman" w:cs="Times New Roman"/>
          <w:noProof/>
          <w:sz w:val="24"/>
          <w:szCs w:val="20"/>
        </w:rPr>
        <w:br/>
      </w:r>
      <w:r>
        <w:rPr>
          <w:rFonts w:ascii="Times New Roman" w:hAnsi="Times New Roman"/>
          <w:noProof/>
          <w:sz w:val="24"/>
        </w:rPr>
        <w:t>b) a los nuevos Estados miembros se les asignó un peso basado en los Estados miembros preexistentes más similares (p. ej., a Portugal se le asignó el mismo peso que a Grecia; a España se le asignó un peso entre el de los Países Bajos y Francia, etc.).</w:t>
      </w:r>
    </w:p>
    <w:p>
      <w:pPr>
        <w:spacing w:after="240" w:line="240" w:lineRule="auto"/>
        <w:ind w:left="482"/>
        <w:jc w:val="both"/>
        <w:rPr>
          <w:rFonts w:ascii="Times New Roman" w:eastAsia="Times New Roman" w:hAnsi="Times New Roman" w:cs="Times New Roman"/>
          <w:noProof/>
          <w:sz w:val="24"/>
          <w:szCs w:val="20"/>
        </w:rPr>
      </w:pPr>
    </w:p>
    <w:p>
      <w:pPr>
        <w:spacing w:after="240" w:line="240" w:lineRule="auto"/>
        <w:jc w:val="both"/>
        <w:rPr>
          <w:rFonts w:ascii="Times New Roman" w:eastAsia="Times New Roman" w:hAnsi="Times New Roman" w:cs="Times New Roman"/>
          <w:noProof/>
          <w:sz w:val="24"/>
          <w:szCs w:val="20"/>
        </w:rPr>
        <w:sectPr>
          <w:headerReference w:type="even" r:id="rId22"/>
          <w:headerReference w:type="default" r:id="rId23"/>
          <w:footerReference w:type="even" r:id="rId24"/>
          <w:footerReference w:type="default" r:id="rId25"/>
          <w:headerReference w:type="first" r:id="rId26"/>
          <w:footerReference w:type="first" r:id="rId27"/>
          <w:pgSz w:w="11906" w:h="16838"/>
          <w:pgMar w:top="1134" w:right="1418" w:bottom="1134" w:left="1418" w:header="720" w:footer="720" w:gutter="0"/>
          <w:cols w:space="720"/>
        </w:sectPr>
      </w:pPr>
    </w:p>
    <w:p>
      <w:pPr>
        <w:spacing w:after="0" w:line="240" w:lineRule="auto"/>
        <w:jc w:val="right"/>
        <w:outlineLvl w:val="0"/>
        <w:rPr>
          <w:rFonts w:ascii="Times New Roman" w:eastAsia="Times New Roman" w:hAnsi="Times New Roman" w:cs="Times New Roman"/>
          <w:b/>
          <w:noProof/>
          <w:sz w:val="24"/>
          <w:szCs w:val="20"/>
        </w:rPr>
      </w:pPr>
      <w:r>
        <w:rPr>
          <w:rFonts w:ascii="Times New Roman" w:hAnsi="Times New Roman"/>
          <w:noProof/>
          <w:sz w:val="24"/>
        </w:rPr>
        <w:t xml:space="preserve"> </w:t>
      </w:r>
      <w:r>
        <w:rPr>
          <w:rFonts w:ascii="Times New Roman" w:hAnsi="Times New Roman"/>
          <w:b/>
          <w:noProof/>
          <w:sz w:val="24"/>
        </w:rPr>
        <w:t>Anexo 1a</w:t>
      </w:r>
    </w:p>
    <w:p>
      <w:pPr>
        <w:spacing w:after="240" w:line="240" w:lineRule="auto"/>
        <w:jc w:val="right"/>
        <w:outlineLvl w:val="0"/>
        <w:rPr>
          <w:rFonts w:ascii="Times New Roman" w:eastAsia="Times New Roman" w:hAnsi="Times New Roman" w:cs="Times New Roman"/>
          <w:noProof/>
          <w:sz w:val="24"/>
          <w:szCs w:val="20"/>
        </w:rPr>
      </w:pPr>
    </w:p>
    <w:tbl>
      <w:tblPr>
        <w:tblW w:w="0" w:type="auto"/>
        <w:tblInd w:w="2157" w:type="dxa"/>
        <w:tblLayout w:type="fixed"/>
        <w:tblCellMar>
          <w:left w:w="30" w:type="dxa"/>
          <w:right w:w="30" w:type="dxa"/>
        </w:tblCellMar>
        <w:tblLook w:val="0000" w:firstRow="0" w:lastRow="0" w:firstColumn="0" w:lastColumn="0" w:noHBand="0" w:noVBand="0"/>
      </w:tblPr>
      <w:tblGrid>
        <w:gridCol w:w="672"/>
        <w:gridCol w:w="1747"/>
        <w:gridCol w:w="1747"/>
        <w:gridCol w:w="1748"/>
        <w:gridCol w:w="1747"/>
        <w:gridCol w:w="1524"/>
        <w:gridCol w:w="1598"/>
      </w:tblGrid>
      <w:tr>
        <w:trPr>
          <w:cantSplit/>
        </w:trPr>
        <w:tc>
          <w:tcPr>
            <w:tcW w:w="10783" w:type="dxa"/>
            <w:gridSpan w:val="7"/>
            <w:tcBorders>
              <w:top w:val="single" w:sz="12" w:space="0" w:color="auto"/>
              <w:left w:val="single" w:sz="12" w:space="0" w:color="auto"/>
              <w:right w:val="single" w:sz="12" w:space="0" w:color="auto"/>
            </w:tcBorders>
          </w:tcPr>
          <w:p>
            <w:pPr>
              <w:spacing w:after="0" w:line="240" w:lineRule="auto"/>
              <w:jc w:val="center"/>
              <w:rPr>
                <w:rFonts w:ascii="Times New Roman" w:eastAsia="Times New Roman" w:hAnsi="Times New Roman" w:cs="Times New Roman"/>
                <w:b/>
                <w:noProof/>
                <w:snapToGrid w:val="0"/>
                <w:color w:val="000000"/>
                <w:sz w:val="24"/>
                <w:szCs w:val="20"/>
              </w:rPr>
            </w:pPr>
            <w:r>
              <w:rPr>
                <w:rFonts w:ascii="Times New Roman" w:hAnsi="Times New Roman"/>
                <w:b/>
                <w:noProof/>
                <w:snapToGrid w:val="0"/>
                <w:color w:val="000000"/>
                <w:sz w:val="24"/>
              </w:rPr>
              <w:t>Ampliaciones anteriores - directrices</w:t>
            </w:r>
          </w:p>
        </w:tc>
      </w:tr>
      <w:tr>
        <w:tc>
          <w:tcPr>
            <w:tcW w:w="672" w:type="dxa"/>
            <w:tcBorders>
              <w:top w:val="single" w:sz="12" w:space="0" w:color="auto"/>
              <w:bottom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p>
        </w:tc>
        <w:tc>
          <w:tcPr>
            <w:tcW w:w="1747" w:type="dxa"/>
            <w:tcBorders>
              <w:top w:val="single" w:sz="12" w:space="0" w:color="auto"/>
              <w:bottom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p>
        </w:tc>
        <w:tc>
          <w:tcPr>
            <w:tcW w:w="1747" w:type="dxa"/>
            <w:tcBorders>
              <w:top w:val="single" w:sz="12" w:space="0" w:color="auto"/>
              <w:bottom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p>
        </w:tc>
        <w:tc>
          <w:tcPr>
            <w:tcW w:w="1748" w:type="dxa"/>
            <w:tcBorders>
              <w:top w:val="single" w:sz="12" w:space="0" w:color="auto"/>
              <w:bottom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12" w:space="0" w:color="auto"/>
              <w:bottom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524" w:type="dxa"/>
            <w:tcBorders>
              <w:top w:val="single" w:sz="12" w:space="0" w:color="auto"/>
              <w:bottom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598" w:type="dxa"/>
            <w:tcBorders>
              <w:top w:val="single" w:sz="12" w:space="0" w:color="auto"/>
              <w:bottom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r>
      <w:tr>
        <w:tc>
          <w:tcPr>
            <w:tcW w:w="672" w:type="dxa"/>
            <w:tcBorders>
              <w:top w:val="single" w:sz="12" w:space="0" w:color="auto"/>
              <w:left w:val="single" w:sz="12" w:space="0" w:color="auto"/>
              <w:bottom w:val="single" w:sz="1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p>
        </w:tc>
        <w:tc>
          <w:tcPr>
            <w:tcW w:w="1747" w:type="dxa"/>
            <w:tcBorders>
              <w:top w:val="single" w:sz="12" w:space="0" w:color="auto"/>
              <w:left w:val="single" w:sz="12" w:space="0" w:color="auto"/>
              <w:bottom w:val="single" w:sz="1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p>
        </w:tc>
        <w:tc>
          <w:tcPr>
            <w:tcW w:w="1747"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1958</w:t>
            </w:r>
          </w:p>
        </w:tc>
        <w:tc>
          <w:tcPr>
            <w:tcW w:w="1748"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1973</w:t>
            </w:r>
          </w:p>
        </w:tc>
        <w:tc>
          <w:tcPr>
            <w:tcW w:w="1747"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1981</w:t>
            </w:r>
          </w:p>
        </w:tc>
        <w:tc>
          <w:tcPr>
            <w:tcW w:w="1524"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1986</w:t>
            </w:r>
          </w:p>
        </w:tc>
        <w:tc>
          <w:tcPr>
            <w:tcW w:w="1598"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1995</w:t>
            </w:r>
          </w:p>
        </w:tc>
      </w:tr>
      <w:tr>
        <w:tc>
          <w:tcPr>
            <w:tcW w:w="672"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w:t>
            </w:r>
          </w:p>
        </w:tc>
        <w:tc>
          <w:tcPr>
            <w:tcW w:w="1747"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w:t>
            </w:r>
          </w:p>
        </w:tc>
        <w:tc>
          <w:tcPr>
            <w:tcW w:w="1747"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w:t>
            </w:r>
          </w:p>
        </w:tc>
        <w:tc>
          <w:tcPr>
            <w:tcW w:w="1748"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w:t>
            </w:r>
          </w:p>
        </w:tc>
        <w:tc>
          <w:tcPr>
            <w:tcW w:w="1747"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5)</w:t>
            </w:r>
          </w:p>
        </w:tc>
        <w:tc>
          <w:tcPr>
            <w:tcW w:w="1524"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6)</w:t>
            </w:r>
          </w:p>
        </w:tc>
        <w:tc>
          <w:tcPr>
            <w:tcW w:w="1598"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7)</w:t>
            </w:r>
          </w:p>
        </w:tc>
      </w:tr>
      <w:tr>
        <w:tc>
          <w:tcPr>
            <w:tcW w:w="672" w:type="dxa"/>
            <w:tcBorders>
              <w:top w:val="single" w:sz="1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1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Benelux</w:t>
            </w:r>
          </w:p>
        </w:tc>
        <w:tc>
          <w:tcPr>
            <w:tcW w:w="1747" w:type="dxa"/>
            <w:tcBorders>
              <w:top w:val="single" w:sz="1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25,0 %</w:t>
            </w:r>
          </w:p>
        </w:tc>
        <w:tc>
          <w:tcPr>
            <w:tcW w:w="1748" w:type="dxa"/>
            <w:tcBorders>
              <w:top w:val="single" w:sz="1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18,0 %</w:t>
            </w:r>
          </w:p>
        </w:tc>
        <w:tc>
          <w:tcPr>
            <w:tcW w:w="1747" w:type="dxa"/>
            <w:tcBorders>
              <w:top w:val="single" w:sz="1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17,7 %</w:t>
            </w:r>
          </w:p>
        </w:tc>
        <w:tc>
          <w:tcPr>
            <w:tcW w:w="1524" w:type="dxa"/>
            <w:tcBorders>
              <w:top w:val="single" w:sz="1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15,1 %</w:t>
            </w:r>
          </w:p>
        </w:tc>
        <w:tc>
          <w:tcPr>
            <w:tcW w:w="1598" w:type="dxa"/>
            <w:tcBorders>
              <w:top w:val="single" w:sz="1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13,5 %</w:t>
            </w: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LU</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Luxemburgo</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1,5 %</w:t>
            </w:r>
          </w:p>
        </w:tc>
        <w:tc>
          <w:tcPr>
            <w:tcW w:w="1524"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1,3 %</w:t>
            </w:r>
          </w:p>
        </w:tc>
        <w:tc>
          <w:tcPr>
            <w:tcW w:w="1598"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0,9 %</w:t>
            </w: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IE</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Irlanda</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3,5 % - 4 %</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3,5 %</w:t>
            </w:r>
          </w:p>
        </w:tc>
        <w:tc>
          <w:tcPr>
            <w:tcW w:w="1524"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3,0 %</w:t>
            </w:r>
          </w:p>
        </w:tc>
        <w:tc>
          <w:tcPr>
            <w:tcW w:w="1598"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2,7 %</w:t>
            </w: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FI</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Finlandia</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524"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598"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2,7 %</w:t>
            </w: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DK</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 xml:space="preserve">Dinamarca </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3,5 % - 4 %</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3,5 %</w:t>
            </w:r>
          </w:p>
        </w:tc>
        <w:tc>
          <w:tcPr>
            <w:tcW w:w="1524"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3,0 %</w:t>
            </w:r>
          </w:p>
        </w:tc>
        <w:tc>
          <w:tcPr>
            <w:tcW w:w="1598"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2,7 %</w:t>
            </w: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PT</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Portugal</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524"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3,8 %</w:t>
            </w:r>
          </w:p>
        </w:tc>
        <w:tc>
          <w:tcPr>
            <w:tcW w:w="1598"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3,6 %</w:t>
            </w: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GR</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Grecia</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4,5 %</w:t>
            </w:r>
          </w:p>
        </w:tc>
        <w:tc>
          <w:tcPr>
            <w:tcW w:w="1524"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3,8 %</w:t>
            </w:r>
          </w:p>
        </w:tc>
        <w:tc>
          <w:tcPr>
            <w:tcW w:w="1598"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3,6 %</w:t>
            </w: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AT</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Austria</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524"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598"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4,0 %</w:t>
            </w: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SE</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Suecia</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524"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598"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4,0 %</w:t>
            </w: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BE</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 xml:space="preserve">Bélgica </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8,1 %</w:t>
            </w:r>
          </w:p>
        </w:tc>
        <w:tc>
          <w:tcPr>
            <w:tcW w:w="1524"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6,9 %</w:t>
            </w:r>
          </w:p>
        </w:tc>
        <w:tc>
          <w:tcPr>
            <w:tcW w:w="1598"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6,3 %</w:t>
            </w: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NL</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Países Bajos</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8,1 %</w:t>
            </w:r>
          </w:p>
        </w:tc>
        <w:tc>
          <w:tcPr>
            <w:tcW w:w="1524"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6,9 %</w:t>
            </w:r>
          </w:p>
        </w:tc>
        <w:tc>
          <w:tcPr>
            <w:tcW w:w="1598"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6,3 %</w:t>
            </w: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ES</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España</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524"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11,0 %</w:t>
            </w:r>
          </w:p>
        </w:tc>
        <w:tc>
          <w:tcPr>
            <w:tcW w:w="1598"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9,8 %</w:t>
            </w: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IT</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Italia</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25,0 %</w:t>
            </w:r>
          </w:p>
        </w:tc>
        <w:tc>
          <w:tcPr>
            <w:tcW w:w="1748"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18,0 %</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17,7 %</w:t>
            </w:r>
          </w:p>
        </w:tc>
        <w:tc>
          <w:tcPr>
            <w:tcW w:w="1524"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15,1 %</w:t>
            </w:r>
          </w:p>
        </w:tc>
        <w:tc>
          <w:tcPr>
            <w:tcW w:w="1598"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13,4 %</w:t>
            </w: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UK</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Reino Unido</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18,0 %</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17,7 %</w:t>
            </w:r>
          </w:p>
        </w:tc>
        <w:tc>
          <w:tcPr>
            <w:tcW w:w="1524"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15,1 %</w:t>
            </w:r>
          </w:p>
        </w:tc>
        <w:tc>
          <w:tcPr>
            <w:tcW w:w="1598"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13,4 %</w:t>
            </w: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FR</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Francia</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25,0 %</w:t>
            </w:r>
          </w:p>
        </w:tc>
        <w:tc>
          <w:tcPr>
            <w:tcW w:w="1748"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18,0 %</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17,7 %</w:t>
            </w:r>
          </w:p>
        </w:tc>
        <w:tc>
          <w:tcPr>
            <w:tcW w:w="1524"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15,1 %</w:t>
            </w:r>
          </w:p>
        </w:tc>
        <w:tc>
          <w:tcPr>
            <w:tcW w:w="1598" w:type="dxa"/>
            <w:tcBorders>
              <w:top w:val="single" w:sz="2" w:space="0" w:color="auto"/>
              <w:left w:val="single" w:sz="12" w:space="0" w:color="auto"/>
              <w:bottom w:val="single" w:sz="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13,4 %</w:t>
            </w:r>
          </w:p>
        </w:tc>
      </w:tr>
      <w:tr>
        <w:tc>
          <w:tcPr>
            <w:tcW w:w="672" w:type="dxa"/>
            <w:tcBorders>
              <w:top w:val="single" w:sz="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DE</w:t>
            </w:r>
          </w:p>
        </w:tc>
        <w:tc>
          <w:tcPr>
            <w:tcW w:w="1747" w:type="dxa"/>
            <w:tcBorders>
              <w:top w:val="single" w:sz="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Alemania</w:t>
            </w:r>
          </w:p>
        </w:tc>
        <w:tc>
          <w:tcPr>
            <w:tcW w:w="1747" w:type="dxa"/>
            <w:tcBorders>
              <w:top w:val="single" w:sz="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25,0 %</w:t>
            </w:r>
          </w:p>
        </w:tc>
        <w:tc>
          <w:tcPr>
            <w:tcW w:w="1748" w:type="dxa"/>
            <w:tcBorders>
              <w:top w:val="single" w:sz="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18,0 %</w:t>
            </w:r>
          </w:p>
        </w:tc>
        <w:tc>
          <w:tcPr>
            <w:tcW w:w="1747" w:type="dxa"/>
            <w:tcBorders>
              <w:top w:val="single" w:sz="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17,7 %</w:t>
            </w:r>
          </w:p>
        </w:tc>
        <w:tc>
          <w:tcPr>
            <w:tcW w:w="1524" w:type="dxa"/>
            <w:tcBorders>
              <w:top w:val="single" w:sz="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15,1 %</w:t>
            </w:r>
          </w:p>
        </w:tc>
        <w:tc>
          <w:tcPr>
            <w:tcW w:w="1598" w:type="dxa"/>
            <w:tcBorders>
              <w:top w:val="single" w:sz="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13,4 %</w:t>
            </w:r>
          </w:p>
        </w:tc>
      </w:tr>
      <w:tr>
        <w:tc>
          <w:tcPr>
            <w:tcW w:w="672"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100,0 %</w:t>
            </w:r>
          </w:p>
        </w:tc>
        <w:tc>
          <w:tcPr>
            <w:tcW w:w="1748"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97 %-98 %</w:t>
            </w:r>
          </w:p>
        </w:tc>
        <w:tc>
          <w:tcPr>
            <w:tcW w:w="1747"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100,0 %</w:t>
            </w:r>
          </w:p>
        </w:tc>
        <w:tc>
          <w:tcPr>
            <w:tcW w:w="1524"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100,1 %</w:t>
            </w:r>
          </w:p>
        </w:tc>
        <w:tc>
          <w:tcPr>
            <w:tcW w:w="1598"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100,2 %</w:t>
            </w:r>
          </w:p>
        </w:tc>
      </w:tr>
    </w:tbl>
    <w:p>
      <w:pPr>
        <w:spacing w:after="0" w:line="240" w:lineRule="auto"/>
        <w:jc w:val="right"/>
        <w:outlineLvl w:val="0"/>
        <w:rPr>
          <w:rFonts w:ascii="Times New Roman" w:eastAsia="Times New Roman" w:hAnsi="Times New Roman" w:cs="Times New Roman"/>
          <w:b/>
          <w:noProof/>
          <w:sz w:val="24"/>
          <w:szCs w:val="20"/>
        </w:rPr>
      </w:pPr>
      <w:r>
        <w:rPr>
          <w:noProof/>
        </w:rPr>
        <w:br w:type="page"/>
      </w:r>
      <w:r>
        <w:rPr>
          <w:rFonts w:ascii="Times New Roman" w:hAnsi="Times New Roman"/>
          <w:b/>
          <w:noProof/>
          <w:sz w:val="24"/>
        </w:rPr>
        <w:t>Anexo 1b</w:t>
      </w:r>
    </w:p>
    <w:tbl>
      <w:tblPr>
        <w:tblW w:w="0" w:type="auto"/>
        <w:tblInd w:w="1731" w:type="dxa"/>
        <w:tblLayout w:type="fixed"/>
        <w:tblCellMar>
          <w:left w:w="30" w:type="dxa"/>
          <w:right w:w="30" w:type="dxa"/>
        </w:tblCellMar>
        <w:tblLook w:val="0000" w:firstRow="0" w:lastRow="0" w:firstColumn="0" w:lastColumn="0" w:noHBand="0" w:noVBand="0"/>
      </w:tblPr>
      <w:tblGrid>
        <w:gridCol w:w="672"/>
        <w:gridCol w:w="1747"/>
        <w:gridCol w:w="1692"/>
        <w:gridCol w:w="802"/>
        <w:gridCol w:w="1075"/>
        <w:gridCol w:w="1075"/>
        <w:gridCol w:w="1898"/>
        <w:gridCol w:w="1598"/>
        <w:gridCol w:w="1195"/>
      </w:tblGrid>
      <w:tr>
        <w:trPr>
          <w:cantSplit/>
        </w:trPr>
        <w:tc>
          <w:tcPr>
            <w:tcW w:w="11754" w:type="dxa"/>
            <w:gridSpan w:val="9"/>
            <w:tcBorders>
              <w:top w:val="single" w:sz="12" w:space="0" w:color="auto"/>
              <w:left w:val="single" w:sz="12" w:space="0" w:color="auto"/>
              <w:right w:val="single" w:sz="12" w:space="0" w:color="auto"/>
            </w:tcBorders>
          </w:tcPr>
          <w:p>
            <w:pPr>
              <w:spacing w:after="0" w:line="240" w:lineRule="auto"/>
              <w:jc w:val="center"/>
              <w:rPr>
                <w:rFonts w:ascii="Times New Roman" w:eastAsia="Times New Roman" w:hAnsi="Times New Roman" w:cs="Times New Roman"/>
                <w:b/>
                <w:noProof/>
                <w:snapToGrid w:val="0"/>
                <w:color w:val="000000"/>
                <w:sz w:val="24"/>
                <w:szCs w:val="20"/>
              </w:rPr>
            </w:pPr>
            <w:r>
              <w:rPr>
                <w:noProof/>
              </w:rPr>
              <w:br w:type="page"/>
            </w:r>
            <w:r>
              <w:rPr>
                <w:rFonts w:ascii="Times New Roman" w:hAnsi="Times New Roman"/>
                <w:b/>
                <w:noProof/>
                <w:snapToGrid w:val="0"/>
                <w:color w:val="000000"/>
                <w:sz w:val="24"/>
              </w:rPr>
              <w:t>Enfoque comparativo utilizado para la ampliación de 1995</w:t>
            </w:r>
          </w:p>
        </w:tc>
      </w:tr>
      <w:tr>
        <w:tc>
          <w:tcPr>
            <w:tcW w:w="672" w:type="dxa"/>
            <w:tcBorders>
              <w:top w:val="single" w:sz="12" w:space="0" w:color="auto"/>
              <w:bottom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12" w:space="0" w:color="auto"/>
              <w:bottom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692" w:type="dxa"/>
            <w:tcBorders>
              <w:top w:val="single" w:sz="12" w:space="0" w:color="auto"/>
              <w:bottom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802" w:type="dxa"/>
            <w:tcBorders>
              <w:top w:val="single" w:sz="12" w:space="0" w:color="auto"/>
              <w:bottom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075" w:type="dxa"/>
            <w:tcBorders>
              <w:top w:val="single" w:sz="12" w:space="0" w:color="auto"/>
              <w:bottom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075" w:type="dxa"/>
            <w:tcBorders>
              <w:top w:val="single" w:sz="12" w:space="0" w:color="auto"/>
              <w:bottom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898" w:type="dxa"/>
            <w:tcBorders>
              <w:top w:val="single" w:sz="12" w:space="0" w:color="auto"/>
              <w:bottom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598" w:type="dxa"/>
            <w:tcBorders>
              <w:top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195" w:type="dxa"/>
            <w:tcBorders>
              <w:top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p>
        </w:tc>
      </w:tr>
      <w:tr>
        <w:trPr>
          <w:cantSplit/>
        </w:trPr>
        <w:tc>
          <w:tcPr>
            <w:tcW w:w="672"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p>
        </w:tc>
        <w:tc>
          <w:tcPr>
            <w:tcW w:w="2494" w:type="dxa"/>
            <w:gridSpan w:val="2"/>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 xml:space="preserve">Habitantes </w:t>
            </w:r>
          </w:p>
        </w:tc>
        <w:tc>
          <w:tcPr>
            <w:tcW w:w="2150" w:type="dxa"/>
            <w:gridSpan w:val="2"/>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 xml:space="preserve">PIB </w:t>
            </w:r>
          </w:p>
        </w:tc>
        <w:tc>
          <w:tcPr>
            <w:tcW w:w="1898"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Media</w:t>
            </w:r>
          </w:p>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(habitantes, PIB)</w:t>
            </w:r>
          </w:p>
        </w:tc>
        <w:tc>
          <w:tcPr>
            <w:tcW w:w="2793" w:type="dxa"/>
            <w:gridSpan w:val="2"/>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Directrices</w:t>
            </w:r>
          </w:p>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1995</w:t>
            </w:r>
          </w:p>
        </w:tc>
      </w:tr>
      <w:tr>
        <w:trPr>
          <w:cantSplit/>
        </w:trPr>
        <w:tc>
          <w:tcPr>
            <w:tcW w:w="672"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w:t>
            </w:r>
          </w:p>
        </w:tc>
        <w:tc>
          <w:tcPr>
            <w:tcW w:w="1747"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w:t>
            </w:r>
          </w:p>
        </w:tc>
        <w:tc>
          <w:tcPr>
            <w:tcW w:w="2494" w:type="dxa"/>
            <w:gridSpan w:val="2"/>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w:t>
            </w:r>
          </w:p>
        </w:tc>
        <w:tc>
          <w:tcPr>
            <w:tcW w:w="2150" w:type="dxa"/>
            <w:gridSpan w:val="2"/>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w:t>
            </w:r>
          </w:p>
        </w:tc>
        <w:tc>
          <w:tcPr>
            <w:tcW w:w="1898"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5)</w:t>
            </w:r>
          </w:p>
        </w:tc>
        <w:tc>
          <w:tcPr>
            <w:tcW w:w="1598"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6)</w:t>
            </w:r>
          </w:p>
        </w:tc>
        <w:tc>
          <w:tcPr>
            <w:tcW w:w="1195" w:type="dxa"/>
            <w:tcBorders>
              <w:top w:val="single" w:sz="12" w:space="0" w:color="auto"/>
              <w:left w:val="single" w:sz="12" w:space="0" w:color="auto"/>
              <w:bottom w:val="single" w:sz="12" w:space="0" w:color="auto"/>
              <w:right w:val="single" w:sz="12" w:space="0" w:color="auto"/>
            </w:tcBorders>
          </w:tcPr>
          <w:p>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7)</w:t>
            </w:r>
          </w:p>
        </w:tc>
      </w:tr>
      <w:tr>
        <w:tc>
          <w:tcPr>
            <w:tcW w:w="672" w:type="dxa"/>
            <w:tcBorders>
              <w:top w:val="single" w:sz="12" w:space="0" w:color="auto"/>
              <w:left w:val="single" w:sz="12" w:space="0" w:color="auto"/>
              <w:bottom w:val="single" w:sz="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LU</w:t>
            </w:r>
          </w:p>
        </w:tc>
        <w:tc>
          <w:tcPr>
            <w:tcW w:w="1747" w:type="dxa"/>
            <w:tcBorders>
              <w:top w:val="single" w:sz="12" w:space="0" w:color="auto"/>
              <w:left w:val="single" w:sz="12" w:space="0" w:color="auto"/>
              <w:bottom w:val="single" w:sz="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Luxemburgo</w:t>
            </w:r>
          </w:p>
        </w:tc>
        <w:tc>
          <w:tcPr>
            <w:tcW w:w="1692" w:type="dxa"/>
            <w:tcBorders>
              <w:top w:val="single" w:sz="1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0,4</w:t>
            </w:r>
          </w:p>
        </w:tc>
        <w:tc>
          <w:tcPr>
            <w:tcW w:w="802" w:type="dxa"/>
            <w:tcBorders>
              <w:top w:val="single" w:sz="1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0,1 %</w:t>
            </w:r>
          </w:p>
        </w:tc>
        <w:tc>
          <w:tcPr>
            <w:tcW w:w="1075" w:type="dxa"/>
            <w:tcBorders>
              <w:top w:val="single" w:sz="1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21</w:t>
            </w:r>
          </w:p>
        </w:tc>
        <w:tc>
          <w:tcPr>
            <w:tcW w:w="1075" w:type="dxa"/>
            <w:tcBorders>
              <w:top w:val="single" w:sz="1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0,2 %</w:t>
            </w:r>
          </w:p>
        </w:tc>
        <w:tc>
          <w:tcPr>
            <w:tcW w:w="1898" w:type="dxa"/>
            <w:tcBorders>
              <w:top w:val="single" w:sz="1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0,2 %</w:t>
            </w:r>
          </w:p>
        </w:tc>
        <w:tc>
          <w:tcPr>
            <w:tcW w:w="1598" w:type="dxa"/>
            <w:tcBorders>
              <w:top w:val="single" w:sz="1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0,9 %</w:t>
            </w:r>
          </w:p>
        </w:tc>
        <w:tc>
          <w:tcPr>
            <w:tcW w:w="1195" w:type="dxa"/>
            <w:tcBorders>
              <w:top w:val="single" w:sz="1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IE</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Irlanda</w:t>
            </w:r>
          </w:p>
        </w:tc>
        <w:tc>
          <w:tcPr>
            <w:tcW w:w="1692"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3,8</w:t>
            </w:r>
          </w:p>
        </w:tc>
        <w:tc>
          <w:tcPr>
            <w:tcW w:w="802"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1,0 %</w:t>
            </w:r>
          </w:p>
        </w:tc>
        <w:tc>
          <w:tcPr>
            <w:tcW w:w="107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114</w:t>
            </w:r>
          </w:p>
        </w:tc>
        <w:tc>
          <w:tcPr>
            <w:tcW w:w="107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1,3 %</w:t>
            </w:r>
          </w:p>
        </w:tc>
        <w:tc>
          <w:tcPr>
            <w:tcW w:w="1898"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1,1 %</w:t>
            </w:r>
          </w:p>
        </w:tc>
        <w:tc>
          <w:tcPr>
            <w:tcW w:w="1598"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2,7 %</w:t>
            </w:r>
          </w:p>
        </w:tc>
        <w:tc>
          <w:tcPr>
            <w:tcW w:w="119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p>
        </w:tc>
      </w:tr>
      <w:tr>
        <w:tc>
          <w:tcPr>
            <w:tcW w:w="672"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FI</w:t>
            </w:r>
          </w:p>
        </w:tc>
        <w:tc>
          <w:tcPr>
            <w:tcW w:w="1747"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Finlandia</w:t>
            </w:r>
          </w:p>
        </w:tc>
        <w:tc>
          <w:tcPr>
            <w:tcW w:w="1692"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5,2</w:t>
            </w:r>
          </w:p>
        </w:tc>
        <w:tc>
          <w:tcPr>
            <w:tcW w:w="802"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1,4 %</w:t>
            </w:r>
          </w:p>
        </w:tc>
        <w:tc>
          <w:tcPr>
            <w:tcW w:w="1075"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141</w:t>
            </w:r>
          </w:p>
        </w:tc>
        <w:tc>
          <w:tcPr>
            <w:tcW w:w="1075"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1,6 %</w:t>
            </w:r>
          </w:p>
        </w:tc>
        <w:tc>
          <w:tcPr>
            <w:tcW w:w="1898"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1,5 %</w:t>
            </w:r>
          </w:p>
        </w:tc>
        <w:tc>
          <w:tcPr>
            <w:tcW w:w="1598"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right"/>
              <w:rPr>
                <w:rFonts w:ascii="Times New Roman" w:eastAsia="Times New Roman" w:hAnsi="Times New Roman" w:cs="Times New Roman"/>
                <w:noProof/>
                <w:snapToGrid w:val="0"/>
                <w:color w:val="000000"/>
                <w:sz w:val="24"/>
                <w:szCs w:val="20"/>
              </w:rPr>
            </w:pPr>
          </w:p>
        </w:tc>
        <w:tc>
          <w:tcPr>
            <w:tcW w:w="1195"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2,7 %</w:t>
            </w: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DK</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 xml:space="preserve">Dinamarca </w:t>
            </w:r>
          </w:p>
        </w:tc>
        <w:tc>
          <w:tcPr>
            <w:tcW w:w="1692"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5,4</w:t>
            </w:r>
          </w:p>
        </w:tc>
        <w:tc>
          <w:tcPr>
            <w:tcW w:w="802"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1,4 %</w:t>
            </w:r>
          </w:p>
        </w:tc>
        <w:tc>
          <w:tcPr>
            <w:tcW w:w="107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181</w:t>
            </w:r>
          </w:p>
        </w:tc>
        <w:tc>
          <w:tcPr>
            <w:tcW w:w="107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2,1 %</w:t>
            </w:r>
          </w:p>
        </w:tc>
        <w:tc>
          <w:tcPr>
            <w:tcW w:w="1898"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1,7 %</w:t>
            </w:r>
          </w:p>
        </w:tc>
        <w:tc>
          <w:tcPr>
            <w:tcW w:w="1598"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2,7 %</w:t>
            </w:r>
          </w:p>
        </w:tc>
        <w:tc>
          <w:tcPr>
            <w:tcW w:w="119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PT</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Portugal</w:t>
            </w:r>
          </w:p>
        </w:tc>
        <w:tc>
          <w:tcPr>
            <w:tcW w:w="1692"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10,3</w:t>
            </w:r>
          </w:p>
        </w:tc>
        <w:tc>
          <w:tcPr>
            <w:tcW w:w="802"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2,7 %</w:t>
            </w:r>
          </w:p>
        </w:tc>
        <w:tc>
          <w:tcPr>
            <w:tcW w:w="107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118</w:t>
            </w:r>
          </w:p>
        </w:tc>
        <w:tc>
          <w:tcPr>
            <w:tcW w:w="107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1,3 %</w:t>
            </w:r>
          </w:p>
        </w:tc>
        <w:tc>
          <w:tcPr>
            <w:tcW w:w="1898"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2,0 %</w:t>
            </w:r>
          </w:p>
        </w:tc>
        <w:tc>
          <w:tcPr>
            <w:tcW w:w="1598"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3,6 %</w:t>
            </w:r>
          </w:p>
        </w:tc>
        <w:tc>
          <w:tcPr>
            <w:tcW w:w="119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GR</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Grecia</w:t>
            </w:r>
          </w:p>
        </w:tc>
        <w:tc>
          <w:tcPr>
            <w:tcW w:w="1692"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10,6</w:t>
            </w:r>
          </w:p>
        </w:tc>
        <w:tc>
          <w:tcPr>
            <w:tcW w:w="802"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2,8 %</w:t>
            </w:r>
          </w:p>
        </w:tc>
        <w:tc>
          <w:tcPr>
            <w:tcW w:w="107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128</w:t>
            </w:r>
          </w:p>
        </w:tc>
        <w:tc>
          <w:tcPr>
            <w:tcW w:w="107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1,5 %</w:t>
            </w:r>
          </w:p>
        </w:tc>
        <w:tc>
          <w:tcPr>
            <w:tcW w:w="1898"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2,1 %</w:t>
            </w:r>
          </w:p>
        </w:tc>
        <w:tc>
          <w:tcPr>
            <w:tcW w:w="1598"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3,6 %</w:t>
            </w:r>
          </w:p>
        </w:tc>
        <w:tc>
          <w:tcPr>
            <w:tcW w:w="119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p>
        </w:tc>
      </w:tr>
      <w:tr>
        <w:tc>
          <w:tcPr>
            <w:tcW w:w="672"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AT</w:t>
            </w:r>
          </w:p>
        </w:tc>
        <w:tc>
          <w:tcPr>
            <w:tcW w:w="1747"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Austria</w:t>
            </w:r>
          </w:p>
        </w:tc>
        <w:tc>
          <w:tcPr>
            <w:tcW w:w="1692"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8,1</w:t>
            </w:r>
          </w:p>
        </w:tc>
        <w:tc>
          <w:tcPr>
            <w:tcW w:w="802"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2,1 %</w:t>
            </w:r>
          </w:p>
        </w:tc>
        <w:tc>
          <w:tcPr>
            <w:tcW w:w="1075"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214</w:t>
            </w:r>
          </w:p>
        </w:tc>
        <w:tc>
          <w:tcPr>
            <w:tcW w:w="1075"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2,4 %</w:t>
            </w:r>
          </w:p>
        </w:tc>
        <w:tc>
          <w:tcPr>
            <w:tcW w:w="1898"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2,3 %</w:t>
            </w:r>
          </w:p>
        </w:tc>
        <w:tc>
          <w:tcPr>
            <w:tcW w:w="1598"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right"/>
              <w:rPr>
                <w:rFonts w:ascii="Times New Roman" w:eastAsia="Times New Roman" w:hAnsi="Times New Roman" w:cs="Times New Roman"/>
                <w:noProof/>
                <w:snapToGrid w:val="0"/>
                <w:color w:val="000000"/>
                <w:sz w:val="24"/>
                <w:szCs w:val="20"/>
              </w:rPr>
            </w:pPr>
          </w:p>
        </w:tc>
        <w:tc>
          <w:tcPr>
            <w:tcW w:w="1195"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4,0 %</w:t>
            </w:r>
          </w:p>
        </w:tc>
      </w:tr>
      <w:tr>
        <w:tc>
          <w:tcPr>
            <w:tcW w:w="672"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SE</w:t>
            </w:r>
          </w:p>
        </w:tc>
        <w:tc>
          <w:tcPr>
            <w:tcW w:w="1747"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Suecia</w:t>
            </w:r>
          </w:p>
        </w:tc>
        <w:tc>
          <w:tcPr>
            <w:tcW w:w="1692"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8,9</w:t>
            </w:r>
          </w:p>
        </w:tc>
        <w:tc>
          <w:tcPr>
            <w:tcW w:w="802"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2,4 %</w:t>
            </w:r>
          </w:p>
        </w:tc>
        <w:tc>
          <w:tcPr>
            <w:tcW w:w="1075"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246</w:t>
            </w:r>
          </w:p>
        </w:tc>
        <w:tc>
          <w:tcPr>
            <w:tcW w:w="1075"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2,8 %</w:t>
            </w:r>
          </w:p>
        </w:tc>
        <w:tc>
          <w:tcPr>
            <w:tcW w:w="1898"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2,6 %</w:t>
            </w:r>
          </w:p>
        </w:tc>
        <w:tc>
          <w:tcPr>
            <w:tcW w:w="1598"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right"/>
              <w:rPr>
                <w:rFonts w:ascii="Times New Roman" w:eastAsia="Times New Roman" w:hAnsi="Times New Roman" w:cs="Times New Roman"/>
                <w:noProof/>
                <w:snapToGrid w:val="0"/>
                <w:color w:val="000000"/>
                <w:sz w:val="24"/>
                <w:szCs w:val="20"/>
              </w:rPr>
            </w:pPr>
          </w:p>
        </w:tc>
        <w:tc>
          <w:tcPr>
            <w:tcW w:w="1195" w:type="dxa"/>
            <w:tcBorders>
              <w:top w:val="single" w:sz="2" w:space="0" w:color="auto"/>
              <w:left w:val="single" w:sz="12" w:space="0" w:color="auto"/>
              <w:bottom w:val="single" w:sz="2" w:space="0" w:color="auto"/>
              <w:right w:val="single" w:sz="12" w:space="0" w:color="auto"/>
            </w:tcBorders>
            <w:shd w:val="solid" w:color="C0C0C0" w:fill="auto"/>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4,0 %</w:t>
            </w: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BE</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 xml:space="preserve">Bélgica </w:t>
            </w:r>
          </w:p>
        </w:tc>
        <w:tc>
          <w:tcPr>
            <w:tcW w:w="1692"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10,3</w:t>
            </w:r>
          </w:p>
        </w:tc>
        <w:tc>
          <w:tcPr>
            <w:tcW w:w="802"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2,7 %</w:t>
            </w:r>
          </w:p>
        </w:tc>
        <w:tc>
          <w:tcPr>
            <w:tcW w:w="107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256</w:t>
            </w:r>
          </w:p>
        </w:tc>
        <w:tc>
          <w:tcPr>
            <w:tcW w:w="107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2,9 %</w:t>
            </w:r>
          </w:p>
        </w:tc>
        <w:tc>
          <w:tcPr>
            <w:tcW w:w="1898"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2,8 %</w:t>
            </w:r>
          </w:p>
        </w:tc>
        <w:tc>
          <w:tcPr>
            <w:tcW w:w="1598"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6,3 %</w:t>
            </w:r>
          </w:p>
        </w:tc>
        <w:tc>
          <w:tcPr>
            <w:tcW w:w="119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NL</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Países Bajos</w:t>
            </w:r>
          </w:p>
        </w:tc>
        <w:tc>
          <w:tcPr>
            <w:tcW w:w="1692"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16,0</w:t>
            </w:r>
          </w:p>
        </w:tc>
        <w:tc>
          <w:tcPr>
            <w:tcW w:w="802"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4,2 %</w:t>
            </w:r>
          </w:p>
        </w:tc>
        <w:tc>
          <w:tcPr>
            <w:tcW w:w="107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430</w:t>
            </w:r>
          </w:p>
        </w:tc>
        <w:tc>
          <w:tcPr>
            <w:tcW w:w="107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4,9 %</w:t>
            </w:r>
          </w:p>
        </w:tc>
        <w:tc>
          <w:tcPr>
            <w:tcW w:w="1898"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4,6 %</w:t>
            </w:r>
          </w:p>
        </w:tc>
        <w:tc>
          <w:tcPr>
            <w:tcW w:w="1598"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6,3 %</w:t>
            </w:r>
          </w:p>
        </w:tc>
        <w:tc>
          <w:tcPr>
            <w:tcW w:w="119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ES</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España</w:t>
            </w:r>
          </w:p>
        </w:tc>
        <w:tc>
          <w:tcPr>
            <w:tcW w:w="1692"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40,3</w:t>
            </w:r>
          </w:p>
        </w:tc>
        <w:tc>
          <w:tcPr>
            <w:tcW w:w="802"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10,6 %</w:t>
            </w:r>
          </w:p>
        </w:tc>
        <w:tc>
          <w:tcPr>
            <w:tcW w:w="107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647</w:t>
            </w:r>
          </w:p>
        </w:tc>
        <w:tc>
          <w:tcPr>
            <w:tcW w:w="107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7,4 %</w:t>
            </w:r>
          </w:p>
        </w:tc>
        <w:tc>
          <w:tcPr>
            <w:tcW w:w="1898"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9,0 %</w:t>
            </w:r>
          </w:p>
        </w:tc>
        <w:tc>
          <w:tcPr>
            <w:tcW w:w="1598"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9,8 %</w:t>
            </w:r>
          </w:p>
        </w:tc>
        <w:tc>
          <w:tcPr>
            <w:tcW w:w="119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IT</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Italia</w:t>
            </w:r>
          </w:p>
        </w:tc>
        <w:tc>
          <w:tcPr>
            <w:tcW w:w="1692"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57,9</w:t>
            </w:r>
          </w:p>
        </w:tc>
        <w:tc>
          <w:tcPr>
            <w:tcW w:w="802"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15,3 %</w:t>
            </w:r>
          </w:p>
        </w:tc>
        <w:tc>
          <w:tcPr>
            <w:tcW w:w="107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1,224</w:t>
            </w:r>
          </w:p>
        </w:tc>
        <w:tc>
          <w:tcPr>
            <w:tcW w:w="107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13,9 %</w:t>
            </w:r>
          </w:p>
        </w:tc>
        <w:tc>
          <w:tcPr>
            <w:tcW w:w="1898"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14,6 %</w:t>
            </w:r>
          </w:p>
        </w:tc>
        <w:tc>
          <w:tcPr>
            <w:tcW w:w="1598"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13,4 %</w:t>
            </w:r>
          </w:p>
        </w:tc>
        <w:tc>
          <w:tcPr>
            <w:tcW w:w="119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UK</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Reino Unido</w:t>
            </w:r>
          </w:p>
        </w:tc>
        <w:tc>
          <w:tcPr>
            <w:tcW w:w="1692"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60,0</w:t>
            </w:r>
          </w:p>
        </w:tc>
        <w:tc>
          <w:tcPr>
            <w:tcW w:w="802"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15,8 %</w:t>
            </w:r>
          </w:p>
        </w:tc>
        <w:tc>
          <w:tcPr>
            <w:tcW w:w="107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1,511</w:t>
            </w:r>
          </w:p>
        </w:tc>
        <w:tc>
          <w:tcPr>
            <w:tcW w:w="107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17,2 %</w:t>
            </w:r>
          </w:p>
        </w:tc>
        <w:tc>
          <w:tcPr>
            <w:tcW w:w="1898"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16,5 %</w:t>
            </w:r>
          </w:p>
        </w:tc>
        <w:tc>
          <w:tcPr>
            <w:tcW w:w="1598"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13,4 %</w:t>
            </w:r>
          </w:p>
        </w:tc>
        <w:tc>
          <w:tcPr>
            <w:tcW w:w="119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p>
        </w:tc>
      </w:tr>
      <w:tr>
        <w:tc>
          <w:tcPr>
            <w:tcW w:w="672" w:type="dxa"/>
            <w:tcBorders>
              <w:top w:val="single" w:sz="2" w:space="0" w:color="auto"/>
              <w:left w:val="single" w:sz="12" w:space="0" w:color="auto"/>
              <w:bottom w:val="single" w:sz="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FR</w:t>
            </w:r>
          </w:p>
        </w:tc>
        <w:tc>
          <w:tcPr>
            <w:tcW w:w="1747" w:type="dxa"/>
            <w:tcBorders>
              <w:top w:val="single" w:sz="2" w:space="0" w:color="auto"/>
              <w:left w:val="single" w:sz="12" w:space="0" w:color="auto"/>
              <w:bottom w:val="single" w:sz="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Francia</w:t>
            </w:r>
          </w:p>
        </w:tc>
        <w:tc>
          <w:tcPr>
            <w:tcW w:w="1692"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59,2</w:t>
            </w:r>
          </w:p>
        </w:tc>
        <w:tc>
          <w:tcPr>
            <w:tcW w:w="802"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15,6 %</w:t>
            </w:r>
          </w:p>
        </w:tc>
        <w:tc>
          <w:tcPr>
            <w:tcW w:w="107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1,458</w:t>
            </w:r>
          </w:p>
        </w:tc>
        <w:tc>
          <w:tcPr>
            <w:tcW w:w="107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16,6 %</w:t>
            </w:r>
          </w:p>
        </w:tc>
        <w:tc>
          <w:tcPr>
            <w:tcW w:w="1898"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16,1 %</w:t>
            </w:r>
          </w:p>
        </w:tc>
        <w:tc>
          <w:tcPr>
            <w:tcW w:w="1598"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13,4 %</w:t>
            </w:r>
          </w:p>
        </w:tc>
        <w:tc>
          <w:tcPr>
            <w:tcW w:w="1195" w:type="dxa"/>
            <w:tcBorders>
              <w:top w:val="single" w:sz="2" w:space="0" w:color="auto"/>
              <w:left w:val="single" w:sz="12" w:space="0" w:color="auto"/>
              <w:bottom w:val="single" w:sz="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p>
        </w:tc>
      </w:tr>
      <w:tr>
        <w:tc>
          <w:tcPr>
            <w:tcW w:w="672" w:type="dxa"/>
            <w:tcBorders>
              <w:top w:val="single" w:sz="2" w:space="0" w:color="auto"/>
              <w:left w:val="single" w:sz="1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DE</w:t>
            </w:r>
          </w:p>
        </w:tc>
        <w:tc>
          <w:tcPr>
            <w:tcW w:w="1747" w:type="dxa"/>
            <w:tcBorders>
              <w:top w:val="single" w:sz="2" w:space="0" w:color="auto"/>
              <w:left w:val="single" w:sz="1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Alemania</w:t>
            </w:r>
          </w:p>
        </w:tc>
        <w:tc>
          <w:tcPr>
            <w:tcW w:w="1692" w:type="dxa"/>
            <w:tcBorders>
              <w:top w:val="single" w:sz="2" w:space="0" w:color="auto"/>
              <w:left w:val="single" w:sz="1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82,3</w:t>
            </w:r>
          </w:p>
        </w:tc>
        <w:tc>
          <w:tcPr>
            <w:tcW w:w="802" w:type="dxa"/>
            <w:tcBorders>
              <w:top w:val="single" w:sz="2" w:space="0" w:color="auto"/>
              <w:left w:val="single" w:sz="1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21,7 %</w:t>
            </w:r>
          </w:p>
        </w:tc>
        <w:tc>
          <w:tcPr>
            <w:tcW w:w="1075" w:type="dxa"/>
            <w:tcBorders>
              <w:top w:val="single" w:sz="2" w:space="0" w:color="auto"/>
              <w:left w:val="single" w:sz="1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2,112</w:t>
            </w:r>
          </w:p>
        </w:tc>
        <w:tc>
          <w:tcPr>
            <w:tcW w:w="1075" w:type="dxa"/>
            <w:tcBorders>
              <w:top w:val="single" w:sz="2" w:space="0" w:color="auto"/>
              <w:left w:val="single" w:sz="1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24,0 %</w:t>
            </w:r>
          </w:p>
        </w:tc>
        <w:tc>
          <w:tcPr>
            <w:tcW w:w="1898" w:type="dxa"/>
            <w:tcBorders>
              <w:top w:val="single" w:sz="2" w:space="0" w:color="auto"/>
              <w:left w:val="single" w:sz="1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22,9 %</w:t>
            </w:r>
          </w:p>
        </w:tc>
        <w:tc>
          <w:tcPr>
            <w:tcW w:w="1598" w:type="dxa"/>
            <w:tcBorders>
              <w:top w:val="single" w:sz="2" w:space="0" w:color="auto"/>
              <w:left w:val="single" w:sz="1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13,4 %</w:t>
            </w:r>
          </w:p>
        </w:tc>
        <w:tc>
          <w:tcPr>
            <w:tcW w:w="1195" w:type="dxa"/>
            <w:tcBorders>
              <w:top w:val="single" w:sz="2" w:space="0" w:color="auto"/>
              <w:left w:val="single" w:sz="1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p>
        </w:tc>
      </w:tr>
      <w:tr>
        <w:tc>
          <w:tcPr>
            <w:tcW w:w="672" w:type="dxa"/>
            <w:tcBorders>
              <w:top w:val="single" w:sz="12" w:space="0" w:color="auto"/>
              <w:left w:val="single" w:sz="12" w:space="0" w:color="auto"/>
              <w:bottom w:val="single" w:sz="1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p>
        </w:tc>
        <w:tc>
          <w:tcPr>
            <w:tcW w:w="1747" w:type="dxa"/>
            <w:tcBorders>
              <w:top w:val="single" w:sz="12" w:space="0" w:color="auto"/>
              <w:left w:val="single" w:sz="12" w:space="0" w:color="auto"/>
              <w:bottom w:val="single" w:sz="12" w:space="0" w:color="auto"/>
              <w:right w:val="single" w:sz="12" w:space="0" w:color="auto"/>
            </w:tcBorders>
          </w:tcPr>
          <w:p>
            <w:pPr>
              <w:spacing w:after="0" w:line="240" w:lineRule="auto"/>
              <w:jc w:val="both"/>
              <w:rPr>
                <w:rFonts w:ascii="Times New Roman" w:eastAsia="Times New Roman" w:hAnsi="Times New Roman" w:cs="Times New Roman"/>
                <w:noProof/>
                <w:snapToGrid w:val="0"/>
                <w:color w:val="000000"/>
                <w:sz w:val="24"/>
                <w:szCs w:val="20"/>
              </w:rPr>
            </w:pPr>
          </w:p>
        </w:tc>
        <w:tc>
          <w:tcPr>
            <w:tcW w:w="1692" w:type="dxa"/>
            <w:tcBorders>
              <w:top w:val="single" w:sz="12" w:space="0" w:color="auto"/>
              <w:left w:val="single" w:sz="12" w:space="0" w:color="auto"/>
              <w:bottom w:val="single" w:sz="1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378,7</w:t>
            </w:r>
          </w:p>
        </w:tc>
        <w:tc>
          <w:tcPr>
            <w:tcW w:w="802" w:type="dxa"/>
            <w:tcBorders>
              <w:top w:val="single" w:sz="12" w:space="0" w:color="auto"/>
              <w:left w:val="single" w:sz="12" w:space="0" w:color="auto"/>
              <w:bottom w:val="single" w:sz="1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100,0 %</w:t>
            </w:r>
          </w:p>
        </w:tc>
        <w:tc>
          <w:tcPr>
            <w:tcW w:w="1075" w:type="dxa"/>
            <w:tcBorders>
              <w:top w:val="single" w:sz="12" w:space="0" w:color="auto"/>
              <w:left w:val="single" w:sz="12" w:space="0" w:color="auto"/>
              <w:bottom w:val="single" w:sz="1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8,801</w:t>
            </w:r>
          </w:p>
        </w:tc>
        <w:tc>
          <w:tcPr>
            <w:tcW w:w="1075" w:type="dxa"/>
            <w:tcBorders>
              <w:top w:val="single" w:sz="12" w:space="0" w:color="auto"/>
              <w:left w:val="single" w:sz="12" w:space="0" w:color="auto"/>
              <w:bottom w:val="single" w:sz="1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100,0 %</w:t>
            </w:r>
          </w:p>
        </w:tc>
        <w:tc>
          <w:tcPr>
            <w:tcW w:w="1898" w:type="dxa"/>
            <w:tcBorders>
              <w:top w:val="single" w:sz="12" w:space="0" w:color="auto"/>
              <w:left w:val="single" w:sz="12" w:space="0" w:color="auto"/>
              <w:bottom w:val="single" w:sz="1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100,0 %</w:t>
            </w:r>
          </w:p>
        </w:tc>
        <w:tc>
          <w:tcPr>
            <w:tcW w:w="1598" w:type="dxa"/>
            <w:tcBorders>
              <w:top w:val="single" w:sz="12" w:space="0" w:color="auto"/>
              <w:left w:val="single" w:sz="12" w:space="0" w:color="auto"/>
              <w:bottom w:val="single" w:sz="1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89,5 %</w:t>
            </w:r>
          </w:p>
        </w:tc>
        <w:tc>
          <w:tcPr>
            <w:tcW w:w="1195" w:type="dxa"/>
            <w:tcBorders>
              <w:top w:val="single" w:sz="12" w:space="0" w:color="auto"/>
              <w:left w:val="single" w:sz="12" w:space="0" w:color="auto"/>
              <w:bottom w:val="single" w:sz="12" w:space="0" w:color="auto"/>
              <w:right w:val="single" w:sz="12" w:space="0" w:color="auto"/>
            </w:tcBorders>
          </w:tcPr>
          <w:p>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10,7 %</w:t>
            </w:r>
          </w:p>
        </w:tc>
      </w:tr>
      <w:tr>
        <w:tc>
          <w:tcPr>
            <w:tcW w:w="672" w:type="dxa"/>
          </w:tcPr>
          <w:p>
            <w:pPr>
              <w:spacing w:after="0" w:line="240" w:lineRule="auto"/>
              <w:jc w:val="right"/>
              <w:rPr>
                <w:rFonts w:ascii="Times New Roman" w:eastAsia="Times New Roman" w:hAnsi="Times New Roman" w:cs="Times New Roman"/>
                <w:noProof/>
                <w:snapToGrid w:val="0"/>
                <w:color w:val="000000"/>
                <w:sz w:val="24"/>
                <w:szCs w:val="20"/>
              </w:rPr>
            </w:pPr>
          </w:p>
        </w:tc>
        <w:tc>
          <w:tcPr>
            <w:tcW w:w="1747" w:type="dxa"/>
          </w:tcPr>
          <w:p>
            <w:pPr>
              <w:spacing w:after="0" w:line="240" w:lineRule="auto"/>
              <w:jc w:val="right"/>
              <w:rPr>
                <w:rFonts w:ascii="Times New Roman" w:eastAsia="Times New Roman" w:hAnsi="Times New Roman" w:cs="Times New Roman"/>
                <w:noProof/>
                <w:snapToGrid w:val="0"/>
                <w:color w:val="000000"/>
                <w:sz w:val="24"/>
                <w:szCs w:val="20"/>
              </w:rPr>
            </w:pPr>
          </w:p>
        </w:tc>
        <w:tc>
          <w:tcPr>
            <w:tcW w:w="1692" w:type="dxa"/>
          </w:tcPr>
          <w:p>
            <w:pPr>
              <w:spacing w:after="0" w:line="240" w:lineRule="auto"/>
              <w:jc w:val="right"/>
              <w:rPr>
                <w:rFonts w:ascii="Times New Roman" w:eastAsia="Times New Roman" w:hAnsi="Times New Roman" w:cs="Times New Roman"/>
                <w:noProof/>
                <w:snapToGrid w:val="0"/>
                <w:color w:val="000000"/>
                <w:sz w:val="24"/>
                <w:szCs w:val="20"/>
              </w:rPr>
            </w:pPr>
          </w:p>
        </w:tc>
        <w:tc>
          <w:tcPr>
            <w:tcW w:w="802" w:type="dxa"/>
          </w:tcPr>
          <w:p>
            <w:pPr>
              <w:spacing w:after="0" w:line="240" w:lineRule="auto"/>
              <w:jc w:val="right"/>
              <w:rPr>
                <w:rFonts w:ascii="Times New Roman" w:eastAsia="Times New Roman" w:hAnsi="Times New Roman" w:cs="Times New Roman"/>
                <w:noProof/>
                <w:snapToGrid w:val="0"/>
                <w:color w:val="000000"/>
                <w:sz w:val="24"/>
                <w:szCs w:val="20"/>
              </w:rPr>
            </w:pPr>
          </w:p>
        </w:tc>
        <w:tc>
          <w:tcPr>
            <w:tcW w:w="1075" w:type="dxa"/>
          </w:tcPr>
          <w:p>
            <w:pPr>
              <w:spacing w:after="0" w:line="240" w:lineRule="auto"/>
              <w:jc w:val="right"/>
              <w:rPr>
                <w:rFonts w:ascii="Times New Roman" w:eastAsia="Times New Roman" w:hAnsi="Times New Roman" w:cs="Times New Roman"/>
                <w:noProof/>
                <w:snapToGrid w:val="0"/>
                <w:color w:val="000000"/>
                <w:sz w:val="24"/>
                <w:szCs w:val="20"/>
              </w:rPr>
            </w:pPr>
          </w:p>
        </w:tc>
        <w:tc>
          <w:tcPr>
            <w:tcW w:w="1075" w:type="dxa"/>
          </w:tcPr>
          <w:p>
            <w:pPr>
              <w:spacing w:after="0" w:line="240" w:lineRule="auto"/>
              <w:jc w:val="right"/>
              <w:rPr>
                <w:rFonts w:ascii="Times New Roman" w:eastAsia="Times New Roman" w:hAnsi="Times New Roman" w:cs="Times New Roman"/>
                <w:noProof/>
                <w:snapToGrid w:val="0"/>
                <w:color w:val="000000"/>
                <w:sz w:val="24"/>
                <w:szCs w:val="20"/>
              </w:rPr>
            </w:pPr>
          </w:p>
        </w:tc>
        <w:tc>
          <w:tcPr>
            <w:tcW w:w="1898" w:type="dxa"/>
          </w:tcPr>
          <w:p>
            <w:pPr>
              <w:spacing w:after="0" w:line="240" w:lineRule="auto"/>
              <w:jc w:val="right"/>
              <w:rPr>
                <w:rFonts w:ascii="Times New Roman" w:eastAsia="Times New Roman" w:hAnsi="Times New Roman" w:cs="Times New Roman"/>
                <w:noProof/>
                <w:snapToGrid w:val="0"/>
                <w:color w:val="000000"/>
                <w:sz w:val="24"/>
                <w:szCs w:val="20"/>
              </w:rPr>
            </w:pPr>
          </w:p>
        </w:tc>
        <w:tc>
          <w:tcPr>
            <w:tcW w:w="1598" w:type="dxa"/>
          </w:tcPr>
          <w:p>
            <w:pPr>
              <w:spacing w:after="0" w:line="240" w:lineRule="auto"/>
              <w:jc w:val="right"/>
              <w:rPr>
                <w:rFonts w:ascii="Times New Roman" w:eastAsia="Times New Roman" w:hAnsi="Times New Roman" w:cs="Times New Roman"/>
                <w:noProof/>
                <w:snapToGrid w:val="0"/>
                <w:color w:val="000000"/>
                <w:sz w:val="24"/>
                <w:szCs w:val="20"/>
              </w:rPr>
            </w:pPr>
          </w:p>
        </w:tc>
        <w:tc>
          <w:tcPr>
            <w:tcW w:w="1195" w:type="dxa"/>
          </w:tcPr>
          <w:p>
            <w:pPr>
              <w:spacing w:after="0" w:line="240" w:lineRule="auto"/>
              <w:jc w:val="right"/>
              <w:rPr>
                <w:rFonts w:ascii="Times New Roman" w:eastAsia="Times New Roman" w:hAnsi="Times New Roman" w:cs="Times New Roman"/>
                <w:noProof/>
                <w:snapToGrid w:val="0"/>
                <w:color w:val="000000"/>
                <w:sz w:val="24"/>
                <w:szCs w:val="20"/>
              </w:rPr>
            </w:pPr>
          </w:p>
        </w:tc>
      </w:tr>
      <w:tr>
        <w:tc>
          <w:tcPr>
            <w:tcW w:w="4111" w:type="dxa"/>
            <w:gridSpan w:val="3"/>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 xml:space="preserve">1) EUROSTAT: habitantes 2001 </w:t>
            </w:r>
          </w:p>
        </w:tc>
        <w:tc>
          <w:tcPr>
            <w:tcW w:w="802" w:type="dxa"/>
          </w:tcPr>
          <w:p>
            <w:pPr>
              <w:spacing w:after="0" w:line="240" w:lineRule="auto"/>
              <w:jc w:val="right"/>
              <w:rPr>
                <w:rFonts w:ascii="Times New Roman" w:eastAsia="Times New Roman" w:hAnsi="Times New Roman" w:cs="Times New Roman"/>
                <w:noProof/>
                <w:snapToGrid w:val="0"/>
                <w:color w:val="000000"/>
                <w:sz w:val="24"/>
                <w:szCs w:val="20"/>
              </w:rPr>
            </w:pPr>
          </w:p>
        </w:tc>
        <w:tc>
          <w:tcPr>
            <w:tcW w:w="1075" w:type="dxa"/>
          </w:tcPr>
          <w:p>
            <w:pPr>
              <w:spacing w:after="0" w:line="240" w:lineRule="auto"/>
              <w:jc w:val="right"/>
              <w:rPr>
                <w:rFonts w:ascii="Times New Roman" w:eastAsia="Times New Roman" w:hAnsi="Times New Roman" w:cs="Times New Roman"/>
                <w:noProof/>
                <w:snapToGrid w:val="0"/>
                <w:color w:val="000000"/>
                <w:sz w:val="24"/>
                <w:szCs w:val="20"/>
              </w:rPr>
            </w:pPr>
          </w:p>
        </w:tc>
        <w:tc>
          <w:tcPr>
            <w:tcW w:w="1075" w:type="dxa"/>
          </w:tcPr>
          <w:p>
            <w:pPr>
              <w:spacing w:after="0" w:line="240" w:lineRule="auto"/>
              <w:jc w:val="right"/>
              <w:rPr>
                <w:rFonts w:ascii="Times New Roman" w:eastAsia="Times New Roman" w:hAnsi="Times New Roman" w:cs="Times New Roman"/>
                <w:noProof/>
                <w:snapToGrid w:val="0"/>
                <w:color w:val="000000"/>
                <w:sz w:val="24"/>
                <w:szCs w:val="20"/>
              </w:rPr>
            </w:pPr>
          </w:p>
        </w:tc>
        <w:tc>
          <w:tcPr>
            <w:tcW w:w="1898" w:type="dxa"/>
          </w:tcPr>
          <w:p>
            <w:pPr>
              <w:spacing w:after="0" w:line="240" w:lineRule="auto"/>
              <w:jc w:val="right"/>
              <w:rPr>
                <w:rFonts w:ascii="Times New Roman" w:eastAsia="Times New Roman" w:hAnsi="Times New Roman" w:cs="Times New Roman"/>
                <w:noProof/>
                <w:snapToGrid w:val="0"/>
                <w:color w:val="000000"/>
                <w:sz w:val="24"/>
                <w:szCs w:val="20"/>
              </w:rPr>
            </w:pPr>
          </w:p>
        </w:tc>
        <w:tc>
          <w:tcPr>
            <w:tcW w:w="1598" w:type="dxa"/>
          </w:tcPr>
          <w:p>
            <w:pPr>
              <w:spacing w:after="0" w:line="240" w:lineRule="auto"/>
              <w:jc w:val="right"/>
              <w:rPr>
                <w:rFonts w:ascii="Times New Roman" w:eastAsia="Times New Roman" w:hAnsi="Times New Roman" w:cs="Times New Roman"/>
                <w:noProof/>
                <w:snapToGrid w:val="0"/>
                <w:color w:val="000000"/>
                <w:sz w:val="24"/>
                <w:szCs w:val="20"/>
              </w:rPr>
            </w:pPr>
          </w:p>
        </w:tc>
        <w:tc>
          <w:tcPr>
            <w:tcW w:w="1195" w:type="dxa"/>
          </w:tcPr>
          <w:p>
            <w:pPr>
              <w:spacing w:after="0" w:line="240" w:lineRule="auto"/>
              <w:jc w:val="right"/>
              <w:rPr>
                <w:rFonts w:ascii="Times New Roman" w:eastAsia="Times New Roman" w:hAnsi="Times New Roman" w:cs="Times New Roman"/>
                <w:noProof/>
                <w:snapToGrid w:val="0"/>
                <w:color w:val="000000"/>
                <w:sz w:val="24"/>
                <w:szCs w:val="20"/>
              </w:rPr>
            </w:pPr>
          </w:p>
        </w:tc>
      </w:tr>
      <w:tr>
        <w:trPr>
          <w:cantSplit/>
        </w:trPr>
        <w:tc>
          <w:tcPr>
            <w:tcW w:w="4913" w:type="dxa"/>
            <w:gridSpan w:val="4"/>
          </w:tcPr>
          <w:p>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 EUROSTAT: PIB a precios de mercado 2001</w:t>
            </w:r>
          </w:p>
        </w:tc>
        <w:tc>
          <w:tcPr>
            <w:tcW w:w="1075" w:type="dxa"/>
          </w:tcPr>
          <w:p>
            <w:pPr>
              <w:spacing w:after="0" w:line="240" w:lineRule="auto"/>
              <w:jc w:val="right"/>
              <w:rPr>
                <w:rFonts w:ascii="Times New Roman" w:eastAsia="Times New Roman" w:hAnsi="Times New Roman" w:cs="Times New Roman"/>
                <w:noProof/>
                <w:snapToGrid w:val="0"/>
                <w:color w:val="000000"/>
                <w:sz w:val="24"/>
                <w:szCs w:val="20"/>
              </w:rPr>
            </w:pPr>
          </w:p>
        </w:tc>
        <w:tc>
          <w:tcPr>
            <w:tcW w:w="1075" w:type="dxa"/>
          </w:tcPr>
          <w:p>
            <w:pPr>
              <w:spacing w:after="0" w:line="240" w:lineRule="auto"/>
              <w:jc w:val="right"/>
              <w:rPr>
                <w:rFonts w:ascii="Times New Roman" w:eastAsia="Times New Roman" w:hAnsi="Times New Roman" w:cs="Times New Roman"/>
                <w:noProof/>
                <w:snapToGrid w:val="0"/>
                <w:color w:val="000000"/>
                <w:sz w:val="24"/>
                <w:szCs w:val="20"/>
              </w:rPr>
            </w:pPr>
          </w:p>
        </w:tc>
        <w:tc>
          <w:tcPr>
            <w:tcW w:w="1898" w:type="dxa"/>
          </w:tcPr>
          <w:p>
            <w:pPr>
              <w:spacing w:after="0" w:line="240" w:lineRule="auto"/>
              <w:jc w:val="right"/>
              <w:rPr>
                <w:rFonts w:ascii="Times New Roman" w:eastAsia="Times New Roman" w:hAnsi="Times New Roman" w:cs="Times New Roman"/>
                <w:noProof/>
                <w:snapToGrid w:val="0"/>
                <w:color w:val="000000"/>
                <w:sz w:val="24"/>
                <w:szCs w:val="20"/>
              </w:rPr>
            </w:pPr>
          </w:p>
        </w:tc>
        <w:tc>
          <w:tcPr>
            <w:tcW w:w="1598" w:type="dxa"/>
          </w:tcPr>
          <w:p>
            <w:pPr>
              <w:spacing w:after="0" w:line="240" w:lineRule="auto"/>
              <w:jc w:val="right"/>
              <w:rPr>
                <w:rFonts w:ascii="Times New Roman" w:eastAsia="Times New Roman" w:hAnsi="Times New Roman" w:cs="Times New Roman"/>
                <w:noProof/>
                <w:snapToGrid w:val="0"/>
                <w:color w:val="000000"/>
                <w:sz w:val="24"/>
                <w:szCs w:val="20"/>
              </w:rPr>
            </w:pPr>
          </w:p>
        </w:tc>
        <w:tc>
          <w:tcPr>
            <w:tcW w:w="1195" w:type="dxa"/>
          </w:tcPr>
          <w:p>
            <w:pPr>
              <w:spacing w:after="0" w:line="240" w:lineRule="auto"/>
              <w:jc w:val="right"/>
              <w:rPr>
                <w:rFonts w:ascii="Times New Roman" w:eastAsia="Times New Roman" w:hAnsi="Times New Roman" w:cs="Times New Roman"/>
                <w:noProof/>
                <w:snapToGrid w:val="0"/>
                <w:color w:val="000000"/>
                <w:sz w:val="24"/>
                <w:szCs w:val="20"/>
              </w:rPr>
            </w:pPr>
          </w:p>
        </w:tc>
      </w:tr>
    </w:tbl>
    <w:p>
      <w:pPr>
        <w:spacing w:after="240" w:line="240" w:lineRule="auto"/>
        <w:jc w:val="right"/>
        <w:rPr>
          <w:rFonts w:ascii="Times New Roman" w:eastAsia="Times New Roman" w:hAnsi="Times New Roman" w:cs="Times New Roman"/>
          <w:noProof/>
          <w:sz w:val="24"/>
          <w:szCs w:val="20"/>
        </w:rPr>
        <w:sectPr>
          <w:headerReference w:type="even" r:id="rId28"/>
          <w:headerReference w:type="default" r:id="rId29"/>
          <w:footerReference w:type="even" r:id="rId30"/>
          <w:footerReference w:type="default" r:id="rId31"/>
          <w:headerReference w:type="first" r:id="rId32"/>
          <w:footerReference w:type="first" r:id="rId33"/>
          <w:pgSz w:w="16840" w:h="11907" w:orient="landscape" w:code="9"/>
          <w:pgMar w:top="1134" w:right="1418" w:bottom="1134" w:left="1418" w:header="720" w:footer="720" w:gutter="0"/>
          <w:cols w:space="720"/>
        </w:sectPr>
      </w:pPr>
    </w:p>
    <w:p>
      <w:pPr>
        <w:spacing w:after="240" w:line="240" w:lineRule="auto"/>
        <w:ind w:left="1276" w:hanging="1276"/>
        <w:jc w:val="both"/>
        <w:rPr>
          <w:rFonts w:ascii="Times New Roman" w:eastAsia="Times New Roman" w:hAnsi="Times New Roman" w:cs="Times New Roman"/>
          <w:b/>
          <w:noProof/>
          <w:sz w:val="24"/>
          <w:szCs w:val="20"/>
        </w:rPr>
      </w:pPr>
      <w:r>
        <w:rPr>
          <w:rFonts w:ascii="Times New Roman" w:hAnsi="Times New Roman"/>
          <w:b/>
          <w:noProof/>
          <w:sz w:val="24"/>
        </w:rPr>
        <w:t xml:space="preserve">ANEXO 3: </w:t>
      </w:r>
      <w:r>
        <w:rPr>
          <w:noProof/>
        </w:rPr>
        <w:tab/>
      </w:r>
      <w:r>
        <w:rPr>
          <w:rFonts w:ascii="Times New Roman" w:hAnsi="Times New Roman"/>
          <w:b/>
          <w:noProof/>
          <w:sz w:val="24"/>
        </w:rPr>
        <w:t>Metodología de cálculo de los valores de referencia y los objetivos de contratación de los nuevos Estados miembros</w:t>
      </w:r>
    </w:p>
    <w:p>
      <w:pPr>
        <w:spacing w:after="240" w:line="240" w:lineRule="auto"/>
        <w:jc w:val="both"/>
        <w:rPr>
          <w:rFonts w:ascii="Times New Roman" w:eastAsia="Times New Roman" w:hAnsi="Times New Roman" w:cs="Times New Roman"/>
          <w:b/>
          <w:noProof/>
          <w:sz w:val="24"/>
          <w:szCs w:val="20"/>
          <w:u w:val="single"/>
        </w:rPr>
      </w:pPr>
      <w:r>
        <w:rPr>
          <w:rFonts w:ascii="Times New Roman" w:hAnsi="Times New Roman"/>
          <w:b/>
          <w:noProof/>
          <w:sz w:val="24"/>
          <w:u w:val="single"/>
        </w:rPr>
        <w:t>Enfoque</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Con ocasión de la ampliación de 2004, la Comisión adoptó la Comunicación de 14 de febrero de 2003 relativa a la contratación de funcionarios de la Comisión originarios de los nuevos Estados miembros</w:t>
      </w:r>
      <w:r>
        <w:rPr>
          <w:rFonts w:ascii="Times New Roman" w:hAnsi="Times New Roman"/>
          <w:noProof/>
          <w:sz w:val="24"/>
          <w:vertAlign w:val="superscript"/>
        </w:rPr>
        <w:footnoteReference w:id="20"/>
      </w:r>
      <w:r>
        <w:rPr>
          <w:rFonts w:ascii="Times New Roman" w:hAnsi="Times New Roman"/>
          <w:noProof/>
          <w:sz w:val="24"/>
        </w:rPr>
        <w:t xml:space="preserve"> («la Comunicación de 2003»). En la Comunicación se indicaba que, debido a la naturaleza de la ampliación de 2004, la aplicación de los criterios que se habían utilizado en ampliaciones anteriores no conduciría a un resultado justo y equilibrado. Esto es así si se tienen en cuenta las previsiones de que el peso de los nuevos Estados miembros interesados aumentara considerablemente durante los diez años siguientes.</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Basándose en estas consideraciones, la Comisión desarrolló un método aplicable a los nuevos Estados miembros, así como a las futuras ampliaciones</w:t>
      </w:r>
      <w:r>
        <w:rPr>
          <w:rFonts w:ascii="Times New Roman" w:hAnsi="Times New Roman"/>
          <w:noProof/>
          <w:sz w:val="24"/>
          <w:vertAlign w:val="superscript"/>
        </w:rPr>
        <w:footnoteReference w:id="21"/>
      </w:r>
      <w:r>
        <w:rPr>
          <w:rFonts w:ascii="Times New Roman" w:hAnsi="Times New Roman"/>
          <w:noProof/>
          <w:sz w:val="24"/>
        </w:rPr>
        <w:t>. A la hora de adoptar este método, la Comisión decidió que «se utilizarían valores de referencia y objetivos indicativos relativos a la contratación como base para las medidas de contratación aplicables a los nuevos Estados miembros solo durante el periodo transitorio».</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En la Comunicación se formuló un planteamiento en tres fases:</w:t>
      </w:r>
    </w:p>
    <w:p>
      <w:pPr>
        <w:numPr>
          <w:ilvl w:val="0"/>
          <w:numId w:val="18"/>
        </w:numPr>
        <w:tabs>
          <w:tab w:val="num" w:pos="567"/>
        </w:tabs>
        <w:spacing w:after="240" w:line="240" w:lineRule="auto"/>
        <w:ind w:left="567" w:hanging="567"/>
        <w:jc w:val="both"/>
        <w:rPr>
          <w:rFonts w:ascii="Times New Roman" w:eastAsia="Times New Roman" w:hAnsi="Times New Roman" w:cs="Times New Roman"/>
          <w:noProof/>
          <w:sz w:val="24"/>
          <w:szCs w:val="20"/>
        </w:rPr>
      </w:pPr>
      <w:r>
        <w:rPr>
          <w:rFonts w:ascii="Times New Roman" w:hAnsi="Times New Roman"/>
          <w:noProof/>
          <w:sz w:val="24"/>
        </w:rPr>
        <w:t>primera, la determinación del número de puestos de trabajo que deben reservarse para todos los Estados miembros nuevos tomados en su conjunto;</w:t>
      </w:r>
    </w:p>
    <w:p>
      <w:pPr>
        <w:numPr>
          <w:ilvl w:val="0"/>
          <w:numId w:val="18"/>
        </w:numPr>
        <w:tabs>
          <w:tab w:val="num" w:pos="567"/>
        </w:tabs>
        <w:spacing w:after="240" w:line="240" w:lineRule="auto"/>
        <w:ind w:left="567" w:hanging="567"/>
        <w:jc w:val="both"/>
        <w:rPr>
          <w:rFonts w:ascii="Times New Roman" w:eastAsia="Times New Roman" w:hAnsi="Times New Roman" w:cs="Times New Roman"/>
          <w:noProof/>
          <w:sz w:val="24"/>
          <w:szCs w:val="20"/>
        </w:rPr>
      </w:pPr>
      <w:r>
        <w:rPr>
          <w:rFonts w:ascii="Times New Roman" w:hAnsi="Times New Roman"/>
          <w:noProof/>
          <w:sz w:val="24"/>
        </w:rPr>
        <w:t xml:space="preserve">segunda, el cálculo para cada Estado miembro de un valor de referencia, es decir, una cuota indicativa de los puestos reservados para ese Estado miembro expresado como un porcentaje del número total de puestos reservados para el nuevo Estado miembro; y </w:t>
      </w:r>
    </w:p>
    <w:p>
      <w:pPr>
        <w:numPr>
          <w:ilvl w:val="0"/>
          <w:numId w:val="18"/>
        </w:numPr>
        <w:tabs>
          <w:tab w:val="num" w:pos="567"/>
        </w:tabs>
        <w:spacing w:after="240" w:line="240" w:lineRule="auto"/>
        <w:ind w:left="567" w:hanging="567"/>
        <w:jc w:val="both"/>
        <w:rPr>
          <w:rFonts w:ascii="Times New Roman" w:eastAsia="Times New Roman" w:hAnsi="Times New Roman" w:cs="Times New Roman"/>
          <w:noProof/>
          <w:sz w:val="24"/>
          <w:szCs w:val="20"/>
        </w:rPr>
      </w:pPr>
      <w:r>
        <w:rPr>
          <w:rFonts w:ascii="Times New Roman" w:hAnsi="Times New Roman"/>
          <w:noProof/>
          <w:sz w:val="24"/>
        </w:rPr>
        <w:t xml:space="preserve">tercera, el cálculo del objetivo de contratación para cada nuevo Estado miembro, es decir, a x b. </w:t>
      </w:r>
    </w:p>
    <w:p>
      <w:pPr>
        <w:spacing w:after="240" w:line="240" w:lineRule="auto"/>
        <w:jc w:val="both"/>
        <w:rPr>
          <w:rFonts w:ascii="Times New Roman" w:eastAsia="Times New Roman" w:hAnsi="Times New Roman" w:cs="Times New Roman"/>
          <w:b/>
          <w:noProof/>
          <w:sz w:val="24"/>
          <w:szCs w:val="20"/>
          <w:u w:val="single"/>
        </w:rPr>
      </w:pPr>
    </w:p>
    <w:p>
      <w:pPr>
        <w:spacing w:after="240" w:line="240" w:lineRule="auto"/>
        <w:jc w:val="both"/>
        <w:rPr>
          <w:rFonts w:ascii="Times New Roman" w:eastAsia="Times New Roman" w:hAnsi="Times New Roman" w:cs="Times New Roman"/>
          <w:b/>
          <w:noProof/>
          <w:sz w:val="24"/>
          <w:szCs w:val="20"/>
          <w:u w:val="single"/>
        </w:rPr>
      </w:pPr>
      <w:r>
        <w:rPr>
          <w:rFonts w:ascii="Times New Roman" w:hAnsi="Times New Roman"/>
          <w:b/>
          <w:noProof/>
          <w:sz w:val="24"/>
          <w:u w:val="single"/>
        </w:rPr>
        <w:t>Determinación del número de puestos de trabajo que deben reservarse para todos los Estados miembros nuevos tomados en su conjunto</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Este número se determina en tres fases sucesivas:</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primera, se calcula el peso de todos los Estados miembros nuevos en comparación con el peso del total de los Estados miembros preexistentes, atendiendo a tres criterios: la población, los diputados al Parlamento Europeo y el peso de los votos en el Consejo (la media matemática de los tres valores); </w:t>
      </w:r>
      <w:r>
        <w:rPr>
          <w:rFonts w:ascii="Times New Roman" w:eastAsia="Times New Roman" w:hAnsi="Times New Roman" w:cs="Times New Roman"/>
          <w:noProof/>
          <w:sz w:val="24"/>
          <w:szCs w:val="20"/>
        </w:rPr>
        <w:br/>
      </w:r>
      <w:r>
        <w:rPr>
          <w:rFonts w:ascii="Times New Roman" w:hAnsi="Times New Roman"/>
          <w:noProof/>
          <w:sz w:val="24"/>
        </w:rPr>
        <w:t xml:space="preserve">segunda, el peso (porcentaje) se aplica al número de puestos del cuadro de efectivos tras la ampliación; y </w:t>
      </w:r>
      <w:r>
        <w:rPr>
          <w:noProof/>
        </w:rPr>
        <w:tab/>
      </w:r>
      <w:r>
        <w:rPr>
          <w:rFonts w:ascii="Times New Roman" w:eastAsia="Times New Roman" w:hAnsi="Times New Roman" w:cs="Times New Roman"/>
          <w:noProof/>
          <w:sz w:val="24"/>
          <w:szCs w:val="20"/>
        </w:rPr>
        <w:br/>
      </w:r>
      <w:r>
        <w:rPr>
          <w:rFonts w:ascii="Times New Roman" w:hAnsi="Times New Roman"/>
          <w:noProof/>
          <w:sz w:val="24"/>
        </w:rPr>
        <w:t>tercera, el número de puestos de trabajo reservados a los nuevos Estados miembros se fija en los dos tercios del valor anterior.</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En el siguiente cuadro se resumen los cálculos realizados para las ampliaciones de 2004</w:t>
      </w:r>
      <w:r>
        <w:rPr>
          <w:rFonts w:ascii="Times New Roman" w:hAnsi="Times New Roman"/>
          <w:noProof/>
          <w:sz w:val="24"/>
          <w:vertAlign w:val="superscript"/>
        </w:rPr>
        <w:footnoteReference w:id="22"/>
      </w:r>
      <w:r>
        <w:rPr>
          <w:rFonts w:ascii="Times New Roman" w:hAnsi="Times New Roman"/>
          <w:noProof/>
          <w:sz w:val="24"/>
        </w:rPr>
        <w:t>, 2007</w:t>
      </w:r>
      <w:r>
        <w:rPr>
          <w:rFonts w:ascii="Times New Roman" w:hAnsi="Times New Roman"/>
          <w:noProof/>
          <w:sz w:val="24"/>
          <w:vertAlign w:val="superscript"/>
        </w:rPr>
        <w:footnoteReference w:id="23"/>
      </w:r>
      <w:r>
        <w:rPr>
          <w:rFonts w:ascii="Times New Roman" w:hAnsi="Times New Roman"/>
          <w:noProof/>
          <w:sz w:val="24"/>
        </w:rPr>
        <w:t xml:space="preserve"> y 2013</w:t>
      </w:r>
      <w:r>
        <w:rPr>
          <w:rFonts w:ascii="Times New Roman" w:hAnsi="Times New Roman"/>
          <w:noProof/>
          <w:sz w:val="24"/>
          <w:vertAlign w:val="superscript"/>
        </w:rPr>
        <w:footnoteReference w:id="24"/>
      </w:r>
      <w:r>
        <w:rPr>
          <w:rFonts w:ascii="Times New Roman" w:hAnsi="Times New Roman"/>
          <w:noProof/>
          <w:sz w:val="24"/>
        </w:rPr>
        <w:t>.</w:t>
      </w:r>
    </w:p>
    <w:tbl>
      <w:tblPr>
        <w:tblStyle w:val="TableGrid"/>
        <w:tblW w:w="0" w:type="auto"/>
        <w:tblLook w:val="04A0" w:firstRow="1" w:lastRow="0" w:firstColumn="1" w:lastColumn="0" w:noHBand="0" w:noVBand="1"/>
      </w:tblPr>
      <w:tblGrid>
        <w:gridCol w:w="4361"/>
        <w:gridCol w:w="1417"/>
        <w:gridCol w:w="1560"/>
        <w:gridCol w:w="1496"/>
      </w:tblGrid>
      <w:tr>
        <w:tc>
          <w:tcPr>
            <w:tcW w:w="4361" w:type="dxa"/>
            <w:vAlign w:val="center"/>
          </w:tcPr>
          <w:p>
            <w:pPr>
              <w:spacing w:after="0" w:line="240" w:lineRule="auto"/>
              <w:jc w:val="center"/>
              <w:rPr>
                <w:noProof/>
                <w:sz w:val="24"/>
              </w:rPr>
            </w:pPr>
          </w:p>
        </w:tc>
        <w:tc>
          <w:tcPr>
            <w:tcW w:w="1417" w:type="dxa"/>
            <w:vAlign w:val="center"/>
          </w:tcPr>
          <w:p>
            <w:pPr>
              <w:spacing w:after="0" w:line="240" w:lineRule="auto"/>
              <w:jc w:val="center"/>
              <w:rPr>
                <w:noProof/>
                <w:sz w:val="24"/>
              </w:rPr>
            </w:pPr>
            <w:r>
              <w:rPr>
                <w:noProof/>
                <w:sz w:val="24"/>
              </w:rPr>
              <w:t>2004</w:t>
            </w:r>
          </w:p>
        </w:tc>
        <w:tc>
          <w:tcPr>
            <w:tcW w:w="1560" w:type="dxa"/>
            <w:vAlign w:val="center"/>
          </w:tcPr>
          <w:p>
            <w:pPr>
              <w:spacing w:after="0" w:line="240" w:lineRule="auto"/>
              <w:jc w:val="center"/>
              <w:rPr>
                <w:noProof/>
                <w:sz w:val="24"/>
              </w:rPr>
            </w:pPr>
            <w:r>
              <w:rPr>
                <w:noProof/>
                <w:sz w:val="24"/>
              </w:rPr>
              <w:t>2007</w:t>
            </w:r>
          </w:p>
        </w:tc>
        <w:tc>
          <w:tcPr>
            <w:tcW w:w="1496" w:type="dxa"/>
            <w:vAlign w:val="center"/>
          </w:tcPr>
          <w:p>
            <w:pPr>
              <w:spacing w:after="0" w:line="240" w:lineRule="auto"/>
              <w:jc w:val="center"/>
              <w:rPr>
                <w:noProof/>
                <w:sz w:val="24"/>
              </w:rPr>
            </w:pPr>
            <w:r>
              <w:rPr>
                <w:noProof/>
                <w:sz w:val="24"/>
              </w:rPr>
              <w:t>2013</w:t>
            </w:r>
          </w:p>
        </w:tc>
      </w:tr>
      <w:tr>
        <w:tc>
          <w:tcPr>
            <w:tcW w:w="4361" w:type="dxa"/>
            <w:vAlign w:val="center"/>
          </w:tcPr>
          <w:p>
            <w:pPr>
              <w:spacing w:after="0" w:line="240" w:lineRule="auto"/>
              <w:jc w:val="center"/>
              <w:rPr>
                <w:noProof/>
                <w:sz w:val="24"/>
              </w:rPr>
            </w:pPr>
            <w:r>
              <w:rPr>
                <w:noProof/>
                <w:sz w:val="24"/>
              </w:rPr>
              <w:t>Población de los EM nuevos 1)</w:t>
            </w:r>
          </w:p>
        </w:tc>
        <w:tc>
          <w:tcPr>
            <w:tcW w:w="1417" w:type="dxa"/>
            <w:vAlign w:val="center"/>
          </w:tcPr>
          <w:p>
            <w:pPr>
              <w:spacing w:after="0" w:line="240" w:lineRule="auto"/>
              <w:jc w:val="center"/>
              <w:rPr>
                <w:noProof/>
                <w:sz w:val="24"/>
              </w:rPr>
            </w:pPr>
            <w:r>
              <w:rPr>
                <w:noProof/>
                <w:sz w:val="24"/>
              </w:rPr>
              <w:t>75,0 millones</w:t>
            </w:r>
          </w:p>
        </w:tc>
        <w:tc>
          <w:tcPr>
            <w:tcW w:w="1560" w:type="dxa"/>
            <w:vAlign w:val="center"/>
          </w:tcPr>
          <w:p>
            <w:pPr>
              <w:spacing w:after="0" w:line="240" w:lineRule="auto"/>
              <w:jc w:val="center"/>
              <w:rPr>
                <w:noProof/>
                <w:sz w:val="24"/>
              </w:rPr>
            </w:pPr>
            <w:r>
              <w:rPr>
                <w:noProof/>
                <w:sz w:val="24"/>
              </w:rPr>
              <w:t>29,5 millones</w:t>
            </w:r>
          </w:p>
        </w:tc>
        <w:tc>
          <w:tcPr>
            <w:tcW w:w="1496" w:type="dxa"/>
            <w:vAlign w:val="center"/>
          </w:tcPr>
          <w:p>
            <w:pPr>
              <w:spacing w:after="0" w:line="240" w:lineRule="auto"/>
              <w:jc w:val="center"/>
              <w:rPr>
                <w:noProof/>
                <w:sz w:val="24"/>
              </w:rPr>
            </w:pPr>
            <w:r>
              <w:rPr>
                <w:noProof/>
                <w:sz w:val="24"/>
              </w:rPr>
              <w:t>4,4 millones</w:t>
            </w:r>
          </w:p>
        </w:tc>
      </w:tr>
      <w:tr>
        <w:tc>
          <w:tcPr>
            <w:tcW w:w="4361" w:type="dxa"/>
            <w:vAlign w:val="center"/>
          </w:tcPr>
          <w:p>
            <w:pPr>
              <w:spacing w:after="0" w:line="240" w:lineRule="auto"/>
              <w:jc w:val="center"/>
              <w:rPr>
                <w:noProof/>
                <w:sz w:val="24"/>
              </w:rPr>
            </w:pPr>
            <w:r>
              <w:rPr>
                <w:noProof/>
                <w:sz w:val="24"/>
              </w:rPr>
              <w:t>Población de los EM preexistentes 1)</w:t>
            </w:r>
          </w:p>
        </w:tc>
        <w:tc>
          <w:tcPr>
            <w:tcW w:w="1417" w:type="dxa"/>
            <w:vAlign w:val="center"/>
          </w:tcPr>
          <w:p>
            <w:pPr>
              <w:spacing w:after="0" w:line="240" w:lineRule="auto"/>
              <w:jc w:val="center"/>
              <w:rPr>
                <w:noProof/>
                <w:sz w:val="24"/>
              </w:rPr>
            </w:pPr>
            <w:r>
              <w:rPr>
                <w:noProof/>
                <w:sz w:val="24"/>
              </w:rPr>
              <w:t>378,7 millones</w:t>
            </w:r>
          </w:p>
        </w:tc>
        <w:tc>
          <w:tcPr>
            <w:tcW w:w="1560" w:type="dxa"/>
            <w:vAlign w:val="center"/>
          </w:tcPr>
          <w:p>
            <w:pPr>
              <w:spacing w:after="0" w:line="240" w:lineRule="auto"/>
              <w:jc w:val="center"/>
              <w:rPr>
                <w:noProof/>
                <w:sz w:val="24"/>
              </w:rPr>
            </w:pPr>
            <w:r>
              <w:rPr>
                <w:noProof/>
                <w:sz w:val="24"/>
              </w:rPr>
              <w:t>459,3 millones</w:t>
            </w:r>
          </w:p>
        </w:tc>
        <w:tc>
          <w:tcPr>
            <w:tcW w:w="1496" w:type="dxa"/>
            <w:vAlign w:val="center"/>
          </w:tcPr>
          <w:p>
            <w:pPr>
              <w:spacing w:after="0" w:line="240" w:lineRule="auto"/>
              <w:jc w:val="center"/>
              <w:rPr>
                <w:noProof/>
                <w:sz w:val="24"/>
              </w:rPr>
            </w:pPr>
            <w:r>
              <w:rPr>
                <w:noProof/>
                <w:sz w:val="24"/>
              </w:rPr>
              <w:t>502,5 millones</w:t>
            </w:r>
          </w:p>
        </w:tc>
      </w:tr>
      <w:tr>
        <w:tc>
          <w:tcPr>
            <w:tcW w:w="4361" w:type="dxa"/>
            <w:vAlign w:val="center"/>
          </w:tcPr>
          <w:p>
            <w:pPr>
              <w:spacing w:after="0" w:line="240" w:lineRule="auto"/>
              <w:jc w:val="center"/>
              <w:rPr>
                <w:noProof/>
                <w:sz w:val="24"/>
              </w:rPr>
            </w:pPr>
            <w:r>
              <w:rPr>
                <w:noProof/>
                <w:sz w:val="24"/>
              </w:rPr>
              <w:t>Diputados al PE de los EM nuevos</w:t>
            </w:r>
          </w:p>
        </w:tc>
        <w:tc>
          <w:tcPr>
            <w:tcW w:w="1417" w:type="dxa"/>
            <w:vAlign w:val="center"/>
          </w:tcPr>
          <w:p>
            <w:pPr>
              <w:spacing w:after="0" w:line="240" w:lineRule="auto"/>
              <w:jc w:val="center"/>
              <w:rPr>
                <w:noProof/>
                <w:sz w:val="24"/>
              </w:rPr>
            </w:pPr>
            <w:r>
              <w:rPr>
                <w:noProof/>
                <w:sz w:val="24"/>
              </w:rPr>
              <w:t>162</w:t>
            </w:r>
          </w:p>
        </w:tc>
        <w:tc>
          <w:tcPr>
            <w:tcW w:w="1560" w:type="dxa"/>
            <w:vAlign w:val="center"/>
          </w:tcPr>
          <w:p>
            <w:pPr>
              <w:spacing w:after="0" w:line="240" w:lineRule="auto"/>
              <w:jc w:val="center"/>
              <w:rPr>
                <w:noProof/>
                <w:sz w:val="24"/>
              </w:rPr>
            </w:pPr>
            <w:r>
              <w:rPr>
                <w:noProof/>
                <w:sz w:val="24"/>
              </w:rPr>
              <w:t>50</w:t>
            </w:r>
          </w:p>
        </w:tc>
        <w:tc>
          <w:tcPr>
            <w:tcW w:w="1496" w:type="dxa"/>
            <w:vAlign w:val="center"/>
          </w:tcPr>
          <w:p>
            <w:pPr>
              <w:spacing w:after="0" w:line="240" w:lineRule="auto"/>
              <w:jc w:val="center"/>
              <w:rPr>
                <w:noProof/>
                <w:sz w:val="24"/>
              </w:rPr>
            </w:pPr>
            <w:r>
              <w:rPr>
                <w:noProof/>
                <w:sz w:val="24"/>
              </w:rPr>
              <w:t>12</w:t>
            </w:r>
          </w:p>
        </w:tc>
      </w:tr>
      <w:tr>
        <w:tc>
          <w:tcPr>
            <w:tcW w:w="4361" w:type="dxa"/>
            <w:vAlign w:val="center"/>
          </w:tcPr>
          <w:p>
            <w:pPr>
              <w:spacing w:after="0" w:line="240" w:lineRule="auto"/>
              <w:jc w:val="center"/>
              <w:rPr>
                <w:noProof/>
                <w:sz w:val="24"/>
              </w:rPr>
            </w:pPr>
            <w:r>
              <w:rPr>
                <w:noProof/>
                <w:sz w:val="24"/>
              </w:rPr>
              <w:t xml:space="preserve">Diputados al PE de los EM preexistentes </w:t>
            </w:r>
          </w:p>
        </w:tc>
        <w:tc>
          <w:tcPr>
            <w:tcW w:w="1417" w:type="dxa"/>
            <w:vAlign w:val="center"/>
          </w:tcPr>
          <w:p>
            <w:pPr>
              <w:spacing w:after="0" w:line="240" w:lineRule="auto"/>
              <w:jc w:val="center"/>
              <w:rPr>
                <w:noProof/>
                <w:sz w:val="24"/>
              </w:rPr>
            </w:pPr>
            <w:r>
              <w:rPr>
                <w:noProof/>
                <w:sz w:val="24"/>
              </w:rPr>
              <w:t>570</w:t>
            </w:r>
          </w:p>
        </w:tc>
        <w:tc>
          <w:tcPr>
            <w:tcW w:w="1560" w:type="dxa"/>
            <w:vAlign w:val="center"/>
          </w:tcPr>
          <w:p>
            <w:pPr>
              <w:spacing w:after="0" w:line="240" w:lineRule="auto"/>
              <w:jc w:val="center"/>
              <w:rPr>
                <w:noProof/>
                <w:sz w:val="24"/>
              </w:rPr>
            </w:pPr>
            <w:r>
              <w:rPr>
                <w:noProof/>
                <w:sz w:val="24"/>
              </w:rPr>
              <w:t>732</w:t>
            </w:r>
          </w:p>
        </w:tc>
        <w:tc>
          <w:tcPr>
            <w:tcW w:w="1496" w:type="dxa"/>
            <w:vAlign w:val="center"/>
          </w:tcPr>
          <w:p>
            <w:pPr>
              <w:spacing w:after="0" w:line="240" w:lineRule="auto"/>
              <w:jc w:val="center"/>
              <w:rPr>
                <w:noProof/>
                <w:sz w:val="24"/>
              </w:rPr>
            </w:pPr>
            <w:r>
              <w:rPr>
                <w:noProof/>
                <w:sz w:val="24"/>
              </w:rPr>
              <w:t>754</w:t>
            </w:r>
          </w:p>
        </w:tc>
      </w:tr>
      <w:tr>
        <w:tc>
          <w:tcPr>
            <w:tcW w:w="4361" w:type="dxa"/>
            <w:vAlign w:val="center"/>
          </w:tcPr>
          <w:p>
            <w:pPr>
              <w:spacing w:after="0" w:line="240" w:lineRule="auto"/>
              <w:jc w:val="center"/>
              <w:rPr>
                <w:noProof/>
                <w:sz w:val="24"/>
              </w:rPr>
            </w:pPr>
            <w:r>
              <w:rPr>
                <w:noProof/>
                <w:sz w:val="24"/>
              </w:rPr>
              <w:t>Votos en el Consejo de los EM nuevos</w:t>
            </w:r>
          </w:p>
        </w:tc>
        <w:tc>
          <w:tcPr>
            <w:tcW w:w="1417" w:type="dxa"/>
            <w:vAlign w:val="center"/>
          </w:tcPr>
          <w:p>
            <w:pPr>
              <w:spacing w:after="0" w:line="240" w:lineRule="auto"/>
              <w:jc w:val="center"/>
              <w:rPr>
                <w:noProof/>
                <w:sz w:val="24"/>
              </w:rPr>
            </w:pPr>
            <w:r>
              <w:rPr>
                <w:noProof/>
                <w:sz w:val="24"/>
              </w:rPr>
              <w:t>84</w:t>
            </w:r>
          </w:p>
        </w:tc>
        <w:tc>
          <w:tcPr>
            <w:tcW w:w="1560" w:type="dxa"/>
            <w:vAlign w:val="center"/>
          </w:tcPr>
          <w:p>
            <w:pPr>
              <w:spacing w:after="0" w:line="240" w:lineRule="auto"/>
              <w:jc w:val="center"/>
              <w:rPr>
                <w:noProof/>
                <w:sz w:val="24"/>
              </w:rPr>
            </w:pPr>
            <w:r>
              <w:rPr>
                <w:noProof/>
                <w:sz w:val="24"/>
              </w:rPr>
              <w:t>24</w:t>
            </w:r>
          </w:p>
        </w:tc>
        <w:tc>
          <w:tcPr>
            <w:tcW w:w="1496" w:type="dxa"/>
            <w:vAlign w:val="center"/>
          </w:tcPr>
          <w:p>
            <w:pPr>
              <w:spacing w:after="0" w:line="240" w:lineRule="auto"/>
              <w:jc w:val="center"/>
              <w:rPr>
                <w:noProof/>
                <w:sz w:val="24"/>
              </w:rPr>
            </w:pPr>
            <w:r>
              <w:rPr>
                <w:noProof/>
                <w:sz w:val="24"/>
              </w:rPr>
              <w:t>7</w:t>
            </w:r>
          </w:p>
        </w:tc>
      </w:tr>
      <w:tr>
        <w:tc>
          <w:tcPr>
            <w:tcW w:w="4361" w:type="dxa"/>
            <w:vAlign w:val="center"/>
          </w:tcPr>
          <w:p>
            <w:pPr>
              <w:spacing w:after="0" w:line="240" w:lineRule="auto"/>
              <w:jc w:val="center"/>
              <w:rPr>
                <w:noProof/>
                <w:sz w:val="24"/>
              </w:rPr>
            </w:pPr>
            <w:r>
              <w:rPr>
                <w:noProof/>
                <w:sz w:val="24"/>
              </w:rPr>
              <w:t>Votos en el Consejo de los EM preexistentes</w:t>
            </w:r>
          </w:p>
        </w:tc>
        <w:tc>
          <w:tcPr>
            <w:tcW w:w="1417" w:type="dxa"/>
            <w:vAlign w:val="center"/>
          </w:tcPr>
          <w:p>
            <w:pPr>
              <w:spacing w:after="0" w:line="240" w:lineRule="auto"/>
              <w:jc w:val="center"/>
              <w:rPr>
                <w:noProof/>
                <w:sz w:val="24"/>
              </w:rPr>
            </w:pPr>
            <w:r>
              <w:rPr>
                <w:noProof/>
                <w:sz w:val="24"/>
              </w:rPr>
              <w:t>237</w:t>
            </w:r>
          </w:p>
        </w:tc>
        <w:tc>
          <w:tcPr>
            <w:tcW w:w="1560" w:type="dxa"/>
            <w:vAlign w:val="center"/>
          </w:tcPr>
          <w:p>
            <w:pPr>
              <w:spacing w:after="0" w:line="240" w:lineRule="auto"/>
              <w:jc w:val="center"/>
              <w:rPr>
                <w:noProof/>
                <w:sz w:val="24"/>
              </w:rPr>
            </w:pPr>
            <w:r>
              <w:rPr>
                <w:noProof/>
                <w:sz w:val="24"/>
              </w:rPr>
              <w:t>321</w:t>
            </w:r>
          </w:p>
        </w:tc>
        <w:tc>
          <w:tcPr>
            <w:tcW w:w="1496" w:type="dxa"/>
            <w:vAlign w:val="center"/>
          </w:tcPr>
          <w:p>
            <w:pPr>
              <w:spacing w:after="0" w:line="240" w:lineRule="auto"/>
              <w:jc w:val="center"/>
              <w:rPr>
                <w:noProof/>
                <w:sz w:val="24"/>
              </w:rPr>
            </w:pPr>
            <w:r>
              <w:rPr>
                <w:noProof/>
                <w:sz w:val="24"/>
              </w:rPr>
              <w:t>345</w:t>
            </w:r>
          </w:p>
        </w:tc>
      </w:tr>
      <w:tr>
        <w:tc>
          <w:tcPr>
            <w:tcW w:w="4361" w:type="dxa"/>
            <w:vAlign w:val="center"/>
          </w:tcPr>
          <w:p>
            <w:pPr>
              <w:spacing w:after="0" w:line="240" w:lineRule="auto"/>
              <w:jc w:val="center"/>
              <w:rPr>
                <w:noProof/>
                <w:sz w:val="24"/>
              </w:rPr>
            </w:pPr>
            <w:r>
              <w:rPr>
                <w:noProof/>
                <w:sz w:val="24"/>
              </w:rPr>
              <w:t xml:space="preserve">Peso de los EM nuevos </w:t>
            </w:r>
          </w:p>
        </w:tc>
        <w:tc>
          <w:tcPr>
            <w:tcW w:w="1417" w:type="dxa"/>
            <w:vAlign w:val="center"/>
          </w:tcPr>
          <w:p>
            <w:pPr>
              <w:spacing w:after="0" w:line="240" w:lineRule="auto"/>
              <w:jc w:val="center"/>
              <w:rPr>
                <w:noProof/>
                <w:sz w:val="24"/>
              </w:rPr>
            </w:pPr>
            <w:r>
              <w:rPr>
                <w:noProof/>
                <w:sz w:val="24"/>
              </w:rPr>
              <w:t>21,6 %</w:t>
            </w:r>
          </w:p>
        </w:tc>
        <w:tc>
          <w:tcPr>
            <w:tcW w:w="1560" w:type="dxa"/>
            <w:vAlign w:val="center"/>
          </w:tcPr>
          <w:p>
            <w:pPr>
              <w:spacing w:after="0" w:line="240" w:lineRule="auto"/>
              <w:jc w:val="center"/>
              <w:rPr>
                <w:noProof/>
                <w:sz w:val="24"/>
              </w:rPr>
            </w:pPr>
            <w:r>
              <w:rPr>
                <w:noProof/>
                <w:sz w:val="24"/>
              </w:rPr>
              <w:t>7 %</w:t>
            </w:r>
          </w:p>
        </w:tc>
        <w:tc>
          <w:tcPr>
            <w:tcW w:w="1496" w:type="dxa"/>
            <w:vAlign w:val="center"/>
          </w:tcPr>
          <w:p>
            <w:pPr>
              <w:spacing w:after="0" w:line="240" w:lineRule="auto"/>
              <w:jc w:val="center"/>
              <w:rPr>
                <w:noProof/>
                <w:sz w:val="24"/>
              </w:rPr>
            </w:pPr>
            <w:r>
              <w:rPr>
                <w:noProof/>
                <w:sz w:val="24"/>
              </w:rPr>
              <w:t>1,5 %</w:t>
            </w:r>
          </w:p>
        </w:tc>
      </w:tr>
      <w:tr>
        <w:tc>
          <w:tcPr>
            <w:tcW w:w="4361" w:type="dxa"/>
            <w:vAlign w:val="center"/>
          </w:tcPr>
          <w:p>
            <w:pPr>
              <w:spacing w:after="0" w:line="240" w:lineRule="auto"/>
              <w:jc w:val="center"/>
              <w:rPr>
                <w:noProof/>
                <w:sz w:val="24"/>
                <w:lang w:val="pt-PT"/>
              </w:rPr>
            </w:pPr>
            <w:r>
              <w:rPr>
                <w:noProof/>
                <w:sz w:val="24"/>
                <w:lang w:val="pt-PT"/>
              </w:rPr>
              <w:t>Peso de los EM preexistentes</w:t>
            </w:r>
          </w:p>
        </w:tc>
        <w:tc>
          <w:tcPr>
            <w:tcW w:w="1417" w:type="dxa"/>
            <w:vAlign w:val="center"/>
          </w:tcPr>
          <w:p>
            <w:pPr>
              <w:spacing w:after="0" w:line="240" w:lineRule="auto"/>
              <w:jc w:val="center"/>
              <w:rPr>
                <w:noProof/>
                <w:sz w:val="24"/>
              </w:rPr>
            </w:pPr>
            <w:r>
              <w:rPr>
                <w:noProof/>
                <w:sz w:val="24"/>
              </w:rPr>
              <w:t>78,4 %</w:t>
            </w:r>
          </w:p>
        </w:tc>
        <w:tc>
          <w:tcPr>
            <w:tcW w:w="1560" w:type="dxa"/>
            <w:vAlign w:val="center"/>
          </w:tcPr>
          <w:p>
            <w:pPr>
              <w:spacing w:after="0" w:line="240" w:lineRule="auto"/>
              <w:jc w:val="center"/>
              <w:rPr>
                <w:noProof/>
                <w:sz w:val="24"/>
              </w:rPr>
            </w:pPr>
            <w:r>
              <w:rPr>
                <w:noProof/>
                <w:sz w:val="24"/>
              </w:rPr>
              <w:t>93 %</w:t>
            </w:r>
          </w:p>
        </w:tc>
        <w:tc>
          <w:tcPr>
            <w:tcW w:w="1496" w:type="dxa"/>
            <w:vAlign w:val="center"/>
          </w:tcPr>
          <w:p>
            <w:pPr>
              <w:spacing w:after="0" w:line="240" w:lineRule="auto"/>
              <w:jc w:val="center"/>
              <w:rPr>
                <w:noProof/>
                <w:sz w:val="24"/>
              </w:rPr>
            </w:pPr>
            <w:r>
              <w:rPr>
                <w:noProof/>
                <w:sz w:val="24"/>
              </w:rPr>
              <w:t>98,5 %</w:t>
            </w:r>
          </w:p>
        </w:tc>
      </w:tr>
    </w:tbl>
    <w:p>
      <w:pPr>
        <w:spacing w:after="240" w:line="240" w:lineRule="auto"/>
        <w:jc w:val="both"/>
        <w:rPr>
          <w:rFonts w:ascii="Times New Roman" w:eastAsia="Times New Roman" w:hAnsi="Times New Roman" w:cs="Times New Roman"/>
          <w:noProof/>
          <w:sz w:val="20"/>
          <w:szCs w:val="20"/>
        </w:rPr>
      </w:pPr>
      <w:r>
        <w:rPr>
          <w:rFonts w:ascii="Times New Roman" w:hAnsi="Times New Roman"/>
          <w:noProof/>
          <w:sz w:val="20"/>
        </w:rPr>
        <w:t>1) las cifras no coinciden en las columnas porque para la ampliación de 2004 la Comisión utilizó datos de 2001, para la ampliación de 2007 utilizó datos de 2005 y para Croacia datos de 2011.</w:t>
      </w:r>
    </w:p>
    <w:p>
      <w:pPr>
        <w:spacing w:after="240" w:line="240" w:lineRule="auto"/>
        <w:jc w:val="both"/>
        <w:rPr>
          <w:rFonts w:ascii="Times New Roman" w:eastAsia="Times New Roman" w:hAnsi="Times New Roman" w:cs="Times New Roman"/>
          <w:b/>
          <w:noProof/>
          <w:sz w:val="24"/>
          <w:szCs w:val="20"/>
          <w:u w:val="single"/>
        </w:rPr>
      </w:pPr>
      <w:r>
        <w:rPr>
          <w:rFonts w:ascii="Times New Roman" w:hAnsi="Times New Roman"/>
          <w:b/>
          <w:noProof/>
          <w:sz w:val="24"/>
          <w:u w:val="single"/>
        </w:rPr>
        <w:t>Cálculo del valor de referencia por Estado miembro</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El método de cálculo es el mismo que se utiliza para calcular el peso del total de Estados miembros nuevos, salvo por el hecho de que los Estados miembros nuevos no se comparan con los preexistentes, sino entre sí mismos.</w:t>
      </w:r>
    </w:p>
    <w:p>
      <w:pPr>
        <w:spacing w:before="120" w:after="240" w:line="240" w:lineRule="auto"/>
        <w:jc w:val="both"/>
        <w:rPr>
          <w:rFonts w:ascii="Times New Roman" w:eastAsia="Times New Roman" w:hAnsi="Times New Roman" w:cs="Times New Roman"/>
          <w:b/>
          <w:noProof/>
          <w:sz w:val="24"/>
          <w:szCs w:val="20"/>
          <w:u w:val="single"/>
        </w:rPr>
      </w:pPr>
      <w:r>
        <w:rPr>
          <w:rFonts w:ascii="Times New Roman" w:hAnsi="Times New Roman"/>
          <w:b/>
          <w:noProof/>
          <w:sz w:val="24"/>
          <w:u w:val="single"/>
        </w:rPr>
        <w:t>Aplicación práctica de la metodología</w:t>
      </w:r>
    </w:p>
    <w:tbl>
      <w:tblPr>
        <w:tblW w:w="79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1285"/>
        <w:gridCol w:w="1351"/>
        <w:gridCol w:w="1351"/>
      </w:tblGrid>
      <w:tr>
        <w:trPr>
          <w:trHeight w:val="900"/>
        </w:trPr>
        <w:tc>
          <w:tcPr>
            <w:tcW w:w="3984" w:type="dxa"/>
            <w:shd w:val="clear" w:color="auto" w:fill="auto"/>
            <w:noWrap/>
            <w:vAlign w:val="center"/>
            <w:hideMark/>
          </w:tcPr>
          <w:p>
            <w:pPr>
              <w:spacing w:after="0" w:line="240" w:lineRule="auto"/>
              <w:rPr>
                <w:rFonts w:eastAsia="Times New Roman" w:cs="Times New Roman"/>
                <w:noProof/>
                <w:color w:val="000000"/>
              </w:rPr>
            </w:pPr>
          </w:p>
        </w:tc>
        <w:tc>
          <w:tcPr>
            <w:tcW w:w="1329" w:type="dxa"/>
            <w:vAlign w:val="center"/>
          </w:tcPr>
          <w:p>
            <w:pPr>
              <w:spacing w:after="0" w:line="240" w:lineRule="auto"/>
              <w:jc w:val="center"/>
              <w:rPr>
                <w:rFonts w:eastAsia="Times New Roman" w:cs="Times New Roman"/>
                <w:noProof/>
                <w:color w:val="000000"/>
              </w:rPr>
            </w:pPr>
            <w:r>
              <w:rPr>
                <w:noProof/>
                <w:color w:val="000000"/>
              </w:rPr>
              <w:t>Valor de referencia indicativo</w:t>
            </w:r>
          </w:p>
        </w:tc>
        <w:tc>
          <w:tcPr>
            <w:tcW w:w="1329" w:type="dxa"/>
            <w:shd w:val="clear" w:color="auto" w:fill="auto"/>
            <w:vAlign w:val="center"/>
            <w:hideMark/>
          </w:tcPr>
          <w:p>
            <w:pPr>
              <w:spacing w:after="0" w:line="240" w:lineRule="auto"/>
              <w:jc w:val="center"/>
              <w:rPr>
                <w:rFonts w:eastAsia="Times New Roman" w:cs="Times New Roman"/>
                <w:noProof/>
                <w:color w:val="000000"/>
              </w:rPr>
            </w:pPr>
            <w:r>
              <w:rPr>
                <w:noProof/>
                <w:color w:val="000000"/>
              </w:rPr>
              <w:t>Objetivo de contratación AD</w:t>
            </w:r>
          </w:p>
        </w:tc>
        <w:tc>
          <w:tcPr>
            <w:tcW w:w="1329" w:type="dxa"/>
            <w:shd w:val="clear" w:color="auto" w:fill="auto"/>
            <w:vAlign w:val="center"/>
            <w:hideMark/>
          </w:tcPr>
          <w:p>
            <w:pPr>
              <w:spacing w:after="0" w:line="240" w:lineRule="auto"/>
              <w:jc w:val="center"/>
              <w:rPr>
                <w:rFonts w:eastAsia="Times New Roman" w:cs="Times New Roman"/>
                <w:noProof/>
                <w:color w:val="000000"/>
              </w:rPr>
            </w:pPr>
            <w:r>
              <w:rPr>
                <w:noProof/>
                <w:color w:val="000000"/>
              </w:rPr>
              <w:t>Objetivo de contratación AST</w:t>
            </w:r>
          </w:p>
        </w:tc>
      </w:tr>
      <w:tr>
        <w:trPr>
          <w:trHeight w:val="300"/>
        </w:trPr>
        <w:tc>
          <w:tcPr>
            <w:tcW w:w="3984" w:type="dxa"/>
            <w:shd w:val="clear" w:color="auto" w:fill="auto"/>
            <w:noWrap/>
            <w:vAlign w:val="center"/>
          </w:tcPr>
          <w:p>
            <w:pPr>
              <w:spacing w:after="0" w:line="240" w:lineRule="auto"/>
              <w:jc w:val="center"/>
              <w:rPr>
                <w:rFonts w:eastAsia="Times New Roman" w:cs="Times New Roman"/>
                <w:noProof/>
                <w:color w:val="000000"/>
              </w:rPr>
            </w:pPr>
            <w:r>
              <w:rPr>
                <w:noProof/>
                <w:color w:val="000000"/>
              </w:rPr>
              <w:t>Chequia</w:t>
            </w:r>
          </w:p>
        </w:tc>
        <w:tc>
          <w:tcPr>
            <w:tcW w:w="1329" w:type="dxa"/>
            <w:vAlign w:val="center"/>
          </w:tcPr>
          <w:p>
            <w:pPr>
              <w:spacing w:after="0" w:line="240" w:lineRule="auto"/>
              <w:jc w:val="center"/>
              <w:rPr>
                <w:rFonts w:eastAsia="Times New Roman" w:cs="Times New Roman"/>
                <w:noProof/>
                <w:color w:val="000000"/>
              </w:rPr>
            </w:pPr>
            <w:r>
              <w:rPr>
                <w:noProof/>
                <w:color w:val="000000"/>
              </w:rPr>
              <w:t>14,3 %</w:t>
            </w:r>
          </w:p>
        </w:tc>
        <w:tc>
          <w:tcPr>
            <w:tcW w:w="1329" w:type="dxa"/>
            <w:shd w:val="clear" w:color="auto" w:fill="auto"/>
            <w:noWrap/>
            <w:vAlign w:val="bottom"/>
          </w:tcPr>
          <w:p>
            <w:pPr>
              <w:spacing w:after="0" w:line="240" w:lineRule="auto"/>
              <w:jc w:val="center"/>
              <w:rPr>
                <w:rFonts w:eastAsia="Times New Roman" w:cs="Arial"/>
                <w:bCs/>
                <w:noProof/>
              </w:rPr>
            </w:pPr>
            <w:r>
              <w:rPr>
                <w:noProof/>
              </w:rPr>
              <w:t>318</w:t>
            </w:r>
          </w:p>
        </w:tc>
        <w:tc>
          <w:tcPr>
            <w:tcW w:w="1329" w:type="dxa"/>
            <w:shd w:val="clear" w:color="auto" w:fill="auto"/>
            <w:noWrap/>
            <w:vAlign w:val="bottom"/>
          </w:tcPr>
          <w:p>
            <w:pPr>
              <w:spacing w:after="0" w:line="240" w:lineRule="auto"/>
              <w:jc w:val="center"/>
              <w:rPr>
                <w:rFonts w:eastAsia="Times New Roman" w:cs="Arial"/>
                <w:bCs/>
                <w:noProof/>
              </w:rPr>
            </w:pPr>
            <w:r>
              <w:rPr>
                <w:noProof/>
              </w:rPr>
              <w:t>184</w:t>
            </w:r>
          </w:p>
        </w:tc>
      </w:tr>
      <w:tr>
        <w:trPr>
          <w:trHeight w:val="300"/>
        </w:trPr>
        <w:tc>
          <w:tcPr>
            <w:tcW w:w="3984" w:type="dxa"/>
            <w:shd w:val="clear" w:color="auto" w:fill="auto"/>
            <w:noWrap/>
            <w:vAlign w:val="center"/>
          </w:tcPr>
          <w:p>
            <w:pPr>
              <w:spacing w:after="0" w:line="240" w:lineRule="auto"/>
              <w:jc w:val="center"/>
              <w:rPr>
                <w:rFonts w:eastAsia="Times New Roman" w:cs="Times New Roman"/>
                <w:noProof/>
                <w:color w:val="000000"/>
              </w:rPr>
            </w:pPr>
            <w:r>
              <w:rPr>
                <w:noProof/>
                <w:color w:val="000000"/>
              </w:rPr>
              <w:t>Estonia</w:t>
            </w:r>
          </w:p>
        </w:tc>
        <w:tc>
          <w:tcPr>
            <w:tcW w:w="1329" w:type="dxa"/>
            <w:vAlign w:val="center"/>
          </w:tcPr>
          <w:p>
            <w:pPr>
              <w:spacing w:after="0" w:line="240" w:lineRule="auto"/>
              <w:jc w:val="center"/>
              <w:rPr>
                <w:rFonts w:eastAsia="Times New Roman" w:cs="Times New Roman"/>
                <w:noProof/>
                <w:color w:val="000000"/>
              </w:rPr>
            </w:pPr>
            <w:r>
              <w:rPr>
                <w:noProof/>
                <w:color w:val="000000"/>
              </w:rPr>
              <w:t>3,4 %</w:t>
            </w:r>
          </w:p>
        </w:tc>
        <w:tc>
          <w:tcPr>
            <w:tcW w:w="1329" w:type="dxa"/>
            <w:shd w:val="clear" w:color="auto" w:fill="auto"/>
            <w:noWrap/>
            <w:vAlign w:val="bottom"/>
          </w:tcPr>
          <w:p>
            <w:pPr>
              <w:spacing w:after="0" w:line="240" w:lineRule="auto"/>
              <w:jc w:val="center"/>
              <w:rPr>
                <w:rFonts w:eastAsia="Times New Roman" w:cs="Arial"/>
                <w:bCs/>
                <w:noProof/>
              </w:rPr>
            </w:pPr>
            <w:r>
              <w:rPr>
                <w:noProof/>
              </w:rPr>
              <w:t>76</w:t>
            </w:r>
          </w:p>
        </w:tc>
        <w:tc>
          <w:tcPr>
            <w:tcW w:w="1329" w:type="dxa"/>
            <w:shd w:val="clear" w:color="auto" w:fill="auto"/>
            <w:noWrap/>
            <w:vAlign w:val="bottom"/>
          </w:tcPr>
          <w:p>
            <w:pPr>
              <w:spacing w:after="0" w:line="240" w:lineRule="auto"/>
              <w:jc w:val="center"/>
              <w:rPr>
                <w:rFonts w:eastAsia="Times New Roman" w:cs="Arial"/>
                <w:bCs/>
                <w:noProof/>
              </w:rPr>
            </w:pPr>
            <w:r>
              <w:rPr>
                <w:noProof/>
              </w:rPr>
              <w:t>44</w:t>
            </w:r>
          </w:p>
        </w:tc>
      </w:tr>
      <w:tr>
        <w:trPr>
          <w:trHeight w:val="300"/>
        </w:trPr>
        <w:tc>
          <w:tcPr>
            <w:tcW w:w="3984" w:type="dxa"/>
            <w:shd w:val="clear" w:color="auto" w:fill="auto"/>
            <w:noWrap/>
            <w:vAlign w:val="center"/>
          </w:tcPr>
          <w:p>
            <w:pPr>
              <w:spacing w:after="0" w:line="240" w:lineRule="auto"/>
              <w:jc w:val="center"/>
              <w:rPr>
                <w:rFonts w:eastAsia="Times New Roman" w:cs="Times New Roman"/>
                <w:noProof/>
                <w:color w:val="000000"/>
              </w:rPr>
            </w:pPr>
            <w:r>
              <w:rPr>
                <w:noProof/>
                <w:color w:val="000000"/>
              </w:rPr>
              <w:t>Chipre</w:t>
            </w:r>
          </w:p>
        </w:tc>
        <w:tc>
          <w:tcPr>
            <w:tcW w:w="1329" w:type="dxa"/>
            <w:vAlign w:val="center"/>
          </w:tcPr>
          <w:p>
            <w:pPr>
              <w:spacing w:after="0" w:line="240" w:lineRule="auto"/>
              <w:jc w:val="center"/>
              <w:rPr>
                <w:rFonts w:eastAsia="Times New Roman" w:cs="Times New Roman"/>
                <w:noProof/>
                <w:color w:val="000000"/>
              </w:rPr>
            </w:pPr>
            <w:r>
              <w:rPr>
                <w:noProof/>
                <w:color w:val="000000"/>
              </w:rPr>
              <w:t>3,2 %</w:t>
            </w:r>
          </w:p>
        </w:tc>
        <w:tc>
          <w:tcPr>
            <w:tcW w:w="1329" w:type="dxa"/>
            <w:shd w:val="clear" w:color="auto" w:fill="auto"/>
            <w:noWrap/>
            <w:vAlign w:val="bottom"/>
          </w:tcPr>
          <w:p>
            <w:pPr>
              <w:spacing w:after="0" w:line="240" w:lineRule="auto"/>
              <w:jc w:val="center"/>
              <w:rPr>
                <w:rFonts w:eastAsia="Times New Roman" w:cs="Arial"/>
                <w:bCs/>
                <w:noProof/>
              </w:rPr>
            </w:pPr>
            <w:r>
              <w:rPr>
                <w:noProof/>
              </w:rPr>
              <w:t>71</w:t>
            </w:r>
          </w:p>
        </w:tc>
        <w:tc>
          <w:tcPr>
            <w:tcW w:w="1329" w:type="dxa"/>
            <w:shd w:val="clear" w:color="auto" w:fill="auto"/>
            <w:noWrap/>
            <w:vAlign w:val="bottom"/>
          </w:tcPr>
          <w:p>
            <w:pPr>
              <w:spacing w:after="0" w:line="240" w:lineRule="auto"/>
              <w:jc w:val="center"/>
              <w:rPr>
                <w:rFonts w:eastAsia="Times New Roman" w:cs="Arial"/>
                <w:bCs/>
                <w:noProof/>
              </w:rPr>
            </w:pPr>
            <w:r>
              <w:rPr>
                <w:noProof/>
              </w:rPr>
              <w:t>41</w:t>
            </w:r>
          </w:p>
        </w:tc>
      </w:tr>
      <w:tr>
        <w:trPr>
          <w:trHeight w:val="300"/>
        </w:trPr>
        <w:tc>
          <w:tcPr>
            <w:tcW w:w="3984" w:type="dxa"/>
            <w:shd w:val="clear" w:color="auto" w:fill="auto"/>
            <w:noWrap/>
            <w:vAlign w:val="center"/>
          </w:tcPr>
          <w:p>
            <w:pPr>
              <w:spacing w:after="0" w:line="240" w:lineRule="auto"/>
              <w:jc w:val="center"/>
              <w:rPr>
                <w:rFonts w:eastAsia="Times New Roman" w:cs="Times New Roman"/>
                <w:noProof/>
                <w:color w:val="000000"/>
              </w:rPr>
            </w:pPr>
            <w:r>
              <w:rPr>
                <w:noProof/>
                <w:color w:val="000000"/>
              </w:rPr>
              <w:t>Letonia</w:t>
            </w:r>
          </w:p>
        </w:tc>
        <w:tc>
          <w:tcPr>
            <w:tcW w:w="1329" w:type="dxa"/>
            <w:vAlign w:val="center"/>
          </w:tcPr>
          <w:p>
            <w:pPr>
              <w:spacing w:after="0" w:line="240" w:lineRule="auto"/>
              <w:jc w:val="center"/>
              <w:rPr>
                <w:rFonts w:eastAsia="Times New Roman" w:cs="Times New Roman"/>
                <w:noProof/>
                <w:color w:val="000000"/>
              </w:rPr>
            </w:pPr>
            <w:r>
              <w:rPr>
                <w:noProof/>
                <w:color w:val="000000"/>
              </w:rPr>
              <w:t>4,5 %</w:t>
            </w:r>
          </w:p>
        </w:tc>
        <w:tc>
          <w:tcPr>
            <w:tcW w:w="1329" w:type="dxa"/>
            <w:shd w:val="clear" w:color="auto" w:fill="auto"/>
            <w:noWrap/>
            <w:vAlign w:val="bottom"/>
          </w:tcPr>
          <w:p>
            <w:pPr>
              <w:spacing w:after="0" w:line="240" w:lineRule="auto"/>
              <w:jc w:val="center"/>
              <w:rPr>
                <w:rFonts w:eastAsia="Times New Roman" w:cs="Arial"/>
                <w:bCs/>
                <w:noProof/>
              </w:rPr>
            </w:pPr>
            <w:r>
              <w:rPr>
                <w:noProof/>
              </w:rPr>
              <w:t>100</w:t>
            </w:r>
          </w:p>
        </w:tc>
        <w:tc>
          <w:tcPr>
            <w:tcW w:w="1329" w:type="dxa"/>
            <w:shd w:val="clear" w:color="auto" w:fill="auto"/>
            <w:noWrap/>
            <w:vAlign w:val="bottom"/>
          </w:tcPr>
          <w:p>
            <w:pPr>
              <w:spacing w:after="0" w:line="240" w:lineRule="auto"/>
              <w:jc w:val="center"/>
              <w:rPr>
                <w:rFonts w:eastAsia="Times New Roman" w:cs="Arial"/>
                <w:bCs/>
                <w:noProof/>
              </w:rPr>
            </w:pPr>
            <w:r>
              <w:rPr>
                <w:noProof/>
              </w:rPr>
              <w:t>58</w:t>
            </w:r>
          </w:p>
        </w:tc>
      </w:tr>
      <w:tr>
        <w:trPr>
          <w:trHeight w:val="300"/>
        </w:trPr>
        <w:tc>
          <w:tcPr>
            <w:tcW w:w="3984" w:type="dxa"/>
            <w:shd w:val="clear" w:color="auto" w:fill="auto"/>
            <w:noWrap/>
            <w:vAlign w:val="center"/>
          </w:tcPr>
          <w:p>
            <w:pPr>
              <w:spacing w:after="0" w:line="240" w:lineRule="auto"/>
              <w:jc w:val="center"/>
              <w:rPr>
                <w:rFonts w:eastAsia="Times New Roman" w:cs="Times New Roman"/>
                <w:noProof/>
                <w:color w:val="000000"/>
              </w:rPr>
            </w:pPr>
            <w:r>
              <w:rPr>
                <w:noProof/>
                <w:color w:val="000000"/>
              </w:rPr>
              <w:t>Lituania</w:t>
            </w:r>
          </w:p>
        </w:tc>
        <w:tc>
          <w:tcPr>
            <w:tcW w:w="1329" w:type="dxa"/>
            <w:vAlign w:val="center"/>
          </w:tcPr>
          <w:p>
            <w:pPr>
              <w:spacing w:after="0" w:line="240" w:lineRule="auto"/>
              <w:jc w:val="center"/>
              <w:rPr>
                <w:rFonts w:eastAsia="Times New Roman" w:cs="Times New Roman"/>
                <w:noProof/>
                <w:color w:val="000000"/>
              </w:rPr>
            </w:pPr>
            <w:r>
              <w:rPr>
                <w:noProof/>
                <w:color w:val="000000"/>
              </w:rPr>
              <w:t>7,0 %</w:t>
            </w:r>
          </w:p>
        </w:tc>
        <w:tc>
          <w:tcPr>
            <w:tcW w:w="1329" w:type="dxa"/>
            <w:shd w:val="clear" w:color="auto" w:fill="auto"/>
            <w:noWrap/>
            <w:vAlign w:val="bottom"/>
          </w:tcPr>
          <w:p>
            <w:pPr>
              <w:spacing w:after="0" w:line="240" w:lineRule="auto"/>
              <w:jc w:val="center"/>
              <w:rPr>
                <w:rFonts w:eastAsia="Times New Roman" w:cs="Arial"/>
                <w:bCs/>
                <w:noProof/>
              </w:rPr>
            </w:pPr>
            <w:r>
              <w:rPr>
                <w:noProof/>
              </w:rPr>
              <w:t>156</w:t>
            </w:r>
          </w:p>
        </w:tc>
        <w:tc>
          <w:tcPr>
            <w:tcW w:w="1329" w:type="dxa"/>
            <w:shd w:val="clear" w:color="auto" w:fill="auto"/>
            <w:noWrap/>
            <w:vAlign w:val="bottom"/>
          </w:tcPr>
          <w:p>
            <w:pPr>
              <w:spacing w:after="0" w:line="240" w:lineRule="auto"/>
              <w:jc w:val="center"/>
              <w:rPr>
                <w:rFonts w:eastAsia="Times New Roman" w:cs="Arial"/>
                <w:bCs/>
                <w:noProof/>
              </w:rPr>
            </w:pPr>
            <w:r>
              <w:rPr>
                <w:noProof/>
              </w:rPr>
              <w:t>90</w:t>
            </w:r>
          </w:p>
        </w:tc>
      </w:tr>
      <w:tr>
        <w:trPr>
          <w:trHeight w:val="300"/>
        </w:trPr>
        <w:tc>
          <w:tcPr>
            <w:tcW w:w="3984" w:type="dxa"/>
            <w:shd w:val="clear" w:color="auto" w:fill="auto"/>
            <w:noWrap/>
            <w:vAlign w:val="center"/>
          </w:tcPr>
          <w:p>
            <w:pPr>
              <w:spacing w:after="0" w:line="240" w:lineRule="auto"/>
              <w:jc w:val="center"/>
              <w:rPr>
                <w:rFonts w:eastAsia="Times New Roman" w:cs="Times New Roman"/>
                <w:noProof/>
                <w:color w:val="000000"/>
              </w:rPr>
            </w:pPr>
            <w:r>
              <w:rPr>
                <w:noProof/>
                <w:color w:val="000000"/>
              </w:rPr>
              <w:t>Hungría</w:t>
            </w:r>
          </w:p>
        </w:tc>
        <w:tc>
          <w:tcPr>
            <w:tcW w:w="1329" w:type="dxa"/>
            <w:vAlign w:val="center"/>
          </w:tcPr>
          <w:p>
            <w:pPr>
              <w:spacing w:after="0" w:line="240" w:lineRule="auto"/>
              <w:jc w:val="center"/>
              <w:rPr>
                <w:rFonts w:eastAsia="Times New Roman" w:cs="Times New Roman"/>
                <w:noProof/>
                <w:color w:val="000000"/>
              </w:rPr>
            </w:pPr>
            <w:r>
              <w:rPr>
                <w:noProof/>
                <w:color w:val="000000"/>
              </w:rPr>
              <w:t>14,2 %</w:t>
            </w:r>
          </w:p>
        </w:tc>
        <w:tc>
          <w:tcPr>
            <w:tcW w:w="1329" w:type="dxa"/>
            <w:shd w:val="clear" w:color="auto" w:fill="auto"/>
            <w:noWrap/>
            <w:vAlign w:val="bottom"/>
          </w:tcPr>
          <w:p>
            <w:pPr>
              <w:spacing w:after="0" w:line="240" w:lineRule="auto"/>
              <w:jc w:val="center"/>
              <w:rPr>
                <w:rFonts w:eastAsia="Times New Roman" w:cs="Arial"/>
                <w:bCs/>
                <w:noProof/>
              </w:rPr>
            </w:pPr>
            <w:r>
              <w:rPr>
                <w:noProof/>
              </w:rPr>
              <w:t>316</w:t>
            </w:r>
          </w:p>
        </w:tc>
        <w:tc>
          <w:tcPr>
            <w:tcW w:w="1329" w:type="dxa"/>
            <w:shd w:val="clear" w:color="auto" w:fill="auto"/>
            <w:noWrap/>
            <w:vAlign w:val="bottom"/>
          </w:tcPr>
          <w:p>
            <w:pPr>
              <w:spacing w:after="0" w:line="240" w:lineRule="auto"/>
              <w:jc w:val="center"/>
              <w:rPr>
                <w:rFonts w:eastAsia="Times New Roman" w:cs="Arial"/>
                <w:bCs/>
                <w:noProof/>
              </w:rPr>
            </w:pPr>
            <w:r>
              <w:rPr>
                <w:noProof/>
              </w:rPr>
              <w:t>182</w:t>
            </w:r>
          </w:p>
        </w:tc>
      </w:tr>
      <w:tr>
        <w:trPr>
          <w:trHeight w:val="300"/>
        </w:trPr>
        <w:tc>
          <w:tcPr>
            <w:tcW w:w="3984" w:type="dxa"/>
            <w:shd w:val="clear" w:color="auto" w:fill="auto"/>
            <w:noWrap/>
            <w:vAlign w:val="center"/>
          </w:tcPr>
          <w:p>
            <w:pPr>
              <w:spacing w:after="0" w:line="240" w:lineRule="auto"/>
              <w:jc w:val="center"/>
              <w:rPr>
                <w:rFonts w:eastAsia="Times New Roman" w:cs="Times New Roman"/>
                <w:noProof/>
                <w:color w:val="000000"/>
              </w:rPr>
            </w:pPr>
            <w:r>
              <w:rPr>
                <w:noProof/>
                <w:color w:val="000000"/>
              </w:rPr>
              <w:t>Malta</w:t>
            </w:r>
          </w:p>
        </w:tc>
        <w:tc>
          <w:tcPr>
            <w:tcW w:w="1329" w:type="dxa"/>
            <w:vAlign w:val="center"/>
          </w:tcPr>
          <w:p>
            <w:pPr>
              <w:spacing w:after="0" w:line="240" w:lineRule="auto"/>
              <w:jc w:val="center"/>
              <w:rPr>
                <w:rFonts w:eastAsia="Times New Roman" w:cs="Times New Roman"/>
                <w:noProof/>
                <w:color w:val="000000"/>
              </w:rPr>
            </w:pPr>
            <w:r>
              <w:rPr>
                <w:noProof/>
                <w:color w:val="000000"/>
              </w:rPr>
              <w:t>2,4 %</w:t>
            </w:r>
          </w:p>
        </w:tc>
        <w:tc>
          <w:tcPr>
            <w:tcW w:w="1329" w:type="dxa"/>
            <w:shd w:val="clear" w:color="auto" w:fill="auto"/>
            <w:noWrap/>
            <w:vAlign w:val="bottom"/>
          </w:tcPr>
          <w:p>
            <w:pPr>
              <w:spacing w:after="0" w:line="240" w:lineRule="auto"/>
              <w:jc w:val="center"/>
              <w:rPr>
                <w:rFonts w:eastAsia="Times New Roman" w:cs="Arial"/>
                <w:bCs/>
                <w:noProof/>
              </w:rPr>
            </w:pPr>
            <w:r>
              <w:rPr>
                <w:noProof/>
              </w:rPr>
              <w:t>53</w:t>
            </w:r>
          </w:p>
        </w:tc>
        <w:tc>
          <w:tcPr>
            <w:tcW w:w="1329" w:type="dxa"/>
            <w:shd w:val="clear" w:color="auto" w:fill="auto"/>
            <w:noWrap/>
            <w:vAlign w:val="bottom"/>
          </w:tcPr>
          <w:p>
            <w:pPr>
              <w:spacing w:after="0" w:line="240" w:lineRule="auto"/>
              <w:jc w:val="center"/>
              <w:rPr>
                <w:rFonts w:eastAsia="Times New Roman" w:cs="Arial"/>
                <w:bCs/>
                <w:noProof/>
              </w:rPr>
            </w:pPr>
            <w:r>
              <w:rPr>
                <w:noProof/>
              </w:rPr>
              <w:t>31</w:t>
            </w:r>
          </w:p>
        </w:tc>
      </w:tr>
      <w:tr>
        <w:trPr>
          <w:trHeight w:val="300"/>
        </w:trPr>
        <w:tc>
          <w:tcPr>
            <w:tcW w:w="3984" w:type="dxa"/>
            <w:shd w:val="clear" w:color="auto" w:fill="auto"/>
            <w:noWrap/>
            <w:vAlign w:val="center"/>
          </w:tcPr>
          <w:p>
            <w:pPr>
              <w:spacing w:after="0" w:line="240" w:lineRule="auto"/>
              <w:jc w:val="center"/>
              <w:rPr>
                <w:rFonts w:eastAsia="Times New Roman" w:cs="Times New Roman"/>
                <w:noProof/>
                <w:color w:val="000000"/>
              </w:rPr>
            </w:pPr>
            <w:r>
              <w:rPr>
                <w:noProof/>
                <w:color w:val="000000"/>
              </w:rPr>
              <w:t>Polonia</w:t>
            </w:r>
          </w:p>
        </w:tc>
        <w:tc>
          <w:tcPr>
            <w:tcW w:w="1329" w:type="dxa"/>
            <w:vAlign w:val="center"/>
          </w:tcPr>
          <w:p>
            <w:pPr>
              <w:spacing w:after="0" w:line="240" w:lineRule="auto"/>
              <w:jc w:val="center"/>
              <w:rPr>
                <w:rFonts w:eastAsia="Times New Roman" w:cs="Times New Roman"/>
                <w:noProof/>
                <w:color w:val="000000"/>
              </w:rPr>
            </w:pPr>
            <w:r>
              <w:rPr>
                <w:noProof/>
                <w:color w:val="000000"/>
              </w:rPr>
              <w:t>39,0 %</w:t>
            </w:r>
          </w:p>
        </w:tc>
        <w:tc>
          <w:tcPr>
            <w:tcW w:w="1329" w:type="dxa"/>
            <w:shd w:val="clear" w:color="auto" w:fill="auto"/>
            <w:noWrap/>
            <w:vAlign w:val="bottom"/>
          </w:tcPr>
          <w:p>
            <w:pPr>
              <w:spacing w:after="0" w:line="240" w:lineRule="auto"/>
              <w:jc w:val="center"/>
              <w:rPr>
                <w:rFonts w:eastAsia="Times New Roman" w:cs="Arial"/>
                <w:bCs/>
                <w:noProof/>
              </w:rPr>
            </w:pPr>
            <w:r>
              <w:rPr>
                <w:noProof/>
              </w:rPr>
              <w:t>867</w:t>
            </w:r>
          </w:p>
        </w:tc>
        <w:tc>
          <w:tcPr>
            <w:tcW w:w="1329" w:type="dxa"/>
            <w:shd w:val="clear" w:color="auto" w:fill="auto"/>
            <w:noWrap/>
            <w:vAlign w:val="bottom"/>
          </w:tcPr>
          <w:p>
            <w:pPr>
              <w:spacing w:after="0" w:line="240" w:lineRule="auto"/>
              <w:jc w:val="center"/>
              <w:rPr>
                <w:rFonts w:eastAsia="Times New Roman" w:cs="Arial"/>
                <w:bCs/>
                <w:noProof/>
              </w:rPr>
            </w:pPr>
            <w:r>
              <w:rPr>
                <w:noProof/>
              </w:rPr>
              <w:t>501</w:t>
            </w:r>
          </w:p>
        </w:tc>
      </w:tr>
      <w:tr>
        <w:trPr>
          <w:trHeight w:val="300"/>
        </w:trPr>
        <w:tc>
          <w:tcPr>
            <w:tcW w:w="3984" w:type="dxa"/>
            <w:shd w:val="clear" w:color="auto" w:fill="auto"/>
            <w:noWrap/>
            <w:vAlign w:val="center"/>
          </w:tcPr>
          <w:p>
            <w:pPr>
              <w:spacing w:after="0" w:line="240" w:lineRule="auto"/>
              <w:jc w:val="center"/>
              <w:rPr>
                <w:rFonts w:eastAsia="Times New Roman" w:cs="Times New Roman"/>
                <w:noProof/>
                <w:color w:val="000000"/>
              </w:rPr>
            </w:pPr>
            <w:r>
              <w:rPr>
                <w:noProof/>
                <w:color w:val="000000"/>
              </w:rPr>
              <w:t>Eslovenia</w:t>
            </w:r>
          </w:p>
        </w:tc>
        <w:tc>
          <w:tcPr>
            <w:tcW w:w="1329" w:type="dxa"/>
            <w:vAlign w:val="center"/>
          </w:tcPr>
          <w:p>
            <w:pPr>
              <w:spacing w:after="0" w:line="240" w:lineRule="auto"/>
              <w:jc w:val="center"/>
              <w:rPr>
                <w:rFonts w:eastAsia="Times New Roman" w:cs="Times New Roman"/>
                <w:noProof/>
                <w:color w:val="000000"/>
              </w:rPr>
            </w:pPr>
            <w:r>
              <w:rPr>
                <w:noProof/>
                <w:color w:val="000000"/>
              </w:rPr>
              <w:t>3,9 %</w:t>
            </w:r>
          </w:p>
        </w:tc>
        <w:tc>
          <w:tcPr>
            <w:tcW w:w="1329" w:type="dxa"/>
            <w:shd w:val="clear" w:color="auto" w:fill="auto"/>
            <w:noWrap/>
            <w:vAlign w:val="bottom"/>
          </w:tcPr>
          <w:p>
            <w:pPr>
              <w:spacing w:after="0" w:line="240" w:lineRule="auto"/>
              <w:jc w:val="center"/>
              <w:rPr>
                <w:rFonts w:eastAsia="Times New Roman" w:cs="Arial"/>
                <w:bCs/>
                <w:noProof/>
              </w:rPr>
            </w:pPr>
            <w:r>
              <w:rPr>
                <w:noProof/>
              </w:rPr>
              <w:t>87</w:t>
            </w:r>
          </w:p>
        </w:tc>
        <w:tc>
          <w:tcPr>
            <w:tcW w:w="1329" w:type="dxa"/>
            <w:shd w:val="clear" w:color="auto" w:fill="auto"/>
            <w:noWrap/>
            <w:vAlign w:val="bottom"/>
          </w:tcPr>
          <w:p>
            <w:pPr>
              <w:spacing w:after="0" w:line="240" w:lineRule="auto"/>
              <w:jc w:val="center"/>
              <w:rPr>
                <w:rFonts w:eastAsia="Times New Roman" w:cs="Arial"/>
                <w:bCs/>
                <w:noProof/>
              </w:rPr>
            </w:pPr>
            <w:r>
              <w:rPr>
                <w:noProof/>
              </w:rPr>
              <w:t>50</w:t>
            </w:r>
          </w:p>
        </w:tc>
      </w:tr>
      <w:tr>
        <w:trPr>
          <w:trHeight w:val="300"/>
        </w:trPr>
        <w:tc>
          <w:tcPr>
            <w:tcW w:w="3984" w:type="dxa"/>
            <w:shd w:val="clear" w:color="auto" w:fill="auto"/>
            <w:noWrap/>
            <w:vAlign w:val="center"/>
          </w:tcPr>
          <w:p>
            <w:pPr>
              <w:spacing w:after="0" w:line="240" w:lineRule="auto"/>
              <w:jc w:val="center"/>
              <w:rPr>
                <w:rFonts w:eastAsia="Times New Roman" w:cs="Times New Roman"/>
                <w:noProof/>
                <w:color w:val="000000"/>
              </w:rPr>
            </w:pPr>
            <w:r>
              <w:rPr>
                <w:noProof/>
                <w:color w:val="000000"/>
              </w:rPr>
              <w:t>Eslovaquia</w:t>
            </w:r>
          </w:p>
        </w:tc>
        <w:tc>
          <w:tcPr>
            <w:tcW w:w="1329" w:type="dxa"/>
            <w:vAlign w:val="center"/>
          </w:tcPr>
          <w:p>
            <w:pPr>
              <w:spacing w:after="0" w:line="240" w:lineRule="auto"/>
              <w:jc w:val="center"/>
              <w:rPr>
                <w:rFonts w:eastAsia="Times New Roman" w:cs="Times New Roman"/>
                <w:noProof/>
                <w:color w:val="000000"/>
              </w:rPr>
            </w:pPr>
            <w:r>
              <w:rPr>
                <w:noProof/>
                <w:color w:val="000000"/>
              </w:rPr>
              <w:t>8,1 %</w:t>
            </w:r>
          </w:p>
        </w:tc>
        <w:tc>
          <w:tcPr>
            <w:tcW w:w="1329" w:type="dxa"/>
            <w:shd w:val="clear" w:color="auto" w:fill="auto"/>
            <w:noWrap/>
            <w:vAlign w:val="bottom"/>
          </w:tcPr>
          <w:p>
            <w:pPr>
              <w:spacing w:after="0" w:line="240" w:lineRule="auto"/>
              <w:jc w:val="center"/>
              <w:rPr>
                <w:rFonts w:eastAsia="Times New Roman" w:cs="Arial"/>
                <w:bCs/>
                <w:noProof/>
              </w:rPr>
            </w:pPr>
            <w:r>
              <w:rPr>
                <w:noProof/>
              </w:rPr>
              <w:t>180</w:t>
            </w:r>
          </w:p>
        </w:tc>
        <w:tc>
          <w:tcPr>
            <w:tcW w:w="1329" w:type="dxa"/>
            <w:shd w:val="clear" w:color="auto" w:fill="auto"/>
            <w:noWrap/>
            <w:vAlign w:val="bottom"/>
          </w:tcPr>
          <w:p>
            <w:pPr>
              <w:spacing w:after="0" w:line="240" w:lineRule="auto"/>
              <w:jc w:val="center"/>
              <w:rPr>
                <w:rFonts w:eastAsia="Times New Roman" w:cs="Arial"/>
                <w:bCs/>
                <w:noProof/>
              </w:rPr>
            </w:pPr>
            <w:r>
              <w:rPr>
                <w:noProof/>
              </w:rPr>
              <w:t>104</w:t>
            </w:r>
          </w:p>
        </w:tc>
      </w:tr>
      <w:tr>
        <w:trPr>
          <w:trHeight w:val="300"/>
        </w:trPr>
        <w:tc>
          <w:tcPr>
            <w:tcW w:w="3984" w:type="dxa"/>
            <w:tcBorders>
              <w:bottom w:val="single" w:sz="4" w:space="0" w:color="auto"/>
            </w:tcBorders>
            <w:shd w:val="clear" w:color="auto" w:fill="auto"/>
            <w:noWrap/>
            <w:vAlign w:val="center"/>
          </w:tcPr>
          <w:p>
            <w:pPr>
              <w:spacing w:after="0" w:line="240" w:lineRule="auto"/>
              <w:jc w:val="center"/>
              <w:rPr>
                <w:rFonts w:eastAsia="Times New Roman" w:cs="Times New Roman"/>
                <w:b/>
                <w:noProof/>
                <w:color w:val="000000"/>
              </w:rPr>
            </w:pPr>
            <w:r>
              <w:rPr>
                <w:b/>
                <w:noProof/>
                <w:color w:val="000000"/>
              </w:rPr>
              <w:t>EU-10 1)</w:t>
            </w:r>
          </w:p>
        </w:tc>
        <w:tc>
          <w:tcPr>
            <w:tcW w:w="1329" w:type="dxa"/>
            <w:vAlign w:val="center"/>
          </w:tcPr>
          <w:p>
            <w:pPr>
              <w:spacing w:after="0" w:line="240" w:lineRule="auto"/>
              <w:jc w:val="center"/>
              <w:rPr>
                <w:rFonts w:eastAsia="Times New Roman" w:cs="Times New Roman"/>
                <w:b/>
                <w:noProof/>
                <w:color w:val="000000"/>
              </w:rPr>
            </w:pPr>
            <w:r>
              <w:rPr>
                <w:b/>
                <w:noProof/>
                <w:color w:val="000000"/>
              </w:rPr>
              <w:t>100,0 %</w:t>
            </w:r>
          </w:p>
        </w:tc>
        <w:tc>
          <w:tcPr>
            <w:tcW w:w="1329" w:type="dxa"/>
            <w:tcBorders>
              <w:bottom w:val="single" w:sz="4" w:space="0" w:color="auto"/>
            </w:tcBorders>
            <w:shd w:val="clear" w:color="auto" w:fill="auto"/>
            <w:noWrap/>
            <w:vAlign w:val="bottom"/>
          </w:tcPr>
          <w:p>
            <w:pPr>
              <w:spacing w:after="0" w:line="240" w:lineRule="auto"/>
              <w:jc w:val="center"/>
              <w:rPr>
                <w:rFonts w:eastAsia="Times New Roman" w:cs="Arial"/>
                <w:b/>
                <w:bCs/>
                <w:noProof/>
              </w:rPr>
            </w:pPr>
            <w:r>
              <w:rPr>
                <w:b/>
                <w:noProof/>
              </w:rPr>
              <w:t>2224</w:t>
            </w:r>
          </w:p>
        </w:tc>
        <w:tc>
          <w:tcPr>
            <w:tcW w:w="1329" w:type="dxa"/>
            <w:tcBorders>
              <w:bottom w:val="single" w:sz="4" w:space="0" w:color="auto"/>
            </w:tcBorders>
            <w:shd w:val="clear" w:color="auto" w:fill="auto"/>
            <w:noWrap/>
            <w:vAlign w:val="bottom"/>
          </w:tcPr>
          <w:p>
            <w:pPr>
              <w:spacing w:after="0" w:line="240" w:lineRule="auto"/>
              <w:jc w:val="center"/>
              <w:rPr>
                <w:rFonts w:eastAsia="Times New Roman" w:cs="Arial"/>
                <w:b/>
                <w:bCs/>
                <w:noProof/>
              </w:rPr>
            </w:pPr>
            <w:r>
              <w:rPr>
                <w:b/>
                <w:noProof/>
              </w:rPr>
              <w:t>1284</w:t>
            </w:r>
          </w:p>
        </w:tc>
      </w:tr>
      <w:tr>
        <w:trPr>
          <w:trHeight w:val="300"/>
        </w:trPr>
        <w:tc>
          <w:tcPr>
            <w:tcW w:w="3984" w:type="dxa"/>
            <w:tcBorders>
              <w:left w:val="nil"/>
              <w:right w:val="nil"/>
            </w:tcBorders>
            <w:shd w:val="clear" w:color="auto" w:fill="auto"/>
            <w:noWrap/>
            <w:vAlign w:val="center"/>
          </w:tcPr>
          <w:p>
            <w:pPr>
              <w:spacing w:after="0" w:line="240" w:lineRule="auto"/>
              <w:jc w:val="center"/>
              <w:rPr>
                <w:rFonts w:eastAsia="Times New Roman" w:cs="Times New Roman"/>
                <w:noProof/>
                <w:color w:val="000000"/>
              </w:rPr>
            </w:pPr>
          </w:p>
        </w:tc>
        <w:tc>
          <w:tcPr>
            <w:tcW w:w="1329" w:type="dxa"/>
            <w:tcBorders>
              <w:left w:val="nil"/>
              <w:right w:val="nil"/>
            </w:tcBorders>
          </w:tcPr>
          <w:p>
            <w:pPr>
              <w:spacing w:after="0" w:line="240" w:lineRule="auto"/>
              <w:jc w:val="center"/>
              <w:rPr>
                <w:rFonts w:eastAsia="Times New Roman" w:cs="Times New Roman"/>
                <w:noProof/>
                <w:color w:val="000000"/>
              </w:rPr>
            </w:pPr>
          </w:p>
        </w:tc>
        <w:tc>
          <w:tcPr>
            <w:tcW w:w="1329" w:type="dxa"/>
            <w:tcBorders>
              <w:left w:val="nil"/>
              <w:right w:val="nil"/>
            </w:tcBorders>
            <w:shd w:val="clear" w:color="auto" w:fill="auto"/>
            <w:noWrap/>
            <w:vAlign w:val="center"/>
          </w:tcPr>
          <w:p>
            <w:pPr>
              <w:spacing w:after="0" w:line="240" w:lineRule="auto"/>
              <w:jc w:val="center"/>
              <w:rPr>
                <w:rFonts w:eastAsia="Times New Roman" w:cs="Times New Roman"/>
                <w:noProof/>
                <w:color w:val="000000"/>
              </w:rPr>
            </w:pPr>
          </w:p>
        </w:tc>
        <w:tc>
          <w:tcPr>
            <w:tcW w:w="1329" w:type="dxa"/>
            <w:tcBorders>
              <w:left w:val="nil"/>
              <w:right w:val="nil"/>
            </w:tcBorders>
            <w:shd w:val="clear" w:color="auto" w:fill="auto"/>
            <w:noWrap/>
            <w:vAlign w:val="center"/>
          </w:tcPr>
          <w:p>
            <w:pPr>
              <w:spacing w:after="0" w:line="240" w:lineRule="auto"/>
              <w:jc w:val="center"/>
              <w:rPr>
                <w:rFonts w:eastAsia="Times New Roman" w:cs="Times New Roman"/>
                <w:noProof/>
                <w:color w:val="000000"/>
              </w:rPr>
            </w:pPr>
          </w:p>
        </w:tc>
      </w:tr>
      <w:tr>
        <w:trPr>
          <w:trHeight w:val="300"/>
        </w:trPr>
        <w:tc>
          <w:tcPr>
            <w:tcW w:w="3984" w:type="dxa"/>
            <w:shd w:val="clear" w:color="auto" w:fill="auto"/>
            <w:noWrap/>
            <w:vAlign w:val="center"/>
          </w:tcPr>
          <w:p>
            <w:pPr>
              <w:spacing w:after="0" w:line="240" w:lineRule="auto"/>
              <w:jc w:val="center"/>
              <w:rPr>
                <w:rFonts w:eastAsia="Times New Roman" w:cs="Times New Roman"/>
                <w:noProof/>
                <w:color w:val="000000"/>
              </w:rPr>
            </w:pPr>
            <w:r>
              <w:rPr>
                <w:noProof/>
                <w:color w:val="000000"/>
              </w:rPr>
              <w:t>Bulgaria</w:t>
            </w:r>
          </w:p>
        </w:tc>
        <w:tc>
          <w:tcPr>
            <w:tcW w:w="1329" w:type="dxa"/>
            <w:vAlign w:val="center"/>
          </w:tcPr>
          <w:p>
            <w:pPr>
              <w:spacing w:after="0" w:line="240" w:lineRule="auto"/>
              <w:jc w:val="center"/>
              <w:rPr>
                <w:rFonts w:eastAsia="Times New Roman" w:cs="Times New Roman"/>
                <w:noProof/>
                <w:color w:val="000000"/>
              </w:rPr>
            </w:pPr>
            <w:r>
              <w:rPr>
                <w:noProof/>
                <w:color w:val="000000"/>
              </w:rPr>
              <w:t>34,0 %</w:t>
            </w:r>
          </w:p>
        </w:tc>
        <w:tc>
          <w:tcPr>
            <w:tcW w:w="1329" w:type="dxa"/>
            <w:shd w:val="clear" w:color="auto" w:fill="auto"/>
            <w:noWrap/>
            <w:vAlign w:val="bottom"/>
          </w:tcPr>
          <w:p>
            <w:pPr>
              <w:spacing w:after="0" w:line="240" w:lineRule="auto"/>
              <w:jc w:val="center"/>
              <w:rPr>
                <w:rFonts w:eastAsia="Times New Roman" w:cs="Arial"/>
                <w:bCs/>
                <w:noProof/>
              </w:rPr>
            </w:pPr>
            <w:r>
              <w:rPr>
                <w:noProof/>
              </w:rPr>
              <w:t>225</w:t>
            </w:r>
          </w:p>
        </w:tc>
        <w:tc>
          <w:tcPr>
            <w:tcW w:w="1329" w:type="dxa"/>
            <w:shd w:val="clear" w:color="auto" w:fill="auto"/>
            <w:noWrap/>
            <w:vAlign w:val="bottom"/>
          </w:tcPr>
          <w:p>
            <w:pPr>
              <w:spacing w:after="0" w:line="240" w:lineRule="auto"/>
              <w:jc w:val="center"/>
              <w:rPr>
                <w:rFonts w:eastAsia="Times New Roman" w:cs="Arial"/>
                <w:bCs/>
                <w:noProof/>
              </w:rPr>
            </w:pPr>
            <w:r>
              <w:rPr>
                <w:noProof/>
              </w:rPr>
              <w:t>135</w:t>
            </w:r>
          </w:p>
        </w:tc>
      </w:tr>
      <w:tr>
        <w:trPr>
          <w:trHeight w:val="300"/>
        </w:trPr>
        <w:tc>
          <w:tcPr>
            <w:tcW w:w="3984" w:type="dxa"/>
            <w:shd w:val="clear" w:color="auto" w:fill="auto"/>
            <w:noWrap/>
            <w:vAlign w:val="center"/>
          </w:tcPr>
          <w:p>
            <w:pPr>
              <w:spacing w:after="0" w:line="240" w:lineRule="auto"/>
              <w:jc w:val="center"/>
              <w:rPr>
                <w:rFonts w:eastAsia="Times New Roman" w:cs="Times New Roman"/>
                <w:noProof/>
                <w:color w:val="000000"/>
              </w:rPr>
            </w:pPr>
            <w:r>
              <w:rPr>
                <w:noProof/>
                <w:color w:val="000000"/>
              </w:rPr>
              <w:t>Rumanía</w:t>
            </w:r>
          </w:p>
        </w:tc>
        <w:tc>
          <w:tcPr>
            <w:tcW w:w="1329" w:type="dxa"/>
            <w:vAlign w:val="center"/>
          </w:tcPr>
          <w:p>
            <w:pPr>
              <w:spacing w:after="0" w:line="240" w:lineRule="auto"/>
              <w:jc w:val="center"/>
              <w:rPr>
                <w:rFonts w:eastAsia="Times New Roman" w:cs="Times New Roman"/>
                <w:noProof/>
                <w:color w:val="000000"/>
              </w:rPr>
            </w:pPr>
            <w:r>
              <w:rPr>
                <w:noProof/>
                <w:color w:val="000000"/>
              </w:rPr>
              <w:t>66,0 %</w:t>
            </w:r>
          </w:p>
        </w:tc>
        <w:tc>
          <w:tcPr>
            <w:tcW w:w="1329" w:type="dxa"/>
            <w:shd w:val="clear" w:color="auto" w:fill="auto"/>
            <w:noWrap/>
            <w:vAlign w:val="bottom"/>
          </w:tcPr>
          <w:p>
            <w:pPr>
              <w:spacing w:after="0" w:line="240" w:lineRule="auto"/>
              <w:jc w:val="center"/>
              <w:rPr>
                <w:rFonts w:eastAsia="Times New Roman" w:cs="Arial"/>
                <w:bCs/>
                <w:noProof/>
              </w:rPr>
            </w:pPr>
            <w:r>
              <w:rPr>
                <w:noProof/>
              </w:rPr>
              <w:t>437</w:t>
            </w:r>
          </w:p>
        </w:tc>
        <w:tc>
          <w:tcPr>
            <w:tcW w:w="1329" w:type="dxa"/>
            <w:shd w:val="clear" w:color="auto" w:fill="auto"/>
            <w:noWrap/>
            <w:vAlign w:val="bottom"/>
          </w:tcPr>
          <w:p>
            <w:pPr>
              <w:spacing w:after="0" w:line="240" w:lineRule="auto"/>
              <w:jc w:val="center"/>
              <w:rPr>
                <w:rFonts w:eastAsia="Times New Roman" w:cs="Arial"/>
                <w:bCs/>
                <w:noProof/>
              </w:rPr>
            </w:pPr>
            <w:r>
              <w:rPr>
                <w:noProof/>
              </w:rPr>
              <w:t>261</w:t>
            </w:r>
          </w:p>
        </w:tc>
      </w:tr>
      <w:tr>
        <w:trPr>
          <w:trHeight w:val="300"/>
        </w:trPr>
        <w:tc>
          <w:tcPr>
            <w:tcW w:w="3984" w:type="dxa"/>
            <w:tcBorders>
              <w:bottom w:val="single" w:sz="4" w:space="0" w:color="auto"/>
            </w:tcBorders>
            <w:shd w:val="clear" w:color="auto" w:fill="auto"/>
            <w:noWrap/>
            <w:vAlign w:val="center"/>
          </w:tcPr>
          <w:p>
            <w:pPr>
              <w:spacing w:after="0" w:line="240" w:lineRule="auto"/>
              <w:jc w:val="center"/>
              <w:rPr>
                <w:rFonts w:eastAsia="Times New Roman" w:cs="Times New Roman"/>
                <w:b/>
                <w:noProof/>
                <w:color w:val="000000"/>
              </w:rPr>
            </w:pPr>
            <w:r>
              <w:rPr>
                <w:b/>
                <w:noProof/>
                <w:color w:val="000000"/>
              </w:rPr>
              <w:t>EU-2 2)</w:t>
            </w:r>
          </w:p>
        </w:tc>
        <w:tc>
          <w:tcPr>
            <w:tcW w:w="1329" w:type="dxa"/>
            <w:vAlign w:val="center"/>
          </w:tcPr>
          <w:p>
            <w:pPr>
              <w:spacing w:after="0" w:line="240" w:lineRule="auto"/>
              <w:jc w:val="center"/>
              <w:rPr>
                <w:rFonts w:eastAsia="Times New Roman" w:cs="Times New Roman"/>
                <w:b/>
                <w:noProof/>
                <w:color w:val="000000"/>
              </w:rPr>
            </w:pPr>
            <w:r>
              <w:rPr>
                <w:b/>
                <w:noProof/>
                <w:color w:val="000000"/>
              </w:rPr>
              <w:t>100,0 %</w:t>
            </w:r>
          </w:p>
        </w:tc>
        <w:tc>
          <w:tcPr>
            <w:tcW w:w="1329" w:type="dxa"/>
            <w:tcBorders>
              <w:bottom w:val="single" w:sz="4" w:space="0" w:color="auto"/>
            </w:tcBorders>
            <w:shd w:val="clear" w:color="auto" w:fill="auto"/>
            <w:noWrap/>
            <w:vAlign w:val="bottom"/>
          </w:tcPr>
          <w:p>
            <w:pPr>
              <w:spacing w:after="0" w:line="240" w:lineRule="auto"/>
              <w:jc w:val="center"/>
              <w:rPr>
                <w:rFonts w:eastAsia="Times New Roman" w:cs="Arial"/>
                <w:b/>
                <w:bCs/>
                <w:noProof/>
              </w:rPr>
            </w:pPr>
            <w:r>
              <w:rPr>
                <w:b/>
                <w:noProof/>
              </w:rPr>
              <w:t>662</w:t>
            </w:r>
          </w:p>
        </w:tc>
        <w:tc>
          <w:tcPr>
            <w:tcW w:w="1329" w:type="dxa"/>
            <w:tcBorders>
              <w:bottom w:val="single" w:sz="4" w:space="0" w:color="auto"/>
            </w:tcBorders>
            <w:shd w:val="clear" w:color="auto" w:fill="auto"/>
            <w:noWrap/>
            <w:vAlign w:val="bottom"/>
          </w:tcPr>
          <w:p>
            <w:pPr>
              <w:spacing w:after="0" w:line="240" w:lineRule="auto"/>
              <w:jc w:val="center"/>
              <w:rPr>
                <w:rFonts w:eastAsia="Times New Roman" w:cs="Arial"/>
                <w:b/>
                <w:bCs/>
                <w:noProof/>
              </w:rPr>
            </w:pPr>
            <w:r>
              <w:rPr>
                <w:b/>
                <w:noProof/>
              </w:rPr>
              <w:t>396</w:t>
            </w:r>
          </w:p>
        </w:tc>
      </w:tr>
      <w:tr>
        <w:trPr>
          <w:trHeight w:val="300"/>
        </w:trPr>
        <w:tc>
          <w:tcPr>
            <w:tcW w:w="3984" w:type="dxa"/>
            <w:tcBorders>
              <w:left w:val="nil"/>
              <w:right w:val="nil"/>
            </w:tcBorders>
            <w:shd w:val="clear" w:color="auto" w:fill="auto"/>
            <w:noWrap/>
            <w:vAlign w:val="center"/>
          </w:tcPr>
          <w:p>
            <w:pPr>
              <w:spacing w:after="0" w:line="240" w:lineRule="auto"/>
              <w:jc w:val="center"/>
              <w:rPr>
                <w:rFonts w:eastAsia="Times New Roman" w:cs="Times New Roman"/>
                <w:noProof/>
                <w:color w:val="000000"/>
              </w:rPr>
            </w:pPr>
          </w:p>
        </w:tc>
        <w:tc>
          <w:tcPr>
            <w:tcW w:w="1329" w:type="dxa"/>
            <w:tcBorders>
              <w:left w:val="nil"/>
              <w:right w:val="nil"/>
            </w:tcBorders>
          </w:tcPr>
          <w:p>
            <w:pPr>
              <w:spacing w:after="0" w:line="240" w:lineRule="auto"/>
              <w:jc w:val="center"/>
              <w:rPr>
                <w:rFonts w:eastAsia="Times New Roman" w:cs="Times New Roman"/>
                <w:noProof/>
                <w:color w:val="000000"/>
              </w:rPr>
            </w:pPr>
          </w:p>
        </w:tc>
        <w:tc>
          <w:tcPr>
            <w:tcW w:w="1329" w:type="dxa"/>
            <w:tcBorders>
              <w:left w:val="nil"/>
              <w:right w:val="nil"/>
            </w:tcBorders>
            <w:shd w:val="clear" w:color="auto" w:fill="auto"/>
            <w:noWrap/>
            <w:vAlign w:val="center"/>
          </w:tcPr>
          <w:p>
            <w:pPr>
              <w:spacing w:after="0" w:line="240" w:lineRule="auto"/>
              <w:jc w:val="center"/>
              <w:rPr>
                <w:rFonts w:eastAsia="Times New Roman" w:cs="Times New Roman"/>
                <w:noProof/>
                <w:color w:val="000000"/>
              </w:rPr>
            </w:pPr>
          </w:p>
        </w:tc>
        <w:tc>
          <w:tcPr>
            <w:tcW w:w="1329" w:type="dxa"/>
            <w:tcBorders>
              <w:left w:val="nil"/>
              <w:right w:val="nil"/>
            </w:tcBorders>
            <w:shd w:val="clear" w:color="auto" w:fill="auto"/>
            <w:noWrap/>
            <w:vAlign w:val="center"/>
          </w:tcPr>
          <w:p>
            <w:pPr>
              <w:spacing w:after="0" w:line="240" w:lineRule="auto"/>
              <w:jc w:val="center"/>
              <w:rPr>
                <w:rFonts w:eastAsia="Times New Roman" w:cs="Times New Roman"/>
                <w:noProof/>
                <w:color w:val="000000"/>
              </w:rPr>
            </w:pPr>
          </w:p>
        </w:tc>
      </w:tr>
      <w:tr>
        <w:trPr>
          <w:trHeight w:val="300"/>
        </w:trPr>
        <w:tc>
          <w:tcPr>
            <w:tcW w:w="3984" w:type="dxa"/>
            <w:shd w:val="clear" w:color="auto" w:fill="auto"/>
            <w:noWrap/>
            <w:vAlign w:val="center"/>
          </w:tcPr>
          <w:p>
            <w:pPr>
              <w:spacing w:after="0" w:line="240" w:lineRule="auto"/>
              <w:jc w:val="center"/>
              <w:rPr>
                <w:rFonts w:eastAsia="Times New Roman" w:cs="Times New Roman"/>
                <w:b/>
                <w:noProof/>
                <w:color w:val="000000"/>
              </w:rPr>
            </w:pPr>
            <w:r>
              <w:rPr>
                <w:b/>
                <w:noProof/>
                <w:color w:val="000000"/>
              </w:rPr>
              <w:t>Croacia 3)</w:t>
            </w:r>
          </w:p>
        </w:tc>
        <w:tc>
          <w:tcPr>
            <w:tcW w:w="1329" w:type="dxa"/>
          </w:tcPr>
          <w:p>
            <w:pPr>
              <w:spacing w:after="0" w:line="240" w:lineRule="auto"/>
              <w:jc w:val="center"/>
              <w:rPr>
                <w:rFonts w:eastAsia="Times New Roman" w:cs="Times New Roman"/>
                <w:b/>
                <w:noProof/>
                <w:color w:val="000000"/>
              </w:rPr>
            </w:pPr>
            <w:r>
              <w:rPr>
                <w:b/>
                <w:noProof/>
                <w:color w:val="000000"/>
              </w:rPr>
              <w:t>n.d.</w:t>
            </w:r>
          </w:p>
        </w:tc>
        <w:tc>
          <w:tcPr>
            <w:tcW w:w="1329" w:type="dxa"/>
            <w:shd w:val="clear" w:color="auto" w:fill="auto"/>
            <w:noWrap/>
            <w:vAlign w:val="center"/>
          </w:tcPr>
          <w:p>
            <w:pPr>
              <w:spacing w:after="0" w:line="240" w:lineRule="auto"/>
              <w:jc w:val="center"/>
              <w:rPr>
                <w:rFonts w:eastAsia="Times New Roman" w:cs="Times New Roman"/>
                <w:b/>
                <w:noProof/>
                <w:color w:val="000000"/>
              </w:rPr>
            </w:pPr>
            <w:r>
              <w:rPr>
                <w:b/>
                <w:noProof/>
                <w:color w:val="000000"/>
              </w:rPr>
              <w:t>149</w:t>
            </w:r>
          </w:p>
        </w:tc>
        <w:tc>
          <w:tcPr>
            <w:tcW w:w="1329" w:type="dxa"/>
            <w:shd w:val="clear" w:color="auto" w:fill="auto"/>
            <w:noWrap/>
            <w:vAlign w:val="center"/>
          </w:tcPr>
          <w:p>
            <w:pPr>
              <w:spacing w:after="0" w:line="240" w:lineRule="auto"/>
              <w:jc w:val="center"/>
              <w:rPr>
                <w:rFonts w:eastAsia="Times New Roman" w:cs="Times New Roman"/>
                <w:b/>
                <w:noProof/>
                <w:color w:val="000000"/>
              </w:rPr>
            </w:pPr>
            <w:r>
              <w:rPr>
                <w:b/>
                <w:noProof/>
                <w:color w:val="000000"/>
              </w:rPr>
              <w:t>100</w:t>
            </w:r>
          </w:p>
        </w:tc>
      </w:tr>
    </w:tbl>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16"/>
        </w:rPr>
        <w:t>1): EU-10 en conjunto: 21,6 % - EU-15 en conjunto: 78,4 %</w:t>
      </w:r>
      <w:r>
        <w:rPr>
          <w:noProof/>
        </w:rPr>
        <w:tab/>
      </w:r>
      <w:r>
        <w:rPr>
          <w:rFonts w:ascii="Times New Roman" w:eastAsia="Times New Roman" w:hAnsi="Times New Roman" w:cs="Times New Roman"/>
          <w:noProof/>
          <w:sz w:val="16"/>
          <w:szCs w:val="16"/>
        </w:rPr>
        <w:br/>
      </w:r>
      <w:r>
        <w:rPr>
          <w:rFonts w:ascii="Times New Roman" w:hAnsi="Times New Roman"/>
          <w:noProof/>
          <w:sz w:val="16"/>
        </w:rPr>
        <w:t>2): EU-2 en conjunto: 6,5 % - EU-25 en conjunto: 93,5 %</w:t>
      </w:r>
      <w:r>
        <w:rPr>
          <w:noProof/>
        </w:rPr>
        <w:tab/>
      </w:r>
      <w:r>
        <w:rPr>
          <w:rFonts w:ascii="Times New Roman" w:eastAsia="Times New Roman" w:hAnsi="Times New Roman" w:cs="Times New Roman"/>
          <w:noProof/>
          <w:sz w:val="16"/>
          <w:szCs w:val="16"/>
        </w:rPr>
        <w:br/>
      </w:r>
      <w:r>
        <w:rPr>
          <w:rFonts w:ascii="Times New Roman" w:hAnsi="Times New Roman"/>
          <w:noProof/>
          <w:sz w:val="16"/>
        </w:rPr>
        <w:t xml:space="preserve">3): Croacia: 1,5 % - EU-27 en conjunto: 98,5 % </w:t>
      </w:r>
      <w:r>
        <w:rPr>
          <w:noProof/>
        </w:rPr>
        <w:br w:type="page"/>
      </w:r>
    </w:p>
    <w:p>
      <w:pPr>
        <w:spacing w:after="0" w:line="240" w:lineRule="auto"/>
        <w:rPr>
          <w:rFonts w:ascii="Times New Roman" w:eastAsia="Times New Roman" w:hAnsi="Times New Roman" w:cs="Times New Roman"/>
          <w:noProof/>
          <w:sz w:val="24"/>
          <w:szCs w:val="20"/>
        </w:rPr>
        <w:sectPr>
          <w:headerReference w:type="even" r:id="rId34"/>
          <w:headerReference w:type="default" r:id="rId35"/>
          <w:footerReference w:type="even" r:id="rId36"/>
          <w:footerReference w:type="default" r:id="rId37"/>
          <w:headerReference w:type="first" r:id="rId38"/>
          <w:footerReference w:type="first" r:id="rId39"/>
          <w:pgSz w:w="11906" w:h="16838"/>
          <w:pgMar w:top="1020" w:right="1701" w:bottom="1020" w:left="1587" w:header="601" w:footer="1077" w:gutter="0"/>
          <w:cols w:space="720"/>
        </w:sectPr>
      </w:pPr>
    </w:p>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ANEXO 4: Evolución de la población de los Estados miembros (sin incluir el Reino Unido)</w:t>
      </w:r>
    </w:p>
    <w:p>
      <w:pPr>
        <w:spacing w:after="240" w:line="240" w:lineRule="auto"/>
        <w:jc w:val="both"/>
        <w:rPr>
          <w:rFonts w:ascii="Times New Roman" w:eastAsia="Times New Roman" w:hAnsi="Times New Roman" w:cs="Times New Roman"/>
          <w:noProof/>
          <w:sz w:val="24"/>
          <w:szCs w:val="20"/>
        </w:rPr>
      </w:pPr>
    </w:p>
    <w:tbl>
      <w:tblPr>
        <w:tblW w:w="6360" w:type="dxa"/>
        <w:tblInd w:w="93" w:type="dxa"/>
        <w:tblLook w:val="04A0" w:firstRow="1" w:lastRow="0" w:firstColumn="1" w:lastColumn="0" w:noHBand="0" w:noVBand="1"/>
      </w:tblPr>
      <w:tblGrid>
        <w:gridCol w:w="1960"/>
        <w:gridCol w:w="1340"/>
        <w:gridCol w:w="1340"/>
        <w:gridCol w:w="1720"/>
      </w:tblGrid>
      <w:tr>
        <w:trPr>
          <w:trHeight w:val="375"/>
        </w:trPr>
        <w:tc>
          <w:tcPr>
            <w:tcW w:w="6360" w:type="dxa"/>
            <w:gridSpan w:val="4"/>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Times New Roman"/>
                <w:b/>
                <w:bCs/>
                <w:noProof/>
                <w:color w:val="000000"/>
                <w:sz w:val="28"/>
                <w:szCs w:val="28"/>
              </w:rPr>
            </w:pPr>
          </w:p>
        </w:tc>
      </w:tr>
      <w:tr>
        <w:trPr>
          <w:trHeight w:val="375"/>
        </w:trPr>
        <w:tc>
          <w:tcPr>
            <w:tcW w:w="1960" w:type="dxa"/>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Times New Roman"/>
                <w:b/>
                <w:bCs/>
                <w:noProof/>
                <w:color w:val="000000"/>
                <w:sz w:val="28"/>
                <w:szCs w:val="28"/>
              </w:rPr>
            </w:pPr>
          </w:p>
        </w:tc>
        <w:tc>
          <w:tcPr>
            <w:tcW w:w="1340"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Times New Roman"/>
                <w:b/>
                <w:bCs/>
                <w:noProof/>
                <w:color w:val="000000"/>
                <w:sz w:val="28"/>
                <w:szCs w:val="28"/>
              </w:rPr>
            </w:pPr>
          </w:p>
        </w:tc>
        <w:tc>
          <w:tcPr>
            <w:tcW w:w="1340"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Times New Roman"/>
                <w:b/>
                <w:bCs/>
                <w:noProof/>
                <w:color w:val="000000"/>
                <w:sz w:val="28"/>
                <w:szCs w:val="28"/>
              </w:rPr>
            </w:pPr>
          </w:p>
        </w:tc>
        <w:tc>
          <w:tcPr>
            <w:tcW w:w="1720"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Times New Roman"/>
                <w:b/>
                <w:bCs/>
                <w:noProof/>
                <w:color w:val="000000"/>
                <w:sz w:val="28"/>
                <w:szCs w:val="28"/>
              </w:rPr>
            </w:pPr>
          </w:p>
        </w:tc>
      </w:tr>
      <w:tr>
        <w:trPr>
          <w:trHeight w:val="300"/>
        </w:trPr>
        <w:tc>
          <w:tcPr>
            <w:tcW w:w="1960" w:type="dxa"/>
            <w:tcBorders>
              <w:top w:val="nil"/>
              <w:left w:val="nil"/>
              <w:bottom w:val="single" w:sz="4" w:space="0" w:color="auto"/>
              <w:right w:val="nil"/>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 </w:t>
            </w:r>
          </w:p>
        </w:tc>
        <w:tc>
          <w:tcPr>
            <w:tcW w:w="1340" w:type="dxa"/>
            <w:tcBorders>
              <w:top w:val="single" w:sz="4" w:space="0" w:color="auto"/>
              <w:left w:val="single" w:sz="4" w:space="0" w:color="auto"/>
              <w:bottom w:val="single" w:sz="4" w:space="0" w:color="auto"/>
              <w:right w:val="single" w:sz="4" w:space="0" w:color="auto"/>
            </w:tcBorders>
            <w:shd w:val="clear" w:color="000000" w:fill="99CCFF"/>
            <w:vAlign w:val="bottom"/>
            <w:hideMark/>
          </w:tcPr>
          <w:p>
            <w:pPr>
              <w:spacing w:after="0" w:line="240" w:lineRule="auto"/>
              <w:jc w:val="right"/>
              <w:rPr>
                <w:rFonts w:ascii="Arial" w:eastAsia="Times New Roman" w:hAnsi="Arial" w:cs="Arial"/>
                <w:b/>
                <w:bCs/>
                <w:noProof/>
                <w:sz w:val="18"/>
                <w:szCs w:val="18"/>
              </w:rPr>
            </w:pPr>
            <w:r>
              <w:rPr>
                <w:rFonts w:ascii="Arial" w:hAnsi="Arial"/>
                <w:b/>
                <w:noProof/>
                <w:sz w:val="18"/>
              </w:rPr>
              <w:t>2001</w:t>
            </w:r>
          </w:p>
        </w:tc>
        <w:tc>
          <w:tcPr>
            <w:tcW w:w="1340" w:type="dxa"/>
            <w:tcBorders>
              <w:top w:val="single" w:sz="4" w:space="0" w:color="auto"/>
              <w:left w:val="nil"/>
              <w:bottom w:val="single" w:sz="4" w:space="0" w:color="auto"/>
              <w:right w:val="single" w:sz="4" w:space="0" w:color="auto"/>
            </w:tcBorders>
            <w:shd w:val="clear" w:color="000000" w:fill="99CCFF"/>
            <w:vAlign w:val="bottom"/>
            <w:hideMark/>
          </w:tcPr>
          <w:p>
            <w:pPr>
              <w:spacing w:after="0" w:line="240" w:lineRule="auto"/>
              <w:jc w:val="right"/>
              <w:rPr>
                <w:rFonts w:ascii="Arial" w:eastAsia="Times New Roman" w:hAnsi="Arial" w:cs="Arial"/>
                <w:b/>
                <w:bCs/>
                <w:noProof/>
                <w:sz w:val="18"/>
                <w:szCs w:val="18"/>
              </w:rPr>
            </w:pPr>
            <w:r>
              <w:rPr>
                <w:rFonts w:ascii="Arial" w:hAnsi="Arial"/>
                <w:b/>
                <w:noProof/>
                <w:sz w:val="18"/>
              </w:rPr>
              <w:t>2015</w:t>
            </w:r>
          </w:p>
        </w:tc>
        <w:tc>
          <w:tcPr>
            <w:tcW w:w="1720" w:type="dxa"/>
            <w:tcBorders>
              <w:top w:val="single" w:sz="4" w:space="0" w:color="auto"/>
              <w:left w:val="nil"/>
              <w:bottom w:val="single" w:sz="4" w:space="0" w:color="auto"/>
              <w:right w:val="single" w:sz="4" w:space="0" w:color="auto"/>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2015 vs. 2001</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Luxemburgo</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439,500</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562,958</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28,1 %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Chipre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697,500</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847,008</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21,4 %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Irlanda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3.832.783</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4.628.949</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20,8 %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España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40.665.542</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46.449.565</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14,2 %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Suecia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8.882.792</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9.747.355</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9,7 %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Malta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391,415</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429,344</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9,7 %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Bélgica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10.263.414</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11.208.956</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9,2 %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Francia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61.357.400</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66.415.161</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8,2 %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Austria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8.032.926</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8.576.261</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6,8 %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Italia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56.960.692</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60.795.612</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6,7 %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Dinamarca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5.349.212</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5.659.715</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5,8 %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Países Bajos</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15.987.075</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16.900.726</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5,7 %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Finlandia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5.181.115</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5.471.753</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5,6 %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Eslovenia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1.990.094</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2.062.874</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3,7 %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Chequia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10.414.373</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10.538.275</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1,2 %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Portugal</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10.256.658</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10.374.822</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1,2 %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Eslovaquia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5.402.547</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5.421.349</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0,3 %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Polonia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38.253.955</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38.005.614</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-0,6 %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Grecia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10.934.097</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10.858.018</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-0,7 %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Alemania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82.259.540</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81.197.537</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-1,3 %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Hungría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10.200.298</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9.855.571</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-3,4 %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Croacia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4.437.460</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4.225.316</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-4,8 %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Estonia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1.388.000</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1.313.271</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-5,4 %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Bulgaria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7.928.901</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7.202.198</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-9,2 %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Rumanía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22.132.000</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19.870.647</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-10,2 %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Letonia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2.364.254</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1.986.096</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-16,0 %</w:t>
            </w:r>
          </w:p>
        </w:tc>
      </w:tr>
      <w:tr>
        <w:trPr>
          <w:trHeight w:val="300"/>
        </w:trPr>
        <w:tc>
          <w:tcPr>
            <w:tcW w:w="196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Lituania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3.483.972</w:t>
            </w:r>
          </w:p>
        </w:tc>
        <w:tc>
          <w:tcPr>
            <w:tcW w:w="134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2.921.262</w:t>
            </w:r>
          </w:p>
        </w:tc>
        <w:tc>
          <w:tcPr>
            <w:tcW w:w="17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-16,2 %</w:t>
            </w:r>
          </w:p>
        </w:tc>
      </w:tr>
      <w:tr>
        <w:trPr>
          <w:trHeight w:val="300"/>
        </w:trPr>
        <w:tc>
          <w:tcPr>
            <w:tcW w:w="196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34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34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720"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Times New Roman"/>
                <w:noProof/>
                <w:color w:val="000000"/>
              </w:rPr>
            </w:pPr>
          </w:p>
        </w:tc>
      </w:tr>
      <w:tr>
        <w:trPr>
          <w:trHeight w:val="300"/>
        </w:trPr>
        <w:tc>
          <w:tcPr>
            <w:tcW w:w="1960" w:type="dxa"/>
            <w:tcBorders>
              <w:top w:val="single" w:sz="4" w:space="0" w:color="auto"/>
              <w:left w:val="single" w:sz="4" w:space="0" w:color="auto"/>
              <w:bottom w:val="single" w:sz="4" w:space="0" w:color="auto"/>
              <w:right w:val="single" w:sz="4" w:space="0" w:color="auto"/>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Total</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429.487.515</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443.526.213</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3,3 %</w:t>
            </w:r>
          </w:p>
        </w:tc>
      </w:tr>
      <w:tr>
        <w:trPr>
          <w:trHeight w:val="300"/>
        </w:trPr>
        <w:tc>
          <w:tcPr>
            <w:tcW w:w="196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34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34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172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r>
      <w:tr>
        <w:trPr>
          <w:trHeight w:val="300"/>
        </w:trPr>
        <w:tc>
          <w:tcPr>
            <w:tcW w:w="6360" w:type="dxa"/>
            <w:gridSpan w:val="4"/>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rPr>
            </w:pPr>
            <w:r>
              <w:rPr>
                <w:rFonts w:ascii="Calibri" w:hAnsi="Calibri"/>
                <w:noProof/>
                <w:color w:val="000000"/>
                <w:sz w:val="18"/>
              </w:rPr>
              <w:t>Fuente: Eurostat - Fecha de extracción 23 de enero de 2017</w:t>
            </w:r>
          </w:p>
        </w:tc>
      </w:tr>
    </w:tbl>
    <w:p>
      <w:pPr>
        <w:spacing w:after="24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eastAsia="Times New Roman" w:hAnsi="Times New Roman" w:cs="Times New Roman"/>
          <w:noProof/>
          <w:sz w:val="24"/>
          <w:szCs w:val="20"/>
        </w:rPr>
        <w:sectPr>
          <w:headerReference w:type="even" r:id="rId40"/>
          <w:headerReference w:type="default" r:id="rId41"/>
          <w:footerReference w:type="even" r:id="rId42"/>
          <w:footerReference w:type="default" r:id="rId43"/>
          <w:headerReference w:type="first" r:id="rId44"/>
          <w:footerReference w:type="first" r:id="rId45"/>
          <w:pgSz w:w="11906" w:h="16838"/>
          <w:pgMar w:top="1020" w:right="1701" w:bottom="1020" w:left="1587" w:header="601" w:footer="1077" w:gutter="0"/>
          <w:cols w:space="720"/>
        </w:sectPr>
      </w:pPr>
    </w:p>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 xml:space="preserve">ANEXO 5: Propuesta de nuevos índices guía: aplicación del método aritmético </w:t>
      </w:r>
    </w:p>
    <w:tbl>
      <w:tblPr>
        <w:tblW w:w="11580" w:type="dxa"/>
        <w:tblInd w:w="93" w:type="dxa"/>
        <w:tblLook w:val="04A0" w:firstRow="1" w:lastRow="0" w:firstColumn="1" w:lastColumn="0" w:noHBand="0" w:noVBand="1"/>
      </w:tblPr>
      <w:tblGrid>
        <w:gridCol w:w="1935"/>
        <w:gridCol w:w="1334"/>
        <w:gridCol w:w="1335"/>
        <w:gridCol w:w="1683"/>
        <w:gridCol w:w="1177"/>
        <w:gridCol w:w="1409"/>
        <w:gridCol w:w="1409"/>
        <w:gridCol w:w="1404"/>
      </w:tblGrid>
      <w:tr>
        <w:trPr>
          <w:trHeight w:val="720"/>
        </w:trPr>
        <w:tc>
          <w:tcPr>
            <w:tcW w:w="1935" w:type="dxa"/>
            <w:tcBorders>
              <w:top w:val="single" w:sz="4" w:space="0" w:color="000000"/>
              <w:left w:val="single" w:sz="4" w:space="0" w:color="000000"/>
              <w:bottom w:val="single" w:sz="4" w:space="0" w:color="000000"/>
              <w:right w:val="single" w:sz="4" w:space="0" w:color="000000"/>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Estado miembro</w:t>
            </w:r>
          </w:p>
        </w:tc>
        <w:tc>
          <w:tcPr>
            <w:tcW w:w="1334" w:type="dxa"/>
            <w:tcBorders>
              <w:top w:val="single" w:sz="4" w:space="0" w:color="000000"/>
              <w:left w:val="nil"/>
              <w:bottom w:val="single" w:sz="4" w:space="0" w:color="000000"/>
              <w:right w:val="single" w:sz="4" w:space="0" w:color="000000"/>
            </w:tcBorders>
            <w:shd w:val="clear" w:color="auto"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Población</w:t>
            </w:r>
            <w:r>
              <w:rPr>
                <w:rFonts w:ascii="Arial" w:eastAsia="Times New Roman" w:hAnsi="Arial" w:cs="Arial"/>
                <w:b/>
                <w:bCs/>
                <w:noProof/>
                <w:sz w:val="18"/>
                <w:szCs w:val="18"/>
              </w:rPr>
              <w:br/>
            </w:r>
            <w:r>
              <w:rPr>
                <w:rFonts w:ascii="Arial" w:hAnsi="Arial"/>
                <w:b/>
                <w:noProof/>
                <w:sz w:val="18"/>
              </w:rPr>
              <w:t>2015</w:t>
            </w:r>
          </w:p>
        </w:tc>
        <w:tc>
          <w:tcPr>
            <w:tcW w:w="1335" w:type="dxa"/>
            <w:tcBorders>
              <w:top w:val="single" w:sz="4" w:space="0" w:color="000000"/>
              <w:left w:val="single" w:sz="4" w:space="0" w:color="000000"/>
              <w:bottom w:val="single" w:sz="4" w:space="0" w:color="000000"/>
              <w:right w:val="single" w:sz="4" w:space="0" w:color="000000"/>
            </w:tcBorders>
            <w:shd w:val="clear" w:color="auto" w:fill="99CCFF"/>
            <w:vAlign w:val="center"/>
            <w:hideMark/>
          </w:tcPr>
          <w:p>
            <w:pPr>
              <w:spacing w:after="0" w:line="240" w:lineRule="auto"/>
              <w:jc w:val="center"/>
              <w:rPr>
                <w:rFonts w:ascii="Calibri" w:eastAsia="Times New Roman" w:hAnsi="Calibri" w:cs="Times New Roman"/>
                <w:b/>
                <w:bCs/>
                <w:noProof/>
                <w:color w:val="000000"/>
              </w:rPr>
            </w:pPr>
            <w:r>
              <w:rPr>
                <w:rFonts w:ascii="Calibri" w:hAnsi="Calibri"/>
                <w:b/>
                <w:noProof/>
                <w:color w:val="000000"/>
              </w:rPr>
              <w:t>Proporción aritmética</w:t>
            </w:r>
          </w:p>
        </w:tc>
        <w:tc>
          <w:tcPr>
            <w:tcW w:w="1683" w:type="dxa"/>
            <w:tcBorders>
              <w:top w:val="single" w:sz="4" w:space="0" w:color="000000"/>
              <w:left w:val="single" w:sz="4" w:space="0" w:color="000000"/>
              <w:bottom w:val="single" w:sz="4" w:space="0" w:color="000000"/>
              <w:right w:val="single" w:sz="4" w:space="0" w:color="000000"/>
            </w:tcBorders>
            <w:shd w:val="clear" w:color="auto"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Escaños en el PE</w:t>
            </w:r>
          </w:p>
        </w:tc>
        <w:tc>
          <w:tcPr>
            <w:tcW w:w="1071" w:type="dxa"/>
            <w:tcBorders>
              <w:top w:val="single" w:sz="4" w:space="0" w:color="000000"/>
              <w:left w:val="single" w:sz="4" w:space="0" w:color="000000"/>
              <w:bottom w:val="single" w:sz="4" w:space="0" w:color="000000"/>
              <w:right w:val="single" w:sz="4" w:space="0" w:color="000000"/>
            </w:tcBorders>
            <w:shd w:val="clear" w:color="auto" w:fill="99CCFF"/>
            <w:vAlign w:val="center"/>
            <w:hideMark/>
          </w:tcPr>
          <w:p>
            <w:pPr>
              <w:spacing w:after="0" w:line="240" w:lineRule="auto"/>
              <w:jc w:val="center"/>
              <w:rPr>
                <w:rFonts w:ascii="Arial" w:eastAsia="Times New Roman" w:hAnsi="Arial" w:cs="Arial"/>
                <w:b/>
                <w:bCs/>
                <w:noProof/>
                <w:color w:val="000000"/>
                <w:sz w:val="18"/>
                <w:szCs w:val="18"/>
              </w:rPr>
            </w:pPr>
            <w:r>
              <w:rPr>
                <w:rFonts w:ascii="Arial" w:hAnsi="Arial"/>
                <w:b/>
                <w:noProof/>
                <w:color w:val="000000"/>
                <w:sz w:val="18"/>
              </w:rPr>
              <w:t>Proporción aritmética</w:t>
            </w:r>
          </w:p>
        </w:tc>
        <w:tc>
          <w:tcPr>
            <w:tcW w:w="1409" w:type="dxa"/>
            <w:tcBorders>
              <w:top w:val="single" w:sz="4" w:space="0" w:color="000000"/>
              <w:left w:val="single" w:sz="4" w:space="0" w:color="000000"/>
              <w:bottom w:val="single" w:sz="4" w:space="0" w:color="000000"/>
              <w:right w:val="single" w:sz="4" w:space="0" w:color="000000"/>
            </w:tcBorders>
            <w:shd w:val="clear" w:color="auto"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Ponderación de votos en el Consejo</w:t>
            </w:r>
          </w:p>
        </w:tc>
        <w:tc>
          <w:tcPr>
            <w:tcW w:w="1409" w:type="dxa"/>
            <w:tcBorders>
              <w:top w:val="single" w:sz="4" w:space="0" w:color="000000"/>
              <w:left w:val="single" w:sz="4" w:space="0" w:color="000000"/>
              <w:bottom w:val="single" w:sz="4" w:space="0" w:color="000000"/>
              <w:right w:val="single" w:sz="4" w:space="0" w:color="000000"/>
            </w:tcBorders>
            <w:shd w:val="clear" w:color="auto" w:fill="99CCFF"/>
            <w:vAlign w:val="center"/>
            <w:hideMark/>
          </w:tcPr>
          <w:p>
            <w:pPr>
              <w:spacing w:after="0" w:line="240" w:lineRule="auto"/>
              <w:jc w:val="center"/>
              <w:rPr>
                <w:rFonts w:ascii="Arial" w:eastAsia="Times New Roman" w:hAnsi="Arial" w:cs="Arial"/>
                <w:b/>
                <w:bCs/>
                <w:noProof/>
                <w:color w:val="000000"/>
                <w:sz w:val="18"/>
                <w:szCs w:val="18"/>
              </w:rPr>
            </w:pPr>
            <w:r>
              <w:rPr>
                <w:rFonts w:ascii="Arial" w:hAnsi="Arial"/>
                <w:b/>
                <w:noProof/>
                <w:color w:val="000000"/>
                <w:sz w:val="18"/>
              </w:rPr>
              <w:t>Proporción aritmética</w:t>
            </w:r>
          </w:p>
        </w:tc>
        <w:tc>
          <w:tcPr>
            <w:tcW w:w="1404" w:type="dxa"/>
            <w:tcBorders>
              <w:top w:val="single" w:sz="4" w:space="0" w:color="000000"/>
              <w:left w:val="single" w:sz="4" w:space="0" w:color="000000"/>
              <w:bottom w:val="single" w:sz="4" w:space="0" w:color="000000"/>
              <w:right w:val="single" w:sz="4" w:space="0" w:color="000000"/>
            </w:tcBorders>
            <w:shd w:val="clear" w:color="auto" w:fill="99CCFF"/>
            <w:vAlign w:val="center"/>
            <w:hideMark/>
          </w:tcPr>
          <w:p>
            <w:pPr>
              <w:spacing w:after="0" w:line="240" w:lineRule="auto"/>
              <w:jc w:val="center"/>
              <w:rPr>
                <w:rFonts w:ascii="Arial" w:eastAsia="Times New Roman" w:hAnsi="Arial" w:cs="Arial"/>
                <w:b/>
                <w:bCs/>
                <w:noProof/>
                <w:color w:val="000000"/>
                <w:sz w:val="18"/>
                <w:szCs w:val="18"/>
              </w:rPr>
            </w:pPr>
            <w:r>
              <w:rPr>
                <w:rFonts w:ascii="Arial" w:hAnsi="Arial"/>
                <w:b/>
                <w:noProof/>
                <w:color w:val="000000"/>
                <w:sz w:val="18"/>
              </w:rPr>
              <w:t>Índice guía</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Malta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429,344</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0,1 %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0,9 %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0,9 %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0,6 %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Luxemburgo</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562,958</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0,1 %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0,9 %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0,8 %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Chipre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847,008</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0,2 %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0,9 %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0,8 %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Estonia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1.313.271</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0,3 %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0,9 %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0,8 %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Letonia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1.986.096</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0,4 %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1,2 %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1,0 %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Eslovenia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2.062.874</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0,5 %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1,2 %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1,0 %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Lituania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2.921.262</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0,7 %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11</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1,6 %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1,5 %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Croacia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4.225.316</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1,0 %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11</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1,6 %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1,6 %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Irlanda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4.628.949</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1,0 %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11</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1,6 %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1,6 %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Eslovaquia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5.421.349</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1,2 %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13</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1,9 %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1,8 %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Finlandia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5.471.753</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1,2 %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13</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1,9 %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1,8 %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Dinamarca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5.659.715</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1,3 %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13</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1,9 %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1,8 %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Bulgaria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7.202.198</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1,6 %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17</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2,5 %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2,4 %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Austria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8.576.261</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1,9 %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18</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2,7 %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2,6 %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Suecia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9.747.355</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2,2 %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20</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2,9 %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2,7 %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Hungría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9.855.571</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2,2 %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21</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3,7 %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3,0 %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Portugal</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10.374.822</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2,3 %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21</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3,7 %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Chequia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10.538.275</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2,4 %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21</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3,7 %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Grecia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10.858.018</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2,4 %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21</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3,7 %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Bélgica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11.208.956</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2,5 %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21</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3,7 %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Países Bajos</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16.900.726</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3,8 %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26</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3,8 %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13</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4,0 %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3,9 %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Rumanía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19.870.647</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4,5 %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32</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4,7 %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14</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4,3 %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4,5 %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Polonia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38.005.614</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8,6 %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51</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7,5 %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27</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8,4 %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8,2 %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España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46.449.565</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10,5 %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54</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8,0 %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27</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8,4 %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8,9 %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Italia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60.795.612</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13,7 %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73</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10,8 %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29</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9,0 %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11,2 %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Francia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66.415.161</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15,0 %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74</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10,9 %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29</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9,0 %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11,6 %</w:t>
            </w:r>
          </w:p>
        </w:tc>
      </w:tr>
      <w:tr>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Alemania</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pPr>
              <w:spacing w:after="0" w:line="240" w:lineRule="auto"/>
              <w:jc w:val="right"/>
              <w:rPr>
                <w:rFonts w:ascii="Arial" w:eastAsia="Times New Roman" w:hAnsi="Arial" w:cs="Arial"/>
                <w:noProof/>
                <w:sz w:val="18"/>
                <w:szCs w:val="18"/>
              </w:rPr>
            </w:pPr>
            <w:r>
              <w:rPr>
                <w:rFonts w:ascii="Arial" w:hAnsi="Arial"/>
                <w:noProof/>
                <w:sz w:val="18"/>
              </w:rPr>
              <w:t>81.197.537</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18,3 %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96</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14,2 %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29</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9,0 %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13,8 %</w:t>
            </w:r>
          </w:p>
        </w:tc>
      </w:tr>
      <w:tr>
        <w:trPr>
          <w:trHeight w:val="170"/>
        </w:trPr>
        <w:tc>
          <w:tcPr>
            <w:tcW w:w="1935" w:type="dxa"/>
            <w:tcBorders>
              <w:top w:val="nil"/>
              <w:left w:val="nil"/>
              <w:bottom w:val="single" w:sz="4" w:space="0" w:color="000000"/>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rPr>
            </w:pPr>
          </w:p>
        </w:tc>
        <w:tc>
          <w:tcPr>
            <w:tcW w:w="1334" w:type="dxa"/>
            <w:tcBorders>
              <w:top w:val="single" w:sz="4" w:space="0" w:color="000000"/>
              <w:left w:val="nil"/>
              <w:bottom w:val="single" w:sz="4" w:space="0" w:color="000000"/>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rPr>
            </w:pPr>
          </w:p>
        </w:tc>
        <w:tc>
          <w:tcPr>
            <w:tcW w:w="1335" w:type="dxa"/>
            <w:tcBorders>
              <w:top w:val="single" w:sz="4" w:space="0" w:color="000000"/>
              <w:left w:val="nil"/>
              <w:bottom w:val="single" w:sz="4" w:space="0" w:color="000000"/>
              <w:right w:val="nil"/>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p>
        </w:tc>
        <w:tc>
          <w:tcPr>
            <w:tcW w:w="1683" w:type="dxa"/>
            <w:tcBorders>
              <w:top w:val="single" w:sz="4" w:space="0" w:color="000000"/>
              <w:left w:val="nil"/>
              <w:bottom w:val="single" w:sz="4" w:space="0" w:color="000000"/>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rPr>
            </w:pPr>
          </w:p>
        </w:tc>
        <w:tc>
          <w:tcPr>
            <w:tcW w:w="1071" w:type="dxa"/>
            <w:tcBorders>
              <w:top w:val="single" w:sz="4" w:space="0" w:color="000000"/>
              <w:left w:val="nil"/>
              <w:bottom w:val="single" w:sz="4" w:space="0" w:color="000000"/>
              <w:right w:val="nil"/>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p>
        </w:tc>
        <w:tc>
          <w:tcPr>
            <w:tcW w:w="1409" w:type="dxa"/>
            <w:tcBorders>
              <w:top w:val="single" w:sz="4" w:space="0" w:color="000000"/>
              <w:left w:val="nil"/>
              <w:bottom w:val="single" w:sz="4" w:space="0" w:color="000000"/>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rPr>
            </w:pPr>
          </w:p>
        </w:tc>
        <w:tc>
          <w:tcPr>
            <w:tcW w:w="1409" w:type="dxa"/>
            <w:tcBorders>
              <w:top w:val="single" w:sz="4" w:space="0" w:color="000000"/>
              <w:left w:val="nil"/>
              <w:bottom w:val="single" w:sz="4" w:space="0" w:color="000000"/>
              <w:right w:val="nil"/>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p>
        </w:tc>
        <w:tc>
          <w:tcPr>
            <w:tcW w:w="1404" w:type="dxa"/>
            <w:tcBorders>
              <w:top w:val="single" w:sz="4" w:space="0" w:color="000000"/>
              <w:left w:val="nil"/>
              <w:bottom w:val="single" w:sz="4" w:space="0" w:color="000000"/>
              <w:right w:val="nil"/>
            </w:tcBorders>
            <w:shd w:val="clear" w:color="auto" w:fill="auto"/>
            <w:noWrap/>
            <w:vAlign w:val="bottom"/>
            <w:hideMark/>
          </w:tcPr>
          <w:p>
            <w:pPr>
              <w:spacing w:after="0" w:line="240" w:lineRule="auto"/>
              <w:rPr>
                <w:rFonts w:ascii="Calibri" w:eastAsia="Times New Roman" w:hAnsi="Calibri" w:cs="Times New Roman"/>
                <w:noProof/>
                <w:color w:val="000000"/>
                <w:sz w:val="18"/>
                <w:szCs w:val="18"/>
              </w:rPr>
            </w:pPr>
          </w:p>
        </w:tc>
      </w:tr>
      <w:tr>
        <w:trPr>
          <w:trHeight w:val="170"/>
        </w:trPr>
        <w:tc>
          <w:tcPr>
            <w:tcW w:w="1935" w:type="dxa"/>
            <w:tcBorders>
              <w:top w:val="single" w:sz="4" w:space="0" w:color="000000"/>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Total</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sz w:val="18"/>
                <w:szCs w:val="18"/>
              </w:rPr>
            </w:pPr>
            <w:r>
              <w:rPr>
                <w:rFonts w:ascii="Calibri" w:hAnsi="Calibri"/>
                <w:noProof/>
                <w:color w:val="000000"/>
                <w:sz w:val="18"/>
              </w:rPr>
              <w:t>443.526.213</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100,0 %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678</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100,0 %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323</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100,0 %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100,0 %</w:t>
            </w:r>
          </w:p>
        </w:tc>
      </w:tr>
    </w:tbl>
    <w:p>
      <w:pPr>
        <w:spacing w:after="0" w:line="240" w:lineRule="auto"/>
        <w:rPr>
          <w:rFonts w:ascii="Times New Roman" w:eastAsia="Times New Roman" w:hAnsi="Times New Roman" w:cs="Times New Roman"/>
          <w:noProof/>
          <w:sz w:val="24"/>
          <w:szCs w:val="20"/>
        </w:rPr>
      </w:pPr>
      <w:r>
        <w:rPr>
          <w:noProof/>
        </w:rPr>
        <w:br w:type="page"/>
      </w:r>
    </w:p>
    <w:p>
      <w:pPr>
        <w:spacing w:after="240" w:line="240" w:lineRule="auto"/>
        <w:jc w:val="both"/>
        <w:rPr>
          <w:rFonts w:ascii="Times New Roman" w:eastAsia="Times New Roman" w:hAnsi="Times New Roman" w:cs="Times New Roman"/>
          <w:noProof/>
          <w:sz w:val="24"/>
          <w:szCs w:val="20"/>
        </w:rPr>
        <w:sectPr>
          <w:headerReference w:type="even" r:id="rId46"/>
          <w:headerReference w:type="default" r:id="rId47"/>
          <w:footerReference w:type="even" r:id="rId48"/>
          <w:footerReference w:type="default" r:id="rId49"/>
          <w:headerReference w:type="first" r:id="rId50"/>
          <w:footerReference w:type="first" r:id="rId51"/>
          <w:pgSz w:w="16838" w:h="11906" w:orient="landscape"/>
          <w:pgMar w:top="1134" w:right="1021" w:bottom="1701" w:left="1021" w:header="567" w:footer="567" w:gutter="0"/>
          <w:cols w:space="720"/>
          <w:docGrid w:linePitch="326"/>
        </w:sectPr>
      </w:pPr>
    </w:p>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Anexo 6: Distribución de personal no directivo del grupo de funciones AD asignado a la DG Traducción o la DG Interpretación a 1 de enero de 2017</w:t>
      </w:r>
    </w:p>
    <w:tbl>
      <w:tblPr>
        <w:tblW w:w="11869" w:type="dxa"/>
        <w:tblInd w:w="-176" w:type="dxa"/>
        <w:tblLook w:val="04A0" w:firstRow="1" w:lastRow="0" w:firstColumn="1" w:lastColumn="0" w:noHBand="0" w:noVBand="1"/>
      </w:tblPr>
      <w:tblGrid>
        <w:gridCol w:w="1372"/>
        <w:gridCol w:w="996"/>
        <w:gridCol w:w="1357"/>
        <w:gridCol w:w="1060"/>
        <w:gridCol w:w="1357"/>
        <w:gridCol w:w="1080"/>
        <w:gridCol w:w="1100"/>
        <w:gridCol w:w="1120"/>
        <w:gridCol w:w="960"/>
        <w:gridCol w:w="1467"/>
      </w:tblGrid>
      <w:tr>
        <w:trPr>
          <w:trHeight w:val="616"/>
        </w:trPr>
        <w:tc>
          <w:tcPr>
            <w:tcW w:w="1918" w:type="dxa"/>
            <w:tcBorders>
              <w:top w:val="single" w:sz="4" w:space="0" w:color="000000"/>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Pobl. 2015 y diputados PE y votos en Consejo</w:t>
            </w:r>
          </w:p>
        </w:tc>
        <w:tc>
          <w:tcPr>
            <w:tcW w:w="2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Índice guía</w:t>
            </w:r>
          </w:p>
        </w:tc>
        <w:tc>
          <w:tcPr>
            <w:tcW w:w="2360"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Objetivos en cabezas</w:t>
            </w:r>
            <w:r>
              <w:rPr>
                <w:rFonts w:ascii="Arial" w:eastAsia="Times New Roman" w:hAnsi="Arial" w:cs="Arial"/>
                <w:b/>
                <w:bCs/>
                <w:noProof/>
                <w:sz w:val="18"/>
                <w:szCs w:val="18"/>
              </w:rPr>
              <w:br/>
            </w:r>
            <w:r>
              <w:rPr>
                <w:rFonts w:ascii="Arial" w:hAnsi="Arial"/>
                <w:b/>
                <w:noProof/>
                <w:sz w:val="18"/>
              </w:rPr>
              <w:t xml:space="preserve">(en 2017) </w:t>
            </w:r>
          </w:p>
        </w:tc>
        <w:tc>
          <w:tcPr>
            <w:tcW w:w="2180"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Situación real a 1 de enero de 2017</w:t>
            </w:r>
          </w:p>
        </w:tc>
        <w:tc>
          <w:tcPr>
            <w:tcW w:w="2080"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lang w:val="pt-PT"/>
              </w:rPr>
            </w:pPr>
            <w:r>
              <w:rPr>
                <w:rFonts w:ascii="Arial" w:hAnsi="Arial"/>
                <w:b/>
                <w:noProof/>
                <w:sz w:val="18"/>
                <w:lang w:val="pt-PT"/>
              </w:rPr>
              <w:t xml:space="preserve">Superávit o déficit </w:t>
            </w:r>
            <w:r>
              <w:rPr>
                <w:rFonts w:ascii="Arial" w:eastAsia="Times New Roman" w:hAnsi="Arial" w:cs="Arial"/>
                <w:b/>
                <w:bCs/>
                <w:noProof/>
                <w:sz w:val="18"/>
                <w:szCs w:val="18"/>
                <w:lang w:val="pt-PT"/>
              </w:rPr>
              <w:br/>
            </w:r>
            <w:r>
              <w:rPr>
                <w:rFonts w:ascii="Arial" w:hAnsi="Arial"/>
                <w:b/>
                <w:noProof/>
                <w:sz w:val="18"/>
                <w:lang w:val="pt-PT"/>
              </w:rPr>
              <w:t>vs. objetivo</w:t>
            </w:r>
          </w:p>
        </w:tc>
        <w:tc>
          <w:tcPr>
            <w:tcW w:w="1207"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¿Desequilibrio significativo observado?</w:t>
            </w:r>
          </w:p>
        </w:tc>
      </w:tr>
      <w:tr>
        <w:trPr>
          <w:trHeight w:val="720"/>
        </w:trPr>
        <w:tc>
          <w:tcPr>
            <w:tcW w:w="1918" w:type="dxa"/>
            <w:tcBorders>
              <w:top w:val="single" w:sz="4" w:space="0" w:color="000000"/>
              <w:left w:val="single" w:sz="4" w:space="0" w:color="auto"/>
              <w:bottom w:val="single" w:sz="4" w:space="0" w:color="auto"/>
              <w:right w:val="single" w:sz="4" w:space="0" w:color="auto"/>
            </w:tcBorders>
            <w:shd w:val="clear" w:color="000000" w:fill="99CCFF"/>
            <w:vAlign w:val="center"/>
            <w:hideMark/>
          </w:tcPr>
          <w:p>
            <w:pPr>
              <w:spacing w:after="0" w:line="240" w:lineRule="auto"/>
              <w:rPr>
                <w:rFonts w:ascii="Arial" w:eastAsia="Times New Roman" w:hAnsi="Arial" w:cs="Arial"/>
                <w:b/>
                <w:bCs/>
                <w:noProof/>
                <w:sz w:val="18"/>
                <w:szCs w:val="18"/>
                <w:lang w:val="it-IT"/>
              </w:rPr>
            </w:pPr>
            <w:r>
              <w:rPr>
                <w:rFonts w:ascii="Arial" w:hAnsi="Arial"/>
                <w:b/>
                <w:noProof/>
                <w:sz w:val="18"/>
                <w:lang w:val="it-IT"/>
              </w:rPr>
              <w:t>AD5-AD14</w:t>
            </w:r>
            <w:r>
              <w:rPr>
                <w:rFonts w:ascii="Arial" w:eastAsia="Times New Roman" w:hAnsi="Arial" w:cs="Arial"/>
                <w:b/>
                <w:bCs/>
                <w:noProof/>
                <w:sz w:val="18"/>
                <w:szCs w:val="18"/>
                <w:lang w:val="it-IT"/>
              </w:rPr>
              <w:br/>
            </w:r>
            <w:r>
              <w:rPr>
                <w:rFonts w:ascii="Arial" w:hAnsi="Arial"/>
                <w:b/>
                <w:noProof/>
                <w:sz w:val="18"/>
                <w:lang w:val="it-IT"/>
              </w:rPr>
              <w:t>no directivo</w:t>
            </w:r>
            <w:r>
              <w:rPr>
                <w:rFonts w:ascii="Arial" w:eastAsia="Times New Roman" w:hAnsi="Arial" w:cs="Arial"/>
                <w:b/>
                <w:bCs/>
                <w:noProof/>
                <w:sz w:val="18"/>
                <w:szCs w:val="18"/>
                <w:lang w:val="it-IT"/>
              </w:rPr>
              <w:br/>
            </w:r>
            <w:r>
              <w:rPr>
                <w:rFonts w:ascii="Arial" w:hAnsi="Arial"/>
                <w:b/>
                <w:noProof/>
                <w:sz w:val="18"/>
                <w:lang w:val="it-IT"/>
              </w:rPr>
              <w:t>DGT &amp; SCIC</w:t>
            </w:r>
          </w:p>
        </w:tc>
        <w:tc>
          <w:tcPr>
            <w:tcW w:w="987" w:type="dxa"/>
            <w:tcBorders>
              <w:top w:val="single" w:sz="4" w:space="0" w:color="000000"/>
              <w:left w:val="nil"/>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Absoluto</w:t>
            </w:r>
          </w:p>
        </w:tc>
        <w:tc>
          <w:tcPr>
            <w:tcW w:w="1137" w:type="dxa"/>
            <w:tcBorders>
              <w:top w:val="single" w:sz="4" w:space="0" w:color="000000"/>
              <w:left w:val="dotted" w:sz="4" w:space="0" w:color="auto"/>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Desequilibrio significativo si inferior</w:t>
            </w:r>
          </w:p>
        </w:tc>
        <w:tc>
          <w:tcPr>
            <w:tcW w:w="1060" w:type="dxa"/>
            <w:tcBorders>
              <w:top w:val="single" w:sz="4" w:space="0" w:color="000000"/>
              <w:left w:val="nil"/>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Absoluto</w:t>
            </w:r>
          </w:p>
        </w:tc>
        <w:tc>
          <w:tcPr>
            <w:tcW w:w="1300" w:type="dxa"/>
            <w:tcBorders>
              <w:top w:val="single" w:sz="4" w:space="0" w:color="000000"/>
              <w:left w:val="dotted" w:sz="4" w:space="0" w:color="auto"/>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Desequilibrio significativo si inferior</w:t>
            </w:r>
          </w:p>
        </w:tc>
        <w:tc>
          <w:tcPr>
            <w:tcW w:w="1080" w:type="dxa"/>
            <w:tcBorders>
              <w:top w:val="single" w:sz="4" w:space="0" w:color="000000"/>
              <w:left w:val="nil"/>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Cabezas</w:t>
            </w:r>
          </w:p>
        </w:tc>
        <w:tc>
          <w:tcPr>
            <w:tcW w:w="1100" w:type="dxa"/>
            <w:tcBorders>
              <w:top w:val="single" w:sz="4" w:space="0" w:color="000000"/>
              <w:left w:val="dotted" w:sz="4" w:space="0" w:color="auto"/>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Cabezas</w:t>
            </w:r>
          </w:p>
        </w:tc>
        <w:tc>
          <w:tcPr>
            <w:tcW w:w="1120" w:type="dxa"/>
            <w:tcBorders>
              <w:top w:val="single" w:sz="4" w:space="0" w:color="000000"/>
              <w:left w:val="nil"/>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Cabezas</w:t>
            </w:r>
            <w:r>
              <w:rPr>
                <w:rFonts w:ascii="Arial" w:eastAsia="Times New Roman" w:hAnsi="Arial" w:cs="Arial"/>
                <w:b/>
                <w:bCs/>
                <w:noProof/>
                <w:sz w:val="18"/>
                <w:szCs w:val="18"/>
              </w:rPr>
              <w:br/>
            </w:r>
            <w:r>
              <w:rPr>
                <w:rFonts w:ascii="Arial" w:hAnsi="Arial"/>
                <w:b/>
                <w:noProof/>
                <w:sz w:val="18"/>
              </w:rPr>
              <w:t>(en 2017)</w:t>
            </w:r>
          </w:p>
        </w:tc>
        <w:tc>
          <w:tcPr>
            <w:tcW w:w="960" w:type="dxa"/>
            <w:tcBorders>
              <w:top w:val="single" w:sz="4" w:space="0" w:color="000000"/>
              <w:left w:val="dotted" w:sz="4" w:space="0" w:color="auto"/>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 xml:space="preserve">% de </w:t>
            </w:r>
            <w:r>
              <w:rPr>
                <w:rFonts w:ascii="Arial" w:eastAsia="Times New Roman" w:hAnsi="Arial" w:cs="Arial"/>
                <w:b/>
                <w:bCs/>
                <w:noProof/>
                <w:sz w:val="18"/>
                <w:szCs w:val="18"/>
              </w:rPr>
              <w:br/>
            </w:r>
            <w:r>
              <w:rPr>
                <w:rFonts w:ascii="Arial" w:hAnsi="Arial"/>
                <w:b/>
                <w:noProof/>
                <w:sz w:val="18"/>
              </w:rPr>
              <w:t>objetivo</w:t>
            </w:r>
          </w:p>
        </w:tc>
        <w:tc>
          <w:tcPr>
            <w:tcW w:w="1207" w:type="dxa"/>
            <w:vMerge/>
            <w:tcBorders>
              <w:top w:val="single" w:sz="4" w:space="0" w:color="000000"/>
              <w:left w:val="single" w:sz="4" w:space="0" w:color="000000"/>
              <w:bottom w:val="single" w:sz="4" w:space="0" w:color="auto"/>
              <w:right w:val="single" w:sz="4" w:space="0" w:color="auto"/>
            </w:tcBorders>
            <w:vAlign w:val="center"/>
            <w:hideMark/>
          </w:tcPr>
          <w:p>
            <w:pPr>
              <w:spacing w:after="0" w:line="240" w:lineRule="auto"/>
              <w:jc w:val="center"/>
              <w:rPr>
                <w:rFonts w:ascii="Arial" w:eastAsia="Times New Roman" w:hAnsi="Arial" w:cs="Arial"/>
                <w:b/>
                <w:bCs/>
                <w:noProof/>
                <w:sz w:val="18"/>
                <w:szCs w:val="18"/>
              </w:rPr>
            </w:pPr>
          </w:p>
        </w:tc>
      </w:tr>
      <w:tr>
        <w:trPr>
          <w:trHeight w:val="240"/>
        </w:trPr>
        <w:tc>
          <w:tcPr>
            <w:tcW w:w="1918" w:type="dxa"/>
            <w:tcBorders>
              <w:top w:val="single" w:sz="4" w:space="0" w:color="auto"/>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Bélgica</w:t>
            </w:r>
          </w:p>
        </w:tc>
        <w:tc>
          <w:tcPr>
            <w:tcW w:w="987" w:type="dxa"/>
            <w:tcBorders>
              <w:top w:val="single"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single"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2,5 %</w:t>
            </w:r>
          </w:p>
        </w:tc>
        <w:tc>
          <w:tcPr>
            <w:tcW w:w="1060" w:type="dxa"/>
            <w:tcBorders>
              <w:top w:val="single"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63</w:t>
            </w:r>
          </w:p>
        </w:tc>
        <w:tc>
          <w:tcPr>
            <w:tcW w:w="1300" w:type="dxa"/>
            <w:tcBorders>
              <w:top w:val="single"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50</w:t>
            </w:r>
          </w:p>
        </w:tc>
        <w:tc>
          <w:tcPr>
            <w:tcW w:w="1080" w:type="dxa"/>
            <w:tcBorders>
              <w:top w:val="single"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147</w:t>
            </w:r>
          </w:p>
        </w:tc>
        <w:tc>
          <w:tcPr>
            <w:tcW w:w="1100" w:type="dxa"/>
            <w:tcBorders>
              <w:top w:val="single"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7,3 %</w:t>
            </w:r>
          </w:p>
        </w:tc>
        <w:tc>
          <w:tcPr>
            <w:tcW w:w="1120" w:type="dxa"/>
            <w:tcBorders>
              <w:top w:val="single"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84 </w:t>
            </w:r>
          </w:p>
        </w:tc>
        <w:tc>
          <w:tcPr>
            <w:tcW w:w="960" w:type="dxa"/>
            <w:tcBorders>
              <w:top w:val="single"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233 %</w:t>
            </w:r>
          </w:p>
        </w:tc>
        <w:tc>
          <w:tcPr>
            <w:tcW w:w="1207" w:type="dxa"/>
            <w:tcBorders>
              <w:top w:val="single"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Bulgaria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2,4 %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1,9 %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49</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39</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75</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3,7 %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26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154 %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Chequia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62</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50</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80</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3,9 %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18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129 %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Dinamarca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36</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29</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65</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3,2 %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29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180 %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Alemania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13,8 %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11,1 %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280</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224</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165</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8,1 %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-115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59 %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Estonia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0,6 %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16</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13</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67</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3,3 %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51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410 %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Irlanda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1,3 %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33</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40</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2,0 %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7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123 %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Grecia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63</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50</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84</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4,1 %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21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134 %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España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8,9 %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7,1 %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181</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145</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124</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6,1 %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-57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69 %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Francia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11,6 %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9,3 %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235</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188</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98</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4,8 %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-137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42 %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Croacia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1,3 %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32</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59</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2,9 %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27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184 %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Italia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11,2 %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8,9 %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226</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181</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129</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6,4 %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-97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57 %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Chipre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0,6 %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16</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13</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0,2 %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-12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26 %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Letonia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0,8 %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19</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15</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70</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3,5 %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51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362 %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Lituania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1,5 %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1,2 %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30</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24</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71</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3,5 %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41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236 %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Luxemburgo</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0,6 %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15</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0,1 %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-12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Hungría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3,0 %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61</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49</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74</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3,7 %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13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121 %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Malta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0,5 %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13</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58</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2,9 %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45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450 %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Países Bajos</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3,9 %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3,1 %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79</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63</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41</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2,0 %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-38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52 %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Austria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2,0 %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52</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42</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13</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0,6 %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-39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25 %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Polonia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8,2 %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6,5 %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165</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132</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86</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4,2 %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-79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52 %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Portugal</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62</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49</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89</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4,4 %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27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144 %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Rumanía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4,5 %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3,6 %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91</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73</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80</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3,9 %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-11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88 %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Eslovenia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0,8 %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19</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72</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3,6 %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53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370 %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Eslovaquia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36</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29</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70</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3,5 %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34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195 %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Finlandia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36</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29</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94</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4,6 %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58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262 %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jc w:val="center"/>
              <w:rPr>
                <w:rFonts w:ascii="Arial" w:eastAsia="Times New Roman" w:hAnsi="Arial" w:cs="Arial"/>
                <w:b/>
                <w:bCs/>
                <w:noProof/>
                <w:sz w:val="18"/>
                <w:szCs w:val="18"/>
              </w:rPr>
            </w:pPr>
            <w:r>
              <w:rPr>
                <w:rFonts w:ascii="Arial" w:hAnsi="Arial"/>
                <w:b/>
                <w:noProof/>
                <w:sz w:val="18"/>
              </w:rPr>
              <w:t>Suecia</w:t>
            </w:r>
          </w:p>
        </w:tc>
        <w:tc>
          <w:tcPr>
            <w:tcW w:w="987" w:type="dxa"/>
            <w:tcBorders>
              <w:top w:val="dotted" w:sz="4" w:space="0" w:color="auto"/>
              <w:left w:val="nil"/>
              <w:bottom w:val="single" w:sz="4" w:space="0" w:color="000000"/>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2,7 %</w:t>
            </w:r>
          </w:p>
        </w:tc>
        <w:tc>
          <w:tcPr>
            <w:tcW w:w="1137" w:type="dxa"/>
            <w:tcBorders>
              <w:top w:val="dotted" w:sz="4" w:space="0" w:color="auto"/>
              <w:left w:val="dotted" w:sz="4" w:space="0" w:color="auto"/>
              <w:bottom w:val="single" w:sz="4" w:space="0" w:color="000000"/>
              <w:right w:val="single" w:sz="4" w:space="0" w:color="000000"/>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2,2 %</w:t>
            </w:r>
          </w:p>
        </w:tc>
        <w:tc>
          <w:tcPr>
            <w:tcW w:w="1060" w:type="dxa"/>
            <w:tcBorders>
              <w:top w:val="dotted" w:sz="4" w:space="0" w:color="auto"/>
              <w:left w:val="nil"/>
              <w:bottom w:val="single" w:sz="4" w:space="0" w:color="000000"/>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56</w:t>
            </w:r>
          </w:p>
        </w:tc>
        <w:tc>
          <w:tcPr>
            <w:tcW w:w="1300" w:type="dxa"/>
            <w:tcBorders>
              <w:top w:val="dotted" w:sz="4" w:space="0" w:color="auto"/>
              <w:left w:val="dotted" w:sz="4" w:space="0" w:color="auto"/>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45</w:t>
            </w:r>
          </w:p>
        </w:tc>
        <w:tc>
          <w:tcPr>
            <w:tcW w:w="1080" w:type="dxa"/>
            <w:tcBorders>
              <w:top w:val="dotted" w:sz="4" w:space="0" w:color="auto"/>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68</w:t>
            </w:r>
          </w:p>
        </w:tc>
        <w:tc>
          <w:tcPr>
            <w:tcW w:w="1100" w:type="dxa"/>
            <w:tcBorders>
              <w:top w:val="dotted" w:sz="4" w:space="0" w:color="auto"/>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3,4 %</w:t>
            </w:r>
          </w:p>
        </w:tc>
        <w:tc>
          <w:tcPr>
            <w:tcW w:w="1120" w:type="dxa"/>
            <w:tcBorders>
              <w:top w:val="dotted" w:sz="4" w:space="0" w:color="auto"/>
              <w:left w:val="nil"/>
              <w:bottom w:val="single" w:sz="4" w:space="0" w:color="000000"/>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12 </w:t>
            </w:r>
          </w:p>
        </w:tc>
        <w:tc>
          <w:tcPr>
            <w:tcW w:w="960" w:type="dxa"/>
            <w:tcBorders>
              <w:top w:val="dotted" w:sz="4" w:space="0" w:color="auto"/>
              <w:left w:val="dotted" w:sz="4" w:space="0" w:color="auto"/>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122 %</w:t>
            </w:r>
          </w:p>
        </w:tc>
        <w:tc>
          <w:tcPr>
            <w:tcW w:w="1207" w:type="dxa"/>
            <w:tcBorders>
              <w:top w:val="dotted" w:sz="4" w:space="0" w:color="auto"/>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bl>
    <w:p>
      <w:pPr>
        <w:rPr>
          <w:noProof/>
        </w:rPr>
      </w:pPr>
    </w:p>
    <w:p>
      <w:pPr>
        <w:spacing w:after="0" w:line="240" w:lineRule="auto"/>
        <w:rPr>
          <w:rFonts w:ascii="Times New Roman" w:eastAsia="Times New Roman" w:hAnsi="Times New Roman" w:cs="Times New Roman"/>
          <w:noProof/>
          <w:sz w:val="24"/>
          <w:szCs w:val="20"/>
        </w:rPr>
      </w:pPr>
      <w:r>
        <w:rPr>
          <w:noProof/>
        </w:rPr>
        <w:br w:type="page"/>
      </w:r>
    </w:p>
    <w:p>
      <w:pPr>
        <w:spacing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Anexo 7a: Distribución del personal AD5-AD8 asignado a servicios distintos de DG Traducción o DG Interpretación a 1 de enero de 2017</w:t>
      </w:r>
    </w:p>
    <w:tbl>
      <w:tblPr>
        <w:tblW w:w="11727" w:type="dxa"/>
        <w:tblInd w:w="-34" w:type="dxa"/>
        <w:tblLook w:val="04A0" w:firstRow="1" w:lastRow="0" w:firstColumn="1" w:lastColumn="0" w:noHBand="0" w:noVBand="1"/>
      </w:tblPr>
      <w:tblGrid>
        <w:gridCol w:w="1307"/>
        <w:gridCol w:w="996"/>
        <w:gridCol w:w="1357"/>
        <w:gridCol w:w="1060"/>
        <w:gridCol w:w="1357"/>
        <w:gridCol w:w="1080"/>
        <w:gridCol w:w="1100"/>
        <w:gridCol w:w="1120"/>
        <w:gridCol w:w="960"/>
        <w:gridCol w:w="1467"/>
      </w:tblGrid>
      <w:tr>
        <w:trPr>
          <w:trHeight w:val="758"/>
        </w:trPr>
        <w:tc>
          <w:tcPr>
            <w:tcW w:w="1776" w:type="dxa"/>
            <w:tcBorders>
              <w:top w:val="single" w:sz="4" w:space="0" w:color="000000"/>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Pobl. 2015 y diputados PE y votos en Consejo</w:t>
            </w:r>
          </w:p>
        </w:tc>
        <w:tc>
          <w:tcPr>
            <w:tcW w:w="2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Índice guía</w:t>
            </w:r>
          </w:p>
        </w:tc>
        <w:tc>
          <w:tcPr>
            <w:tcW w:w="2360"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Objetivos en cabezas</w:t>
            </w:r>
            <w:r>
              <w:rPr>
                <w:rFonts w:ascii="Arial" w:eastAsia="Times New Roman" w:hAnsi="Arial" w:cs="Arial"/>
                <w:b/>
                <w:bCs/>
                <w:noProof/>
                <w:sz w:val="18"/>
                <w:szCs w:val="18"/>
              </w:rPr>
              <w:br/>
            </w:r>
            <w:r>
              <w:rPr>
                <w:rFonts w:ascii="Arial" w:hAnsi="Arial"/>
                <w:b/>
                <w:noProof/>
                <w:sz w:val="18"/>
              </w:rPr>
              <w:t xml:space="preserve">(en 2017) </w:t>
            </w:r>
          </w:p>
        </w:tc>
        <w:tc>
          <w:tcPr>
            <w:tcW w:w="2180"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Situación real a 1 de enero de 2017</w:t>
            </w:r>
          </w:p>
        </w:tc>
        <w:tc>
          <w:tcPr>
            <w:tcW w:w="2080"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lang w:val="pt-PT"/>
              </w:rPr>
            </w:pPr>
            <w:r>
              <w:rPr>
                <w:rFonts w:ascii="Arial" w:hAnsi="Arial"/>
                <w:b/>
                <w:noProof/>
                <w:sz w:val="18"/>
                <w:lang w:val="pt-PT"/>
              </w:rPr>
              <w:t xml:space="preserve">Superávit o déficit </w:t>
            </w:r>
            <w:r>
              <w:rPr>
                <w:rFonts w:ascii="Arial" w:eastAsia="Times New Roman" w:hAnsi="Arial" w:cs="Arial"/>
                <w:b/>
                <w:bCs/>
                <w:noProof/>
                <w:sz w:val="18"/>
                <w:szCs w:val="18"/>
                <w:lang w:val="pt-PT"/>
              </w:rPr>
              <w:br/>
            </w:r>
            <w:r>
              <w:rPr>
                <w:rFonts w:ascii="Arial" w:hAnsi="Arial"/>
                <w:b/>
                <w:noProof/>
                <w:sz w:val="18"/>
                <w:lang w:val="pt-PT"/>
              </w:rPr>
              <w:t>vs. objetivo</w:t>
            </w:r>
          </w:p>
        </w:tc>
        <w:tc>
          <w:tcPr>
            <w:tcW w:w="1207"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¿Desequilibrio significativo observado?</w:t>
            </w:r>
          </w:p>
        </w:tc>
      </w:tr>
      <w:tr>
        <w:trPr>
          <w:trHeight w:val="720"/>
        </w:trPr>
        <w:tc>
          <w:tcPr>
            <w:tcW w:w="1776" w:type="dxa"/>
            <w:tcBorders>
              <w:top w:val="nil"/>
              <w:left w:val="single" w:sz="4" w:space="0" w:color="auto"/>
              <w:bottom w:val="single" w:sz="4" w:space="0" w:color="auto"/>
              <w:right w:val="single" w:sz="4" w:space="0" w:color="auto"/>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AD5-AD8</w:t>
            </w:r>
            <w:r>
              <w:rPr>
                <w:rFonts w:ascii="Arial" w:eastAsia="Times New Roman" w:hAnsi="Arial" w:cs="Arial"/>
                <w:b/>
                <w:bCs/>
                <w:noProof/>
                <w:sz w:val="18"/>
                <w:szCs w:val="18"/>
              </w:rPr>
              <w:br/>
            </w:r>
            <w:r>
              <w:rPr>
                <w:rFonts w:ascii="Arial" w:hAnsi="Arial"/>
                <w:b/>
                <w:noProof/>
                <w:sz w:val="18"/>
              </w:rPr>
              <w:t>DGT &amp; SCIC</w:t>
            </w:r>
          </w:p>
        </w:tc>
        <w:tc>
          <w:tcPr>
            <w:tcW w:w="987" w:type="dxa"/>
            <w:tcBorders>
              <w:top w:val="single" w:sz="4" w:space="0" w:color="000000"/>
              <w:left w:val="nil"/>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Absoluto</w:t>
            </w:r>
          </w:p>
        </w:tc>
        <w:tc>
          <w:tcPr>
            <w:tcW w:w="113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Desequilibrio significativo si inferior</w:t>
            </w:r>
          </w:p>
        </w:tc>
        <w:tc>
          <w:tcPr>
            <w:tcW w:w="1060" w:type="dxa"/>
            <w:tcBorders>
              <w:top w:val="nil"/>
              <w:left w:val="nil"/>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Absoluto</w:t>
            </w:r>
          </w:p>
        </w:tc>
        <w:tc>
          <w:tcPr>
            <w:tcW w:w="1300" w:type="dxa"/>
            <w:tcBorders>
              <w:top w:val="nil"/>
              <w:left w:val="nil"/>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Desequilibrio significativo si inferior</w:t>
            </w:r>
          </w:p>
        </w:tc>
        <w:tc>
          <w:tcPr>
            <w:tcW w:w="1080" w:type="dxa"/>
            <w:tcBorders>
              <w:top w:val="single" w:sz="4" w:space="0" w:color="000000"/>
              <w:left w:val="nil"/>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Cabezas</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Cabezas</w:t>
            </w:r>
          </w:p>
        </w:tc>
        <w:tc>
          <w:tcPr>
            <w:tcW w:w="1120" w:type="dxa"/>
            <w:tcBorders>
              <w:top w:val="nil"/>
              <w:left w:val="nil"/>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Cabezas</w:t>
            </w:r>
            <w:r>
              <w:rPr>
                <w:rFonts w:ascii="Arial" w:eastAsia="Times New Roman" w:hAnsi="Arial" w:cs="Arial"/>
                <w:b/>
                <w:bCs/>
                <w:noProof/>
                <w:sz w:val="18"/>
                <w:szCs w:val="18"/>
              </w:rPr>
              <w:br/>
            </w:r>
            <w:r>
              <w:rPr>
                <w:rFonts w:ascii="Arial" w:hAnsi="Arial"/>
                <w:b/>
                <w:noProof/>
                <w:sz w:val="18"/>
              </w:rPr>
              <w:t>(en 2017)</w:t>
            </w:r>
          </w:p>
        </w:tc>
        <w:tc>
          <w:tcPr>
            <w:tcW w:w="960" w:type="dxa"/>
            <w:tcBorders>
              <w:top w:val="nil"/>
              <w:left w:val="nil"/>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 xml:space="preserve">% del </w:t>
            </w:r>
            <w:r>
              <w:rPr>
                <w:rFonts w:ascii="Arial" w:eastAsia="Times New Roman" w:hAnsi="Arial" w:cs="Arial"/>
                <w:b/>
                <w:bCs/>
                <w:noProof/>
                <w:sz w:val="18"/>
                <w:szCs w:val="18"/>
              </w:rPr>
              <w:br/>
            </w:r>
            <w:r>
              <w:rPr>
                <w:rFonts w:ascii="Arial" w:hAnsi="Arial"/>
                <w:b/>
                <w:noProof/>
                <w:sz w:val="18"/>
              </w:rPr>
              <w:t>objetivo</w:t>
            </w:r>
          </w:p>
        </w:tc>
        <w:tc>
          <w:tcPr>
            <w:tcW w:w="1207" w:type="dxa"/>
            <w:vMerge/>
            <w:tcBorders>
              <w:top w:val="single" w:sz="4" w:space="0" w:color="000000"/>
              <w:left w:val="single" w:sz="4" w:space="0" w:color="000000"/>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Bélgica</w:t>
            </w:r>
          </w:p>
        </w:tc>
        <w:tc>
          <w:tcPr>
            <w:tcW w:w="987" w:type="dxa"/>
            <w:tcBorders>
              <w:top w:val="nil"/>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nil"/>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2,5 %</w:t>
            </w:r>
          </w:p>
        </w:tc>
        <w:tc>
          <w:tcPr>
            <w:tcW w:w="1060" w:type="dxa"/>
            <w:tcBorders>
              <w:top w:val="single" w:sz="4" w:space="0" w:color="000000"/>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131</w:t>
            </w:r>
          </w:p>
        </w:tc>
        <w:tc>
          <w:tcPr>
            <w:tcW w:w="1300" w:type="dxa"/>
            <w:tcBorders>
              <w:top w:val="single" w:sz="4" w:space="0" w:color="000000"/>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105</w:t>
            </w:r>
          </w:p>
        </w:tc>
        <w:tc>
          <w:tcPr>
            <w:tcW w:w="1080" w:type="dxa"/>
            <w:tcBorders>
              <w:top w:val="single" w:sz="4" w:space="0" w:color="000000"/>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300</w:t>
            </w:r>
          </w:p>
        </w:tc>
        <w:tc>
          <w:tcPr>
            <w:tcW w:w="1100" w:type="dxa"/>
            <w:tcBorders>
              <w:top w:val="single" w:sz="4" w:space="0" w:color="000000"/>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7,1 %</w:t>
            </w:r>
          </w:p>
        </w:tc>
        <w:tc>
          <w:tcPr>
            <w:tcW w:w="1120" w:type="dxa"/>
            <w:tcBorders>
              <w:top w:val="single" w:sz="4" w:space="0" w:color="000000"/>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169 </w:t>
            </w:r>
          </w:p>
        </w:tc>
        <w:tc>
          <w:tcPr>
            <w:tcW w:w="960" w:type="dxa"/>
            <w:tcBorders>
              <w:top w:val="single" w:sz="4" w:space="0" w:color="000000"/>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229 %</w:t>
            </w:r>
          </w:p>
        </w:tc>
        <w:tc>
          <w:tcPr>
            <w:tcW w:w="1207" w:type="dxa"/>
            <w:tcBorders>
              <w:top w:val="single" w:sz="4" w:space="0" w:color="000000"/>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Bulgaria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2,4 %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1,9 %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102</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81</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259</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6,1 %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157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255 %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Chequia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129</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103</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135</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3,2 %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6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105 %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Dinamarca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75</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60</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25</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0,6 %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-50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33 %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Alemania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13,8 %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11,1 %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582</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466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354</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8,4 %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-228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61 %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Estonia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0,6 %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34</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27</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39</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0,9 %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5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115 %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Irlanda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1,3 %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68</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54</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28</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0,7 %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-40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41 %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Grecia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130</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104</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145</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3,4 %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15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111 %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España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8,9 %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7,1 %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377</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301</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318</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7,5 %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-59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84 %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Francia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11,6 %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9,3 %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490</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392</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353</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8,4 %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-137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72 %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Croacia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1,3 %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67</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53</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93</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2,2 %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26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140 %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Italia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11,2 %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8,9 %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470</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376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441</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10,5 %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-29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94 %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Chipre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0,6 %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33</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34</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0,8 %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1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105 %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Letonia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0,8 %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40</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32</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48</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1,1 %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8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119 %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Lituania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1,5 %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1,2 %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63</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50</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77</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1,8 %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14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123 %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Luxemburgo</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0,6 %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32</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25</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0,0 %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-32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Hungría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3,0 %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127</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102</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218</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5,2 %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91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172 %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Malta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0,5 %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27</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21</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30</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0,7 %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3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112 %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Países Bajos</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3,9 %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3,1 %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164</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131</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82</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1,9 %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-82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Austria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2,0 %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108</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65</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1,5 %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-43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Polonia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8,2 %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6,5 %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344</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275</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462</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11,0 %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118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134 %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Portugal</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129</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103</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61</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1,4 %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-68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47 %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Rumanía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4,5 %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3,6 %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190</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152</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453</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10,7 %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263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238 %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Eslovenia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0,8 %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41</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32</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50</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9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123 %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Eslovaquia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75</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60</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80</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1,9 %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5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107 %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Finlandia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75</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60</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30</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0,7 %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-45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Suecia</w:t>
            </w:r>
          </w:p>
        </w:tc>
        <w:tc>
          <w:tcPr>
            <w:tcW w:w="987" w:type="dxa"/>
            <w:tcBorders>
              <w:top w:val="dotted" w:sz="4" w:space="0" w:color="auto"/>
              <w:left w:val="nil"/>
              <w:bottom w:val="single" w:sz="4" w:space="0" w:color="000000"/>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2,7 %</w:t>
            </w:r>
          </w:p>
        </w:tc>
        <w:tc>
          <w:tcPr>
            <w:tcW w:w="1137" w:type="dxa"/>
            <w:tcBorders>
              <w:top w:val="dotted" w:sz="4" w:space="0" w:color="auto"/>
              <w:left w:val="dotted"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2,2 %</w:t>
            </w:r>
          </w:p>
        </w:tc>
        <w:tc>
          <w:tcPr>
            <w:tcW w:w="1060" w:type="dxa"/>
            <w:tcBorders>
              <w:top w:val="dotted" w:sz="4" w:space="0" w:color="auto"/>
              <w:left w:val="nil"/>
              <w:bottom w:val="single" w:sz="4" w:space="0" w:color="000000"/>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116</w:t>
            </w:r>
          </w:p>
        </w:tc>
        <w:tc>
          <w:tcPr>
            <w:tcW w:w="1300" w:type="dxa"/>
            <w:tcBorders>
              <w:top w:val="dotted" w:sz="4" w:space="0" w:color="auto"/>
              <w:left w:val="dotted" w:sz="4" w:space="0" w:color="auto"/>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93</w:t>
            </w:r>
          </w:p>
        </w:tc>
        <w:tc>
          <w:tcPr>
            <w:tcW w:w="1080" w:type="dxa"/>
            <w:tcBorders>
              <w:top w:val="dotted" w:sz="4" w:space="0" w:color="auto"/>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36</w:t>
            </w:r>
          </w:p>
        </w:tc>
        <w:tc>
          <w:tcPr>
            <w:tcW w:w="1100" w:type="dxa"/>
            <w:tcBorders>
              <w:top w:val="dotted" w:sz="4" w:space="0" w:color="auto"/>
              <w:left w:val="single" w:sz="4" w:space="0" w:color="000000"/>
              <w:bottom w:val="single"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0,9 %</w:t>
            </w:r>
          </w:p>
        </w:tc>
        <w:tc>
          <w:tcPr>
            <w:tcW w:w="1120" w:type="dxa"/>
            <w:tcBorders>
              <w:top w:val="dotted" w:sz="4" w:space="0" w:color="auto"/>
              <w:left w:val="nil"/>
              <w:bottom w:val="single" w:sz="4" w:space="0" w:color="000000"/>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-80 </w:t>
            </w:r>
          </w:p>
        </w:tc>
        <w:tc>
          <w:tcPr>
            <w:tcW w:w="960" w:type="dxa"/>
            <w:tcBorders>
              <w:top w:val="dotted" w:sz="4" w:space="0" w:color="auto"/>
              <w:left w:val="dotted" w:sz="4" w:space="0" w:color="auto"/>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31 %</w:t>
            </w:r>
          </w:p>
        </w:tc>
        <w:tc>
          <w:tcPr>
            <w:tcW w:w="1207" w:type="dxa"/>
            <w:tcBorders>
              <w:top w:val="dotted" w:sz="4" w:space="0" w:color="auto"/>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bl>
    <w:p>
      <w:pPr>
        <w:rPr>
          <w:noProof/>
        </w:rPr>
      </w:pPr>
    </w:p>
    <w:p>
      <w:pPr>
        <w:spacing w:after="0" w:line="240" w:lineRule="auto"/>
        <w:rPr>
          <w:rFonts w:ascii="Times New Roman" w:eastAsia="Times New Roman" w:hAnsi="Times New Roman" w:cs="Times New Roman"/>
          <w:b/>
          <w:noProof/>
          <w:sz w:val="24"/>
          <w:szCs w:val="24"/>
        </w:rPr>
      </w:pPr>
      <w:r>
        <w:rPr>
          <w:noProof/>
        </w:rPr>
        <w:br w:type="page"/>
      </w:r>
      <w:r>
        <w:rPr>
          <w:rFonts w:ascii="Times New Roman" w:hAnsi="Times New Roman"/>
          <w:b/>
          <w:noProof/>
          <w:sz w:val="24"/>
        </w:rPr>
        <w:t>Anexo 7b: Distribución del personal no directivo AD9-AD12 asignado a servicios distintos de DG Traducción o DG Interpretación a 1 de enero de 2017</w:t>
      </w:r>
    </w:p>
    <w:tbl>
      <w:tblPr>
        <w:tblW w:w="11869" w:type="dxa"/>
        <w:tblInd w:w="-176" w:type="dxa"/>
        <w:tblLook w:val="04A0" w:firstRow="1" w:lastRow="0" w:firstColumn="1" w:lastColumn="0" w:noHBand="0" w:noVBand="1"/>
      </w:tblPr>
      <w:tblGrid>
        <w:gridCol w:w="1372"/>
        <w:gridCol w:w="996"/>
        <w:gridCol w:w="1357"/>
        <w:gridCol w:w="1060"/>
        <w:gridCol w:w="1357"/>
        <w:gridCol w:w="1080"/>
        <w:gridCol w:w="1100"/>
        <w:gridCol w:w="1120"/>
        <w:gridCol w:w="960"/>
        <w:gridCol w:w="1467"/>
      </w:tblGrid>
      <w:tr>
        <w:trPr>
          <w:trHeight w:val="758"/>
        </w:trPr>
        <w:tc>
          <w:tcPr>
            <w:tcW w:w="1918" w:type="dxa"/>
            <w:tcBorders>
              <w:top w:val="single" w:sz="4" w:space="0" w:color="000000"/>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Pobl. 2015 y diputados PE y votos en Consejo</w:t>
            </w:r>
          </w:p>
        </w:tc>
        <w:tc>
          <w:tcPr>
            <w:tcW w:w="2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Índice guía</w:t>
            </w:r>
          </w:p>
        </w:tc>
        <w:tc>
          <w:tcPr>
            <w:tcW w:w="2360"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Objetivos en cabezas</w:t>
            </w:r>
            <w:r>
              <w:rPr>
                <w:rFonts w:ascii="Arial" w:eastAsia="Times New Roman" w:hAnsi="Arial" w:cs="Arial"/>
                <w:b/>
                <w:bCs/>
                <w:noProof/>
                <w:sz w:val="18"/>
                <w:szCs w:val="18"/>
              </w:rPr>
              <w:br/>
            </w:r>
            <w:r>
              <w:rPr>
                <w:rFonts w:ascii="Arial" w:hAnsi="Arial"/>
                <w:b/>
                <w:noProof/>
                <w:sz w:val="18"/>
              </w:rPr>
              <w:t xml:space="preserve">(en 2017) </w:t>
            </w:r>
          </w:p>
        </w:tc>
        <w:tc>
          <w:tcPr>
            <w:tcW w:w="2180"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Situación real a 1 de enero de 2017</w:t>
            </w:r>
          </w:p>
        </w:tc>
        <w:tc>
          <w:tcPr>
            <w:tcW w:w="2080" w:type="dxa"/>
            <w:gridSpan w:val="2"/>
            <w:tcBorders>
              <w:top w:val="single" w:sz="4" w:space="0" w:color="000000"/>
              <w:left w:val="nil"/>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lang w:val="pt-PT"/>
              </w:rPr>
            </w:pPr>
            <w:r>
              <w:rPr>
                <w:rFonts w:ascii="Arial" w:hAnsi="Arial"/>
                <w:b/>
                <w:noProof/>
                <w:sz w:val="18"/>
                <w:lang w:val="pt-PT"/>
              </w:rPr>
              <w:t xml:space="preserve">Superávit o déficit </w:t>
            </w:r>
            <w:r>
              <w:rPr>
                <w:rFonts w:ascii="Arial" w:eastAsia="Times New Roman" w:hAnsi="Arial" w:cs="Arial"/>
                <w:b/>
                <w:bCs/>
                <w:noProof/>
                <w:sz w:val="18"/>
                <w:szCs w:val="18"/>
                <w:lang w:val="pt-PT"/>
              </w:rPr>
              <w:br/>
            </w:r>
            <w:r>
              <w:rPr>
                <w:rFonts w:ascii="Arial" w:hAnsi="Arial"/>
                <w:b/>
                <w:noProof/>
                <w:sz w:val="18"/>
                <w:lang w:val="pt-PT"/>
              </w:rPr>
              <w:t>vs. objetivo</w:t>
            </w:r>
          </w:p>
        </w:tc>
        <w:tc>
          <w:tcPr>
            <w:tcW w:w="1207"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¿Desequilibrio significativo observado?</w:t>
            </w:r>
          </w:p>
        </w:tc>
      </w:tr>
      <w:tr>
        <w:trPr>
          <w:trHeight w:val="720"/>
        </w:trPr>
        <w:tc>
          <w:tcPr>
            <w:tcW w:w="1918" w:type="dxa"/>
            <w:tcBorders>
              <w:top w:val="nil"/>
              <w:left w:val="single" w:sz="4" w:space="0" w:color="auto"/>
              <w:bottom w:val="single" w:sz="4" w:space="0" w:color="auto"/>
              <w:right w:val="single" w:sz="4" w:space="0" w:color="auto"/>
            </w:tcBorders>
            <w:shd w:val="clear" w:color="000000" w:fill="99CCFF"/>
            <w:vAlign w:val="center"/>
            <w:hideMark/>
          </w:tcPr>
          <w:p>
            <w:pPr>
              <w:spacing w:after="0" w:line="240" w:lineRule="auto"/>
              <w:rPr>
                <w:rFonts w:ascii="Arial" w:eastAsia="Times New Roman" w:hAnsi="Arial" w:cs="Arial"/>
                <w:b/>
                <w:bCs/>
                <w:noProof/>
                <w:sz w:val="18"/>
                <w:szCs w:val="18"/>
                <w:lang w:val="it-IT"/>
              </w:rPr>
            </w:pPr>
            <w:r>
              <w:rPr>
                <w:rFonts w:ascii="Arial" w:hAnsi="Arial"/>
                <w:b/>
                <w:noProof/>
                <w:sz w:val="18"/>
                <w:lang w:val="it-IT"/>
              </w:rPr>
              <w:t>No directivo</w:t>
            </w:r>
            <w:r>
              <w:rPr>
                <w:rFonts w:ascii="Arial" w:eastAsia="Times New Roman" w:hAnsi="Arial" w:cs="Arial"/>
                <w:b/>
                <w:bCs/>
                <w:noProof/>
                <w:sz w:val="18"/>
                <w:szCs w:val="18"/>
                <w:lang w:val="it-IT"/>
              </w:rPr>
              <w:br/>
            </w:r>
            <w:r>
              <w:rPr>
                <w:rFonts w:ascii="Arial" w:hAnsi="Arial"/>
                <w:b/>
                <w:noProof/>
                <w:sz w:val="18"/>
                <w:lang w:val="it-IT"/>
              </w:rPr>
              <w:t>AD9-AD12</w:t>
            </w:r>
            <w:r>
              <w:rPr>
                <w:rFonts w:ascii="Arial" w:eastAsia="Times New Roman" w:hAnsi="Arial" w:cs="Arial"/>
                <w:b/>
                <w:bCs/>
                <w:noProof/>
                <w:sz w:val="18"/>
                <w:szCs w:val="18"/>
                <w:lang w:val="it-IT"/>
              </w:rPr>
              <w:br/>
            </w:r>
            <w:r>
              <w:rPr>
                <w:rFonts w:ascii="Arial" w:hAnsi="Arial"/>
                <w:b/>
                <w:noProof/>
                <w:sz w:val="18"/>
                <w:lang w:val="it-IT"/>
              </w:rPr>
              <w:t>DGT &amp; SCIC</w:t>
            </w:r>
          </w:p>
        </w:tc>
        <w:tc>
          <w:tcPr>
            <w:tcW w:w="987" w:type="dxa"/>
            <w:tcBorders>
              <w:top w:val="single" w:sz="4" w:space="0" w:color="000000"/>
              <w:left w:val="nil"/>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Absoluto</w:t>
            </w:r>
          </w:p>
        </w:tc>
        <w:tc>
          <w:tcPr>
            <w:tcW w:w="113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Desequilibrio significativo si inferior</w:t>
            </w:r>
          </w:p>
        </w:tc>
        <w:tc>
          <w:tcPr>
            <w:tcW w:w="1060" w:type="dxa"/>
            <w:tcBorders>
              <w:top w:val="nil"/>
              <w:left w:val="nil"/>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Absoluto</w:t>
            </w:r>
          </w:p>
        </w:tc>
        <w:tc>
          <w:tcPr>
            <w:tcW w:w="1300" w:type="dxa"/>
            <w:tcBorders>
              <w:top w:val="nil"/>
              <w:left w:val="nil"/>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Desequilibrio significativo si inferior</w:t>
            </w:r>
          </w:p>
        </w:tc>
        <w:tc>
          <w:tcPr>
            <w:tcW w:w="1080" w:type="dxa"/>
            <w:tcBorders>
              <w:top w:val="single" w:sz="4" w:space="0" w:color="000000"/>
              <w:left w:val="nil"/>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Cabezas</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Cabezas</w:t>
            </w:r>
          </w:p>
        </w:tc>
        <w:tc>
          <w:tcPr>
            <w:tcW w:w="1120" w:type="dxa"/>
            <w:tcBorders>
              <w:top w:val="nil"/>
              <w:left w:val="nil"/>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Cabezas</w:t>
            </w:r>
            <w:r>
              <w:rPr>
                <w:rFonts w:ascii="Arial" w:eastAsia="Times New Roman" w:hAnsi="Arial" w:cs="Arial"/>
                <w:b/>
                <w:bCs/>
                <w:noProof/>
                <w:sz w:val="18"/>
                <w:szCs w:val="18"/>
              </w:rPr>
              <w:br/>
            </w:r>
            <w:r>
              <w:rPr>
                <w:rFonts w:ascii="Arial" w:hAnsi="Arial"/>
                <w:b/>
                <w:noProof/>
                <w:sz w:val="18"/>
              </w:rPr>
              <w:t>(en 2017)</w:t>
            </w:r>
          </w:p>
        </w:tc>
        <w:tc>
          <w:tcPr>
            <w:tcW w:w="960" w:type="dxa"/>
            <w:tcBorders>
              <w:top w:val="nil"/>
              <w:left w:val="nil"/>
              <w:bottom w:val="single" w:sz="4" w:space="0" w:color="000000"/>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 xml:space="preserve">% del </w:t>
            </w:r>
            <w:r>
              <w:rPr>
                <w:rFonts w:ascii="Arial" w:eastAsia="Times New Roman" w:hAnsi="Arial" w:cs="Arial"/>
                <w:b/>
                <w:bCs/>
                <w:noProof/>
                <w:sz w:val="18"/>
                <w:szCs w:val="18"/>
              </w:rPr>
              <w:br/>
            </w:r>
            <w:r>
              <w:rPr>
                <w:rFonts w:ascii="Arial" w:hAnsi="Arial"/>
                <w:b/>
                <w:noProof/>
                <w:sz w:val="18"/>
              </w:rPr>
              <w:t>objetivo</w:t>
            </w:r>
          </w:p>
        </w:tc>
        <w:tc>
          <w:tcPr>
            <w:tcW w:w="1207" w:type="dxa"/>
            <w:vMerge/>
            <w:tcBorders>
              <w:top w:val="single" w:sz="4" w:space="0" w:color="000000"/>
              <w:left w:val="single" w:sz="4" w:space="0" w:color="000000"/>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Bélgica</w:t>
            </w:r>
          </w:p>
        </w:tc>
        <w:tc>
          <w:tcPr>
            <w:tcW w:w="987" w:type="dxa"/>
            <w:tcBorders>
              <w:top w:val="nil"/>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nil"/>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2,5 %</w:t>
            </w:r>
          </w:p>
        </w:tc>
        <w:tc>
          <w:tcPr>
            <w:tcW w:w="1060" w:type="dxa"/>
            <w:tcBorders>
              <w:top w:val="single" w:sz="4" w:space="0" w:color="000000"/>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123</w:t>
            </w:r>
          </w:p>
        </w:tc>
        <w:tc>
          <w:tcPr>
            <w:tcW w:w="1300" w:type="dxa"/>
            <w:tcBorders>
              <w:top w:val="single" w:sz="4" w:space="0" w:color="000000"/>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98</w:t>
            </w:r>
          </w:p>
        </w:tc>
        <w:tc>
          <w:tcPr>
            <w:tcW w:w="1080" w:type="dxa"/>
            <w:tcBorders>
              <w:top w:val="single" w:sz="4" w:space="0" w:color="000000"/>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571</w:t>
            </w:r>
          </w:p>
        </w:tc>
        <w:tc>
          <w:tcPr>
            <w:tcW w:w="1100" w:type="dxa"/>
            <w:tcBorders>
              <w:top w:val="single" w:sz="4" w:space="0" w:color="000000"/>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14,4 %</w:t>
            </w:r>
          </w:p>
        </w:tc>
        <w:tc>
          <w:tcPr>
            <w:tcW w:w="1120" w:type="dxa"/>
            <w:tcBorders>
              <w:top w:val="nil"/>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448 </w:t>
            </w:r>
          </w:p>
        </w:tc>
        <w:tc>
          <w:tcPr>
            <w:tcW w:w="960" w:type="dxa"/>
            <w:tcBorders>
              <w:top w:val="nil"/>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464 %</w:t>
            </w:r>
          </w:p>
        </w:tc>
        <w:tc>
          <w:tcPr>
            <w:tcW w:w="1207" w:type="dxa"/>
            <w:tcBorders>
              <w:top w:val="single" w:sz="4" w:space="0" w:color="000000"/>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Bulgaria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2,4 %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1,9 %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95</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0,2 %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-87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Chequia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121</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97</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68</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1,7 %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-53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56 %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Dinamarca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71</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71</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1,8 %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0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101 %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Alemania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13,8 %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11,1 %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546</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437</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503</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12,7 %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-43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92 %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Estonia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0,6 %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32</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25</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22</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0,6 %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-10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69 %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Irlanda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1,3 %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64</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51</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74</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1,9 %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10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116 %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Grecia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122</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98</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164</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4,1 %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42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134 %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España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8,9 %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7,1 %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353</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282</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376</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9,5 %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23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107 %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Francia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11,6 %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9,3 %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459</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367</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505</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12,8 %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46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110 %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Croacia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1,3 %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62</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50</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0,1 %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-59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Italia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11,2 %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8,9 %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441</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353</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481</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12,2 %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40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109 %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Chipre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0,6 %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30</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24</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21</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0,5 %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-9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69 %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Letonia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0,8 %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38</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30</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21</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0,5 %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-17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56 %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Lituania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1,5 %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1,2 %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59</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47</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41</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-18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Luxemburgo</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0,6 %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30</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24</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20</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0,5 %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-10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67 %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Hungría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3,0 %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119</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95</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82</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2,1 %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-37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69 %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Malta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0,5 %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25</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20</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17</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0,4 %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-8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68 %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Países Bajos</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3,9 %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3,1 %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154</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123</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160</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4,0 %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6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104 %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Austria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2,0 %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101</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81</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121</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3,1 %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20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Polonia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8,2 %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6,5 %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322</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258</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162</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4,1 %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-160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Portugal</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121</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96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107</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2,7 %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-14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89 %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Rumanía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4,5 %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3,6 %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178</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143</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23</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0,6 %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-155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13 %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Eslovenia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0,8 %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38</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30</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29</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0,7 %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-9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76 %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Eslovaquia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70</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36</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0,9 %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color w:val="FF0000"/>
                <w:sz w:val="18"/>
              </w:rPr>
              <w:t xml:space="preserve">-34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51 %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SÍ</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Finlandia</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1,4 %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70</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56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129</w:t>
            </w:r>
          </w:p>
        </w:tc>
        <w:tc>
          <w:tcPr>
            <w:tcW w:w="1100" w:type="dxa"/>
            <w:tcBorders>
              <w:top w:val="dotted" w:sz="4" w:space="0" w:color="auto"/>
              <w:left w:val="nil"/>
              <w:bottom w:val="dotted" w:sz="4" w:space="0" w:color="auto"/>
              <w:right w:val="nil"/>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3,3 %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59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184 %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pPr>
              <w:spacing w:after="0" w:line="240" w:lineRule="auto"/>
              <w:rPr>
                <w:rFonts w:ascii="Arial" w:eastAsia="Times New Roman" w:hAnsi="Arial" w:cs="Arial"/>
                <w:b/>
                <w:bCs/>
                <w:noProof/>
                <w:sz w:val="18"/>
                <w:szCs w:val="18"/>
              </w:rPr>
            </w:pPr>
            <w:r>
              <w:rPr>
                <w:rFonts w:ascii="Arial" w:hAnsi="Arial"/>
                <w:b/>
                <w:noProof/>
                <w:sz w:val="18"/>
              </w:rPr>
              <w:t>Suecia</w:t>
            </w:r>
          </w:p>
        </w:tc>
        <w:tc>
          <w:tcPr>
            <w:tcW w:w="987" w:type="dxa"/>
            <w:tcBorders>
              <w:top w:val="dotted" w:sz="4" w:space="0" w:color="auto"/>
              <w:left w:val="nil"/>
              <w:bottom w:val="single" w:sz="4" w:space="0" w:color="000000"/>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2,7 %</w:t>
            </w:r>
          </w:p>
        </w:tc>
        <w:tc>
          <w:tcPr>
            <w:tcW w:w="1137" w:type="dxa"/>
            <w:tcBorders>
              <w:top w:val="dotted" w:sz="4" w:space="0" w:color="auto"/>
              <w:left w:val="dotted"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rPr>
              <w:t>2,2 %</w:t>
            </w:r>
          </w:p>
        </w:tc>
        <w:tc>
          <w:tcPr>
            <w:tcW w:w="1060" w:type="dxa"/>
            <w:tcBorders>
              <w:top w:val="dotted" w:sz="4" w:space="0" w:color="auto"/>
              <w:left w:val="nil"/>
              <w:bottom w:val="single" w:sz="4" w:space="0" w:color="000000"/>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109</w:t>
            </w:r>
          </w:p>
        </w:tc>
        <w:tc>
          <w:tcPr>
            <w:tcW w:w="1300" w:type="dxa"/>
            <w:tcBorders>
              <w:top w:val="dotted" w:sz="4" w:space="0" w:color="auto"/>
              <w:left w:val="dotted" w:sz="4" w:space="0" w:color="auto"/>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87</w:t>
            </w:r>
          </w:p>
        </w:tc>
        <w:tc>
          <w:tcPr>
            <w:tcW w:w="1080" w:type="dxa"/>
            <w:tcBorders>
              <w:top w:val="dotted" w:sz="4" w:space="0" w:color="auto"/>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137</w:t>
            </w:r>
          </w:p>
        </w:tc>
        <w:tc>
          <w:tcPr>
            <w:tcW w:w="1100" w:type="dxa"/>
            <w:tcBorders>
              <w:top w:val="dotted" w:sz="4" w:space="0" w:color="auto"/>
              <w:left w:val="single" w:sz="4" w:space="0" w:color="000000"/>
              <w:bottom w:val="single" w:sz="4" w:space="0" w:color="auto"/>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3,5 %</w:t>
            </w:r>
          </w:p>
        </w:tc>
        <w:tc>
          <w:tcPr>
            <w:tcW w:w="1120" w:type="dxa"/>
            <w:tcBorders>
              <w:top w:val="dotted" w:sz="4" w:space="0" w:color="auto"/>
              <w:left w:val="nil"/>
              <w:bottom w:val="single" w:sz="4" w:space="0" w:color="000000"/>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 xml:space="preserve">28 </w:t>
            </w:r>
          </w:p>
        </w:tc>
        <w:tc>
          <w:tcPr>
            <w:tcW w:w="960" w:type="dxa"/>
            <w:tcBorders>
              <w:top w:val="dotted" w:sz="4" w:space="0" w:color="auto"/>
              <w:left w:val="dotted" w:sz="4" w:space="0" w:color="auto"/>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18"/>
                <w:szCs w:val="18"/>
              </w:rPr>
            </w:pPr>
            <w:r>
              <w:rPr>
                <w:rFonts w:ascii="Arial" w:hAnsi="Arial"/>
                <w:noProof/>
                <w:sz w:val="18"/>
              </w:rPr>
              <w:t>126 %</w:t>
            </w:r>
          </w:p>
        </w:tc>
        <w:tc>
          <w:tcPr>
            <w:tcW w:w="1207" w:type="dxa"/>
            <w:tcBorders>
              <w:top w:val="dotted" w:sz="4" w:space="0" w:color="auto"/>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bl>
    <w:p>
      <w:pPr>
        <w:rPr>
          <w:noProof/>
        </w:rPr>
      </w:pPr>
    </w:p>
    <w:p>
      <w:pPr>
        <w:spacing w:after="0" w:line="240" w:lineRule="auto"/>
        <w:rPr>
          <w:rFonts w:ascii="Times New Roman" w:eastAsia="Times New Roman" w:hAnsi="Times New Roman" w:cs="Times New Roman"/>
          <w:b/>
          <w:noProof/>
          <w:sz w:val="24"/>
          <w:szCs w:val="20"/>
        </w:rPr>
      </w:pPr>
      <w:r>
        <w:rPr>
          <w:noProof/>
        </w:rPr>
        <w:br w:type="page"/>
      </w:r>
    </w:p>
    <w:p>
      <w:pPr>
        <w:spacing w:after="0" w:line="240" w:lineRule="auto"/>
        <w:rPr>
          <w:rFonts w:ascii="Times New Roman" w:eastAsia="Times New Roman" w:hAnsi="Times New Roman" w:cs="Times New Roman"/>
          <w:b/>
          <w:noProof/>
          <w:sz w:val="24"/>
          <w:szCs w:val="24"/>
        </w:rPr>
      </w:pPr>
      <w:r>
        <w:rPr>
          <w:rFonts w:ascii="Times New Roman" w:hAnsi="Times New Roman"/>
          <w:b/>
          <w:noProof/>
          <w:sz w:val="24"/>
        </w:rPr>
        <w:t>Anexo 7c: Personal AD no directivo británico a 1 de enero de 2017</w:t>
      </w:r>
    </w:p>
    <w:p>
      <w:pPr>
        <w:spacing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Distribución por grado</w:t>
      </w:r>
    </w:p>
    <w:tbl>
      <w:tblPr>
        <w:tblStyle w:val="TableGrid"/>
        <w:tblW w:w="0" w:type="auto"/>
        <w:tblLook w:val="04A0" w:firstRow="1" w:lastRow="0" w:firstColumn="1" w:lastColumn="0" w:noHBand="0" w:noVBand="1"/>
      </w:tblPr>
      <w:tblGrid>
        <w:gridCol w:w="3369"/>
        <w:gridCol w:w="2657"/>
        <w:gridCol w:w="2658"/>
        <w:gridCol w:w="2658"/>
        <w:gridCol w:w="2658"/>
      </w:tblGrid>
      <w:tr>
        <w:tc>
          <w:tcPr>
            <w:tcW w:w="3369" w:type="dxa"/>
            <w:tcBorders>
              <w:bottom w:val="single" w:sz="4" w:space="0" w:color="auto"/>
            </w:tcBorders>
            <w:shd w:val="clear" w:color="auto" w:fill="99CCFF"/>
          </w:tcPr>
          <w:p>
            <w:pPr>
              <w:spacing w:after="0" w:line="240" w:lineRule="auto"/>
              <w:rPr>
                <w:b/>
                <w:noProof/>
                <w:sz w:val="24"/>
              </w:rPr>
            </w:pPr>
            <w:r>
              <w:rPr>
                <w:b/>
                <w:noProof/>
                <w:sz w:val="24"/>
              </w:rPr>
              <w:t xml:space="preserve">Nacionales británicos asignados a </w:t>
            </w:r>
            <w:r>
              <w:rPr>
                <w:b/>
                <w:noProof/>
                <w:sz w:val="24"/>
              </w:rPr>
              <w:br/>
              <w:t>tareas no directivas...</w:t>
            </w:r>
          </w:p>
        </w:tc>
        <w:tc>
          <w:tcPr>
            <w:tcW w:w="2657" w:type="dxa"/>
            <w:shd w:val="clear" w:color="auto" w:fill="99CCFF"/>
            <w:vAlign w:val="center"/>
          </w:tcPr>
          <w:p>
            <w:pPr>
              <w:spacing w:after="0" w:line="240" w:lineRule="auto"/>
              <w:jc w:val="center"/>
              <w:rPr>
                <w:b/>
                <w:noProof/>
                <w:sz w:val="24"/>
              </w:rPr>
            </w:pPr>
            <w:r>
              <w:rPr>
                <w:b/>
                <w:noProof/>
                <w:sz w:val="24"/>
              </w:rPr>
              <w:t>AD5-AD8</w:t>
            </w:r>
          </w:p>
        </w:tc>
        <w:tc>
          <w:tcPr>
            <w:tcW w:w="2658" w:type="dxa"/>
            <w:shd w:val="clear" w:color="auto" w:fill="99CCFF"/>
            <w:vAlign w:val="center"/>
          </w:tcPr>
          <w:p>
            <w:pPr>
              <w:spacing w:after="0" w:line="240" w:lineRule="auto"/>
              <w:jc w:val="center"/>
              <w:rPr>
                <w:b/>
                <w:noProof/>
                <w:sz w:val="24"/>
              </w:rPr>
            </w:pPr>
            <w:r>
              <w:rPr>
                <w:b/>
                <w:noProof/>
                <w:sz w:val="24"/>
              </w:rPr>
              <w:t>AD9-AD12</w:t>
            </w:r>
          </w:p>
        </w:tc>
        <w:tc>
          <w:tcPr>
            <w:tcW w:w="2658" w:type="dxa"/>
            <w:shd w:val="clear" w:color="auto" w:fill="99CCFF"/>
            <w:vAlign w:val="center"/>
          </w:tcPr>
          <w:p>
            <w:pPr>
              <w:spacing w:after="0" w:line="240" w:lineRule="auto"/>
              <w:jc w:val="center"/>
              <w:rPr>
                <w:b/>
                <w:noProof/>
                <w:sz w:val="24"/>
              </w:rPr>
            </w:pPr>
            <w:r>
              <w:rPr>
                <w:b/>
                <w:noProof/>
                <w:sz w:val="24"/>
              </w:rPr>
              <w:t>AD13-AD14</w:t>
            </w:r>
          </w:p>
        </w:tc>
        <w:tc>
          <w:tcPr>
            <w:tcW w:w="2658" w:type="dxa"/>
            <w:shd w:val="clear" w:color="auto" w:fill="99CCFF"/>
            <w:vAlign w:val="center"/>
          </w:tcPr>
          <w:p>
            <w:pPr>
              <w:spacing w:after="0" w:line="240" w:lineRule="auto"/>
              <w:jc w:val="center"/>
              <w:rPr>
                <w:b/>
                <w:noProof/>
                <w:sz w:val="24"/>
              </w:rPr>
            </w:pPr>
            <w:r>
              <w:rPr>
                <w:b/>
                <w:noProof/>
                <w:sz w:val="24"/>
              </w:rPr>
              <w:t>Total</w:t>
            </w:r>
          </w:p>
        </w:tc>
      </w:tr>
      <w:tr>
        <w:tc>
          <w:tcPr>
            <w:tcW w:w="3369" w:type="dxa"/>
            <w:shd w:val="clear" w:color="auto" w:fill="99CCFF"/>
          </w:tcPr>
          <w:p>
            <w:pPr>
              <w:spacing w:after="0" w:line="240" w:lineRule="auto"/>
              <w:jc w:val="both"/>
              <w:rPr>
                <w:b/>
                <w:noProof/>
                <w:sz w:val="24"/>
              </w:rPr>
            </w:pPr>
            <w:r>
              <w:rPr>
                <w:b/>
                <w:noProof/>
                <w:sz w:val="24"/>
              </w:rPr>
              <w:t>… fuera de DGT y SCIC</w:t>
            </w:r>
          </w:p>
        </w:tc>
        <w:tc>
          <w:tcPr>
            <w:tcW w:w="2657" w:type="dxa"/>
            <w:vAlign w:val="center"/>
          </w:tcPr>
          <w:p>
            <w:pPr>
              <w:spacing w:after="0" w:line="240" w:lineRule="auto"/>
              <w:jc w:val="center"/>
              <w:rPr>
                <w:noProof/>
                <w:sz w:val="24"/>
              </w:rPr>
            </w:pPr>
            <w:r>
              <w:rPr>
                <w:noProof/>
                <w:sz w:val="24"/>
              </w:rPr>
              <w:t>81</w:t>
            </w:r>
          </w:p>
        </w:tc>
        <w:tc>
          <w:tcPr>
            <w:tcW w:w="2658" w:type="dxa"/>
            <w:vAlign w:val="center"/>
          </w:tcPr>
          <w:p>
            <w:pPr>
              <w:spacing w:after="0" w:line="240" w:lineRule="auto"/>
              <w:jc w:val="center"/>
              <w:rPr>
                <w:noProof/>
                <w:sz w:val="24"/>
              </w:rPr>
            </w:pPr>
            <w:r>
              <w:rPr>
                <w:noProof/>
                <w:sz w:val="24"/>
              </w:rPr>
              <w:t>170</w:t>
            </w:r>
          </w:p>
        </w:tc>
        <w:tc>
          <w:tcPr>
            <w:tcW w:w="2658" w:type="dxa"/>
            <w:vAlign w:val="center"/>
          </w:tcPr>
          <w:p>
            <w:pPr>
              <w:spacing w:after="0" w:line="240" w:lineRule="auto"/>
              <w:jc w:val="center"/>
              <w:rPr>
                <w:noProof/>
                <w:sz w:val="24"/>
              </w:rPr>
            </w:pPr>
            <w:r>
              <w:rPr>
                <w:noProof/>
                <w:sz w:val="24"/>
              </w:rPr>
              <w:t>110</w:t>
            </w:r>
          </w:p>
        </w:tc>
        <w:tc>
          <w:tcPr>
            <w:tcW w:w="2658" w:type="dxa"/>
            <w:vAlign w:val="center"/>
          </w:tcPr>
          <w:p>
            <w:pPr>
              <w:spacing w:after="0" w:line="240" w:lineRule="auto"/>
              <w:jc w:val="center"/>
              <w:rPr>
                <w:noProof/>
                <w:sz w:val="24"/>
              </w:rPr>
            </w:pPr>
            <w:r>
              <w:rPr>
                <w:noProof/>
                <w:sz w:val="24"/>
              </w:rPr>
              <w:t>361</w:t>
            </w:r>
          </w:p>
        </w:tc>
      </w:tr>
      <w:tr>
        <w:tc>
          <w:tcPr>
            <w:tcW w:w="3369" w:type="dxa"/>
            <w:shd w:val="clear" w:color="auto" w:fill="99CCFF"/>
          </w:tcPr>
          <w:p>
            <w:pPr>
              <w:spacing w:after="0" w:line="240" w:lineRule="auto"/>
              <w:jc w:val="both"/>
              <w:rPr>
                <w:b/>
                <w:noProof/>
                <w:sz w:val="24"/>
              </w:rPr>
            </w:pPr>
            <w:r>
              <w:rPr>
                <w:b/>
                <w:noProof/>
                <w:sz w:val="24"/>
              </w:rPr>
              <w:t>... en DGT o SCIC</w:t>
            </w:r>
          </w:p>
        </w:tc>
        <w:tc>
          <w:tcPr>
            <w:tcW w:w="2657" w:type="dxa"/>
            <w:vAlign w:val="center"/>
          </w:tcPr>
          <w:p>
            <w:pPr>
              <w:spacing w:after="0" w:line="240" w:lineRule="auto"/>
              <w:jc w:val="center"/>
              <w:rPr>
                <w:noProof/>
                <w:sz w:val="24"/>
              </w:rPr>
            </w:pPr>
            <w:r>
              <w:rPr>
                <w:noProof/>
                <w:sz w:val="24"/>
              </w:rPr>
              <w:t>50</w:t>
            </w:r>
          </w:p>
        </w:tc>
        <w:tc>
          <w:tcPr>
            <w:tcW w:w="2658" w:type="dxa"/>
            <w:vAlign w:val="center"/>
          </w:tcPr>
          <w:p>
            <w:pPr>
              <w:spacing w:after="0" w:line="240" w:lineRule="auto"/>
              <w:jc w:val="center"/>
              <w:rPr>
                <w:noProof/>
                <w:sz w:val="24"/>
              </w:rPr>
            </w:pPr>
            <w:r>
              <w:rPr>
                <w:noProof/>
                <w:sz w:val="24"/>
              </w:rPr>
              <w:t>56</w:t>
            </w:r>
          </w:p>
        </w:tc>
        <w:tc>
          <w:tcPr>
            <w:tcW w:w="2658" w:type="dxa"/>
            <w:vAlign w:val="center"/>
          </w:tcPr>
          <w:p>
            <w:pPr>
              <w:spacing w:after="0" w:line="240" w:lineRule="auto"/>
              <w:jc w:val="center"/>
              <w:rPr>
                <w:noProof/>
                <w:sz w:val="24"/>
              </w:rPr>
            </w:pPr>
            <w:r>
              <w:rPr>
                <w:noProof/>
                <w:sz w:val="24"/>
              </w:rPr>
              <w:t>41</w:t>
            </w:r>
          </w:p>
        </w:tc>
        <w:tc>
          <w:tcPr>
            <w:tcW w:w="2658" w:type="dxa"/>
            <w:vAlign w:val="center"/>
          </w:tcPr>
          <w:p>
            <w:pPr>
              <w:spacing w:after="0" w:line="240" w:lineRule="auto"/>
              <w:jc w:val="center"/>
              <w:rPr>
                <w:noProof/>
                <w:sz w:val="24"/>
              </w:rPr>
            </w:pPr>
            <w:r>
              <w:rPr>
                <w:noProof/>
                <w:sz w:val="24"/>
              </w:rPr>
              <w:t>147</w:t>
            </w:r>
          </w:p>
        </w:tc>
      </w:tr>
      <w:tr>
        <w:tc>
          <w:tcPr>
            <w:tcW w:w="3369" w:type="dxa"/>
            <w:shd w:val="clear" w:color="auto" w:fill="99CCFF"/>
          </w:tcPr>
          <w:p>
            <w:pPr>
              <w:spacing w:after="0" w:line="240" w:lineRule="auto"/>
              <w:jc w:val="both"/>
              <w:rPr>
                <w:b/>
                <w:noProof/>
                <w:sz w:val="24"/>
              </w:rPr>
            </w:pPr>
            <w:r>
              <w:rPr>
                <w:b/>
                <w:noProof/>
                <w:sz w:val="24"/>
              </w:rPr>
              <w:t>Total</w:t>
            </w:r>
          </w:p>
        </w:tc>
        <w:tc>
          <w:tcPr>
            <w:tcW w:w="2657" w:type="dxa"/>
            <w:vAlign w:val="center"/>
          </w:tcPr>
          <w:p>
            <w:pPr>
              <w:spacing w:after="0" w:line="240" w:lineRule="auto"/>
              <w:jc w:val="center"/>
              <w:rPr>
                <w:noProof/>
                <w:sz w:val="24"/>
              </w:rPr>
            </w:pPr>
            <w:r>
              <w:rPr>
                <w:noProof/>
                <w:sz w:val="24"/>
              </w:rPr>
              <w:t>131</w:t>
            </w:r>
          </w:p>
        </w:tc>
        <w:tc>
          <w:tcPr>
            <w:tcW w:w="2658" w:type="dxa"/>
            <w:vAlign w:val="center"/>
          </w:tcPr>
          <w:p>
            <w:pPr>
              <w:spacing w:after="0" w:line="240" w:lineRule="auto"/>
              <w:jc w:val="center"/>
              <w:rPr>
                <w:noProof/>
                <w:sz w:val="24"/>
              </w:rPr>
            </w:pPr>
            <w:r>
              <w:rPr>
                <w:noProof/>
                <w:sz w:val="24"/>
              </w:rPr>
              <w:t>226</w:t>
            </w:r>
          </w:p>
        </w:tc>
        <w:tc>
          <w:tcPr>
            <w:tcW w:w="2658" w:type="dxa"/>
            <w:vAlign w:val="center"/>
          </w:tcPr>
          <w:p>
            <w:pPr>
              <w:spacing w:after="0" w:line="240" w:lineRule="auto"/>
              <w:jc w:val="center"/>
              <w:rPr>
                <w:noProof/>
                <w:sz w:val="24"/>
              </w:rPr>
            </w:pPr>
            <w:r>
              <w:rPr>
                <w:noProof/>
                <w:sz w:val="24"/>
              </w:rPr>
              <w:t>151</w:t>
            </w:r>
          </w:p>
        </w:tc>
        <w:tc>
          <w:tcPr>
            <w:tcW w:w="2658" w:type="dxa"/>
            <w:vAlign w:val="center"/>
          </w:tcPr>
          <w:p>
            <w:pPr>
              <w:spacing w:after="0" w:line="240" w:lineRule="auto"/>
              <w:jc w:val="center"/>
              <w:rPr>
                <w:noProof/>
                <w:sz w:val="24"/>
              </w:rPr>
            </w:pPr>
            <w:r>
              <w:rPr>
                <w:noProof/>
                <w:sz w:val="24"/>
              </w:rPr>
              <w:t>508</w:t>
            </w:r>
          </w:p>
        </w:tc>
      </w:tr>
    </w:tbl>
    <w:p>
      <w:pPr>
        <w:spacing w:after="24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Distribución por edades</w:t>
      </w:r>
    </w:p>
    <w:p>
      <w:pPr>
        <w:rPr>
          <w:noProof/>
        </w:rPr>
      </w:pPr>
      <w:r>
        <w:rPr>
          <w:noProof/>
          <w:lang w:val="en-US" w:eastAsia="en-US" w:bidi="ar-SA"/>
        </w:rPr>
        <w:drawing>
          <wp:inline distT="0" distB="0" distL="0" distR="0">
            <wp:extent cx="3927945" cy="2743200"/>
            <wp:effectExtent l="0" t="0" r="1587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Pr>
          <w:noProof/>
        </w:rPr>
        <w:t xml:space="preserve">   </w:t>
      </w:r>
      <w:r>
        <w:rPr>
          <w:noProof/>
          <w:lang w:val="en-US" w:eastAsia="en-US" w:bidi="ar-SA"/>
        </w:rPr>
        <w:drawing>
          <wp:inline distT="0" distB="0" distL="0" distR="0">
            <wp:extent cx="3967701" cy="2743200"/>
            <wp:effectExtent l="0" t="0" r="1397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pPr>
        <w:rPr>
          <w:noProof/>
        </w:rPr>
      </w:pPr>
    </w:p>
    <w:p>
      <w:pPr>
        <w:spacing w:after="240" w:line="240" w:lineRule="auto"/>
        <w:jc w:val="both"/>
        <w:rPr>
          <w:rFonts w:ascii="Times New Roman" w:eastAsia="Times New Roman" w:hAnsi="Times New Roman" w:cs="Times New Roman"/>
          <w:noProof/>
          <w:sz w:val="24"/>
          <w:szCs w:val="20"/>
        </w:rPr>
      </w:pPr>
      <w:r>
        <w:rPr>
          <w:noProof/>
        </w:rPr>
        <w:br w:type="page"/>
      </w:r>
    </w:p>
    <w:p>
      <w:pPr>
        <w:spacing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 xml:space="preserve">Anexo 7d: Dobles nacionalidades a 1 de enero de 2018 entre funcionarios y agentes temporales de la Comisión </w:t>
      </w:r>
    </w:p>
    <w:tbl>
      <w:tblPr>
        <w:tblW w:w="14130" w:type="dxa"/>
        <w:tblInd w:w="-459" w:type="dxa"/>
        <w:tblLook w:val="04A0" w:firstRow="1" w:lastRow="0" w:firstColumn="1" w:lastColumn="0" w:noHBand="0" w:noVBand="1"/>
      </w:tblPr>
      <w:tblGrid>
        <w:gridCol w:w="411"/>
        <w:gridCol w:w="70"/>
        <w:gridCol w:w="530"/>
        <w:gridCol w:w="439"/>
        <w:gridCol w:w="483"/>
        <w:gridCol w:w="474"/>
        <w:gridCol w:w="441"/>
        <w:gridCol w:w="429"/>
        <w:gridCol w:w="452"/>
        <w:gridCol w:w="463"/>
        <w:gridCol w:w="431"/>
        <w:gridCol w:w="419"/>
        <w:gridCol w:w="411"/>
        <w:gridCol w:w="483"/>
        <w:gridCol w:w="483"/>
        <w:gridCol w:w="475"/>
        <w:gridCol w:w="453"/>
        <w:gridCol w:w="464"/>
        <w:gridCol w:w="411"/>
        <w:gridCol w:w="411"/>
        <w:gridCol w:w="419"/>
        <w:gridCol w:w="430"/>
        <w:gridCol w:w="430"/>
        <w:gridCol w:w="441"/>
        <w:gridCol w:w="442"/>
        <w:gridCol w:w="442"/>
        <w:gridCol w:w="430"/>
        <w:gridCol w:w="475"/>
        <w:gridCol w:w="442"/>
        <w:gridCol w:w="442"/>
        <w:gridCol w:w="486"/>
        <w:gridCol w:w="618"/>
      </w:tblGrid>
      <w:tr>
        <w:trPr>
          <w:trHeight w:val="60"/>
        </w:trPr>
        <w:tc>
          <w:tcPr>
            <w:tcW w:w="481" w:type="dxa"/>
            <w:gridSpan w:val="2"/>
            <w:tcBorders>
              <w:top w:val="nil"/>
              <w:left w:val="nil"/>
              <w:bottom w:val="nil"/>
              <w:right w:val="nil"/>
            </w:tcBorders>
            <w:shd w:val="clear" w:color="auto" w:fill="auto"/>
            <w:noWrap/>
            <w:vAlign w:val="bottom"/>
            <w:hideMark/>
          </w:tcPr>
          <w:p>
            <w:pPr>
              <w:spacing w:after="0" w:line="240" w:lineRule="auto"/>
              <w:ind w:left="-377"/>
              <w:rPr>
                <w:rFonts w:ascii="Arial" w:eastAsia="Times New Roman" w:hAnsi="Arial" w:cs="Arial"/>
                <w:b/>
                <w:bCs/>
                <w:noProof/>
                <w:color w:val="000000"/>
                <w:sz w:val="16"/>
                <w:szCs w:val="16"/>
              </w:rPr>
            </w:pPr>
          </w:p>
        </w:tc>
        <w:tc>
          <w:tcPr>
            <w:tcW w:w="530" w:type="dxa"/>
            <w:tcBorders>
              <w:top w:val="nil"/>
              <w:left w:val="nil"/>
              <w:bottom w:val="nil"/>
              <w:right w:val="nil"/>
            </w:tcBorders>
            <w:shd w:val="clear" w:color="auto" w:fill="auto"/>
            <w:vAlign w:val="bottom"/>
            <w:hideMark/>
          </w:tcPr>
          <w:p>
            <w:pPr>
              <w:spacing w:after="0" w:line="240" w:lineRule="auto"/>
              <w:rPr>
                <w:rFonts w:ascii="Arial" w:eastAsia="Times New Roman" w:hAnsi="Arial" w:cs="Arial"/>
                <w:b/>
                <w:bCs/>
                <w:noProof/>
                <w:color w:val="000000"/>
                <w:sz w:val="16"/>
                <w:szCs w:val="16"/>
              </w:rPr>
            </w:pPr>
          </w:p>
        </w:tc>
        <w:tc>
          <w:tcPr>
            <w:tcW w:w="12501" w:type="dxa"/>
            <w:gridSpan w:val="28"/>
            <w:tcBorders>
              <w:top w:val="single" w:sz="4" w:space="0" w:color="auto"/>
              <w:left w:val="single" w:sz="4" w:space="0" w:color="auto"/>
              <w:bottom w:val="single" w:sz="4" w:space="0" w:color="auto"/>
              <w:right w:val="single" w:sz="4" w:space="0" w:color="000000"/>
            </w:tcBorders>
            <w:shd w:val="clear" w:color="000000" w:fill="8DB4E2"/>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2.ª nacionalidad</w:t>
            </w:r>
          </w:p>
        </w:tc>
        <w:tc>
          <w:tcPr>
            <w:tcW w:w="618" w:type="dxa"/>
            <w:tcBorders>
              <w:top w:val="nil"/>
              <w:left w:val="nil"/>
              <w:bottom w:val="nil"/>
              <w:right w:val="nil"/>
            </w:tcBorders>
            <w:shd w:val="clear" w:color="auto" w:fill="auto"/>
            <w:noWrap/>
            <w:vAlign w:val="center"/>
            <w:hideMark/>
          </w:tcPr>
          <w:p>
            <w:pPr>
              <w:spacing w:after="0" w:line="240" w:lineRule="auto"/>
              <w:rPr>
                <w:rFonts w:ascii="Arial" w:eastAsia="Times New Roman" w:hAnsi="Arial" w:cs="Arial"/>
                <w:b/>
                <w:bCs/>
                <w:noProof/>
                <w:color w:val="000000"/>
                <w:sz w:val="16"/>
                <w:szCs w:val="16"/>
              </w:rPr>
            </w:pPr>
          </w:p>
        </w:tc>
      </w:tr>
      <w:tr>
        <w:trPr>
          <w:cantSplit/>
          <w:trHeight w:val="850"/>
        </w:trPr>
        <w:tc>
          <w:tcPr>
            <w:tcW w:w="481" w:type="dxa"/>
            <w:gridSpan w:val="2"/>
            <w:tcBorders>
              <w:top w:val="nil"/>
              <w:left w:val="nil"/>
              <w:bottom w:val="nil"/>
              <w:right w:val="nil"/>
            </w:tcBorders>
            <w:shd w:val="clear" w:color="auto" w:fill="auto"/>
            <w:vAlign w:val="center"/>
            <w:hideMark/>
          </w:tcPr>
          <w:p>
            <w:pPr>
              <w:spacing w:after="0" w:line="240" w:lineRule="auto"/>
              <w:rPr>
                <w:rFonts w:ascii="Arial" w:eastAsia="Times New Roman" w:hAnsi="Arial" w:cs="Arial"/>
                <w:b/>
                <w:bCs/>
                <w:noProof/>
                <w:color w:val="000000"/>
                <w:sz w:val="16"/>
                <w:szCs w:val="16"/>
              </w:rPr>
            </w:pPr>
          </w:p>
        </w:tc>
        <w:tc>
          <w:tcPr>
            <w:tcW w:w="530"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 </w:t>
            </w:r>
          </w:p>
        </w:tc>
        <w:tc>
          <w:tcPr>
            <w:tcW w:w="439"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AT</w:t>
            </w:r>
          </w:p>
        </w:tc>
        <w:tc>
          <w:tcPr>
            <w:tcW w:w="483"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BE</w:t>
            </w:r>
          </w:p>
        </w:tc>
        <w:tc>
          <w:tcPr>
            <w:tcW w:w="474"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BG</w:t>
            </w:r>
          </w:p>
        </w:tc>
        <w:tc>
          <w:tcPr>
            <w:tcW w:w="441"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CY</w:t>
            </w:r>
          </w:p>
        </w:tc>
        <w:tc>
          <w:tcPr>
            <w:tcW w:w="429"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CZ</w:t>
            </w:r>
          </w:p>
        </w:tc>
        <w:tc>
          <w:tcPr>
            <w:tcW w:w="452"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DE</w:t>
            </w:r>
          </w:p>
        </w:tc>
        <w:tc>
          <w:tcPr>
            <w:tcW w:w="463"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DK</w:t>
            </w:r>
          </w:p>
        </w:tc>
        <w:tc>
          <w:tcPr>
            <w:tcW w:w="431"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ES</w:t>
            </w:r>
          </w:p>
        </w:tc>
        <w:tc>
          <w:tcPr>
            <w:tcW w:w="419"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EE</w:t>
            </w:r>
          </w:p>
        </w:tc>
        <w:tc>
          <w:tcPr>
            <w:tcW w:w="411"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FI</w:t>
            </w:r>
          </w:p>
        </w:tc>
        <w:tc>
          <w:tcPr>
            <w:tcW w:w="483"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FR</w:t>
            </w:r>
          </w:p>
        </w:tc>
        <w:tc>
          <w:tcPr>
            <w:tcW w:w="483"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UK</w:t>
            </w:r>
          </w:p>
        </w:tc>
        <w:tc>
          <w:tcPr>
            <w:tcW w:w="475"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EL</w:t>
            </w:r>
          </w:p>
        </w:tc>
        <w:tc>
          <w:tcPr>
            <w:tcW w:w="453"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HR</w:t>
            </w:r>
          </w:p>
        </w:tc>
        <w:tc>
          <w:tcPr>
            <w:tcW w:w="464"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HU</w:t>
            </w:r>
          </w:p>
        </w:tc>
        <w:tc>
          <w:tcPr>
            <w:tcW w:w="411"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IE</w:t>
            </w:r>
          </w:p>
        </w:tc>
        <w:tc>
          <w:tcPr>
            <w:tcW w:w="411"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IT</w:t>
            </w:r>
          </w:p>
        </w:tc>
        <w:tc>
          <w:tcPr>
            <w:tcW w:w="419"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LT</w:t>
            </w:r>
          </w:p>
        </w:tc>
        <w:tc>
          <w:tcPr>
            <w:tcW w:w="430"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LU</w:t>
            </w:r>
          </w:p>
        </w:tc>
        <w:tc>
          <w:tcPr>
            <w:tcW w:w="430"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LV</w:t>
            </w:r>
          </w:p>
        </w:tc>
        <w:tc>
          <w:tcPr>
            <w:tcW w:w="441"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MT</w:t>
            </w:r>
          </w:p>
        </w:tc>
        <w:tc>
          <w:tcPr>
            <w:tcW w:w="442"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NL</w:t>
            </w:r>
          </w:p>
        </w:tc>
        <w:tc>
          <w:tcPr>
            <w:tcW w:w="442"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PL</w:t>
            </w:r>
          </w:p>
        </w:tc>
        <w:tc>
          <w:tcPr>
            <w:tcW w:w="430"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PT</w:t>
            </w:r>
          </w:p>
        </w:tc>
        <w:tc>
          <w:tcPr>
            <w:tcW w:w="475"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RO</w:t>
            </w:r>
          </w:p>
        </w:tc>
        <w:tc>
          <w:tcPr>
            <w:tcW w:w="442"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SK</w:t>
            </w:r>
          </w:p>
        </w:tc>
        <w:tc>
          <w:tcPr>
            <w:tcW w:w="442"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SL</w:t>
            </w:r>
          </w:p>
        </w:tc>
        <w:tc>
          <w:tcPr>
            <w:tcW w:w="486" w:type="dxa"/>
            <w:tcBorders>
              <w:top w:val="nil"/>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SE</w:t>
            </w:r>
          </w:p>
        </w:tc>
        <w:tc>
          <w:tcPr>
            <w:tcW w:w="618" w:type="dxa"/>
            <w:tcBorders>
              <w:top w:val="single" w:sz="4" w:space="0" w:color="auto"/>
              <w:left w:val="nil"/>
              <w:bottom w:val="single" w:sz="4" w:space="0" w:color="auto"/>
              <w:right w:val="single" w:sz="4" w:space="0" w:color="auto"/>
            </w:tcBorders>
            <w:shd w:val="clear" w:color="000000" w:fill="8DB4E2"/>
            <w:textDirection w:val="btLr"/>
            <w:vAlign w:val="center"/>
            <w:hideMark/>
          </w:tcPr>
          <w:p>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Total</w:t>
            </w:r>
          </w:p>
        </w:tc>
      </w:tr>
      <w:tr>
        <w:trPr>
          <w:trHeight w:val="255"/>
        </w:trPr>
        <w:tc>
          <w:tcPr>
            <w:tcW w:w="411" w:type="dxa"/>
            <w:vMerge w:val="restart"/>
            <w:tcBorders>
              <w:top w:val="single" w:sz="4" w:space="0" w:color="auto"/>
              <w:left w:val="single" w:sz="4" w:space="0" w:color="auto"/>
              <w:bottom w:val="single" w:sz="4" w:space="0" w:color="000000"/>
              <w:right w:val="single" w:sz="4" w:space="0" w:color="auto"/>
            </w:tcBorders>
            <w:shd w:val="clear" w:color="000000" w:fill="8DB4E2"/>
            <w:noWrap/>
            <w:textDirection w:val="btLr"/>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1.ª nacionalidad</w:t>
            </w: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AT</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BE</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7</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15</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12</w:t>
            </w: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13</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5</w:t>
            </w: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6</w:t>
            </w: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114</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BG</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17</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6</w:t>
            </w: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14</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46</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CY</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6</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9</w:t>
            </w: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24</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CZ</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5</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15</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DE</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7</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12</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59</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DK</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9</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ES</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7</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5</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34</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EE</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FI</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FR</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28</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14</w:t>
            </w: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8</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31</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14</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7</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7</w:t>
            </w: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5</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128</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UK</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12</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25</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27</w:t>
            </w: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7</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15</w:t>
            </w: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111</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EL</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20</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48</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HR</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14</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HU</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5</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7</w:t>
            </w: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34</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IE</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57</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68</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IT</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13</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10</w:t>
            </w: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17</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67</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LT</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LU</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LV</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MT</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NL</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5</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10</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PL</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22</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9</w:t>
            </w: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71</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PT</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8</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17</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RO</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56</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6</w:t>
            </w: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8</w:t>
            </w: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6</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108</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SK</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5</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20</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SL</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w:t>
            </w:r>
          </w:p>
        </w:tc>
      </w:tr>
      <w:tr>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SE</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13</w:t>
            </w:r>
          </w:p>
        </w:tc>
      </w:tr>
      <w:tr>
        <w:trPr>
          <w:trHeight w:val="283"/>
        </w:trPr>
        <w:tc>
          <w:tcPr>
            <w:tcW w:w="411" w:type="dxa"/>
            <w:tcBorders>
              <w:top w:val="nil"/>
              <w:left w:val="nil"/>
              <w:bottom w:val="nil"/>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 </w:t>
            </w:r>
          </w:p>
        </w:tc>
        <w:tc>
          <w:tcPr>
            <w:tcW w:w="600" w:type="dxa"/>
            <w:gridSpan w:val="2"/>
            <w:tcBorders>
              <w:top w:val="nil"/>
              <w:left w:val="nil"/>
              <w:bottom w:val="single" w:sz="4" w:space="0" w:color="auto"/>
              <w:right w:val="single" w:sz="4" w:space="0" w:color="auto"/>
            </w:tcBorders>
            <w:shd w:val="clear" w:color="000000" w:fill="8DB4E2"/>
            <w:vAlign w:val="center"/>
            <w:hideMark/>
          </w:tcPr>
          <w:p>
            <w:pPr>
              <w:spacing w:after="0" w:line="240" w:lineRule="auto"/>
              <w:rPr>
                <w:rFonts w:ascii="Arial" w:eastAsia="Times New Roman" w:hAnsi="Arial" w:cs="Arial"/>
                <w:b/>
                <w:bCs/>
                <w:noProof/>
                <w:color w:val="000000"/>
                <w:sz w:val="16"/>
                <w:szCs w:val="16"/>
              </w:rPr>
            </w:pPr>
            <w:r>
              <w:rPr>
                <w:rFonts w:ascii="Arial" w:hAnsi="Arial"/>
                <w:b/>
                <w:noProof/>
                <w:color w:val="000000"/>
                <w:sz w:val="16"/>
              </w:rPr>
              <w:t>Total</w:t>
            </w:r>
          </w:p>
        </w:tc>
        <w:tc>
          <w:tcPr>
            <w:tcW w:w="43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220</w:t>
            </w:r>
          </w:p>
        </w:tc>
        <w:tc>
          <w:tcPr>
            <w:tcW w:w="47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w:t>
            </w:r>
          </w:p>
        </w:tc>
        <w:tc>
          <w:tcPr>
            <w:tcW w:w="4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9</w:t>
            </w:r>
          </w:p>
        </w:tc>
        <w:tc>
          <w:tcPr>
            <w:tcW w:w="45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83</w:t>
            </w:r>
          </w:p>
        </w:tc>
        <w:tc>
          <w:tcPr>
            <w:tcW w:w="46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4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25</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203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173</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36</w:t>
            </w:r>
          </w:p>
        </w:tc>
        <w:tc>
          <w:tcPr>
            <w:tcW w:w="4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10</w:t>
            </w:r>
          </w:p>
        </w:tc>
        <w:tc>
          <w:tcPr>
            <w:tcW w:w="46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19</w:t>
            </w: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33</w:t>
            </w:r>
          </w:p>
        </w:tc>
        <w:tc>
          <w:tcPr>
            <w:tcW w:w="4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72</w:t>
            </w:r>
          </w:p>
        </w:tc>
        <w:tc>
          <w:tcPr>
            <w:tcW w:w="4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30</w:t>
            </w: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44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25</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21</w:t>
            </w:r>
          </w:p>
        </w:tc>
        <w:tc>
          <w:tcPr>
            <w:tcW w:w="43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13</w:t>
            </w:r>
          </w:p>
        </w:tc>
        <w:tc>
          <w:tcPr>
            <w:tcW w:w="4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15</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w:t>
            </w:r>
          </w:p>
        </w:tc>
        <w:tc>
          <w:tcPr>
            <w:tcW w:w="44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48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15</w:t>
            </w:r>
          </w:p>
        </w:tc>
        <w:tc>
          <w:tcPr>
            <w:tcW w:w="61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1041</w:t>
            </w:r>
          </w:p>
        </w:tc>
      </w:tr>
    </w:tbl>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Anexo 8a: Estadísticas de las oposiciones al grado AD5 de la EPSO (excl. lingüistas) durante el periodo 2010-mediados 2017</w:t>
      </w:r>
    </w:p>
    <w:tbl>
      <w:tblPr>
        <w:tblW w:w="13882" w:type="dxa"/>
        <w:tblInd w:w="93" w:type="dxa"/>
        <w:tblLook w:val="04A0" w:firstRow="1" w:lastRow="0" w:firstColumn="1" w:lastColumn="0" w:noHBand="0" w:noVBand="1"/>
      </w:tblPr>
      <w:tblGrid>
        <w:gridCol w:w="1334"/>
        <w:gridCol w:w="1297"/>
        <w:gridCol w:w="1150"/>
        <w:gridCol w:w="1146"/>
        <w:gridCol w:w="1060"/>
        <w:gridCol w:w="1396"/>
        <w:gridCol w:w="1661"/>
        <w:gridCol w:w="1226"/>
        <w:gridCol w:w="1328"/>
        <w:gridCol w:w="1247"/>
        <w:gridCol w:w="1037"/>
      </w:tblGrid>
      <w:tr>
        <w:trPr>
          <w:trHeight w:val="720"/>
        </w:trPr>
        <w:tc>
          <w:tcPr>
            <w:tcW w:w="1430" w:type="dxa"/>
            <w:tcBorders>
              <w:top w:val="single" w:sz="4" w:space="0" w:color="000000"/>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Oposiciones AD5 EPSO 2010-mediados 2017</w:t>
            </w:r>
          </w:p>
        </w:tc>
        <w:tc>
          <w:tcPr>
            <w:tcW w:w="1297" w:type="dxa"/>
            <w:tcBorders>
              <w:top w:val="single" w:sz="4" w:space="0" w:color="000000"/>
              <w:left w:val="single" w:sz="4" w:space="0" w:color="000000"/>
              <w:bottom w:val="single" w:sz="4" w:space="0" w:color="auto"/>
              <w:right w:val="nil"/>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Candidaturas acumuladas</w:t>
            </w:r>
          </w:p>
        </w:tc>
        <w:tc>
          <w:tcPr>
            <w:tcW w:w="1147" w:type="dxa"/>
            <w:tcBorders>
              <w:top w:val="single" w:sz="4" w:space="0" w:color="000000"/>
              <w:left w:val="single" w:sz="4" w:space="0" w:color="000000"/>
              <w:bottom w:val="single" w:sz="4" w:space="0" w:color="auto"/>
              <w:right w:val="nil"/>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Candidatos aptos acumulados</w:t>
            </w:r>
          </w:p>
        </w:tc>
        <w:tc>
          <w:tcPr>
            <w:tcW w:w="1146" w:type="dxa"/>
            <w:tcBorders>
              <w:top w:val="single" w:sz="4" w:space="0" w:color="000000"/>
              <w:left w:val="single" w:sz="4" w:space="0" w:color="000000"/>
              <w:bottom w:val="single" w:sz="4" w:space="0" w:color="auto"/>
              <w:right w:val="nil"/>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Población (millones)</w:t>
            </w:r>
          </w:p>
        </w:tc>
        <w:tc>
          <w:tcPr>
            <w:tcW w:w="1060" w:type="dxa"/>
            <w:tcBorders>
              <w:top w:val="single" w:sz="4" w:space="0" w:color="000000"/>
              <w:left w:val="single" w:sz="4" w:space="0" w:color="000000"/>
              <w:bottom w:val="single" w:sz="4" w:space="0" w:color="auto"/>
              <w:right w:val="nil"/>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Índices guía</w:t>
            </w:r>
          </w:p>
        </w:tc>
        <w:tc>
          <w:tcPr>
            <w:tcW w:w="1396" w:type="dxa"/>
            <w:tcBorders>
              <w:top w:val="single" w:sz="4" w:space="0" w:color="000000"/>
              <w:left w:val="single" w:sz="4" w:space="0" w:color="000000"/>
              <w:bottom w:val="single" w:sz="4" w:space="0" w:color="auto"/>
              <w:right w:val="nil"/>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Distribución de candidatos aptos</w:t>
            </w:r>
          </w:p>
        </w:tc>
        <w:tc>
          <w:tcPr>
            <w:tcW w:w="1661" w:type="dxa"/>
            <w:tcBorders>
              <w:top w:val="single" w:sz="4" w:space="0" w:color="000000"/>
              <w:left w:val="single" w:sz="4" w:space="0" w:color="000000"/>
              <w:bottom w:val="single" w:sz="4" w:space="0" w:color="auto"/>
              <w:right w:val="nil"/>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Superávit o déficit vs. índice guía</w:t>
            </w:r>
          </w:p>
        </w:tc>
        <w:tc>
          <w:tcPr>
            <w:tcW w:w="1226" w:type="dxa"/>
            <w:tcBorders>
              <w:top w:val="single" w:sz="4" w:space="0" w:color="000000"/>
              <w:left w:val="single" w:sz="4" w:space="0" w:color="000000"/>
              <w:bottom w:val="single" w:sz="4" w:space="0" w:color="auto"/>
              <w:right w:val="nil"/>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Candidatos aptos en % del índice guía</w:t>
            </w:r>
          </w:p>
        </w:tc>
        <w:tc>
          <w:tcPr>
            <w:tcW w:w="1235" w:type="dxa"/>
            <w:tcBorders>
              <w:top w:val="single" w:sz="4" w:space="0" w:color="000000"/>
              <w:left w:val="single" w:sz="4" w:space="0" w:color="000000"/>
              <w:bottom w:val="single" w:sz="4" w:space="0" w:color="auto"/>
              <w:right w:val="nil"/>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¿Desequilibrio significativo en las listas de la EPSO*?</w:t>
            </w:r>
          </w:p>
        </w:tc>
        <w:tc>
          <w:tcPr>
            <w:tcW w:w="1247" w:type="dxa"/>
            <w:tcBorders>
              <w:top w:val="single" w:sz="4" w:space="0" w:color="000000"/>
              <w:left w:val="single" w:sz="4" w:space="0" w:color="000000"/>
              <w:bottom w:val="single" w:sz="4" w:space="0" w:color="auto"/>
              <w:right w:val="nil"/>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Participantes</w:t>
            </w:r>
            <w:r>
              <w:rPr>
                <w:rFonts w:ascii="Arial" w:eastAsia="Times New Roman" w:hAnsi="Arial" w:cs="Arial"/>
                <w:b/>
                <w:bCs/>
                <w:noProof/>
                <w:sz w:val="16"/>
                <w:szCs w:val="16"/>
              </w:rPr>
              <w:br/>
            </w:r>
            <w:r>
              <w:rPr>
                <w:rFonts w:ascii="Arial" w:hAnsi="Arial"/>
                <w:b/>
                <w:noProof/>
                <w:sz w:val="16"/>
              </w:rPr>
              <w:t>/Mill. habitantes</w:t>
            </w:r>
          </w:p>
        </w:tc>
        <w:tc>
          <w:tcPr>
            <w:tcW w:w="1037" w:type="dxa"/>
            <w:tcBorders>
              <w:top w:val="single" w:sz="4" w:space="0" w:color="000000"/>
              <w:left w:val="single" w:sz="4" w:space="0" w:color="000000"/>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Tasa de éxito</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Bélgica</w:t>
            </w:r>
          </w:p>
        </w:tc>
        <w:tc>
          <w:tcPr>
            <w:tcW w:w="1297"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19795</w:t>
            </w:r>
          </w:p>
        </w:tc>
        <w:tc>
          <w:tcPr>
            <w:tcW w:w="1147"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171</w:t>
            </w:r>
          </w:p>
        </w:tc>
        <w:tc>
          <w:tcPr>
            <w:tcW w:w="1146"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11,2</w:t>
            </w:r>
          </w:p>
        </w:tc>
        <w:tc>
          <w:tcPr>
            <w:tcW w:w="1060"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3,1 %</w:t>
            </w:r>
          </w:p>
        </w:tc>
        <w:tc>
          <w:tcPr>
            <w:tcW w:w="1396"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11,1 %</w:t>
            </w:r>
          </w:p>
        </w:tc>
        <w:tc>
          <w:tcPr>
            <w:tcW w:w="1661"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8,0 %</w:t>
            </w:r>
          </w:p>
        </w:tc>
        <w:tc>
          <w:tcPr>
            <w:tcW w:w="1226"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357 %</w:t>
            </w:r>
          </w:p>
        </w:tc>
        <w:tc>
          <w:tcPr>
            <w:tcW w:w="1235"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1766</w:t>
            </w:r>
          </w:p>
        </w:tc>
        <w:tc>
          <w:tcPr>
            <w:tcW w:w="1037" w:type="dxa"/>
            <w:tcBorders>
              <w:top w:val="single"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0,9 %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Bulgaria</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11275</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38</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7,2</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2,4 %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2,5 %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0,1 %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103 %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1565</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0,3 %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Chequia</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3452</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15</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10,5</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3,1 %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-2,1 %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32 %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SÍ</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328</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0,4 %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Dinamarca</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1966</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5,7</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1,8 %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0,7 %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-1,1 %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36 %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SÍ</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347</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0,5 %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Alemania</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17583</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205</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81,2</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13,8 %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13,3 %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-0,5 %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97 %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217</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1,2 %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Estonia</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1789</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1,3</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0,8 %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0,1 %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-0,7 %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16 %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SÍ</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1362</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0,1 %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Irlanda</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2028</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11</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1,6 %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0,7 %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-0,9 %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44 %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SÍ</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438</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0,5 %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Grecia</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18787</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49</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3,1 %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3,2 %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0,1 %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103 %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1730</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0,3 %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España</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27569</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177</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46,4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8,9 %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11,5 %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2,6 %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129 %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594</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0,6 %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Francia</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19208</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163</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66,4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11,6 %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10,6 %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91 %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289</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0,8 %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Croacia</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4239</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26</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4,2</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1,6 %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1,7 %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0,1 %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109 %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1003</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0,6 %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Italia</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49325</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261</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60,8</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11,2 %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17,0 %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5,8 %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152 %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811</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0,5 %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Chipre</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1077</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0,8</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0,8 %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0,0 %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-0,8 %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SÍ</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1272</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0,0 %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Letonia</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2172</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7</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2,0</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0,5 %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-0,5 %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48 %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SÍ</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1094</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0,3 %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Lituania</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4339</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9</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1,5 %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0,6 %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-0,9 %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39 %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SÍ</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1485</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0,2 %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Luxemburgo</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526</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0,8 %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0,0 %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-0,8 %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SÍ</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934</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0,0 %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Hungría</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6435</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56</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9,9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3,0 %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3,6 %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0,6 %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121 %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653</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0,9 %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Malta</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930</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0,6 %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0,3 %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-0,3 %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51 %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2166</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0,5 %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Países Bajos</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4532</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71</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16,9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3,9 %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4,6 %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0,7 %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119 %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268</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1,6 %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Austria</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3779</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38</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8,6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2,6 %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2,5 %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-0,1 %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96 %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441</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1,0 %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Polonia</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11452</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30</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38,0</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8,2 %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2,0 %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-6,2 %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24 %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SÍ</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301</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0,3 %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Portugal</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10322</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32</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3,1 %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2,1 %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68 %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995</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0,3 %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Rumanía</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25933</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91</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19,9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4,5 %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5,9 %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1,4 %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131 %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1305</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0,4 %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Eslovenia</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2475</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6</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2,1</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0,4 %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-0,6 %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41 %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SÍ</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1200</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0,2 %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Eslovaquia</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4144</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17</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1,8 %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1,1 %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-0,7 %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63 %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764</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0,4 %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Finlandia</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3208</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23</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5,5</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1,8 %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1,5 %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-0,3 %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84 %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586</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0,7 %</w:t>
            </w:r>
          </w:p>
        </w:tc>
      </w:tr>
      <w:tr>
        <w:trPr>
          <w:trHeight w:val="240"/>
        </w:trPr>
        <w:tc>
          <w:tcPr>
            <w:tcW w:w="1430" w:type="dxa"/>
            <w:tcBorders>
              <w:top w:val="nil"/>
              <w:left w:val="single" w:sz="4" w:space="0" w:color="000000"/>
              <w:bottom w:val="single" w:sz="4" w:space="0" w:color="000000"/>
              <w:right w:val="nil"/>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Suecia</w:t>
            </w:r>
          </w:p>
        </w:tc>
        <w:tc>
          <w:tcPr>
            <w:tcW w:w="1297"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3132</w:t>
            </w:r>
          </w:p>
        </w:tc>
        <w:tc>
          <w:tcPr>
            <w:tcW w:w="1147"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24</w:t>
            </w:r>
          </w:p>
        </w:tc>
        <w:tc>
          <w:tcPr>
            <w:tcW w:w="1146"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9,7</w:t>
            </w:r>
          </w:p>
        </w:tc>
        <w:tc>
          <w:tcPr>
            <w:tcW w:w="1060"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2,7 %</w:t>
            </w:r>
          </w:p>
        </w:tc>
        <w:tc>
          <w:tcPr>
            <w:tcW w:w="1396"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1,6 %</w:t>
            </w:r>
          </w:p>
        </w:tc>
        <w:tc>
          <w:tcPr>
            <w:tcW w:w="1661"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-1,2 %</w:t>
            </w:r>
          </w:p>
        </w:tc>
        <w:tc>
          <w:tcPr>
            <w:tcW w:w="1226"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57 %</w:t>
            </w:r>
          </w:p>
        </w:tc>
        <w:tc>
          <w:tcPr>
            <w:tcW w:w="1235"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321</w:t>
            </w:r>
          </w:p>
        </w:tc>
        <w:tc>
          <w:tcPr>
            <w:tcW w:w="1037"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0,8 %</w:t>
            </w:r>
          </w:p>
        </w:tc>
      </w:tr>
      <w:tr>
        <w:trPr>
          <w:trHeight w:val="240"/>
        </w:trPr>
        <w:tc>
          <w:tcPr>
            <w:tcW w:w="1430" w:type="dxa"/>
            <w:tcBorders>
              <w:top w:val="nil"/>
              <w:left w:val="single" w:sz="4" w:space="0" w:color="000000"/>
              <w:bottom w:val="single" w:sz="4" w:space="0" w:color="000000"/>
              <w:right w:val="single" w:sz="4" w:space="0" w:color="auto"/>
            </w:tcBorders>
            <w:shd w:val="clear" w:color="000000" w:fill="99CCFF"/>
            <w:vAlign w:val="bottom"/>
            <w:hideMark/>
          </w:tcPr>
          <w:p>
            <w:pPr>
              <w:spacing w:after="0" w:line="240" w:lineRule="auto"/>
              <w:rPr>
                <w:rFonts w:ascii="Arial" w:eastAsia="Times New Roman" w:hAnsi="Arial" w:cs="Arial"/>
                <w:b/>
                <w:bCs/>
                <w:noProof/>
                <w:sz w:val="16"/>
                <w:szCs w:val="16"/>
              </w:rPr>
            </w:pPr>
            <w:r>
              <w:rPr>
                <w:rFonts w:ascii="Arial" w:hAnsi="Arial"/>
                <w:b/>
                <w:noProof/>
                <w:sz w:val="16"/>
              </w:rPr>
              <w:t>EU27</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261472</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1537</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443,5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100,0 %</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100,0 %</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0,0 %</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 </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b/>
                <w:bCs/>
                <w:noProof/>
                <w:sz w:val="16"/>
                <w:szCs w:val="16"/>
              </w:rPr>
            </w:pPr>
            <w:r>
              <w:rPr>
                <w:rFonts w:ascii="Arial" w:hAnsi="Arial"/>
                <w:b/>
                <w:noProof/>
                <w:sz w:val="16"/>
              </w:rPr>
              <w:t>590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b/>
                <w:bCs/>
                <w:noProof/>
                <w:sz w:val="16"/>
                <w:szCs w:val="16"/>
              </w:rPr>
            </w:pPr>
            <w:r>
              <w:rPr>
                <w:rFonts w:ascii="Arial" w:hAnsi="Arial"/>
                <w:b/>
                <w:noProof/>
                <w:sz w:val="16"/>
              </w:rPr>
              <w:t>0,6 %</w:t>
            </w:r>
          </w:p>
        </w:tc>
      </w:tr>
    </w:tbl>
    <w:p>
      <w:pPr>
        <w:spacing w:after="240" w:line="240" w:lineRule="auto"/>
        <w:jc w:val="both"/>
        <w:rPr>
          <w:rFonts w:ascii="Arial" w:eastAsia="Times New Roman" w:hAnsi="Arial" w:cs="Arial"/>
          <w:b/>
          <w:bCs/>
          <w:noProof/>
          <w:sz w:val="16"/>
          <w:szCs w:val="16"/>
        </w:rPr>
      </w:pPr>
      <w:r>
        <w:rPr>
          <w:rFonts w:ascii="Arial" w:hAnsi="Arial"/>
          <w:b/>
          <w:noProof/>
          <w:sz w:val="16"/>
        </w:rPr>
        <w:t xml:space="preserve">Nota: las cifras de Croacia están corregidas para tener en cuenta las oposiciones de «ampliación» organizadas durante el periodo </w:t>
      </w:r>
      <w:r>
        <w:rPr>
          <w:noProof/>
        </w:rPr>
        <w:tab/>
      </w:r>
      <w:r>
        <w:rPr>
          <w:rFonts w:ascii="Arial" w:eastAsia="Times New Roman" w:hAnsi="Arial" w:cs="Arial"/>
          <w:b/>
          <w:bCs/>
          <w:noProof/>
          <w:sz w:val="16"/>
          <w:szCs w:val="16"/>
        </w:rPr>
        <w:br/>
      </w:r>
      <w:r>
        <w:rPr>
          <w:rFonts w:ascii="Arial" w:hAnsi="Arial"/>
          <w:b/>
          <w:noProof/>
          <w:sz w:val="16"/>
        </w:rPr>
        <w:t>*: la cuota entre los candidatos aptos es inferior al 50 % del índice guía</w:t>
      </w:r>
    </w:p>
    <w:p>
      <w:pPr>
        <w:spacing w:after="0" w:line="240" w:lineRule="auto"/>
        <w:rPr>
          <w:rFonts w:ascii="Times New Roman" w:eastAsia="Times New Roman" w:hAnsi="Times New Roman" w:cs="Times New Roman"/>
          <w:noProof/>
          <w:sz w:val="24"/>
          <w:szCs w:val="20"/>
        </w:rPr>
      </w:pPr>
      <w:r>
        <w:rPr>
          <w:noProof/>
        </w:rPr>
        <w:br w:type="page"/>
      </w:r>
    </w:p>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Anexo 8b: Estadísticas de las oposiciones al grupo de funciones AD de la EPSO (excl. lingüistas) durante el periodo 2010-2016</w:t>
      </w:r>
    </w:p>
    <w:tbl>
      <w:tblPr>
        <w:tblW w:w="13802" w:type="dxa"/>
        <w:tblInd w:w="-34" w:type="dxa"/>
        <w:tblLook w:val="04A0" w:firstRow="1" w:lastRow="0" w:firstColumn="1" w:lastColumn="0" w:noHBand="0" w:noVBand="1"/>
      </w:tblPr>
      <w:tblGrid>
        <w:gridCol w:w="1566"/>
        <w:gridCol w:w="1239"/>
        <w:gridCol w:w="1150"/>
        <w:gridCol w:w="1060"/>
        <w:gridCol w:w="1060"/>
        <w:gridCol w:w="1265"/>
        <w:gridCol w:w="1661"/>
        <w:gridCol w:w="1215"/>
        <w:gridCol w:w="1328"/>
        <w:gridCol w:w="1221"/>
        <w:gridCol w:w="1037"/>
      </w:tblGrid>
      <w:tr>
        <w:trPr>
          <w:trHeight w:val="439"/>
        </w:trPr>
        <w:tc>
          <w:tcPr>
            <w:tcW w:w="1847"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Oposiciones para perfiles especializados AD EPSO 2010-2016</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Candidaturas acumuladas</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Candidatos aptos acumulados</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Población (millones)</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Índices guía</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Distribución de candidatos aptos</w:t>
            </w:r>
          </w:p>
        </w:tc>
        <w:tc>
          <w:tcPr>
            <w:tcW w:w="1661" w:type="dxa"/>
            <w:vMerge w:val="restart"/>
            <w:tcBorders>
              <w:top w:val="single" w:sz="4" w:space="0" w:color="000000"/>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Superávit o déficit vs. índice guía</w:t>
            </w:r>
          </w:p>
        </w:tc>
        <w:tc>
          <w:tcPr>
            <w:tcW w:w="1215"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Candidatos aptos en % del índice guía</w:t>
            </w:r>
          </w:p>
        </w:tc>
        <w:tc>
          <w:tcPr>
            <w:tcW w:w="1246"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¿Desequilibrio significativo en las listas de la EPSO*?</w:t>
            </w:r>
          </w:p>
        </w:tc>
        <w:tc>
          <w:tcPr>
            <w:tcW w:w="1171" w:type="dxa"/>
            <w:tcBorders>
              <w:top w:val="single" w:sz="4" w:space="0" w:color="000000"/>
              <w:left w:val="nil"/>
              <w:bottom w:val="nil"/>
              <w:right w:val="nil"/>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Participantes</w:t>
            </w:r>
          </w:p>
        </w:tc>
        <w:tc>
          <w:tcPr>
            <w:tcW w:w="1037" w:type="dxa"/>
            <w:vMerge w:val="restart"/>
            <w:tcBorders>
              <w:top w:val="single" w:sz="4" w:space="0" w:color="000000"/>
              <w:left w:val="single" w:sz="4" w:space="0" w:color="000000"/>
              <w:bottom w:val="single" w:sz="4" w:space="0" w:color="000000"/>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Tasa de éxito</w:t>
            </w:r>
          </w:p>
        </w:tc>
      </w:tr>
      <w:tr>
        <w:trPr>
          <w:trHeight w:val="240"/>
        </w:trPr>
        <w:tc>
          <w:tcPr>
            <w:tcW w:w="1847" w:type="dxa"/>
            <w:vMerge/>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Arial" w:eastAsia="Times New Roman" w:hAnsi="Arial" w:cs="Arial"/>
                <w:b/>
                <w:bCs/>
                <w:noProof/>
                <w:sz w:val="16"/>
                <w:szCs w:val="16"/>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Arial" w:eastAsia="Times New Roman" w:hAnsi="Arial" w:cs="Arial"/>
                <w:b/>
                <w:bCs/>
                <w:noProof/>
                <w:sz w:val="16"/>
                <w:szCs w:val="16"/>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Arial" w:eastAsia="Times New Roman" w:hAnsi="Arial" w:cs="Arial"/>
                <w:b/>
                <w:bCs/>
                <w:noProof/>
                <w:sz w:val="16"/>
                <w:szCs w:val="16"/>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Arial" w:eastAsia="Times New Roman" w:hAnsi="Arial" w:cs="Arial"/>
                <w:b/>
                <w:bCs/>
                <w:noProof/>
                <w:sz w:val="16"/>
                <w:szCs w:val="16"/>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Arial" w:eastAsia="Times New Roman" w:hAnsi="Arial" w:cs="Arial"/>
                <w:b/>
                <w:bCs/>
                <w:noProof/>
                <w:sz w:val="16"/>
                <w:szCs w:val="16"/>
              </w:rPr>
            </w:pPr>
          </w:p>
        </w:tc>
        <w:tc>
          <w:tcPr>
            <w:tcW w:w="1265" w:type="dxa"/>
            <w:vMerge/>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Arial" w:eastAsia="Times New Roman" w:hAnsi="Arial" w:cs="Arial"/>
                <w:b/>
                <w:bCs/>
                <w:noProof/>
                <w:sz w:val="16"/>
                <w:szCs w:val="16"/>
              </w:rPr>
            </w:pPr>
          </w:p>
        </w:tc>
        <w:tc>
          <w:tcPr>
            <w:tcW w:w="1661" w:type="dxa"/>
            <w:vMerge/>
            <w:tcBorders>
              <w:top w:val="single" w:sz="4" w:space="0" w:color="000000"/>
              <w:left w:val="single" w:sz="4" w:space="0" w:color="000000"/>
              <w:bottom w:val="single" w:sz="4" w:space="0" w:color="000000"/>
              <w:right w:val="nil"/>
            </w:tcBorders>
            <w:vAlign w:val="center"/>
            <w:hideMark/>
          </w:tcPr>
          <w:p>
            <w:pPr>
              <w:spacing w:after="0" w:line="240" w:lineRule="auto"/>
              <w:rPr>
                <w:rFonts w:ascii="Arial" w:eastAsia="Times New Roman" w:hAnsi="Arial" w:cs="Arial"/>
                <w:b/>
                <w:bCs/>
                <w:noProof/>
                <w:sz w:val="16"/>
                <w:szCs w:val="16"/>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b/>
                <w:bCs/>
                <w:noProof/>
                <w:sz w:val="16"/>
                <w:szCs w:val="16"/>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b/>
                <w:bCs/>
                <w:noProof/>
                <w:sz w:val="16"/>
                <w:szCs w:val="16"/>
              </w:rPr>
            </w:pPr>
          </w:p>
        </w:tc>
        <w:tc>
          <w:tcPr>
            <w:tcW w:w="1171" w:type="dxa"/>
            <w:tcBorders>
              <w:top w:val="nil"/>
              <w:left w:val="nil"/>
              <w:bottom w:val="nil"/>
              <w:right w:val="nil"/>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/Mill. habitantes</w:t>
            </w:r>
          </w:p>
        </w:tc>
        <w:tc>
          <w:tcPr>
            <w:tcW w:w="1037" w:type="dxa"/>
            <w:vMerge/>
            <w:tcBorders>
              <w:top w:val="single" w:sz="4" w:space="0" w:color="000000"/>
              <w:left w:val="single" w:sz="4" w:space="0" w:color="000000"/>
              <w:bottom w:val="single" w:sz="4" w:space="0" w:color="000000"/>
              <w:right w:val="single" w:sz="4" w:space="0" w:color="auto"/>
            </w:tcBorders>
            <w:vAlign w:val="center"/>
            <w:hideMark/>
          </w:tcPr>
          <w:p>
            <w:pPr>
              <w:spacing w:after="0" w:line="240" w:lineRule="auto"/>
              <w:rPr>
                <w:rFonts w:ascii="Arial" w:eastAsia="Times New Roman" w:hAnsi="Arial" w:cs="Arial"/>
                <w:b/>
                <w:bCs/>
                <w:noProof/>
                <w:sz w:val="16"/>
                <w:szCs w:val="16"/>
              </w:rPr>
            </w:pP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Bélgica</w:t>
            </w:r>
          </w:p>
        </w:tc>
        <w:tc>
          <w:tcPr>
            <w:tcW w:w="1180" w:type="dxa"/>
            <w:tcBorders>
              <w:top w:val="nil"/>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4862</w:t>
            </w:r>
          </w:p>
        </w:tc>
        <w:tc>
          <w:tcPr>
            <w:tcW w:w="1060" w:type="dxa"/>
            <w:tcBorders>
              <w:top w:val="nil"/>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122</w:t>
            </w:r>
          </w:p>
        </w:tc>
        <w:tc>
          <w:tcPr>
            <w:tcW w:w="1060" w:type="dxa"/>
            <w:tcBorders>
              <w:top w:val="nil"/>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11,2</w:t>
            </w:r>
          </w:p>
        </w:tc>
        <w:tc>
          <w:tcPr>
            <w:tcW w:w="1060" w:type="dxa"/>
            <w:tcBorders>
              <w:top w:val="nil"/>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3,1 %</w:t>
            </w:r>
          </w:p>
        </w:tc>
        <w:tc>
          <w:tcPr>
            <w:tcW w:w="1265" w:type="dxa"/>
            <w:tcBorders>
              <w:top w:val="nil"/>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10,0 %</w:t>
            </w:r>
          </w:p>
        </w:tc>
        <w:tc>
          <w:tcPr>
            <w:tcW w:w="1661" w:type="dxa"/>
            <w:tcBorders>
              <w:top w:val="nil"/>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6,9 %</w:t>
            </w:r>
          </w:p>
        </w:tc>
        <w:tc>
          <w:tcPr>
            <w:tcW w:w="1215" w:type="dxa"/>
            <w:tcBorders>
              <w:top w:val="nil"/>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322 %</w:t>
            </w:r>
          </w:p>
        </w:tc>
        <w:tc>
          <w:tcPr>
            <w:tcW w:w="1246" w:type="dxa"/>
            <w:tcBorders>
              <w:top w:val="nil"/>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434</w:t>
            </w:r>
          </w:p>
        </w:tc>
        <w:tc>
          <w:tcPr>
            <w:tcW w:w="1037" w:type="dxa"/>
            <w:tcBorders>
              <w:top w:val="nil"/>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2,5 %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Bulgaria</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2172</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21</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7,2</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2,4 %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1,7 %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-0,7 %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72 %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302</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1,0 %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Chequia</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451</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8</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10,5</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3,1 %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0,7 %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-2,4 %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21 %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SÍ</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43</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1,8 %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Dinamarca</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219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5,7</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1,8 %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0,8 %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46 %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SÍ</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39</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4,6 %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Alemania</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2886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132</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81,2</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13,8 %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10,9 %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-3,0 %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79 %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36</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4,6 %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Estonia</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313</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1,3</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0,8 %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0,5 %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-0,3 %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61 %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238</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1,9 %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Irlanda</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571</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11</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1,6 %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0,9 %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-0,7 %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56 %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123</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1,9 %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Grecia</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3955</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78</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3,1 %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6,4 %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3,3 %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208 %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364</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2,0 %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España</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7493</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157</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46,4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8,9 %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12,9 %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4,0 %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145 %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161</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2,1 %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Francia</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5324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66,4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11,6 %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8,7 %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-2,9 %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75 %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80</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2,0 %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Croacia</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875</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4,2</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1,6 %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1,6 %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0,0 %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100 %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207</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2,2 %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Italia</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10420</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245</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60,8</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11,2 %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20,2 %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9,0 %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181 %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171</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2,4 %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Chipre</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238</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0,8</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0,8 %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0,2 %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-0,5 %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32 %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SÍ</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281</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1,3 %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Letonia</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327</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2,0</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0,5 %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-0,5 %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52 %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165</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1,8 %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Lituania</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767</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13</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1,5 %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1,1 %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-0,4 %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72 %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263</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1,7 %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Luxemburgo</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117</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0,8 %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0,2 %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-0,5 %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33 %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SÍ</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208</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2,6 %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Hungría</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1019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32</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9,9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3,0 %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2,6 %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-0,4 %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87 %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103</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3,1 %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Malta</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147</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0,6 %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0,2 %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-0,5 %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26 %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SÍ</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342</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1,4 %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Países Bajos</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954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35</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16,9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3,9 %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2,9 %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74 %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56</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3,7 %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Austria</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636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27</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8,6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2,6 %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2,2 %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-0,3 %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87 %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74</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4,2 %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Polonia</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2093</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38,0</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8,2 %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3,6 %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-4,5 %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44 %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SÍ</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55</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2,1 %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Portugal</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2515</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3,1 %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2,8 %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-0,3 %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92 %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242</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1,4 %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Rumanía</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424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47</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19,9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4,5 %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3,9 %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-0,6 %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86 %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21</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11,1 %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Eslovenia</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526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11</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2,1</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0,9 %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-0,1 %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94 %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255</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2,1 %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Eslovaquia</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744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1,8 %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1,3 %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-0,5 %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74 %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137</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2,2 %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Finlandia</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501</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12</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5,5</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1,8 %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-0,8 %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56 %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92</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2,4 %</w:t>
            </w:r>
          </w:p>
        </w:tc>
      </w:tr>
      <w:tr>
        <w:trPr>
          <w:trHeight w:val="240"/>
        </w:trPr>
        <w:tc>
          <w:tcPr>
            <w:tcW w:w="1847"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Suecia</w:t>
            </w:r>
          </w:p>
        </w:tc>
        <w:tc>
          <w:tcPr>
            <w:tcW w:w="1180"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476</w:t>
            </w:r>
          </w:p>
        </w:tc>
        <w:tc>
          <w:tcPr>
            <w:tcW w:w="1060"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15</w:t>
            </w:r>
          </w:p>
        </w:tc>
        <w:tc>
          <w:tcPr>
            <w:tcW w:w="1060"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9,7</w:t>
            </w:r>
          </w:p>
        </w:tc>
        <w:tc>
          <w:tcPr>
            <w:tcW w:w="1060"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2,7 %</w:t>
            </w:r>
          </w:p>
        </w:tc>
        <w:tc>
          <w:tcPr>
            <w:tcW w:w="1265"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1,2 %</w:t>
            </w:r>
          </w:p>
        </w:tc>
        <w:tc>
          <w:tcPr>
            <w:tcW w:w="1661"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-1,5 %</w:t>
            </w:r>
          </w:p>
        </w:tc>
        <w:tc>
          <w:tcPr>
            <w:tcW w:w="1215"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45 %</w:t>
            </w:r>
          </w:p>
        </w:tc>
        <w:tc>
          <w:tcPr>
            <w:tcW w:w="1246"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color w:val="FF0000"/>
                <w:sz w:val="16"/>
                <w:szCs w:val="16"/>
              </w:rPr>
            </w:pPr>
            <w:r>
              <w:rPr>
                <w:rFonts w:ascii="Arial" w:hAnsi="Arial"/>
                <w:noProof/>
                <w:color w:val="FF0000"/>
                <w:sz w:val="16"/>
              </w:rPr>
              <w:t>SÍ</w:t>
            </w:r>
          </w:p>
        </w:tc>
        <w:tc>
          <w:tcPr>
            <w:tcW w:w="1171"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49</w:t>
            </w:r>
          </w:p>
        </w:tc>
        <w:tc>
          <w:tcPr>
            <w:tcW w:w="1037"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noProof/>
                <w:sz w:val="16"/>
                <w:szCs w:val="16"/>
              </w:rPr>
            </w:pPr>
            <w:r>
              <w:rPr>
                <w:rFonts w:ascii="Arial" w:hAnsi="Arial"/>
                <w:noProof/>
                <w:sz w:val="16"/>
              </w:rPr>
              <w:t>3,2 %</w:t>
            </w:r>
          </w:p>
        </w:tc>
      </w:tr>
      <w:tr>
        <w:trPr>
          <w:trHeight w:val="240"/>
        </w:trPr>
        <w:tc>
          <w:tcPr>
            <w:tcW w:w="1847" w:type="dxa"/>
            <w:tcBorders>
              <w:top w:val="nil"/>
              <w:left w:val="single" w:sz="4" w:space="0" w:color="000000"/>
              <w:bottom w:val="single" w:sz="4" w:space="0" w:color="000000"/>
              <w:right w:val="single" w:sz="4" w:space="0" w:color="auto"/>
            </w:tcBorders>
            <w:shd w:val="clear" w:color="000000" w:fill="99CCFF"/>
            <w:vAlign w:val="center"/>
            <w:hideMark/>
          </w:tcPr>
          <w:p>
            <w:pPr>
              <w:spacing w:after="0" w:line="240" w:lineRule="auto"/>
              <w:rPr>
                <w:rFonts w:ascii="Arial" w:eastAsia="Times New Roman" w:hAnsi="Arial" w:cs="Arial"/>
                <w:b/>
                <w:bCs/>
                <w:noProof/>
                <w:sz w:val="16"/>
                <w:szCs w:val="16"/>
              </w:rPr>
            </w:pPr>
            <w:r>
              <w:rPr>
                <w:rFonts w:ascii="Arial" w:hAnsi="Arial"/>
                <w:b/>
                <w:noProof/>
                <w:sz w:val="16"/>
              </w:rPr>
              <w:t>EU27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51025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1215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443,5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100,0 %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100,0 %</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0,0 %</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 </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b/>
                <w:bCs/>
                <w:noProof/>
                <w:sz w:val="16"/>
                <w:szCs w:val="16"/>
              </w:rPr>
            </w:pPr>
            <w:r>
              <w:rPr>
                <w:rFonts w:ascii="Arial" w:hAnsi="Arial"/>
                <w:b/>
                <w:noProof/>
                <w:sz w:val="16"/>
              </w:rPr>
              <w:t>115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Arial" w:eastAsia="Times New Roman" w:hAnsi="Arial" w:cs="Arial"/>
                <w:b/>
                <w:bCs/>
                <w:noProof/>
                <w:sz w:val="16"/>
                <w:szCs w:val="16"/>
              </w:rPr>
            </w:pPr>
            <w:r>
              <w:rPr>
                <w:rFonts w:ascii="Arial" w:hAnsi="Arial"/>
                <w:b/>
                <w:noProof/>
                <w:sz w:val="16"/>
              </w:rPr>
              <w:t>2,4 %</w:t>
            </w:r>
          </w:p>
        </w:tc>
      </w:tr>
    </w:tbl>
    <w:p>
      <w:pPr>
        <w:spacing w:after="240" w:line="240" w:lineRule="auto"/>
        <w:jc w:val="both"/>
        <w:rPr>
          <w:rFonts w:ascii="Times New Roman" w:eastAsia="Times New Roman" w:hAnsi="Times New Roman" w:cs="Times New Roman"/>
          <w:noProof/>
          <w:sz w:val="24"/>
          <w:szCs w:val="20"/>
        </w:rPr>
      </w:pPr>
      <w:r>
        <w:rPr>
          <w:rFonts w:ascii="Arial" w:hAnsi="Arial"/>
          <w:b/>
          <w:noProof/>
          <w:sz w:val="16"/>
        </w:rPr>
        <w:t>Nota: las cifras de Croacia están corregidas para tener en cuenta las oposiciones de «ampliación» organizadas durante el periodo</w:t>
      </w:r>
      <w:r>
        <w:rPr>
          <w:noProof/>
        </w:rPr>
        <w:tab/>
      </w:r>
      <w:r>
        <w:rPr>
          <w:rFonts w:ascii="Arial" w:eastAsia="Times New Roman" w:hAnsi="Arial" w:cs="Arial"/>
          <w:b/>
          <w:bCs/>
          <w:noProof/>
          <w:sz w:val="16"/>
          <w:szCs w:val="16"/>
        </w:rPr>
        <w:br/>
      </w:r>
      <w:r>
        <w:rPr>
          <w:rFonts w:ascii="Arial" w:hAnsi="Arial"/>
          <w:b/>
          <w:noProof/>
          <w:sz w:val="16"/>
        </w:rPr>
        <w:t>*: la cuota entre los candidatos aptos es inferior al 50 % del índice guía</w:t>
      </w:r>
    </w:p>
    <w:p>
      <w:pPr>
        <w:spacing w:after="0" w:line="240" w:lineRule="auto"/>
        <w:rPr>
          <w:rFonts w:ascii="Times New Roman" w:eastAsia="Times New Roman" w:hAnsi="Times New Roman" w:cs="Times New Roman"/>
          <w:noProof/>
          <w:sz w:val="24"/>
          <w:szCs w:val="20"/>
        </w:rPr>
        <w:sectPr>
          <w:headerReference w:type="even" r:id="rId54"/>
          <w:headerReference w:type="default" r:id="rId55"/>
          <w:footerReference w:type="even" r:id="rId56"/>
          <w:footerReference w:type="default" r:id="rId57"/>
          <w:headerReference w:type="first" r:id="rId58"/>
          <w:footerReference w:type="first" r:id="rId59"/>
          <w:pgSz w:w="16838" w:h="11906" w:orient="landscape"/>
          <w:pgMar w:top="1134" w:right="1021" w:bottom="1134" w:left="1021" w:header="0" w:footer="567" w:gutter="0"/>
          <w:cols w:space="720"/>
          <w:docGrid w:linePitch="326"/>
        </w:sectPr>
      </w:pPr>
      <w:r>
        <w:rPr>
          <w:noProof/>
        </w:rPr>
        <w:br w:type="page"/>
      </w:r>
    </w:p>
    <w:p>
      <w:pPr>
        <w:spacing w:after="0" w:line="24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b/>
          <w:noProof/>
          <w:sz w:val="24"/>
          <w:szCs w:val="24"/>
        </w:rPr>
      </w:pPr>
      <w:r>
        <w:rPr>
          <w:rFonts w:ascii="Times New Roman" w:hAnsi="Times New Roman"/>
          <w:b/>
          <w:noProof/>
          <w:sz w:val="24"/>
        </w:rPr>
        <w:t>Anexo 8c: Solicitudes validadas en la última oposición al grupo de funciones AD (en curso)</w:t>
      </w:r>
    </w:p>
    <w:p>
      <w:pPr>
        <w:spacing w:after="0" w:line="240" w:lineRule="auto"/>
        <w:rPr>
          <w:rFonts w:ascii="Times New Roman" w:eastAsia="Times New Roman" w:hAnsi="Times New Roman" w:cs="Times New Roman"/>
          <w:b/>
          <w:noProof/>
          <w:sz w:val="24"/>
          <w:szCs w:val="24"/>
        </w:rPr>
      </w:pPr>
    </w:p>
    <w:tbl>
      <w:tblPr>
        <w:tblW w:w="7953" w:type="dxa"/>
        <w:tblInd w:w="93" w:type="dxa"/>
        <w:tblLook w:val="04A0" w:firstRow="1" w:lastRow="0" w:firstColumn="1" w:lastColumn="0" w:noHBand="0" w:noVBand="1"/>
      </w:tblPr>
      <w:tblGrid>
        <w:gridCol w:w="2000"/>
        <w:gridCol w:w="1417"/>
        <w:gridCol w:w="1418"/>
        <w:gridCol w:w="1417"/>
        <w:gridCol w:w="1701"/>
      </w:tblGrid>
      <w:tr>
        <w:trPr>
          <w:trHeight w:val="300"/>
        </w:trPr>
        <w:tc>
          <w:tcPr>
            <w:tcW w:w="2000"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EPSO AD/338/17</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Candidaturas</w:t>
            </w:r>
          </w:p>
        </w:tc>
        <w:tc>
          <w:tcPr>
            <w:tcW w:w="1418" w:type="dxa"/>
            <w:vMerge w:val="restart"/>
            <w:tcBorders>
              <w:top w:val="single" w:sz="4" w:space="0" w:color="000000"/>
              <w:left w:val="single" w:sz="4" w:space="0" w:color="000000"/>
              <w:bottom w:val="single" w:sz="4" w:space="0" w:color="000000"/>
              <w:right w:val="nil"/>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Población (millones)</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Participantes</w:t>
            </w:r>
            <w:r>
              <w:rPr>
                <w:rFonts w:ascii="Arial" w:eastAsia="Times New Roman" w:hAnsi="Arial" w:cs="Arial"/>
                <w:b/>
                <w:bCs/>
                <w:noProof/>
                <w:sz w:val="18"/>
                <w:szCs w:val="18"/>
              </w:rPr>
              <w:br/>
            </w:r>
            <w:r>
              <w:rPr>
                <w:rFonts w:ascii="Arial" w:hAnsi="Arial"/>
                <w:b/>
                <w:noProof/>
                <w:sz w:val="18"/>
              </w:rPr>
              <w:t>/Mill. habitantes*</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8"/>
                <w:szCs w:val="18"/>
              </w:rPr>
            </w:pPr>
            <w:r>
              <w:rPr>
                <w:rFonts w:ascii="Arial" w:hAnsi="Arial"/>
                <w:b/>
                <w:noProof/>
                <w:sz w:val="18"/>
              </w:rPr>
              <w:t>Como % de la media UE</w:t>
            </w:r>
          </w:p>
        </w:tc>
      </w:tr>
      <w:tr>
        <w:trPr>
          <w:trHeight w:val="31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Arial" w:eastAsia="Times New Roman" w:hAnsi="Arial" w:cs="Arial"/>
                <w:b/>
                <w:bCs/>
                <w:noProof/>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Arial" w:eastAsia="Times New Roman" w:hAnsi="Arial" w:cs="Arial"/>
                <w:b/>
                <w:bCs/>
                <w:noProof/>
                <w:sz w:val="18"/>
                <w:szCs w:val="18"/>
              </w:rPr>
            </w:pPr>
          </w:p>
        </w:tc>
        <w:tc>
          <w:tcPr>
            <w:tcW w:w="1418" w:type="dxa"/>
            <w:vMerge/>
            <w:tcBorders>
              <w:top w:val="single" w:sz="4" w:space="0" w:color="000000"/>
              <w:left w:val="single" w:sz="4" w:space="0" w:color="000000"/>
              <w:bottom w:val="single" w:sz="4" w:space="0" w:color="000000"/>
              <w:right w:val="nil"/>
            </w:tcBorders>
            <w:vAlign w:val="center"/>
            <w:hideMark/>
          </w:tcPr>
          <w:p>
            <w:pPr>
              <w:spacing w:after="0" w:line="240" w:lineRule="auto"/>
              <w:rPr>
                <w:rFonts w:ascii="Arial" w:eastAsia="Times New Roman" w:hAnsi="Arial" w:cs="Arial"/>
                <w:b/>
                <w:bCs/>
                <w:noProof/>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rPr>
            </w:pP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Bélgica</w:t>
            </w:r>
          </w:p>
        </w:tc>
        <w:tc>
          <w:tcPr>
            <w:tcW w:w="1417" w:type="dxa"/>
            <w:tcBorders>
              <w:top w:val="single" w:sz="4" w:space="0" w:color="000000"/>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2073</w:t>
            </w:r>
          </w:p>
        </w:tc>
        <w:tc>
          <w:tcPr>
            <w:tcW w:w="1418" w:type="dxa"/>
            <w:tcBorders>
              <w:top w:val="single" w:sz="4" w:space="0" w:color="000000"/>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11,2</w:t>
            </w:r>
          </w:p>
        </w:tc>
        <w:tc>
          <w:tcPr>
            <w:tcW w:w="1417" w:type="dxa"/>
            <w:tcBorders>
              <w:top w:val="single" w:sz="4" w:space="0" w:color="000000"/>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185</w:t>
            </w:r>
          </w:p>
        </w:tc>
        <w:tc>
          <w:tcPr>
            <w:tcW w:w="1701" w:type="dxa"/>
            <w:tcBorders>
              <w:top w:val="single" w:sz="4" w:space="0" w:color="000000"/>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274 %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Bulgaria</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913</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7,2</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127</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188 %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Chequia</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264</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10,5</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25</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37 %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Dinamarca</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197</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5,7</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35</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52 %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Alemania</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1867</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81,2</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23</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34 %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Estonia</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152</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1,3</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116</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171 %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Irlanda</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245</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4,6</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53</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78 %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Grecia</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3306</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10,9</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304</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451 %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España</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3731</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46,4</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80</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119 %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Francia</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2184</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66,4</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33</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49 %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Croacia</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525</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4,2</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124</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184 %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Italia</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6341</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60,8</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104</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155 %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Chipre</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163</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0,8</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192</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285 %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Letonia</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156</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2,0</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79</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116 %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Lituania</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370</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2,9</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127</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188 %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Luxemburgo</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71</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0,6</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126</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187 %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Hungría</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533</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9,9</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54</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80 %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Malta</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103</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0,4</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240</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355 %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Países Bajos</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1072</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16,9</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63</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94 %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Austria</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507</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8,6</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59</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88 %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Polonia</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1025</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38,0</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27</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40 %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Portugal</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1028</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10,4</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99</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147 %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Rumanía</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1875</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19,9</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94</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140 %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Eslovenia</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248</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2,1</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120</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178 %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Eslovaquia</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297</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5,4</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55</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81 %</w:t>
            </w:r>
          </w:p>
        </w:tc>
      </w:tr>
      <w:tr>
        <w:trPr>
          <w:trHeight w:val="315"/>
        </w:trPr>
        <w:tc>
          <w:tcPr>
            <w:tcW w:w="2000" w:type="dxa"/>
            <w:tcBorders>
              <w:top w:val="nil"/>
              <w:left w:val="single" w:sz="4" w:space="0" w:color="000000"/>
              <w:bottom w:val="single" w:sz="4" w:space="0" w:color="000000"/>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Finlandia</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399</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5,5</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73</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108 %</w:t>
            </w:r>
          </w:p>
        </w:tc>
      </w:tr>
      <w:tr>
        <w:trPr>
          <w:trHeight w:val="315"/>
        </w:trPr>
        <w:tc>
          <w:tcPr>
            <w:tcW w:w="2000" w:type="dxa"/>
            <w:tcBorders>
              <w:top w:val="nil"/>
              <w:left w:val="single" w:sz="4" w:space="0" w:color="000000"/>
              <w:bottom w:val="nil"/>
              <w:right w:val="nil"/>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Suecia</w:t>
            </w:r>
          </w:p>
        </w:tc>
        <w:tc>
          <w:tcPr>
            <w:tcW w:w="1417"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288</w:t>
            </w:r>
          </w:p>
        </w:tc>
        <w:tc>
          <w:tcPr>
            <w:tcW w:w="1418"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9,7</w:t>
            </w:r>
          </w:p>
        </w:tc>
        <w:tc>
          <w:tcPr>
            <w:tcW w:w="1417"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30</w:t>
            </w:r>
          </w:p>
        </w:tc>
        <w:tc>
          <w:tcPr>
            <w:tcW w:w="1701"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44 %</w:t>
            </w:r>
          </w:p>
        </w:tc>
      </w:tr>
      <w:tr>
        <w:trPr>
          <w:trHeight w:val="315"/>
        </w:trPr>
        <w:tc>
          <w:tcPr>
            <w:tcW w:w="2000" w:type="dxa"/>
            <w:tcBorders>
              <w:top w:val="single" w:sz="4" w:space="0" w:color="auto"/>
              <w:left w:val="single" w:sz="4" w:space="0" w:color="auto"/>
              <w:bottom w:val="single" w:sz="4" w:space="0" w:color="auto"/>
              <w:right w:val="single" w:sz="4" w:space="0" w:color="auto"/>
            </w:tcBorders>
            <w:shd w:val="clear" w:color="000000" w:fill="99CCFF"/>
            <w:vAlign w:val="center"/>
            <w:hideMark/>
          </w:tcPr>
          <w:p>
            <w:pPr>
              <w:spacing w:after="0" w:line="240" w:lineRule="auto"/>
              <w:rPr>
                <w:rFonts w:ascii="Arial" w:eastAsia="Times New Roman" w:hAnsi="Arial" w:cs="Arial"/>
                <w:b/>
                <w:bCs/>
                <w:noProof/>
                <w:sz w:val="18"/>
                <w:szCs w:val="18"/>
              </w:rPr>
            </w:pPr>
            <w:r>
              <w:rPr>
                <w:rFonts w:ascii="Arial" w:hAnsi="Arial"/>
                <w:b/>
                <w:noProof/>
                <w:sz w:val="18"/>
              </w:rPr>
              <w:t>UE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29933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443,5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67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noProof/>
              </w:rPr>
            </w:pPr>
            <w:r>
              <w:rPr>
                <w:rFonts w:ascii="Arial" w:hAnsi="Arial"/>
                <w:noProof/>
              </w:rPr>
              <w:t>100 %</w:t>
            </w:r>
          </w:p>
        </w:tc>
      </w:tr>
    </w:tbl>
    <w:p>
      <w:pPr>
        <w:spacing w:after="0" w:line="240" w:lineRule="auto"/>
        <w:rPr>
          <w:rFonts w:ascii="Times New Roman" w:eastAsia="Times New Roman" w:hAnsi="Times New Roman" w:cs="Times New Roman"/>
          <w:b/>
          <w:noProof/>
          <w:sz w:val="24"/>
          <w:szCs w:val="24"/>
        </w:rPr>
      </w:pPr>
      <w:r>
        <w:rPr>
          <w:rFonts w:ascii="Arial" w:hAnsi="Arial"/>
          <w:b/>
          <w:noProof/>
          <w:sz w:val="18"/>
        </w:rPr>
        <w:t>*: no comparable con el cuadro 2010-2017 que abarca varias oposiciones</w:t>
      </w:r>
    </w:p>
    <w:p>
      <w:pPr>
        <w:spacing w:after="0" w:line="240" w:lineRule="auto"/>
        <w:rPr>
          <w:rFonts w:ascii="Times New Roman" w:eastAsia="Times New Roman" w:hAnsi="Times New Roman" w:cs="Times New Roman"/>
          <w:b/>
          <w:noProof/>
          <w:sz w:val="24"/>
          <w:szCs w:val="24"/>
        </w:rPr>
      </w:pPr>
    </w:p>
    <w:p>
      <w:pPr>
        <w:spacing w:after="0" w:line="240" w:lineRule="auto"/>
        <w:rPr>
          <w:rFonts w:ascii="Times New Roman" w:eastAsia="Times New Roman" w:hAnsi="Times New Roman" w:cs="Times New Roman"/>
          <w:b/>
          <w:noProof/>
          <w:sz w:val="24"/>
          <w:szCs w:val="24"/>
        </w:rPr>
      </w:pPr>
    </w:p>
    <w:p>
      <w:pPr>
        <w:spacing w:after="0" w:line="240" w:lineRule="auto"/>
        <w:rPr>
          <w:rFonts w:ascii="Times New Roman" w:eastAsia="Times New Roman" w:hAnsi="Times New Roman" w:cs="Times New Roman"/>
          <w:b/>
          <w:noProof/>
          <w:sz w:val="24"/>
          <w:szCs w:val="24"/>
        </w:rPr>
        <w:sectPr>
          <w:headerReference w:type="even" r:id="rId60"/>
          <w:headerReference w:type="default" r:id="rId61"/>
          <w:footerReference w:type="even" r:id="rId62"/>
          <w:footerReference w:type="default" r:id="rId63"/>
          <w:headerReference w:type="first" r:id="rId64"/>
          <w:footerReference w:type="first" r:id="rId65"/>
          <w:pgSz w:w="11906" w:h="16838"/>
          <w:pgMar w:top="1021" w:right="1134" w:bottom="1021" w:left="1588" w:header="601" w:footer="1077" w:gutter="0"/>
          <w:cols w:space="720"/>
          <w:docGrid w:linePitch="326"/>
        </w:sectPr>
      </w:pPr>
      <w:r>
        <w:rPr>
          <w:noProof/>
        </w:rPr>
        <w:br w:type="page"/>
      </w:r>
    </w:p>
    <w:p>
      <w:pPr>
        <w:spacing w:after="0" w:line="240" w:lineRule="auto"/>
        <w:rPr>
          <w:rFonts w:ascii="Times New Roman" w:eastAsia="Times New Roman" w:hAnsi="Times New Roman" w:cs="Times New Roman"/>
          <w:noProof/>
          <w:sz w:val="24"/>
          <w:szCs w:val="24"/>
        </w:rPr>
      </w:pPr>
      <w:r>
        <w:rPr>
          <w:rFonts w:ascii="Times New Roman" w:hAnsi="Times New Roman"/>
          <w:b/>
          <w:noProof/>
          <w:sz w:val="24"/>
        </w:rPr>
        <w:t xml:space="preserve">Anexo 9: </w:t>
      </w:r>
      <w:r>
        <w:rPr>
          <w:noProof/>
        </w:rPr>
        <w:tab/>
      </w:r>
      <w:r>
        <w:rPr>
          <w:rFonts w:ascii="Times New Roman" w:hAnsi="Times New Roman"/>
          <w:b/>
          <w:noProof/>
          <w:sz w:val="24"/>
        </w:rPr>
        <w:t>Resumen de las aportaciones realizadas por otras instituciones</w:t>
      </w:r>
      <w:r>
        <w:rPr>
          <w:noProof/>
        </w:rPr>
        <w:tab/>
      </w:r>
      <w:r>
        <w:rPr>
          <w:rFonts w:ascii="Times New Roman" w:eastAsia="Times New Roman" w:hAnsi="Times New Roman" w:cs="Times New Roman"/>
          <w:b/>
          <w:noProof/>
          <w:sz w:val="24"/>
          <w:szCs w:val="24"/>
        </w:rPr>
        <w:br/>
      </w:r>
      <w:r>
        <w:rPr>
          <w:noProof/>
        </w:rPr>
        <w:tab/>
      </w:r>
      <w:r>
        <w:rPr>
          <w:noProof/>
        </w:rPr>
        <w:tab/>
      </w:r>
      <w:r>
        <w:rPr>
          <w:rFonts w:ascii="Times New Roman" w:hAnsi="Times New Roman"/>
          <w:noProof/>
          <w:sz w:val="24"/>
        </w:rPr>
        <w:t>Nota: todos los enunciados y expresiones reflejan las declaraciones de las instituciones pertinentes</w:t>
      </w:r>
    </w:p>
    <w:p>
      <w:pPr>
        <w:spacing w:after="240" w:line="240" w:lineRule="auto"/>
        <w:jc w:val="both"/>
        <w:rPr>
          <w:rFonts w:ascii="Times New Roman" w:eastAsia="Times New Roman" w:hAnsi="Times New Roman" w:cs="Times New Roman"/>
          <w:noProof/>
          <w:sz w:val="24"/>
          <w:szCs w:val="20"/>
        </w:rPr>
      </w:pPr>
    </w:p>
    <w:tbl>
      <w:tblPr>
        <w:tblStyle w:val="TableGrid"/>
        <w:tblW w:w="14032" w:type="dxa"/>
        <w:tblLayout w:type="fixed"/>
        <w:tblLook w:val="04A0" w:firstRow="1" w:lastRow="0" w:firstColumn="1" w:lastColumn="0" w:noHBand="0" w:noVBand="1"/>
      </w:tblPr>
      <w:tblGrid>
        <w:gridCol w:w="817"/>
        <w:gridCol w:w="3284"/>
        <w:gridCol w:w="2409"/>
        <w:gridCol w:w="2127"/>
        <w:gridCol w:w="3969"/>
        <w:gridCol w:w="708"/>
        <w:gridCol w:w="718"/>
      </w:tblGrid>
      <w:tr>
        <w:trPr>
          <w:cantSplit/>
          <w:trHeight w:val="2155"/>
          <w:tblHeader/>
        </w:trPr>
        <w:tc>
          <w:tcPr>
            <w:tcW w:w="817" w:type="dxa"/>
            <w:textDirection w:val="btLr"/>
          </w:tcPr>
          <w:p>
            <w:pPr>
              <w:spacing w:after="0" w:line="240" w:lineRule="auto"/>
              <w:ind w:left="113" w:right="113"/>
              <w:jc w:val="center"/>
              <w:rPr>
                <w:b/>
                <w:noProof/>
              </w:rPr>
            </w:pPr>
            <w:r>
              <w:rPr>
                <w:b/>
                <w:noProof/>
              </w:rPr>
              <w:t>Institución</w:t>
            </w:r>
          </w:p>
        </w:tc>
        <w:tc>
          <w:tcPr>
            <w:tcW w:w="3284" w:type="dxa"/>
            <w:vAlign w:val="center"/>
          </w:tcPr>
          <w:p>
            <w:pPr>
              <w:spacing w:after="0" w:line="240" w:lineRule="auto"/>
              <w:jc w:val="center"/>
              <w:rPr>
                <w:b/>
                <w:noProof/>
              </w:rPr>
            </w:pPr>
            <w:r>
              <w:rPr>
                <w:b/>
                <w:noProof/>
              </w:rPr>
              <w:t>Metodología y criterios para evaluar el equilibrio geográfico</w:t>
            </w:r>
          </w:p>
        </w:tc>
        <w:tc>
          <w:tcPr>
            <w:tcW w:w="2409" w:type="dxa"/>
            <w:vAlign w:val="center"/>
          </w:tcPr>
          <w:p>
            <w:pPr>
              <w:spacing w:after="0" w:line="240" w:lineRule="auto"/>
              <w:jc w:val="center"/>
              <w:rPr>
                <w:b/>
                <w:noProof/>
              </w:rPr>
            </w:pPr>
            <w:r>
              <w:rPr>
                <w:b/>
                <w:noProof/>
              </w:rPr>
              <w:t>Indicador(es) de desequilibrio (significativo)</w:t>
            </w:r>
          </w:p>
        </w:tc>
        <w:tc>
          <w:tcPr>
            <w:tcW w:w="2127" w:type="dxa"/>
            <w:vAlign w:val="center"/>
          </w:tcPr>
          <w:p>
            <w:pPr>
              <w:spacing w:after="0" w:line="240" w:lineRule="auto"/>
              <w:jc w:val="center"/>
              <w:rPr>
                <w:noProof/>
              </w:rPr>
            </w:pPr>
            <w:r>
              <w:rPr>
                <w:b/>
                <w:noProof/>
              </w:rPr>
              <w:t>Desequilibrio (significativo) observado por Estado miembro</w:t>
            </w:r>
          </w:p>
        </w:tc>
        <w:tc>
          <w:tcPr>
            <w:tcW w:w="3969" w:type="dxa"/>
            <w:vAlign w:val="center"/>
          </w:tcPr>
          <w:p>
            <w:pPr>
              <w:spacing w:after="0" w:line="240" w:lineRule="auto"/>
              <w:jc w:val="center"/>
              <w:rPr>
                <w:b/>
                <w:noProof/>
              </w:rPr>
            </w:pPr>
            <w:r>
              <w:rPr>
                <w:b/>
                <w:noProof/>
              </w:rPr>
              <w:t>Justificación objetiva del desequilibrio</w:t>
            </w:r>
          </w:p>
        </w:tc>
        <w:tc>
          <w:tcPr>
            <w:tcW w:w="708" w:type="dxa"/>
            <w:textDirection w:val="btLr"/>
            <w:vAlign w:val="center"/>
          </w:tcPr>
          <w:p>
            <w:pPr>
              <w:spacing w:after="0" w:line="240" w:lineRule="auto"/>
              <w:ind w:left="113" w:right="113"/>
              <w:jc w:val="center"/>
              <w:rPr>
                <w:b/>
                <w:noProof/>
              </w:rPr>
            </w:pPr>
            <w:r>
              <w:rPr>
                <w:b/>
                <w:noProof/>
              </w:rPr>
              <w:t>Desequilibrio futuro previsto</w:t>
            </w:r>
          </w:p>
        </w:tc>
        <w:tc>
          <w:tcPr>
            <w:tcW w:w="718" w:type="dxa"/>
            <w:textDirection w:val="btLr"/>
            <w:vAlign w:val="center"/>
          </w:tcPr>
          <w:p>
            <w:pPr>
              <w:spacing w:after="0" w:line="240" w:lineRule="auto"/>
              <w:ind w:left="113" w:right="113"/>
              <w:jc w:val="center"/>
              <w:rPr>
                <w:b/>
                <w:noProof/>
              </w:rPr>
            </w:pPr>
            <w:r>
              <w:rPr>
                <w:b/>
                <w:noProof/>
              </w:rPr>
              <w:t>Medida apropiada según el art. 27 adoptada/prevista</w:t>
            </w:r>
          </w:p>
        </w:tc>
      </w:tr>
      <w:tr>
        <w:trPr>
          <w:cantSplit/>
          <w:trHeight w:val="1719"/>
        </w:trPr>
        <w:tc>
          <w:tcPr>
            <w:tcW w:w="817" w:type="dxa"/>
            <w:textDirection w:val="btLr"/>
          </w:tcPr>
          <w:p>
            <w:pPr>
              <w:spacing w:after="0" w:line="240" w:lineRule="auto"/>
              <w:ind w:left="113" w:right="113"/>
              <w:jc w:val="center"/>
              <w:rPr>
                <w:b/>
                <w:noProof/>
              </w:rPr>
            </w:pPr>
            <w:r>
              <w:rPr>
                <w:b/>
                <w:noProof/>
              </w:rPr>
              <w:t>Parlamento Europeo</w:t>
            </w:r>
          </w:p>
        </w:tc>
        <w:tc>
          <w:tcPr>
            <w:tcW w:w="5693" w:type="dxa"/>
            <w:gridSpan w:val="2"/>
          </w:tcPr>
          <w:p>
            <w:pPr>
              <w:spacing w:after="0" w:line="240" w:lineRule="auto"/>
              <w:jc w:val="both"/>
              <w:rPr>
                <w:noProof/>
                <w:sz w:val="18"/>
                <w:szCs w:val="18"/>
              </w:rPr>
            </w:pPr>
            <w:r>
              <w:rPr>
                <w:noProof/>
                <w:sz w:val="18"/>
              </w:rPr>
              <w:t>En el Parlamento Europeo aún no se ha mantenido ningún debate sobre la cuestión. Las columnas de la derecha se crean bajo los supuestos de que:</w:t>
            </w:r>
          </w:p>
          <w:p>
            <w:pPr>
              <w:numPr>
                <w:ilvl w:val="0"/>
                <w:numId w:val="25"/>
              </w:numPr>
              <w:spacing w:after="0" w:line="240" w:lineRule="auto"/>
              <w:contextualSpacing/>
              <w:jc w:val="both"/>
              <w:rPr>
                <w:noProof/>
                <w:sz w:val="18"/>
                <w:szCs w:val="18"/>
              </w:rPr>
            </w:pPr>
            <w:r>
              <w:rPr>
                <w:noProof/>
                <w:sz w:val="18"/>
              </w:rPr>
              <w:t>El equilibrio geográfico podría evaluarse a nivel global (todos los grupos de funciones juntos)</w:t>
            </w:r>
          </w:p>
          <w:p>
            <w:pPr>
              <w:numPr>
                <w:ilvl w:val="0"/>
                <w:numId w:val="25"/>
              </w:numPr>
              <w:spacing w:after="0" w:line="240" w:lineRule="auto"/>
              <w:contextualSpacing/>
              <w:jc w:val="both"/>
              <w:rPr>
                <w:noProof/>
                <w:sz w:val="18"/>
                <w:szCs w:val="18"/>
              </w:rPr>
            </w:pPr>
            <w:r>
              <w:rPr>
                <w:noProof/>
                <w:sz w:val="18"/>
              </w:rPr>
              <w:t>La cuota de cada cohorte nacional dentro de la Secretaría del PE podría compararse con la cuota de los Estados miembros respectivos en relación con la población total de la UE.</w:t>
            </w:r>
          </w:p>
          <w:p>
            <w:pPr>
              <w:spacing w:after="0" w:line="240" w:lineRule="auto"/>
              <w:rPr>
                <w:noProof/>
                <w:sz w:val="18"/>
                <w:szCs w:val="18"/>
              </w:rPr>
            </w:pPr>
          </w:p>
        </w:tc>
        <w:tc>
          <w:tcPr>
            <w:tcW w:w="2127" w:type="dxa"/>
          </w:tcPr>
          <w:p>
            <w:pPr>
              <w:spacing w:after="0" w:line="240" w:lineRule="auto"/>
              <w:rPr>
                <w:noProof/>
                <w:sz w:val="18"/>
                <w:szCs w:val="18"/>
              </w:rPr>
            </w:pPr>
            <w:r>
              <w:rPr>
                <w:noProof/>
                <w:sz w:val="18"/>
              </w:rPr>
              <w:t xml:space="preserve">Infrarrepresentados: UK y, en menor medida, DE </w:t>
            </w:r>
            <w:r>
              <w:rPr>
                <w:noProof/>
                <w:sz w:val="18"/>
                <w:szCs w:val="18"/>
              </w:rPr>
              <w:br/>
            </w:r>
          </w:p>
          <w:p>
            <w:pPr>
              <w:spacing w:after="0" w:line="240" w:lineRule="auto"/>
              <w:rPr>
                <w:noProof/>
                <w:sz w:val="18"/>
                <w:szCs w:val="18"/>
              </w:rPr>
            </w:pPr>
            <w:r>
              <w:rPr>
                <w:noProof/>
                <w:sz w:val="18"/>
              </w:rPr>
              <w:t>Sobrerrepresentados: BE, EE, FI, HR, LT, LU, LV, MT, SL y SK</w:t>
            </w:r>
          </w:p>
          <w:p>
            <w:pPr>
              <w:spacing w:after="0" w:line="240" w:lineRule="auto"/>
              <w:rPr>
                <w:noProof/>
                <w:sz w:val="18"/>
                <w:szCs w:val="18"/>
              </w:rPr>
            </w:pPr>
          </w:p>
        </w:tc>
        <w:tc>
          <w:tcPr>
            <w:tcW w:w="3969" w:type="dxa"/>
          </w:tcPr>
          <w:p>
            <w:pPr>
              <w:spacing w:after="0" w:line="240" w:lineRule="auto"/>
              <w:rPr>
                <w:noProof/>
                <w:sz w:val="18"/>
                <w:szCs w:val="18"/>
              </w:rPr>
            </w:pPr>
            <w:r>
              <w:rPr>
                <w:noProof/>
                <w:sz w:val="18"/>
              </w:rPr>
              <w:t>Todos los desequilibrios están objetivamente justificados por</w:t>
            </w:r>
          </w:p>
          <w:p>
            <w:pPr>
              <w:pStyle w:val="ListParagraph"/>
              <w:numPr>
                <w:ilvl w:val="0"/>
                <w:numId w:val="31"/>
              </w:numPr>
              <w:tabs>
                <w:tab w:val="num" w:pos="283"/>
              </w:tabs>
              <w:spacing w:after="0" w:line="240" w:lineRule="auto"/>
              <w:ind w:left="294" w:hanging="284"/>
              <w:jc w:val="both"/>
              <w:rPr>
                <w:noProof/>
                <w:sz w:val="18"/>
                <w:szCs w:val="18"/>
              </w:rPr>
            </w:pPr>
            <w:r>
              <w:rPr>
                <w:noProof/>
                <w:sz w:val="18"/>
              </w:rPr>
              <w:t>UK, DE : atractivo limitado de las instituciones de la UE o una profesión en la UE; número de candidatos aptos en las listas de reserva de la EPSO</w:t>
            </w:r>
          </w:p>
          <w:p>
            <w:pPr>
              <w:pStyle w:val="ListParagraph"/>
              <w:numPr>
                <w:ilvl w:val="0"/>
                <w:numId w:val="31"/>
              </w:numPr>
              <w:tabs>
                <w:tab w:val="num" w:pos="283"/>
              </w:tabs>
              <w:spacing w:after="0" w:line="240" w:lineRule="auto"/>
              <w:ind w:left="294" w:hanging="284"/>
              <w:jc w:val="both"/>
              <w:rPr>
                <w:noProof/>
                <w:sz w:val="18"/>
                <w:szCs w:val="18"/>
              </w:rPr>
            </w:pPr>
            <w:r>
              <w:rPr>
                <w:noProof/>
                <w:sz w:val="18"/>
              </w:rPr>
              <w:t>BE y LU: efecto de lugares de trabajo + efecto de desplazamientos transfronterizos</w:t>
            </w:r>
          </w:p>
          <w:p>
            <w:pPr>
              <w:pStyle w:val="ListParagraph"/>
              <w:numPr>
                <w:ilvl w:val="0"/>
                <w:numId w:val="31"/>
              </w:numPr>
              <w:tabs>
                <w:tab w:val="num" w:pos="283"/>
              </w:tabs>
              <w:spacing w:after="0" w:line="240" w:lineRule="auto"/>
              <w:ind w:left="294" w:hanging="284"/>
              <w:jc w:val="both"/>
              <w:rPr>
                <w:noProof/>
                <w:sz w:val="24"/>
              </w:rPr>
            </w:pPr>
            <w:r>
              <w:rPr>
                <w:noProof/>
                <w:sz w:val="18"/>
              </w:rPr>
              <w:t>EE, FI, HR, LT, LV, MT, SL y SK: servicios lingüísticos (traducción, interpretación, jurista lingüista) prestados en todas las lenguas oficiales; la masa crítica mínima de personal lingüístico necesario tiene mayor impacto en los Estados miembros más pequeños.</w:t>
            </w:r>
          </w:p>
        </w:tc>
        <w:tc>
          <w:tcPr>
            <w:tcW w:w="708" w:type="dxa"/>
            <w:textDirection w:val="btLr"/>
            <w:vAlign w:val="center"/>
          </w:tcPr>
          <w:p>
            <w:pPr>
              <w:spacing w:after="0" w:line="240" w:lineRule="auto"/>
              <w:ind w:left="113" w:right="113"/>
              <w:jc w:val="center"/>
              <w:rPr>
                <w:noProof/>
                <w:sz w:val="18"/>
                <w:szCs w:val="18"/>
              </w:rPr>
            </w:pPr>
            <w:r>
              <w:rPr>
                <w:noProof/>
                <w:sz w:val="18"/>
              </w:rPr>
              <w:t>NO</w:t>
            </w:r>
          </w:p>
        </w:tc>
        <w:tc>
          <w:tcPr>
            <w:tcW w:w="718" w:type="dxa"/>
            <w:textDirection w:val="btLr"/>
            <w:vAlign w:val="center"/>
          </w:tcPr>
          <w:p>
            <w:pPr>
              <w:spacing w:after="0" w:line="240" w:lineRule="auto"/>
              <w:ind w:left="113" w:right="113"/>
              <w:jc w:val="center"/>
              <w:rPr>
                <w:noProof/>
                <w:sz w:val="18"/>
                <w:szCs w:val="18"/>
              </w:rPr>
            </w:pPr>
            <w:r>
              <w:rPr>
                <w:noProof/>
                <w:sz w:val="18"/>
              </w:rPr>
              <w:t>NO/NO</w:t>
            </w:r>
          </w:p>
        </w:tc>
      </w:tr>
      <w:tr>
        <w:trPr>
          <w:cantSplit/>
          <w:trHeight w:val="1719"/>
        </w:trPr>
        <w:tc>
          <w:tcPr>
            <w:tcW w:w="817" w:type="dxa"/>
            <w:textDirection w:val="btLr"/>
          </w:tcPr>
          <w:p>
            <w:pPr>
              <w:spacing w:after="0" w:line="240" w:lineRule="auto"/>
              <w:ind w:left="113" w:right="113"/>
              <w:jc w:val="center"/>
              <w:rPr>
                <w:b/>
                <w:noProof/>
              </w:rPr>
            </w:pPr>
            <w:r>
              <w:rPr>
                <w:b/>
                <w:noProof/>
              </w:rPr>
              <w:t>SG Consejo</w:t>
            </w:r>
          </w:p>
        </w:tc>
        <w:tc>
          <w:tcPr>
            <w:tcW w:w="3284" w:type="dxa"/>
          </w:tcPr>
          <w:p>
            <w:pPr>
              <w:spacing w:after="0" w:line="240" w:lineRule="auto"/>
              <w:rPr>
                <w:noProof/>
                <w:sz w:val="18"/>
                <w:szCs w:val="18"/>
              </w:rPr>
            </w:pPr>
            <w:r>
              <w:rPr>
                <w:noProof/>
                <w:sz w:val="18"/>
              </w:rPr>
              <w:t>El equilibrio geográfico se evalúa a nivel global (todos los grupos de funciones juntos).</w:t>
            </w:r>
          </w:p>
          <w:p>
            <w:pPr>
              <w:spacing w:after="0" w:line="240" w:lineRule="auto"/>
              <w:rPr>
                <w:noProof/>
                <w:sz w:val="18"/>
                <w:szCs w:val="18"/>
              </w:rPr>
            </w:pPr>
            <w:r>
              <w:rPr>
                <w:noProof/>
                <w:sz w:val="18"/>
              </w:rPr>
              <w:t>Índice de referencia: la media entre la cuota del Estado miembro pertinente en</w:t>
            </w:r>
          </w:p>
          <w:p>
            <w:pPr>
              <w:pStyle w:val="ListParagraph"/>
              <w:numPr>
                <w:ilvl w:val="0"/>
                <w:numId w:val="33"/>
              </w:numPr>
              <w:tabs>
                <w:tab w:val="num" w:pos="283"/>
              </w:tabs>
              <w:spacing w:after="0" w:line="240" w:lineRule="auto"/>
              <w:ind w:left="317" w:hanging="317"/>
              <w:rPr>
                <w:noProof/>
                <w:sz w:val="18"/>
                <w:szCs w:val="18"/>
              </w:rPr>
            </w:pPr>
            <w:r>
              <w:rPr>
                <w:noProof/>
                <w:sz w:val="18"/>
              </w:rPr>
              <w:t>población UE</w:t>
            </w:r>
          </w:p>
          <w:p>
            <w:pPr>
              <w:pStyle w:val="ListParagraph"/>
              <w:numPr>
                <w:ilvl w:val="0"/>
                <w:numId w:val="33"/>
              </w:numPr>
              <w:tabs>
                <w:tab w:val="num" w:pos="283"/>
              </w:tabs>
              <w:spacing w:after="0" w:line="240" w:lineRule="auto"/>
              <w:ind w:left="317" w:hanging="317"/>
              <w:rPr>
                <w:noProof/>
                <w:sz w:val="18"/>
                <w:szCs w:val="18"/>
              </w:rPr>
            </w:pPr>
            <w:r>
              <w:rPr>
                <w:noProof/>
                <w:sz w:val="18"/>
              </w:rPr>
              <w:t>diputados al PE</w:t>
            </w:r>
          </w:p>
          <w:p>
            <w:pPr>
              <w:pStyle w:val="ListParagraph"/>
              <w:numPr>
                <w:ilvl w:val="0"/>
                <w:numId w:val="33"/>
              </w:numPr>
              <w:tabs>
                <w:tab w:val="num" w:pos="283"/>
              </w:tabs>
              <w:spacing w:after="0" w:line="240" w:lineRule="auto"/>
              <w:ind w:left="317" w:hanging="317"/>
              <w:rPr>
                <w:noProof/>
                <w:sz w:val="18"/>
                <w:szCs w:val="18"/>
              </w:rPr>
            </w:pPr>
            <w:r>
              <w:rPr>
                <w:noProof/>
                <w:sz w:val="18"/>
              </w:rPr>
              <w:t>votos en el Consejo antes del Tratado de Lisboa</w:t>
            </w:r>
          </w:p>
        </w:tc>
        <w:tc>
          <w:tcPr>
            <w:tcW w:w="2409" w:type="dxa"/>
          </w:tcPr>
          <w:p>
            <w:pPr>
              <w:spacing w:after="0" w:line="240" w:lineRule="auto"/>
              <w:rPr>
                <w:noProof/>
                <w:sz w:val="18"/>
                <w:szCs w:val="18"/>
              </w:rPr>
            </w:pPr>
            <w:r>
              <w:rPr>
                <w:noProof/>
                <w:sz w:val="18"/>
              </w:rPr>
              <w:t>Se observa desequilibrio cuando la cuota real de nacionales se desvía del índice de referencia en más de +/-20 %</w:t>
            </w:r>
          </w:p>
          <w:p>
            <w:pPr>
              <w:spacing w:after="0" w:line="240" w:lineRule="auto"/>
              <w:rPr>
                <w:noProof/>
                <w:sz w:val="18"/>
                <w:szCs w:val="18"/>
              </w:rPr>
            </w:pPr>
            <w:r>
              <w:rPr>
                <w:noProof/>
                <w:sz w:val="18"/>
              </w:rPr>
              <w:t>Se observa desequilibrio significativo cuando una cuota de una nacionalidad determinada se sitúa por debajo del 40 % o por encima del 400 % de dicho índice de referencia.</w:t>
            </w:r>
          </w:p>
        </w:tc>
        <w:tc>
          <w:tcPr>
            <w:tcW w:w="2127" w:type="dxa"/>
          </w:tcPr>
          <w:p>
            <w:pPr>
              <w:spacing w:after="0" w:line="240" w:lineRule="auto"/>
              <w:rPr>
                <w:noProof/>
                <w:sz w:val="18"/>
                <w:szCs w:val="18"/>
              </w:rPr>
            </w:pPr>
            <w:r>
              <w:rPr>
                <w:noProof/>
                <w:sz w:val="18"/>
              </w:rPr>
              <w:t xml:space="preserve">Significativamente infrarrepresentados: CY, DE y UK </w:t>
            </w:r>
          </w:p>
          <w:p>
            <w:pPr>
              <w:spacing w:after="0" w:line="240" w:lineRule="auto"/>
              <w:rPr>
                <w:noProof/>
                <w:sz w:val="18"/>
                <w:szCs w:val="18"/>
              </w:rPr>
            </w:pPr>
            <w:r>
              <w:rPr>
                <w:noProof/>
                <w:sz w:val="18"/>
              </w:rPr>
              <w:t>Significativamente sobrerrepresentados: BE:</w:t>
            </w:r>
          </w:p>
        </w:tc>
        <w:tc>
          <w:tcPr>
            <w:tcW w:w="3969" w:type="dxa"/>
          </w:tcPr>
          <w:p>
            <w:pPr>
              <w:spacing w:after="0" w:line="240" w:lineRule="auto"/>
              <w:rPr>
                <w:noProof/>
                <w:sz w:val="18"/>
                <w:szCs w:val="18"/>
              </w:rPr>
            </w:pPr>
            <w:r>
              <w:rPr>
                <w:noProof/>
                <w:sz w:val="18"/>
              </w:rPr>
              <w:t xml:space="preserve">Todos los desequilibrios están objetivamente justificados por... </w:t>
            </w:r>
          </w:p>
          <w:p>
            <w:pPr>
              <w:spacing w:after="0" w:line="240" w:lineRule="auto"/>
              <w:rPr>
                <w:noProof/>
                <w:sz w:val="18"/>
                <w:szCs w:val="18"/>
              </w:rPr>
            </w:pPr>
            <w:r>
              <w:rPr>
                <w:noProof/>
                <w:sz w:val="18"/>
              </w:rPr>
              <w:t>CY, DE, UK: bajo número de candidatos aptos en las listas de reserva de la EPSO</w:t>
            </w:r>
          </w:p>
          <w:p>
            <w:pPr>
              <w:spacing w:after="0" w:line="240" w:lineRule="auto"/>
              <w:rPr>
                <w:noProof/>
                <w:sz w:val="18"/>
                <w:szCs w:val="18"/>
              </w:rPr>
            </w:pPr>
            <w:r>
              <w:rPr>
                <w:noProof/>
                <w:sz w:val="18"/>
              </w:rPr>
              <w:t>BE: efecto sede</w:t>
            </w:r>
            <w:r>
              <w:rPr>
                <w:noProof/>
                <w:sz w:val="18"/>
                <w:szCs w:val="18"/>
              </w:rPr>
              <w:br/>
            </w:r>
          </w:p>
          <w:p>
            <w:pPr>
              <w:spacing w:after="0" w:line="240" w:lineRule="auto"/>
              <w:rPr>
                <w:noProof/>
                <w:sz w:val="18"/>
                <w:szCs w:val="18"/>
              </w:rPr>
            </w:pPr>
            <w:r>
              <w:rPr>
                <w:noProof/>
                <w:sz w:val="18"/>
              </w:rPr>
              <w:t>El equilibrio también se ve afectado por un peso relativamente alto de los servicios lingüísticos</w:t>
            </w:r>
          </w:p>
        </w:tc>
        <w:tc>
          <w:tcPr>
            <w:tcW w:w="708" w:type="dxa"/>
            <w:textDirection w:val="btLr"/>
            <w:vAlign w:val="center"/>
          </w:tcPr>
          <w:p>
            <w:pPr>
              <w:spacing w:after="0" w:line="240" w:lineRule="auto"/>
              <w:ind w:left="113" w:right="113"/>
              <w:jc w:val="center"/>
              <w:rPr>
                <w:noProof/>
                <w:sz w:val="18"/>
                <w:szCs w:val="18"/>
              </w:rPr>
            </w:pPr>
            <w:r>
              <w:rPr>
                <w:noProof/>
                <w:sz w:val="18"/>
              </w:rPr>
              <w:t>Muy difícil de predecir debido a un elevado nivel de incertidumbre</w:t>
            </w:r>
          </w:p>
        </w:tc>
        <w:tc>
          <w:tcPr>
            <w:tcW w:w="718" w:type="dxa"/>
            <w:textDirection w:val="btLr"/>
            <w:vAlign w:val="center"/>
          </w:tcPr>
          <w:p>
            <w:pPr>
              <w:spacing w:after="0" w:line="240" w:lineRule="auto"/>
              <w:ind w:left="113" w:right="113"/>
              <w:jc w:val="center"/>
              <w:rPr>
                <w:noProof/>
                <w:sz w:val="18"/>
                <w:szCs w:val="18"/>
              </w:rPr>
            </w:pPr>
            <w:r>
              <w:rPr>
                <w:noProof/>
                <w:sz w:val="18"/>
              </w:rPr>
              <w:t>NO/NO</w:t>
            </w:r>
          </w:p>
        </w:tc>
      </w:tr>
      <w:tr>
        <w:trPr>
          <w:cantSplit/>
          <w:trHeight w:val="1401"/>
        </w:trPr>
        <w:tc>
          <w:tcPr>
            <w:tcW w:w="817" w:type="dxa"/>
            <w:textDirection w:val="btLr"/>
          </w:tcPr>
          <w:p>
            <w:pPr>
              <w:spacing w:after="0" w:line="240" w:lineRule="auto"/>
              <w:ind w:left="113" w:right="113"/>
              <w:jc w:val="center"/>
              <w:rPr>
                <w:b/>
                <w:noProof/>
              </w:rPr>
            </w:pPr>
            <w:r>
              <w:rPr>
                <w:b/>
                <w:noProof/>
              </w:rPr>
              <w:t>Tribunal de Justicia</w:t>
            </w:r>
          </w:p>
        </w:tc>
        <w:tc>
          <w:tcPr>
            <w:tcW w:w="3284" w:type="dxa"/>
          </w:tcPr>
          <w:p>
            <w:pPr>
              <w:spacing w:after="0" w:line="240" w:lineRule="auto"/>
              <w:rPr>
                <w:noProof/>
                <w:sz w:val="18"/>
                <w:szCs w:val="18"/>
              </w:rPr>
            </w:pPr>
            <w:r>
              <w:rPr>
                <w:noProof/>
                <w:sz w:val="18"/>
              </w:rPr>
              <w:t>El equilibrio geográfico se evalúa a nivel global (todos los grupos de funciones juntos).</w:t>
            </w:r>
          </w:p>
          <w:p>
            <w:pPr>
              <w:spacing w:after="0" w:line="240" w:lineRule="auto"/>
              <w:jc w:val="both"/>
              <w:rPr>
                <w:noProof/>
                <w:sz w:val="18"/>
                <w:szCs w:val="18"/>
              </w:rPr>
            </w:pPr>
            <w:r>
              <w:rPr>
                <w:noProof/>
                <w:sz w:val="18"/>
              </w:rPr>
              <w:t>Índice de referencia: la cuota de la población del Estado miembro pertinente en la población de la UE</w:t>
            </w:r>
          </w:p>
        </w:tc>
        <w:tc>
          <w:tcPr>
            <w:tcW w:w="2409" w:type="dxa"/>
          </w:tcPr>
          <w:p>
            <w:pPr>
              <w:spacing w:after="0" w:line="240" w:lineRule="auto"/>
              <w:rPr>
                <w:noProof/>
                <w:sz w:val="18"/>
                <w:szCs w:val="18"/>
              </w:rPr>
            </w:pPr>
            <w:r>
              <w:rPr>
                <w:noProof/>
                <w:sz w:val="18"/>
              </w:rPr>
              <w:t xml:space="preserve">Se observa desequilibrio en caso de infrarrepresentación o sobrerrepresentación evidente. </w:t>
            </w:r>
            <w:r>
              <w:rPr>
                <w:noProof/>
                <w:sz w:val="18"/>
                <w:szCs w:val="18"/>
              </w:rPr>
              <w:br/>
            </w:r>
            <w:r>
              <w:rPr>
                <w:noProof/>
                <w:sz w:val="18"/>
              </w:rPr>
              <w:t>No se define desequilibrio significativo</w:t>
            </w:r>
          </w:p>
        </w:tc>
        <w:tc>
          <w:tcPr>
            <w:tcW w:w="2127" w:type="dxa"/>
          </w:tcPr>
          <w:p>
            <w:pPr>
              <w:spacing w:after="0" w:line="240" w:lineRule="auto"/>
              <w:rPr>
                <w:noProof/>
                <w:sz w:val="18"/>
                <w:szCs w:val="18"/>
                <w:lang w:val="pt-PT"/>
              </w:rPr>
            </w:pPr>
            <w:r>
              <w:rPr>
                <w:noProof/>
                <w:sz w:val="18"/>
                <w:lang w:val="pt-PT"/>
              </w:rPr>
              <w:t>Infrarrepresentados: UK</w:t>
            </w:r>
            <w:r>
              <w:rPr>
                <w:noProof/>
                <w:sz w:val="18"/>
                <w:szCs w:val="18"/>
                <w:lang w:val="pt-PT"/>
              </w:rPr>
              <w:br/>
            </w:r>
          </w:p>
          <w:p>
            <w:pPr>
              <w:spacing w:after="0" w:line="240" w:lineRule="auto"/>
              <w:jc w:val="both"/>
              <w:rPr>
                <w:noProof/>
                <w:sz w:val="18"/>
                <w:szCs w:val="18"/>
                <w:lang w:val="pt-PT"/>
              </w:rPr>
            </w:pPr>
            <w:r>
              <w:rPr>
                <w:noProof/>
                <w:sz w:val="18"/>
                <w:lang w:val="pt-PT"/>
              </w:rPr>
              <w:t>Sobrerrepresentados: FR, BE</w:t>
            </w:r>
          </w:p>
        </w:tc>
        <w:tc>
          <w:tcPr>
            <w:tcW w:w="3969" w:type="dxa"/>
          </w:tcPr>
          <w:p>
            <w:pPr>
              <w:spacing w:after="0" w:line="240" w:lineRule="auto"/>
              <w:rPr>
                <w:noProof/>
                <w:sz w:val="18"/>
                <w:szCs w:val="18"/>
              </w:rPr>
            </w:pPr>
            <w:r>
              <w:rPr>
                <w:noProof/>
                <w:sz w:val="18"/>
              </w:rPr>
              <w:t>Todos los desequilibrios están objetivamente justificados por...</w:t>
            </w:r>
          </w:p>
          <w:p>
            <w:pPr>
              <w:pStyle w:val="ListParagraph"/>
              <w:numPr>
                <w:ilvl w:val="0"/>
                <w:numId w:val="32"/>
              </w:numPr>
              <w:spacing w:after="0" w:line="240" w:lineRule="auto"/>
              <w:ind w:left="294" w:hanging="284"/>
              <w:rPr>
                <w:noProof/>
                <w:sz w:val="18"/>
                <w:szCs w:val="18"/>
              </w:rPr>
            </w:pPr>
            <w:r>
              <w:rPr>
                <w:noProof/>
                <w:sz w:val="18"/>
              </w:rPr>
              <w:t>FR, BE el Tribunal trabaja en francés (mitigado por un extenso programa de cursos de idiomas).</w:t>
            </w:r>
          </w:p>
          <w:p>
            <w:pPr>
              <w:pStyle w:val="ListParagraph"/>
              <w:numPr>
                <w:ilvl w:val="0"/>
                <w:numId w:val="32"/>
              </w:numPr>
              <w:spacing w:after="0" w:line="240" w:lineRule="auto"/>
              <w:ind w:left="294" w:hanging="284"/>
              <w:rPr>
                <w:noProof/>
                <w:sz w:val="18"/>
                <w:szCs w:val="18"/>
              </w:rPr>
            </w:pPr>
            <w:r>
              <w:rPr>
                <w:noProof/>
                <w:sz w:val="18"/>
              </w:rPr>
              <w:t>UK: Dificultad para contratar nacionales del Reino Unido</w:t>
            </w:r>
          </w:p>
        </w:tc>
        <w:tc>
          <w:tcPr>
            <w:tcW w:w="708" w:type="dxa"/>
            <w:textDirection w:val="btLr"/>
            <w:vAlign w:val="center"/>
          </w:tcPr>
          <w:p>
            <w:pPr>
              <w:spacing w:after="0" w:line="240" w:lineRule="auto"/>
              <w:ind w:left="113" w:right="113"/>
              <w:jc w:val="center"/>
              <w:rPr>
                <w:noProof/>
                <w:sz w:val="18"/>
                <w:szCs w:val="18"/>
              </w:rPr>
            </w:pPr>
            <w:r>
              <w:rPr>
                <w:noProof/>
                <w:sz w:val="18"/>
              </w:rPr>
              <w:t>NO</w:t>
            </w:r>
          </w:p>
        </w:tc>
        <w:tc>
          <w:tcPr>
            <w:tcW w:w="718" w:type="dxa"/>
            <w:textDirection w:val="btLr"/>
            <w:vAlign w:val="center"/>
          </w:tcPr>
          <w:p>
            <w:pPr>
              <w:spacing w:after="0" w:line="240" w:lineRule="auto"/>
              <w:ind w:left="113" w:right="113"/>
              <w:jc w:val="center"/>
              <w:rPr>
                <w:noProof/>
                <w:sz w:val="18"/>
                <w:szCs w:val="18"/>
              </w:rPr>
            </w:pPr>
            <w:r>
              <w:rPr>
                <w:noProof/>
                <w:sz w:val="18"/>
              </w:rPr>
              <w:t>NO/NO (también en vista del Brexit)</w:t>
            </w:r>
          </w:p>
        </w:tc>
      </w:tr>
      <w:tr>
        <w:trPr>
          <w:cantSplit/>
          <w:trHeight w:val="1719"/>
        </w:trPr>
        <w:tc>
          <w:tcPr>
            <w:tcW w:w="817" w:type="dxa"/>
            <w:textDirection w:val="btLr"/>
          </w:tcPr>
          <w:p>
            <w:pPr>
              <w:spacing w:after="0" w:line="240" w:lineRule="auto"/>
              <w:ind w:left="113" w:right="113"/>
              <w:jc w:val="center"/>
              <w:rPr>
                <w:b/>
                <w:noProof/>
              </w:rPr>
            </w:pPr>
            <w:r>
              <w:rPr>
                <w:b/>
                <w:noProof/>
              </w:rPr>
              <w:t>Tribunal de Cuentas</w:t>
            </w:r>
          </w:p>
        </w:tc>
        <w:tc>
          <w:tcPr>
            <w:tcW w:w="3284" w:type="dxa"/>
          </w:tcPr>
          <w:p>
            <w:pPr>
              <w:spacing w:after="0" w:line="240" w:lineRule="auto"/>
              <w:rPr>
                <w:noProof/>
                <w:sz w:val="18"/>
                <w:szCs w:val="18"/>
              </w:rPr>
            </w:pPr>
            <w:r>
              <w:rPr>
                <w:noProof/>
                <w:sz w:val="18"/>
              </w:rPr>
              <w:t>El equilibrio geográfico se evalúa a nivel global (todos los grupos de funciones juntos).</w:t>
            </w:r>
          </w:p>
          <w:p>
            <w:pPr>
              <w:spacing w:after="0" w:line="240" w:lineRule="auto"/>
              <w:jc w:val="both"/>
              <w:rPr>
                <w:noProof/>
                <w:sz w:val="18"/>
                <w:szCs w:val="18"/>
              </w:rPr>
            </w:pPr>
            <w:r>
              <w:rPr>
                <w:noProof/>
                <w:sz w:val="18"/>
              </w:rPr>
              <w:t>Índice de referencia: la cuota de la población del Estado miembro pertinente en la población de la UE</w:t>
            </w:r>
          </w:p>
        </w:tc>
        <w:tc>
          <w:tcPr>
            <w:tcW w:w="2409" w:type="dxa"/>
          </w:tcPr>
          <w:p>
            <w:pPr>
              <w:spacing w:after="0" w:line="240" w:lineRule="auto"/>
              <w:rPr>
                <w:noProof/>
                <w:sz w:val="18"/>
                <w:szCs w:val="18"/>
              </w:rPr>
            </w:pPr>
            <w:r>
              <w:rPr>
                <w:noProof/>
                <w:sz w:val="18"/>
              </w:rPr>
              <w:t>Se observa desequilibrio cuando la cuota real de nacionales se desvía del índice de referencia en más de +/-20 %</w:t>
            </w:r>
          </w:p>
          <w:p>
            <w:pPr>
              <w:spacing w:after="0" w:line="240" w:lineRule="auto"/>
              <w:rPr>
                <w:noProof/>
                <w:sz w:val="18"/>
                <w:szCs w:val="18"/>
              </w:rPr>
            </w:pPr>
            <w:r>
              <w:rPr>
                <w:noProof/>
                <w:sz w:val="18"/>
              </w:rPr>
              <w:t>Se observa desequilibrio significativo cuando dicha desviación supera +/-50 %</w:t>
            </w:r>
          </w:p>
        </w:tc>
        <w:tc>
          <w:tcPr>
            <w:tcW w:w="2127" w:type="dxa"/>
          </w:tcPr>
          <w:p>
            <w:pPr>
              <w:spacing w:after="0" w:line="240" w:lineRule="auto"/>
              <w:rPr>
                <w:noProof/>
                <w:sz w:val="18"/>
                <w:szCs w:val="18"/>
                <w:lang w:val="pt-PT"/>
              </w:rPr>
            </w:pPr>
            <w:r>
              <w:rPr>
                <w:noProof/>
                <w:sz w:val="18"/>
                <w:lang w:val="pt-PT"/>
              </w:rPr>
              <w:t>Infrarrepresentados: UK</w:t>
            </w:r>
            <w:r>
              <w:rPr>
                <w:noProof/>
                <w:sz w:val="18"/>
                <w:szCs w:val="18"/>
                <w:lang w:val="pt-PT"/>
              </w:rPr>
              <w:br/>
            </w:r>
          </w:p>
          <w:p>
            <w:pPr>
              <w:spacing w:after="0" w:line="240" w:lineRule="auto"/>
              <w:jc w:val="both"/>
              <w:rPr>
                <w:noProof/>
                <w:sz w:val="18"/>
                <w:szCs w:val="18"/>
                <w:lang w:val="pt-PT"/>
              </w:rPr>
            </w:pPr>
            <w:r>
              <w:rPr>
                <w:noProof/>
                <w:sz w:val="18"/>
                <w:lang w:val="pt-PT"/>
              </w:rPr>
              <w:t>Sobrerrepresentados: BE, PT</w:t>
            </w:r>
          </w:p>
        </w:tc>
        <w:tc>
          <w:tcPr>
            <w:tcW w:w="3969" w:type="dxa"/>
          </w:tcPr>
          <w:p>
            <w:pPr>
              <w:spacing w:after="0" w:line="240" w:lineRule="auto"/>
              <w:rPr>
                <w:noProof/>
                <w:sz w:val="18"/>
                <w:szCs w:val="18"/>
              </w:rPr>
            </w:pPr>
            <w:r>
              <w:rPr>
                <w:noProof/>
                <w:sz w:val="18"/>
              </w:rPr>
              <w:t>Todos los desequilibrios están objetivamente justificados por...</w:t>
            </w:r>
          </w:p>
          <w:p>
            <w:pPr>
              <w:spacing w:after="0" w:line="240" w:lineRule="auto"/>
              <w:jc w:val="both"/>
              <w:rPr>
                <w:noProof/>
                <w:sz w:val="18"/>
                <w:szCs w:val="18"/>
              </w:rPr>
            </w:pPr>
            <w:r>
              <w:rPr>
                <w:noProof/>
                <w:sz w:val="18"/>
              </w:rPr>
              <w:t>las peculiaridades de Luxemburgo en términos de tamaño, atractivo, gran número de trabajadores transfronterizos y gran número de residentes PT</w:t>
            </w:r>
          </w:p>
        </w:tc>
        <w:tc>
          <w:tcPr>
            <w:tcW w:w="708" w:type="dxa"/>
            <w:textDirection w:val="btLr"/>
            <w:vAlign w:val="center"/>
          </w:tcPr>
          <w:p>
            <w:pPr>
              <w:spacing w:after="0" w:line="240" w:lineRule="auto"/>
              <w:ind w:left="113" w:right="113"/>
              <w:jc w:val="center"/>
              <w:rPr>
                <w:noProof/>
                <w:sz w:val="18"/>
                <w:szCs w:val="18"/>
              </w:rPr>
            </w:pPr>
            <w:r>
              <w:rPr>
                <w:noProof/>
                <w:sz w:val="18"/>
              </w:rPr>
              <w:t>NO excepto posiblemente en el grupo de funciones AST-SC</w:t>
            </w:r>
          </w:p>
        </w:tc>
        <w:tc>
          <w:tcPr>
            <w:tcW w:w="718" w:type="dxa"/>
            <w:textDirection w:val="btLr"/>
            <w:vAlign w:val="center"/>
          </w:tcPr>
          <w:p>
            <w:pPr>
              <w:spacing w:after="0" w:line="240" w:lineRule="auto"/>
              <w:ind w:left="113" w:right="113"/>
              <w:jc w:val="center"/>
              <w:rPr>
                <w:noProof/>
                <w:sz w:val="18"/>
                <w:szCs w:val="18"/>
              </w:rPr>
            </w:pPr>
            <w:r>
              <w:rPr>
                <w:noProof/>
                <w:sz w:val="18"/>
              </w:rPr>
              <w:t>NO/NO</w:t>
            </w:r>
          </w:p>
        </w:tc>
      </w:tr>
      <w:tr>
        <w:trPr>
          <w:cantSplit/>
          <w:trHeight w:val="1719"/>
        </w:trPr>
        <w:tc>
          <w:tcPr>
            <w:tcW w:w="817" w:type="dxa"/>
            <w:textDirection w:val="btLr"/>
          </w:tcPr>
          <w:p>
            <w:pPr>
              <w:spacing w:after="0" w:line="240" w:lineRule="auto"/>
              <w:ind w:left="113" w:right="113"/>
              <w:jc w:val="center"/>
              <w:rPr>
                <w:b/>
                <w:noProof/>
              </w:rPr>
            </w:pPr>
            <w:r>
              <w:rPr>
                <w:b/>
                <w:noProof/>
              </w:rPr>
              <w:t>Servicio Europeo de Acción Exterior</w:t>
            </w:r>
          </w:p>
        </w:tc>
        <w:tc>
          <w:tcPr>
            <w:tcW w:w="3284" w:type="dxa"/>
          </w:tcPr>
          <w:p>
            <w:pPr>
              <w:spacing w:after="0" w:line="240" w:lineRule="auto"/>
              <w:rPr>
                <w:noProof/>
                <w:sz w:val="18"/>
                <w:szCs w:val="18"/>
              </w:rPr>
            </w:pPr>
            <w:r>
              <w:rPr>
                <w:noProof/>
                <w:sz w:val="18"/>
              </w:rPr>
              <w:t>El desequilibrio geográfico se evalúa a nivel de grupos de funciones, centrándose en AD.</w:t>
            </w:r>
          </w:p>
          <w:p>
            <w:pPr>
              <w:spacing w:after="0" w:line="240" w:lineRule="auto"/>
              <w:rPr>
                <w:noProof/>
                <w:sz w:val="18"/>
                <w:szCs w:val="18"/>
              </w:rPr>
            </w:pPr>
            <w:r>
              <w:rPr>
                <w:noProof/>
                <w:sz w:val="18"/>
              </w:rPr>
              <w:t>Índice de referencia: la cuota de la población del Estado miembro pertinente en la población de la UE</w:t>
            </w:r>
          </w:p>
        </w:tc>
        <w:tc>
          <w:tcPr>
            <w:tcW w:w="2409" w:type="dxa"/>
          </w:tcPr>
          <w:p>
            <w:pPr>
              <w:spacing w:after="0" w:line="240" w:lineRule="auto"/>
              <w:rPr>
                <w:noProof/>
                <w:sz w:val="18"/>
                <w:szCs w:val="18"/>
              </w:rPr>
            </w:pPr>
            <w:r>
              <w:rPr>
                <w:noProof/>
                <w:sz w:val="18"/>
              </w:rPr>
              <w:t>Se observa desequilibrio significativo cuando los nacionales de un Estado miembro no tienen presencia alguna (o están significativamente infrarrepresentados).</w:t>
            </w:r>
          </w:p>
        </w:tc>
        <w:tc>
          <w:tcPr>
            <w:tcW w:w="2127" w:type="dxa"/>
          </w:tcPr>
          <w:p>
            <w:pPr>
              <w:spacing w:after="0" w:line="240" w:lineRule="auto"/>
              <w:rPr>
                <w:noProof/>
                <w:sz w:val="18"/>
                <w:szCs w:val="18"/>
              </w:rPr>
            </w:pPr>
            <w:r>
              <w:rPr>
                <w:noProof/>
                <w:sz w:val="18"/>
              </w:rPr>
              <w:t xml:space="preserve">Sin desequilibrio observado </w:t>
            </w:r>
          </w:p>
        </w:tc>
        <w:tc>
          <w:tcPr>
            <w:tcW w:w="3969" w:type="dxa"/>
          </w:tcPr>
          <w:p>
            <w:pPr>
              <w:spacing w:after="0" w:line="240" w:lineRule="auto"/>
              <w:rPr>
                <w:noProof/>
                <w:sz w:val="18"/>
                <w:szCs w:val="18"/>
              </w:rPr>
            </w:pPr>
            <w:r>
              <w:rPr>
                <w:noProof/>
                <w:sz w:val="18"/>
              </w:rPr>
              <w:t>n.d.</w:t>
            </w:r>
          </w:p>
        </w:tc>
        <w:tc>
          <w:tcPr>
            <w:tcW w:w="708" w:type="dxa"/>
            <w:textDirection w:val="btLr"/>
            <w:vAlign w:val="center"/>
          </w:tcPr>
          <w:p>
            <w:pPr>
              <w:spacing w:after="0" w:line="240" w:lineRule="auto"/>
              <w:ind w:left="113" w:right="113"/>
              <w:jc w:val="center"/>
              <w:rPr>
                <w:noProof/>
                <w:sz w:val="18"/>
                <w:szCs w:val="18"/>
              </w:rPr>
            </w:pPr>
            <w:r>
              <w:rPr>
                <w:noProof/>
                <w:sz w:val="18"/>
              </w:rPr>
              <w:t>NO</w:t>
            </w:r>
          </w:p>
        </w:tc>
        <w:tc>
          <w:tcPr>
            <w:tcW w:w="718" w:type="dxa"/>
            <w:textDirection w:val="btLr"/>
            <w:vAlign w:val="center"/>
          </w:tcPr>
          <w:p>
            <w:pPr>
              <w:spacing w:after="0" w:line="240" w:lineRule="auto"/>
              <w:ind w:left="113" w:right="113"/>
              <w:jc w:val="center"/>
              <w:rPr>
                <w:noProof/>
                <w:sz w:val="18"/>
                <w:szCs w:val="18"/>
              </w:rPr>
            </w:pPr>
            <w:r>
              <w:rPr>
                <w:noProof/>
                <w:sz w:val="18"/>
              </w:rPr>
              <w:t>NO/NO</w:t>
            </w:r>
          </w:p>
        </w:tc>
      </w:tr>
      <w:tr>
        <w:trPr>
          <w:cantSplit/>
          <w:trHeight w:val="1639"/>
        </w:trPr>
        <w:tc>
          <w:tcPr>
            <w:tcW w:w="817" w:type="dxa"/>
            <w:textDirection w:val="btLr"/>
          </w:tcPr>
          <w:p>
            <w:pPr>
              <w:spacing w:after="0" w:line="240" w:lineRule="auto"/>
              <w:ind w:left="113" w:right="113"/>
              <w:jc w:val="center"/>
              <w:rPr>
                <w:b/>
                <w:noProof/>
              </w:rPr>
            </w:pPr>
            <w:r>
              <w:rPr>
                <w:b/>
                <w:noProof/>
              </w:rPr>
              <w:t>Comité Económico y Social Europeo</w:t>
            </w:r>
          </w:p>
        </w:tc>
        <w:tc>
          <w:tcPr>
            <w:tcW w:w="3284" w:type="dxa"/>
          </w:tcPr>
          <w:p>
            <w:pPr>
              <w:spacing w:after="0" w:line="240" w:lineRule="auto"/>
              <w:rPr>
                <w:noProof/>
                <w:sz w:val="18"/>
                <w:szCs w:val="18"/>
              </w:rPr>
            </w:pPr>
            <w:r>
              <w:rPr>
                <w:noProof/>
                <w:sz w:val="18"/>
              </w:rPr>
              <w:t xml:space="preserve">Debido a la ausencia de definición formal, el CESE no evalúa el equilibrio geográfico utilizando una metodología específica </w:t>
            </w:r>
          </w:p>
          <w:p>
            <w:pPr>
              <w:spacing w:after="0" w:line="240" w:lineRule="auto"/>
              <w:rPr>
                <w:noProof/>
                <w:sz w:val="18"/>
                <w:szCs w:val="18"/>
              </w:rPr>
            </w:pPr>
          </w:p>
        </w:tc>
        <w:tc>
          <w:tcPr>
            <w:tcW w:w="2409" w:type="dxa"/>
          </w:tcPr>
          <w:p>
            <w:pPr>
              <w:spacing w:after="0" w:line="240" w:lineRule="auto"/>
              <w:rPr>
                <w:noProof/>
                <w:sz w:val="18"/>
                <w:szCs w:val="18"/>
              </w:rPr>
            </w:pPr>
            <w:r>
              <w:rPr>
                <w:noProof/>
                <w:sz w:val="18"/>
              </w:rPr>
              <w:t>La ausencia de nacionales de uno o más Estados miembros podría ser un signo de desequilibrio</w:t>
            </w:r>
          </w:p>
        </w:tc>
        <w:tc>
          <w:tcPr>
            <w:tcW w:w="2127" w:type="dxa"/>
          </w:tcPr>
          <w:p>
            <w:pPr>
              <w:spacing w:after="0" w:line="240" w:lineRule="auto"/>
              <w:rPr>
                <w:noProof/>
                <w:sz w:val="18"/>
                <w:szCs w:val="18"/>
              </w:rPr>
            </w:pPr>
            <w:r>
              <w:rPr>
                <w:noProof/>
                <w:sz w:val="18"/>
              </w:rPr>
              <w:t>Infrarrepresentados: CY</w:t>
            </w:r>
            <w:r>
              <w:rPr>
                <w:noProof/>
                <w:sz w:val="18"/>
                <w:szCs w:val="18"/>
              </w:rPr>
              <w:br/>
            </w:r>
            <w:r>
              <w:rPr>
                <w:i/>
                <w:noProof/>
                <w:sz w:val="16"/>
              </w:rPr>
              <w:t>Nota: Sin embargo, el CESE logró contratar a un nacional después de la fecha de corte</w:t>
            </w:r>
            <w:r>
              <w:rPr>
                <w:i/>
                <w:noProof/>
                <w:sz w:val="16"/>
                <w:szCs w:val="16"/>
              </w:rPr>
              <w:br/>
            </w:r>
          </w:p>
          <w:p>
            <w:pPr>
              <w:spacing w:after="0" w:line="240" w:lineRule="auto"/>
              <w:rPr>
                <w:noProof/>
                <w:sz w:val="18"/>
                <w:szCs w:val="18"/>
              </w:rPr>
            </w:pPr>
            <w:r>
              <w:rPr>
                <w:noProof/>
                <w:sz w:val="18"/>
              </w:rPr>
              <w:t>Elevado número de BE, IT, EE, LV, SL, etc.</w:t>
            </w:r>
          </w:p>
        </w:tc>
        <w:tc>
          <w:tcPr>
            <w:tcW w:w="3969" w:type="dxa"/>
          </w:tcPr>
          <w:p>
            <w:pPr>
              <w:spacing w:after="0" w:line="240" w:lineRule="auto"/>
              <w:rPr>
                <w:noProof/>
                <w:sz w:val="18"/>
                <w:szCs w:val="18"/>
              </w:rPr>
            </w:pPr>
            <w:r>
              <w:rPr>
                <w:noProof/>
                <w:sz w:val="18"/>
              </w:rPr>
              <w:t>Todos los desequilibrios están objetivamente justificados por...</w:t>
            </w:r>
          </w:p>
          <w:p>
            <w:pPr>
              <w:spacing w:after="0" w:line="240" w:lineRule="auto"/>
              <w:rPr>
                <w:noProof/>
                <w:sz w:val="18"/>
                <w:szCs w:val="18"/>
              </w:rPr>
            </w:pPr>
            <w:r>
              <w:rPr>
                <w:noProof/>
                <w:sz w:val="18"/>
              </w:rPr>
              <w:t>el pequeño número de nacionales de CY en las listas de la EPSO;</w:t>
            </w:r>
            <w:r>
              <w:rPr>
                <w:noProof/>
                <w:sz w:val="18"/>
                <w:szCs w:val="18"/>
              </w:rPr>
              <w:br/>
            </w:r>
            <w:r>
              <w:rPr>
                <w:noProof/>
                <w:sz w:val="18"/>
              </w:rPr>
              <w:t>el pequeño número de vacantes debido al recorte de personal;</w:t>
            </w:r>
            <w:r>
              <w:rPr>
                <w:noProof/>
                <w:sz w:val="18"/>
                <w:szCs w:val="18"/>
              </w:rPr>
              <w:br/>
            </w:r>
            <w:r>
              <w:rPr>
                <w:noProof/>
                <w:sz w:val="18"/>
              </w:rPr>
              <w:t xml:space="preserve">el efecto sede; y </w:t>
            </w:r>
            <w:r>
              <w:rPr>
                <w:noProof/>
                <w:sz w:val="18"/>
                <w:szCs w:val="18"/>
              </w:rPr>
              <w:br/>
            </w:r>
            <w:r>
              <w:rPr>
                <w:noProof/>
                <w:sz w:val="18"/>
              </w:rPr>
              <w:t>otras razones históricas (IT)</w:t>
            </w:r>
            <w:r>
              <w:rPr>
                <w:noProof/>
                <w:sz w:val="18"/>
                <w:szCs w:val="18"/>
              </w:rPr>
              <w:br/>
            </w:r>
          </w:p>
          <w:p>
            <w:pPr>
              <w:spacing w:after="0" w:line="240" w:lineRule="auto"/>
              <w:jc w:val="both"/>
              <w:rPr>
                <w:noProof/>
                <w:sz w:val="18"/>
                <w:szCs w:val="18"/>
              </w:rPr>
            </w:pPr>
            <w:r>
              <w:rPr>
                <w:noProof/>
                <w:sz w:val="18"/>
              </w:rPr>
              <w:t>El peso relativo de los servicios lingüísticos también afecta al equilibrio</w:t>
            </w:r>
          </w:p>
        </w:tc>
        <w:tc>
          <w:tcPr>
            <w:tcW w:w="708" w:type="dxa"/>
            <w:textDirection w:val="btLr"/>
            <w:vAlign w:val="center"/>
          </w:tcPr>
          <w:p>
            <w:pPr>
              <w:spacing w:after="0" w:line="240" w:lineRule="auto"/>
              <w:ind w:left="113" w:right="113"/>
              <w:jc w:val="center"/>
              <w:rPr>
                <w:noProof/>
                <w:sz w:val="18"/>
                <w:szCs w:val="18"/>
              </w:rPr>
            </w:pPr>
            <w:r>
              <w:rPr>
                <w:noProof/>
                <w:sz w:val="18"/>
              </w:rPr>
              <w:t>NO excepto posiblemente en el grupo de funciones AST-SC</w:t>
            </w:r>
          </w:p>
        </w:tc>
        <w:tc>
          <w:tcPr>
            <w:tcW w:w="718" w:type="dxa"/>
            <w:textDirection w:val="btLr"/>
            <w:vAlign w:val="center"/>
          </w:tcPr>
          <w:p>
            <w:pPr>
              <w:spacing w:after="0" w:line="240" w:lineRule="auto"/>
              <w:ind w:left="113" w:right="113"/>
              <w:jc w:val="center"/>
              <w:rPr>
                <w:noProof/>
                <w:sz w:val="18"/>
                <w:szCs w:val="18"/>
              </w:rPr>
            </w:pPr>
            <w:r>
              <w:rPr>
                <w:noProof/>
                <w:sz w:val="18"/>
              </w:rPr>
              <w:t>NO/NO</w:t>
            </w:r>
          </w:p>
        </w:tc>
      </w:tr>
      <w:tr>
        <w:trPr>
          <w:cantSplit/>
          <w:trHeight w:val="2251"/>
        </w:trPr>
        <w:tc>
          <w:tcPr>
            <w:tcW w:w="817" w:type="dxa"/>
            <w:textDirection w:val="btLr"/>
          </w:tcPr>
          <w:p>
            <w:pPr>
              <w:spacing w:after="0" w:line="240" w:lineRule="auto"/>
              <w:ind w:left="113" w:right="113"/>
              <w:jc w:val="center"/>
              <w:rPr>
                <w:b/>
                <w:noProof/>
              </w:rPr>
            </w:pPr>
            <w:r>
              <w:rPr>
                <w:b/>
                <w:noProof/>
              </w:rPr>
              <w:t>Comité de las Regiones</w:t>
            </w:r>
          </w:p>
        </w:tc>
        <w:tc>
          <w:tcPr>
            <w:tcW w:w="3284" w:type="dxa"/>
          </w:tcPr>
          <w:p>
            <w:pPr>
              <w:spacing w:after="0" w:line="240" w:lineRule="auto"/>
              <w:rPr>
                <w:noProof/>
                <w:sz w:val="18"/>
                <w:szCs w:val="18"/>
              </w:rPr>
            </w:pPr>
            <w:r>
              <w:rPr>
                <w:noProof/>
                <w:sz w:val="18"/>
              </w:rPr>
              <w:t>El equilibrio geográfico se evalúa a nivel global (todos los grupos de funciones juntos).</w:t>
            </w:r>
          </w:p>
          <w:p>
            <w:pPr>
              <w:spacing w:after="0" w:line="240" w:lineRule="auto"/>
              <w:rPr>
                <w:noProof/>
                <w:sz w:val="18"/>
                <w:szCs w:val="18"/>
              </w:rPr>
            </w:pPr>
            <w:r>
              <w:rPr>
                <w:noProof/>
                <w:sz w:val="18"/>
              </w:rPr>
              <w:t>Índice de referencia: la media entre la cuota del Estado miembro pertinente en</w:t>
            </w:r>
          </w:p>
          <w:p>
            <w:pPr>
              <w:pStyle w:val="ListParagraph"/>
              <w:numPr>
                <w:ilvl w:val="0"/>
                <w:numId w:val="34"/>
              </w:numPr>
              <w:tabs>
                <w:tab w:val="num" w:pos="283"/>
              </w:tabs>
              <w:spacing w:after="0" w:line="240" w:lineRule="auto"/>
              <w:ind w:left="317" w:hanging="317"/>
              <w:rPr>
                <w:noProof/>
                <w:sz w:val="18"/>
                <w:szCs w:val="18"/>
              </w:rPr>
            </w:pPr>
            <w:r>
              <w:rPr>
                <w:noProof/>
                <w:sz w:val="18"/>
              </w:rPr>
              <w:t>población UE</w:t>
            </w:r>
          </w:p>
          <w:p>
            <w:pPr>
              <w:pStyle w:val="ListParagraph"/>
              <w:numPr>
                <w:ilvl w:val="0"/>
                <w:numId w:val="34"/>
              </w:numPr>
              <w:tabs>
                <w:tab w:val="num" w:pos="283"/>
              </w:tabs>
              <w:spacing w:after="0" w:line="240" w:lineRule="auto"/>
              <w:ind w:left="317" w:hanging="317"/>
              <w:rPr>
                <w:noProof/>
                <w:sz w:val="18"/>
                <w:szCs w:val="18"/>
              </w:rPr>
            </w:pPr>
            <w:r>
              <w:rPr>
                <w:noProof/>
                <w:sz w:val="18"/>
              </w:rPr>
              <w:t>diputados al PE</w:t>
            </w:r>
          </w:p>
          <w:p>
            <w:pPr>
              <w:pStyle w:val="ListParagraph"/>
              <w:numPr>
                <w:ilvl w:val="0"/>
                <w:numId w:val="34"/>
              </w:numPr>
              <w:tabs>
                <w:tab w:val="num" w:pos="283"/>
              </w:tabs>
              <w:spacing w:after="0" w:line="240" w:lineRule="auto"/>
              <w:ind w:left="317" w:hanging="317"/>
              <w:rPr>
                <w:noProof/>
                <w:sz w:val="18"/>
                <w:szCs w:val="18"/>
              </w:rPr>
            </w:pPr>
            <w:r>
              <w:rPr>
                <w:noProof/>
                <w:sz w:val="18"/>
              </w:rPr>
              <w:t>votos en el Consejo antes del Tratado de Lisboa</w:t>
            </w:r>
          </w:p>
          <w:p>
            <w:pPr>
              <w:spacing w:after="0" w:line="240" w:lineRule="auto"/>
              <w:rPr>
                <w:noProof/>
                <w:sz w:val="18"/>
                <w:szCs w:val="18"/>
              </w:rPr>
            </w:pPr>
          </w:p>
        </w:tc>
        <w:tc>
          <w:tcPr>
            <w:tcW w:w="2409" w:type="dxa"/>
          </w:tcPr>
          <w:p>
            <w:pPr>
              <w:spacing w:after="0" w:line="240" w:lineRule="auto"/>
              <w:rPr>
                <w:noProof/>
                <w:sz w:val="18"/>
                <w:szCs w:val="18"/>
              </w:rPr>
            </w:pPr>
            <w:r>
              <w:rPr>
                <w:noProof/>
                <w:sz w:val="18"/>
              </w:rPr>
              <w:t>Se observa desequilibrio cuando la cuota real de nacionales es inferior al 50 % o superiores al 200 % del índice de referencia.</w:t>
            </w:r>
          </w:p>
          <w:p>
            <w:pPr>
              <w:spacing w:after="0" w:line="240" w:lineRule="auto"/>
              <w:rPr>
                <w:noProof/>
                <w:sz w:val="18"/>
                <w:szCs w:val="18"/>
              </w:rPr>
            </w:pPr>
            <w:r>
              <w:rPr>
                <w:noProof/>
                <w:sz w:val="18"/>
              </w:rPr>
              <w:t xml:space="preserve">Se observa desequilibrio significativo cuando la cuota se desvía significativamente de esta horquilla </w:t>
            </w:r>
          </w:p>
        </w:tc>
        <w:tc>
          <w:tcPr>
            <w:tcW w:w="2127" w:type="dxa"/>
          </w:tcPr>
          <w:p>
            <w:pPr>
              <w:spacing w:after="0" w:line="240" w:lineRule="auto"/>
              <w:rPr>
                <w:noProof/>
                <w:sz w:val="18"/>
                <w:szCs w:val="18"/>
              </w:rPr>
            </w:pPr>
            <w:r>
              <w:rPr>
                <w:noProof/>
                <w:sz w:val="18"/>
              </w:rPr>
              <w:t xml:space="preserve">Significativamente infrarrepresentados: LU y UK </w:t>
            </w:r>
            <w:r>
              <w:rPr>
                <w:noProof/>
                <w:sz w:val="18"/>
                <w:szCs w:val="18"/>
              </w:rPr>
              <w:br/>
            </w:r>
          </w:p>
          <w:p>
            <w:pPr>
              <w:spacing w:after="0" w:line="240" w:lineRule="auto"/>
              <w:rPr>
                <w:noProof/>
                <w:sz w:val="18"/>
                <w:szCs w:val="18"/>
              </w:rPr>
            </w:pPr>
            <w:r>
              <w:rPr>
                <w:noProof/>
                <w:sz w:val="18"/>
              </w:rPr>
              <w:t>Significativamente sobrerrepresentados: BE</w:t>
            </w:r>
          </w:p>
        </w:tc>
        <w:tc>
          <w:tcPr>
            <w:tcW w:w="3969" w:type="dxa"/>
          </w:tcPr>
          <w:p>
            <w:pPr>
              <w:spacing w:after="0" w:line="240" w:lineRule="auto"/>
              <w:rPr>
                <w:noProof/>
                <w:sz w:val="18"/>
                <w:szCs w:val="18"/>
              </w:rPr>
            </w:pPr>
            <w:r>
              <w:rPr>
                <w:noProof/>
                <w:sz w:val="18"/>
              </w:rPr>
              <w:t>Todos los desequilibrios están objetivamente justificados por...</w:t>
            </w:r>
          </w:p>
          <w:p>
            <w:pPr>
              <w:spacing w:after="0" w:line="240" w:lineRule="auto"/>
              <w:rPr>
                <w:noProof/>
                <w:sz w:val="18"/>
                <w:szCs w:val="18"/>
              </w:rPr>
            </w:pPr>
            <w:r>
              <w:rPr>
                <w:noProof/>
                <w:sz w:val="18"/>
              </w:rPr>
              <w:t xml:space="preserve">El tamaño de la institución </w:t>
            </w:r>
          </w:p>
          <w:p>
            <w:pPr>
              <w:spacing w:after="0" w:line="240" w:lineRule="auto"/>
              <w:rPr>
                <w:noProof/>
                <w:sz w:val="18"/>
                <w:szCs w:val="18"/>
              </w:rPr>
            </w:pPr>
            <w:r>
              <w:rPr>
                <w:noProof/>
                <w:sz w:val="18"/>
              </w:rPr>
              <w:t>Efecto sede</w:t>
            </w:r>
          </w:p>
          <w:p>
            <w:pPr>
              <w:spacing w:after="0" w:line="240" w:lineRule="auto"/>
              <w:rPr>
                <w:noProof/>
                <w:sz w:val="18"/>
                <w:szCs w:val="18"/>
              </w:rPr>
            </w:pPr>
            <w:r>
              <w:rPr>
                <w:noProof/>
                <w:sz w:val="18"/>
              </w:rPr>
              <w:t>Atractivo limitado de las instituciones de la UE para los nacionales de algunos Estados miembros</w:t>
            </w:r>
          </w:p>
          <w:p>
            <w:pPr>
              <w:spacing w:after="0" w:line="240" w:lineRule="auto"/>
              <w:rPr>
                <w:noProof/>
                <w:sz w:val="18"/>
                <w:szCs w:val="18"/>
              </w:rPr>
            </w:pPr>
            <w:r>
              <w:rPr>
                <w:noProof/>
                <w:sz w:val="18"/>
              </w:rPr>
              <w:t>Pequeño tamaño de algunos Estados miembros</w:t>
            </w:r>
          </w:p>
          <w:p>
            <w:pPr>
              <w:spacing w:after="0" w:line="240" w:lineRule="auto"/>
              <w:rPr>
                <w:noProof/>
                <w:sz w:val="18"/>
                <w:szCs w:val="18"/>
              </w:rPr>
            </w:pPr>
          </w:p>
          <w:p>
            <w:pPr>
              <w:spacing w:after="0" w:line="240" w:lineRule="auto"/>
              <w:rPr>
                <w:noProof/>
                <w:sz w:val="18"/>
                <w:szCs w:val="18"/>
              </w:rPr>
            </w:pPr>
            <w:r>
              <w:rPr>
                <w:noProof/>
                <w:sz w:val="18"/>
              </w:rPr>
              <w:t>Dado el tamaño reducido del CDR, la interpretación de los datos debe hacerse con precaución</w:t>
            </w:r>
          </w:p>
        </w:tc>
        <w:tc>
          <w:tcPr>
            <w:tcW w:w="708" w:type="dxa"/>
            <w:textDirection w:val="btLr"/>
            <w:vAlign w:val="center"/>
          </w:tcPr>
          <w:p>
            <w:pPr>
              <w:spacing w:after="0" w:line="240" w:lineRule="auto"/>
              <w:ind w:left="113" w:right="113"/>
              <w:jc w:val="center"/>
              <w:rPr>
                <w:noProof/>
                <w:sz w:val="18"/>
                <w:szCs w:val="18"/>
              </w:rPr>
            </w:pPr>
            <w:r>
              <w:rPr>
                <w:noProof/>
                <w:sz w:val="18"/>
              </w:rPr>
              <w:t>NO. Sin embargo, el BREXIT o el deterioro de las condiciones podrían tener una influencia</w:t>
            </w:r>
          </w:p>
        </w:tc>
        <w:tc>
          <w:tcPr>
            <w:tcW w:w="718" w:type="dxa"/>
            <w:textDirection w:val="btLr"/>
            <w:vAlign w:val="center"/>
          </w:tcPr>
          <w:p>
            <w:pPr>
              <w:spacing w:after="0" w:line="240" w:lineRule="auto"/>
              <w:ind w:left="113" w:right="113"/>
              <w:jc w:val="center"/>
              <w:rPr>
                <w:noProof/>
                <w:sz w:val="18"/>
                <w:szCs w:val="18"/>
              </w:rPr>
            </w:pPr>
            <w:r>
              <w:rPr>
                <w:noProof/>
                <w:sz w:val="18"/>
              </w:rPr>
              <w:t>NO/NO</w:t>
            </w:r>
          </w:p>
        </w:tc>
      </w:tr>
      <w:tr>
        <w:trPr>
          <w:cantSplit/>
          <w:trHeight w:val="1861"/>
        </w:trPr>
        <w:tc>
          <w:tcPr>
            <w:tcW w:w="817" w:type="dxa"/>
            <w:textDirection w:val="btLr"/>
          </w:tcPr>
          <w:p>
            <w:pPr>
              <w:spacing w:after="0" w:line="240" w:lineRule="auto"/>
              <w:ind w:left="113" w:right="113"/>
              <w:jc w:val="center"/>
              <w:rPr>
                <w:b/>
                <w:noProof/>
              </w:rPr>
            </w:pPr>
            <w:r>
              <w:rPr>
                <w:b/>
                <w:noProof/>
              </w:rPr>
              <w:t>Defensor del Pueblo Europeo</w:t>
            </w:r>
          </w:p>
        </w:tc>
        <w:tc>
          <w:tcPr>
            <w:tcW w:w="3284" w:type="dxa"/>
          </w:tcPr>
          <w:p>
            <w:pPr>
              <w:spacing w:after="0" w:line="240" w:lineRule="auto"/>
              <w:jc w:val="both"/>
              <w:rPr>
                <w:noProof/>
                <w:sz w:val="18"/>
                <w:szCs w:val="18"/>
              </w:rPr>
            </w:pPr>
            <w:r>
              <w:rPr>
                <w:noProof/>
                <w:sz w:val="18"/>
              </w:rPr>
              <w:t xml:space="preserve">Dado el tamaño de la institución, nunca se ha definido el (des)equilibrio geográfico. </w:t>
            </w:r>
          </w:p>
          <w:p>
            <w:pPr>
              <w:spacing w:after="0" w:line="240" w:lineRule="auto"/>
              <w:jc w:val="both"/>
              <w:rPr>
                <w:noProof/>
                <w:sz w:val="18"/>
                <w:szCs w:val="18"/>
              </w:rPr>
            </w:pPr>
            <w:r>
              <w:rPr>
                <w:noProof/>
                <w:sz w:val="18"/>
              </w:rPr>
              <w:t xml:space="preserve">La presencia de nacionales de todos los Estados miembros ponderada con el tamaño de la población podría ser un indicador </w:t>
            </w:r>
          </w:p>
        </w:tc>
        <w:tc>
          <w:tcPr>
            <w:tcW w:w="2409" w:type="dxa"/>
          </w:tcPr>
          <w:p>
            <w:pPr>
              <w:spacing w:after="0" w:line="240" w:lineRule="auto"/>
              <w:rPr>
                <w:noProof/>
                <w:sz w:val="18"/>
                <w:szCs w:val="18"/>
              </w:rPr>
            </w:pPr>
            <w:r>
              <w:rPr>
                <w:noProof/>
                <w:sz w:val="18"/>
              </w:rPr>
              <w:t>El desequilibrio se observa en caso de infrarrepresentación o sobrerrepresentación sin una justificación objetiva</w:t>
            </w:r>
          </w:p>
        </w:tc>
        <w:tc>
          <w:tcPr>
            <w:tcW w:w="2127" w:type="dxa"/>
          </w:tcPr>
          <w:p>
            <w:pPr>
              <w:spacing w:after="0" w:line="240" w:lineRule="auto"/>
              <w:rPr>
                <w:noProof/>
                <w:sz w:val="18"/>
                <w:szCs w:val="18"/>
              </w:rPr>
            </w:pPr>
            <w:r>
              <w:rPr>
                <w:noProof/>
                <w:sz w:val="18"/>
              </w:rPr>
              <w:t>Sobrerrepresentación significativa: FR, en el grupo de funciones AST</w:t>
            </w:r>
          </w:p>
        </w:tc>
        <w:tc>
          <w:tcPr>
            <w:tcW w:w="3969" w:type="dxa"/>
          </w:tcPr>
          <w:p>
            <w:pPr>
              <w:spacing w:after="0" w:line="240" w:lineRule="auto"/>
              <w:rPr>
                <w:noProof/>
                <w:sz w:val="18"/>
                <w:szCs w:val="18"/>
              </w:rPr>
            </w:pPr>
            <w:r>
              <w:rPr>
                <w:noProof/>
                <w:sz w:val="18"/>
              </w:rPr>
              <w:t>Todos los desequilibrios están objetivamente justificados por...</w:t>
            </w:r>
          </w:p>
          <w:p>
            <w:pPr>
              <w:numPr>
                <w:ilvl w:val="0"/>
                <w:numId w:val="26"/>
              </w:numPr>
              <w:spacing w:after="0" w:line="240" w:lineRule="auto"/>
              <w:jc w:val="both"/>
              <w:rPr>
                <w:noProof/>
                <w:sz w:val="18"/>
                <w:szCs w:val="18"/>
              </w:rPr>
            </w:pPr>
            <w:r>
              <w:rPr>
                <w:noProof/>
                <w:sz w:val="18"/>
              </w:rPr>
              <w:t>el efecto sede en Francia,</w:t>
            </w:r>
          </w:p>
          <w:p>
            <w:pPr>
              <w:numPr>
                <w:ilvl w:val="0"/>
                <w:numId w:val="26"/>
              </w:numPr>
              <w:spacing w:after="0" w:line="240" w:lineRule="auto"/>
              <w:jc w:val="both"/>
              <w:rPr>
                <w:noProof/>
                <w:sz w:val="18"/>
                <w:szCs w:val="18"/>
              </w:rPr>
            </w:pPr>
            <w:r>
              <w:rPr>
                <w:noProof/>
                <w:sz w:val="18"/>
              </w:rPr>
              <w:t>las dificultades para contratar en Estrasburgo</w:t>
            </w:r>
          </w:p>
          <w:p>
            <w:pPr>
              <w:numPr>
                <w:ilvl w:val="0"/>
                <w:numId w:val="26"/>
              </w:numPr>
              <w:spacing w:after="0" w:line="240" w:lineRule="auto"/>
              <w:jc w:val="both"/>
              <w:rPr>
                <w:noProof/>
                <w:sz w:val="18"/>
                <w:szCs w:val="18"/>
              </w:rPr>
            </w:pPr>
            <w:r>
              <w:rPr>
                <w:noProof/>
                <w:sz w:val="18"/>
              </w:rPr>
              <w:t>razones históricas (gran número de puestos temporales)</w:t>
            </w:r>
          </w:p>
        </w:tc>
        <w:tc>
          <w:tcPr>
            <w:tcW w:w="708" w:type="dxa"/>
            <w:textDirection w:val="btLr"/>
            <w:vAlign w:val="center"/>
          </w:tcPr>
          <w:p>
            <w:pPr>
              <w:spacing w:after="0" w:line="240" w:lineRule="auto"/>
              <w:ind w:left="113" w:right="113"/>
              <w:jc w:val="center"/>
              <w:rPr>
                <w:noProof/>
                <w:sz w:val="18"/>
                <w:szCs w:val="18"/>
              </w:rPr>
            </w:pPr>
            <w:r>
              <w:rPr>
                <w:noProof/>
                <w:sz w:val="18"/>
              </w:rPr>
              <w:t>NO</w:t>
            </w:r>
          </w:p>
        </w:tc>
        <w:tc>
          <w:tcPr>
            <w:tcW w:w="718" w:type="dxa"/>
            <w:textDirection w:val="btLr"/>
            <w:vAlign w:val="center"/>
          </w:tcPr>
          <w:p>
            <w:pPr>
              <w:spacing w:after="0" w:line="240" w:lineRule="auto"/>
              <w:ind w:left="113" w:right="113"/>
              <w:jc w:val="center"/>
              <w:rPr>
                <w:noProof/>
                <w:sz w:val="18"/>
                <w:szCs w:val="18"/>
              </w:rPr>
            </w:pPr>
            <w:r>
              <w:rPr>
                <w:noProof/>
                <w:sz w:val="18"/>
              </w:rPr>
              <w:t>NO/NO</w:t>
            </w:r>
          </w:p>
        </w:tc>
      </w:tr>
      <w:tr>
        <w:trPr>
          <w:cantSplit/>
          <w:trHeight w:val="2110"/>
        </w:trPr>
        <w:tc>
          <w:tcPr>
            <w:tcW w:w="817" w:type="dxa"/>
            <w:textDirection w:val="btLr"/>
          </w:tcPr>
          <w:p>
            <w:pPr>
              <w:spacing w:after="0" w:line="240" w:lineRule="auto"/>
              <w:ind w:left="113" w:right="113"/>
              <w:jc w:val="center"/>
              <w:rPr>
                <w:b/>
                <w:noProof/>
              </w:rPr>
            </w:pPr>
            <w:r>
              <w:rPr>
                <w:b/>
                <w:noProof/>
              </w:rPr>
              <w:t>Supervisor Europeo de Protección de Datos</w:t>
            </w:r>
          </w:p>
        </w:tc>
        <w:tc>
          <w:tcPr>
            <w:tcW w:w="3284" w:type="dxa"/>
          </w:tcPr>
          <w:p>
            <w:pPr>
              <w:spacing w:after="0" w:line="240" w:lineRule="auto"/>
              <w:rPr>
                <w:noProof/>
                <w:sz w:val="18"/>
                <w:szCs w:val="18"/>
              </w:rPr>
            </w:pPr>
            <w:r>
              <w:rPr>
                <w:noProof/>
                <w:sz w:val="18"/>
              </w:rPr>
              <w:t xml:space="preserve">El SEPD es una institución pequeña especializada en un tema muy concreto. Por lo tanto, las contrataciones se realizan en base a perfiles específicos y a las listas de reserva de la EPSO en materia de protección de datos, así como en un pequeño número de candidaturas. La cuestión del equilibrio de la representación no se ha considerado hasta el momento, dada la especificidad de los perfiles y la dificultad para realizar contrataciones. </w:t>
            </w:r>
          </w:p>
        </w:tc>
        <w:tc>
          <w:tcPr>
            <w:tcW w:w="2409" w:type="dxa"/>
          </w:tcPr>
          <w:p>
            <w:pPr>
              <w:spacing w:after="0" w:line="240" w:lineRule="auto"/>
              <w:jc w:val="both"/>
              <w:rPr>
                <w:noProof/>
                <w:sz w:val="18"/>
                <w:szCs w:val="18"/>
              </w:rPr>
            </w:pPr>
            <w:r>
              <w:rPr>
                <w:noProof/>
                <w:sz w:val="18"/>
              </w:rPr>
              <w:t>n.d.</w:t>
            </w:r>
          </w:p>
        </w:tc>
        <w:tc>
          <w:tcPr>
            <w:tcW w:w="2127" w:type="dxa"/>
          </w:tcPr>
          <w:p>
            <w:pPr>
              <w:spacing w:after="0" w:line="240" w:lineRule="auto"/>
              <w:jc w:val="both"/>
              <w:rPr>
                <w:noProof/>
                <w:sz w:val="18"/>
                <w:szCs w:val="18"/>
              </w:rPr>
            </w:pPr>
            <w:r>
              <w:rPr>
                <w:noProof/>
                <w:sz w:val="18"/>
              </w:rPr>
              <w:t>NO</w:t>
            </w:r>
          </w:p>
        </w:tc>
        <w:tc>
          <w:tcPr>
            <w:tcW w:w="3969" w:type="dxa"/>
          </w:tcPr>
          <w:p>
            <w:pPr>
              <w:spacing w:after="0" w:line="240" w:lineRule="auto"/>
              <w:jc w:val="both"/>
              <w:rPr>
                <w:noProof/>
                <w:sz w:val="18"/>
                <w:szCs w:val="18"/>
              </w:rPr>
            </w:pPr>
            <w:r>
              <w:rPr>
                <w:noProof/>
                <w:sz w:val="18"/>
              </w:rPr>
              <w:t>n.d.</w:t>
            </w:r>
          </w:p>
        </w:tc>
        <w:tc>
          <w:tcPr>
            <w:tcW w:w="708" w:type="dxa"/>
            <w:textDirection w:val="btLr"/>
            <w:vAlign w:val="center"/>
          </w:tcPr>
          <w:p>
            <w:pPr>
              <w:spacing w:after="0" w:line="240" w:lineRule="auto"/>
              <w:ind w:left="113" w:right="113"/>
              <w:jc w:val="center"/>
              <w:rPr>
                <w:noProof/>
                <w:sz w:val="18"/>
                <w:szCs w:val="18"/>
              </w:rPr>
            </w:pPr>
            <w:r>
              <w:rPr>
                <w:noProof/>
                <w:sz w:val="18"/>
              </w:rPr>
              <w:t>NO.</w:t>
            </w:r>
          </w:p>
        </w:tc>
        <w:tc>
          <w:tcPr>
            <w:tcW w:w="718" w:type="dxa"/>
            <w:textDirection w:val="btLr"/>
            <w:vAlign w:val="center"/>
          </w:tcPr>
          <w:p>
            <w:pPr>
              <w:spacing w:after="0" w:line="240" w:lineRule="auto"/>
              <w:ind w:left="113" w:right="113"/>
              <w:jc w:val="center"/>
              <w:rPr>
                <w:noProof/>
                <w:sz w:val="18"/>
                <w:szCs w:val="18"/>
              </w:rPr>
            </w:pPr>
            <w:r>
              <w:rPr>
                <w:noProof/>
                <w:sz w:val="18"/>
              </w:rPr>
              <w:t>NO/NO</w:t>
            </w:r>
          </w:p>
        </w:tc>
      </w:tr>
    </w:tbl>
    <w:p>
      <w:pPr>
        <w:spacing w:after="0" w:line="240" w:lineRule="auto"/>
        <w:rPr>
          <w:rFonts w:ascii="Times New Roman" w:eastAsia="Times New Roman" w:hAnsi="Times New Roman" w:cs="Times New Roman"/>
          <w:b/>
          <w:noProof/>
          <w:sz w:val="24"/>
          <w:szCs w:val="24"/>
          <w:highlight w:val="yellow"/>
        </w:rPr>
        <w:sectPr>
          <w:headerReference w:type="even" r:id="rId66"/>
          <w:headerReference w:type="default" r:id="rId67"/>
          <w:footerReference w:type="even" r:id="rId68"/>
          <w:footerReference w:type="default" r:id="rId69"/>
          <w:headerReference w:type="first" r:id="rId70"/>
          <w:footerReference w:type="first" r:id="rId71"/>
          <w:pgSz w:w="16838" w:h="11906" w:orient="landscape"/>
          <w:pgMar w:top="1588" w:right="1021" w:bottom="1134" w:left="1021" w:header="601" w:footer="1077" w:gutter="0"/>
          <w:cols w:space="720"/>
          <w:docGrid w:linePitch="326"/>
        </w:sectPr>
      </w:pPr>
      <w:r>
        <w:rPr>
          <w:noProof/>
        </w:rPr>
        <w:br w:type="page"/>
      </w:r>
    </w:p>
    <w:p>
      <w:pPr>
        <w:spacing w:after="0" w:line="240" w:lineRule="auto"/>
        <w:rPr>
          <w:rFonts w:ascii="Times New Roman" w:eastAsia="Times New Roman" w:hAnsi="Times New Roman" w:cs="Times New Roman"/>
          <w:b/>
          <w:noProof/>
          <w:sz w:val="24"/>
          <w:szCs w:val="24"/>
          <w:highlight w:val="yellow"/>
        </w:rPr>
      </w:pPr>
    </w:p>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Anexo 10: Distribución del personal del grupo de funciones AD por nacionalidad en las instituciones de la UE (número total)</w:t>
      </w:r>
    </w:p>
    <w:p>
      <w:pPr>
        <w:spacing w:after="240" w:line="240" w:lineRule="auto"/>
        <w:jc w:val="both"/>
        <w:rPr>
          <w:rFonts w:ascii="Times New Roman" w:eastAsia="Times New Roman" w:hAnsi="Times New Roman" w:cs="Times New Roman"/>
          <w:b/>
          <w:noProof/>
          <w:sz w:val="24"/>
          <w:szCs w:val="20"/>
        </w:rPr>
      </w:pPr>
      <w:r>
        <w:rPr>
          <w:rFonts w:ascii="Arial" w:hAnsi="Arial"/>
          <w:b/>
          <w:noProof/>
          <w:sz w:val="18"/>
        </w:rPr>
        <w:t>Funcionarios y agentes temporales AD, situación a 1 de enero de 2017</w:t>
      </w:r>
      <w:r>
        <w:rPr>
          <w:noProof/>
        </w:rPr>
        <w:tab/>
      </w:r>
      <w:r>
        <w:rPr>
          <w:rFonts w:ascii="Arial" w:eastAsia="Times New Roman" w:hAnsi="Arial" w:cs="Arial"/>
          <w:b/>
          <w:bCs/>
          <w:noProof/>
          <w:sz w:val="18"/>
          <w:szCs w:val="18"/>
        </w:rPr>
        <w:br/>
      </w:r>
      <w:r>
        <w:rPr>
          <w:rFonts w:ascii="Arial" w:hAnsi="Arial"/>
          <w:b/>
          <w:noProof/>
          <w:sz w:val="18"/>
        </w:rPr>
        <w:t>Fuente: Aportaciones de las instituciones</w:t>
      </w:r>
    </w:p>
    <w:tbl>
      <w:tblPr>
        <w:tblW w:w="9376" w:type="dxa"/>
        <w:tblInd w:w="93" w:type="dxa"/>
        <w:tblLook w:val="04A0" w:firstRow="1" w:lastRow="0" w:firstColumn="1" w:lastColumn="0" w:noHBand="0" w:noVBand="1"/>
      </w:tblPr>
      <w:tblGrid>
        <w:gridCol w:w="1610"/>
        <w:gridCol w:w="815"/>
        <w:gridCol w:w="1151"/>
        <w:gridCol w:w="814"/>
        <w:gridCol w:w="800"/>
        <w:gridCol w:w="800"/>
        <w:gridCol w:w="949"/>
        <w:gridCol w:w="717"/>
        <w:gridCol w:w="800"/>
        <w:gridCol w:w="920"/>
      </w:tblGrid>
      <w:tr>
        <w:trPr>
          <w:trHeight w:val="480"/>
        </w:trPr>
        <w:tc>
          <w:tcPr>
            <w:tcW w:w="166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Funcionarios y agentes temporales AD</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PE</w:t>
            </w:r>
          </w:p>
        </w:tc>
        <w:tc>
          <w:tcPr>
            <w:tcW w:w="1191" w:type="dxa"/>
            <w:tcBorders>
              <w:top w:val="single" w:sz="4" w:space="0" w:color="auto"/>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SG Consejo</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TJ</w:t>
            </w:r>
          </w:p>
        </w:tc>
        <w:tc>
          <w:tcPr>
            <w:tcW w:w="820" w:type="dxa"/>
            <w:tcBorders>
              <w:top w:val="single" w:sz="4" w:space="0" w:color="auto"/>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SEAE</w:t>
            </w:r>
          </w:p>
        </w:tc>
        <w:tc>
          <w:tcPr>
            <w:tcW w:w="820" w:type="dxa"/>
            <w:tcBorders>
              <w:top w:val="single" w:sz="4" w:space="0" w:color="auto"/>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CESE</w:t>
            </w:r>
          </w:p>
        </w:tc>
        <w:tc>
          <w:tcPr>
            <w:tcW w:w="1000" w:type="dxa"/>
            <w:tcBorders>
              <w:top w:val="single" w:sz="4" w:space="0" w:color="auto"/>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CDR</w:t>
            </w:r>
          </w:p>
        </w:tc>
        <w:tc>
          <w:tcPr>
            <w:tcW w:w="740" w:type="dxa"/>
            <w:tcBorders>
              <w:top w:val="single" w:sz="4" w:space="0" w:color="auto"/>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DPE</w:t>
            </w:r>
          </w:p>
        </w:tc>
        <w:tc>
          <w:tcPr>
            <w:tcW w:w="820" w:type="dxa"/>
            <w:tcBorders>
              <w:top w:val="single" w:sz="4" w:space="0" w:color="auto"/>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SEPD</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Total</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Bélgica</w:t>
            </w:r>
          </w:p>
        </w:tc>
        <w:tc>
          <w:tcPr>
            <w:tcW w:w="840" w:type="dxa"/>
            <w:tcBorders>
              <w:top w:val="single"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182</w:t>
            </w:r>
          </w:p>
        </w:tc>
        <w:tc>
          <w:tcPr>
            <w:tcW w:w="1191"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116</w:t>
            </w:r>
          </w:p>
        </w:tc>
        <w:tc>
          <w:tcPr>
            <w:tcW w:w="84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108</w:t>
            </w:r>
          </w:p>
        </w:tc>
        <w:tc>
          <w:tcPr>
            <w:tcW w:w="82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72</w:t>
            </w:r>
          </w:p>
        </w:tc>
        <w:tc>
          <w:tcPr>
            <w:tcW w:w="82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30</w:t>
            </w:r>
          </w:p>
        </w:tc>
        <w:tc>
          <w:tcPr>
            <w:tcW w:w="100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16</w:t>
            </w:r>
          </w:p>
        </w:tc>
        <w:tc>
          <w:tcPr>
            <w:tcW w:w="74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820" w:type="dxa"/>
            <w:tcBorders>
              <w:top w:val="single"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530</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Bulgaria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75</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41</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33</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12</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178</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Chequia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69</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44</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34</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19</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12</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189</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Dinamarca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60</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44</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35</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32</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14</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191</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Alemania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218</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91</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69</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87</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26</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26</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525</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Estonia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55</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41</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30</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22</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161</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Irlanda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27</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28</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14</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26</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109</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Grecia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100</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50</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47</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37</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17</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264</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España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175</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86</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70</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77</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20</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12</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446</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Francia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217</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92</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185</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100</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18</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19</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640</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Croacia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68</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31</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29</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150</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Italia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201</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77</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78</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105</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30</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24</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519</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Chipre</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14</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Letonia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55</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35</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32</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145</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Lituania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56</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38</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33</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19</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164</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Luxemburgo</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13</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33</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Hungría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89</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42</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39</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16</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206</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Malta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45</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32</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24</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121</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Países Bajos</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63</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32</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22</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32</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167</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Austria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32</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18</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13</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24</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100</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Polonia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111</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61</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43</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39</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20</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289</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Portugal</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84</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62</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38</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31</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233</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Rumanía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97</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57</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37</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24</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15</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14</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246</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Eslovenia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58</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40</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32</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13</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158</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Eslovaquia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64</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37</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32</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12</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157</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Finlandia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91</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58</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31</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19</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221</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Suecia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70</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40</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36</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34</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198</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Reino Unido</w:t>
            </w:r>
          </w:p>
        </w:tc>
        <w:tc>
          <w:tcPr>
            <w:tcW w:w="840" w:type="dxa"/>
            <w:tcBorders>
              <w:top w:val="dotted" w:sz="4" w:space="0" w:color="auto"/>
              <w:left w:val="nil"/>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118</w:t>
            </w:r>
          </w:p>
        </w:tc>
        <w:tc>
          <w:tcPr>
            <w:tcW w:w="1191"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50</w:t>
            </w:r>
          </w:p>
        </w:tc>
        <w:tc>
          <w:tcPr>
            <w:tcW w:w="84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50</w:t>
            </w:r>
          </w:p>
        </w:tc>
        <w:tc>
          <w:tcPr>
            <w:tcW w:w="82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72</w:t>
            </w:r>
          </w:p>
        </w:tc>
        <w:tc>
          <w:tcPr>
            <w:tcW w:w="82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15</w:t>
            </w:r>
          </w:p>
        </w:tc>
        <w:tc>
          <w:tcPr>
            <w:tcW w:w="100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w:t>
            </w:r>
          </w:p>
        </w:tc>
        <w:tc>
          <w:tcPr>
            <w:tcW w:w="74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820" w:type="dxa"/>
            <w:tcBorders>
              <w:top w:val="dotted" w:sz="4" w:space="0" w:color="auto"/>
              <w:left w:val="dotted" w:sz="4" w:space="0" w:color="auto"/>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316</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Total</w:t>
            </w:r>
          </w:p>
        </w:tc>
        <w:tc>
          <w:tcPr>
            <w:tcW w:w="8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2.499</w:t>
            </w:r>
          </w:p>
        </w:tc>
        <w:tc>
          <w:tcPr>
            <w:tcW w:w="1191"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1.351</w:t>
            </w:r>
          </w:p>
        </w:tc>
        <w:tc>
          <w:tcPr>
            <w:tcW w:w="8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1.205</w:t>
            </w:r>
          </w:p>
        </w:tc>
        <w:tc>
          <w:tcPr>
            <w:tcW w:w="82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947</w:t>
            </w:r>
          </w:p>
        </w:tc>
        <w:tc>
          <w:tcPr>
            <w:tcW w:w="82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318</w:t>
            </w:r>
          </w:p>
        </w:tc>
        <w:tc>
          <w:tcPr>
            <w:tcW w:w="100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282</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37</w:t>
            </w:r>
          </w:p>
        </w:tc>
        <w:tc>
          <w:tcPr>
            <w:tcW w:w="82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31</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6.670</w:t>
            </w:r>
          </w:p>
        </w:tc>
      </w:tr>
    </w:tbl>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Anexo 11: Distribución del personal del grupo de funciones AD por nacionalidad en las instituciones de la UE (porcentaje de personal AD)</w:t>
      </w:r>
    </w:p>
    <w:p>
      <w:pPr>
        <w:spacing w:after="240" w:line="240" w:lineRule="auto"/>
        <w:jc w:val="both"/>
        <w:rPr>
          <w:rFonts w:ascii="Times New Roman" w:eastAsia="Times New Roman" w:hAnsi="Times New Roman" w:cs="Times New Roman"/>
          <w:b/>
          <w:noProof/>
          <w:sz w:val="24"/>
          <w:szCs w:val="24"/>
          <w:highlight w:val="yellow"/>
        </w:rPr>
      </w:pPr>
      <w:r>
        <w:rPr>
          <w:rFonts w:ascii="Arial" w:hAnsi="Arial"/>
          <w:b/>
          <w:noProof/>
          <w:sz w:val="18"/>
        </w:rPr>
        <w:t xml:space="preserve">Funcionarios y agentes temporales AD, situación a 1 de enero de 2017 - Distribución </w:t>
      </w:r>
      <w:r>
        <w:rPr>
          <w:noProof/>
        </w:rPr>
        <w:tab/>
      </w:r>
      <w:r>
        <w:rPr>
          <w:rFonts w:ascii="Arial" w:eastAsia="Times New Roman" w:hAnsi="Arial" w:cs="Arial"/>
          <w:b/>
          <w:bCs/>
          <w:noProof/>
          <w:sz w:val="18"/>
          <w:szCs w:val="18"/>
        </w:rPr>
        <w:br/>
      </w:r>
      <w:r>
        <w:rPr>
          <w:rFonts w:ascii="Arial" w:hAnsi="Arial"/>
          <w:b/>
          <w:noProof/>
          <w:sz w:val="18"/>
        </w:rPr>
        <w:t>Fuente: Aportaciones de las instituciones</w:t>
      </w:r>
    </w:p>
    <w:tbl>
      <w:tblPr>
        <w:tblW w:w="9376" w:type="dxa"/>
        <w:tblInd w:w="93" w:type="dxa"/>
        <w:tblLook w:val="04A0" w:firstRow="1" w:lastRow="0" w:firstColumn="1" w:lastColumn="0" w:noHBand="0" w:noVBand="1"/>
      </w:tblPr>
      <w:tblGrid>
        <w:gridCol w:w="1600"/>
        <w:gridCol w:w="816"/>
        <w:gridCol w:w="1143"/>
        <w:gridCol w:w="816"/>
        <w:gridCol w:w="799"/>
        <w:gridCol w:w="799"/>
        <w:gridCol w:w="954"/>
        <w:gridCol w:w="730"/>
        <w:gridCol w:w="799"/>
        <w:gridCol w:w="920"/>
      </w:tblGrid>
      <w:tr>
        <w:trPr>
          <w:trHeight w:val="480"/>
        </w:trPr>
        <w:tc>
          <w:tcPr>
            <w:tcW w:w="166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 xml:space="preserve">Funcionarios y agentes temporales AD </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PE</w:t>
            </w:r>
          </w:p>
        </w:tc>
        <w:tc>
          <w:tcPr>
            <w:tcW w:w="1191" w:type="dxa"/>
            <w:tcBorders>
              <w:top w:val="single" w:sz="4" w:space="0" w:color="auto"/>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SG Consejo</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TJ</w:t>
            </w:r>
          </w:p>
        </w:tc>
        <w:tc>
          <w:tcPr>
            <w:tcW w:w="820" w:type="dxa"/>
            <w:tcBorders>
              <w:top w:val="single" w:sz="4" w:space="0" w:color="auto"/>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SEAE</w:t>
            </w:r>
          </w:p>
        </w:tc>
        <w:tc>
          <w:tcPr>
            <w:tcW w:w="820" w:type="dxa"/>
            <w:tcBorders>
              <w:top w:val="single" w:sz="4" w:space="0" w:color="auto"/>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CESE</w:t>
            </w:r>
          </w:p>
        </w:tc>
        <w:tc>
          <w:tcPr>
            <w:tcW w:w="1000" w:type="dxa"/>
            <w:tcBorders>
              <w:top w:val="single" w:sz="4" w:space="0" w:color="auto"/>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CDR</w:t>
            </w:r>
          </w:p>
        </w:tc>
        <w:tc>
          <w:tcPr>
            <w:tcW w:w="740" w:type="dxa"/>
            <w:tcBorders>
              <w:top w:val="single" w:sz="4" w:space="0" w:color="auto"/>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DPE</w:t>
            </w:r>
          </w:p>
        </w:tc>
        <w:tc>
          <w:tcPr>
            <w:tcW w:w="820" w:type="dxa"/>
            <w:tcBorders>
              <w:top w:val="single" w:sz="4" w:space="0" w:color="auto"/>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SEPD</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Total</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Bélgica</w:t>
            </w:r>
          </w:p>
        </w:tc>
        <w:tc>
          <w:tcPr>
            <w:tcW w:w="840" w:type="dxa"/>
            <w:tcBorders>
              <w:top w:val="single"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7 %</w:t>
            </w:r>
          </w:p>
        </w:tc>
        <w:tc>
          <w:tcPr>
            <w:tcW w:w="1191"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9 %</w:t>
            </w:r>
          </w:p>
        </w:tc>
        <w:tc>
          <w:tcPr>
            <w:tcW w:w="84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9 %</w:t>
            </w:r>
          </w:p>
        </w:tc>
        <w:tc>
          <w:tcPr>
            <w:tcW w:w="82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82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9 %</w:t>
            </w:r>
          </w:p>
        </w:tc>
        <w:tc>
          <w:tcPr>
            <w:tcW w:w="100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74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820" w:type="dxa"/>
            <w:tcBorders>
              <w:top w:val="single"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19 %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8 %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Bulgaria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3 %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Chequia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3 %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Dinamarca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3 %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Alemania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14 %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8 %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Estonia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2 %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Irlanda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16 %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2 %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Grecia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4 %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España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13 %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7 %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Francia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15 %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14 %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13 %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10 %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Croacia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2 %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Italia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13 %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8 %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Chipre</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0 %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Letonia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2 %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Lituania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2 %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Luxemburgo</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0 %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Hungría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3 %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Malta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2 %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Países Bajos</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3 %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Austria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Polonia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4 %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Portugal</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3 %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Rumanía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4 %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Eslovenia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2 %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Eslovaquia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2 %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Finlandia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3 %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Suecia</w:t>
            </w:r>
          </w:p>
        </w:tc>
        <w:tc>
          <w:tcPr>
            <w:tcW w:w="84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119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8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100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74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3 %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Reino Unido</w:t>
            </w:r>
          </w:p>
        </w:tc>
        <w:tc>
          <w:tcPr>
            <w:tcW w:w="840" w:type="dxa"/>
            <w:tcBorders>
              <w:top w:val="dotted" w:sz="4" w:space="0" w:color="auto"/>
              <w:left w:val="nil"/>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1191"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84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82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82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100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74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820" w:type="dxa"/>
            <w:tcBorders>
              <w:top w:val="dotted" w:sz="4" w:space="0" w:color="auto"/>
              <w:left w:val="dotted" w:sz="4" w:space="0" w:color="auto"/>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5 %</w:t>
            </w:r>
          </w:p>
        </w:tc>
      </w:tr>
      <w:tr>
        <w:trPr>
          <w:trHeight w:val="240"/>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Total</w:t>
            </w:r>
          </w:p>
        </w:tc>
        <w:tc>
          <w:tcPr>
            <w:tcW w:w="8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1191"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8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82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82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100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82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9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r>
    </w:tbl>
    <w:p>
      <w:pPr>
        <w:spacing w:after="0" w:line="240" w:lineRule="auto"/>
        <w:rPr>
          <w:rFonts w:ascii="Times New Roman" w:eastAsia="Times New Roman" w:hAnsi="Times New Roman" w:cs="Times New Roman"/>
          <w:b/>
          <w:noProof/>
          <w:sz w:val="24"/>
          <w:szCs w:val="24"/>
          <w:highlight w:val="yellow"/>
        </w:rPr>
        <w:sectPr>
          <w:headerReference w:type="even" r:id="rId72"/>
          <w:headerReference w:type="default" r:id="rId73"/>
          <w:footerReference w:type="even" r:id="rId74"/>
          <w:footerReference w:type="default" r:id="rId75"/>
          <w:headerReference w:type="first" r:id="rId76"/>
          <w:footerReference w:type="first" r:id="rId77"/>
          <w:pgSz w:w="16838" w:h="11906" w:orient="landscape"/>
          <w:pgMar w:top="1021" w:right="1021" w:bottom="1134" w:left="1021" w:header="601" w:footer="1077" w:gutter="0"/>
          <w:cols w:space="720"/>
          <w:docGrid w:linePitch="326"/>
        </w:sectPr>
      </w:pPr>
    </w:p>
    <w:p>
      <w:pPr>
        <w:spacing w:after="0" w:line="240" w:lineRule="auto"/>
        <w:ind w:left="1134" w:hanging="1134"/>
        <w:rPr>
          <w:rFonts w:ascii="Times New Roman" w:eastAsia="Times New Roman" w:hAnsi="Times New Roman" w:cs="Times New Roman"/>
          <w:b/>
          <w:noProof/>
          <w:sz w:val="24"/>
          <w:szCs w:val="24"/>
        </w:rPr>
      </w:pPr>
      <w:r>
        <w:rPr>
          <w:rFonts w:ascii="Times New Roman" w:hAnsi="Times New Roman"/>
          <w:b/>
          <w:noProof/>
          <w:sz w:val="24"/>
        </w:rPr>
        <w:t>Anexo 12: Resumen de las aportaciones realizadas por las agencias</w:t>
      </w:r>
      <w:r>
        <w:rPr>
          <w:noProof/>
        </w:rPr>
        <w:tab/>
      </w:r>
      <w:r>
        <w:rPr>
          <w:rFonts w:ascii="Times New Roman" w:eastAsia="Times New Roman" w:hAnsi="Times New Roman" w:cs="Times New Roman"/>
          <w:b/>
          <w:noProof/>
          <w:sz w:val="24"/>
          <w:szCs w:val="24"/>
        </w:rPr>
        <w:br/>
      </w:r>
      <w:r>
        <w:rPr>
          <w:rFonts w:ascii="Times New Roman" w:hAnsi="Times New Roman"/>
          <w:noProof/>
          <w:sz w:val="24"/>
        </w:rPr>
        <w:t>Nota: todos los enunciados y expresiones reflejan las declaraciones de las agencias pertinentes</w:t>
      </w:r>
    </w:p>
    <w:p>
      <w:pPr>
        <w:spacing w:after="240" w:line="240" w:lineRule="auto"/>
        <w:jc w:val="both"/>
        <w:rPr>
          <w:rFonts w:ascii="Times New Roman" w:eastAsia="Times New Roman" w:hAnsi="Times New Roman" w:cs="Times New Roman"/>
          <w:noProof/>
          <w:sz w:val="24"/>
          <w:szCs w:val="20"/>
        </w:rPr>
      </w:pPr>
    </w:p>
    <w:tbl>
      <w:tblPr>
        <w:tblStyle w:val="TableGrid"/>
        <w:tblW w:w="14032" w:type="dxa"/>
        <w:tblLayout w:type="fixed"/>
        <w:tblLook w:val="04A0" w:firstRow="1" w:lastRow="0" w:firstColumn="1" w:lastColumn="0" w:noHBand="0" w:noVBand="1"/>
      </w:tblPr>
      <w:tblGrid>
        <w:gridCol w:w="392"/>
        <w:gridCol w:w="3260"/>
        <w:gridCol w:w="2858"/>
        <w:gridCol w:w="2127"/>
        <w:gridCol w:w="3969"/>
        <w:gridCol w:w="708"/>
        <w:gridCol w:w="718"/>
      </w:tblGrid>
      <w:tr>
        <w:trPr>
          <w:cantSplit/>
          <w:trHeight w:val="2085"/>
          <w:tblHeader/>
        </w:trPr>
        <w:tc>
          <w:tcPr>
            <w:tcW w:w="392" w:type="dxa"/>
            <w:textDirection w:val="btLr"/>
          </w:tcPr>
          <w:p>
            <w:pPr>
              <w:spacing w:after="0" w:line="240" w:lineRule="auto"/>
              <w:ind w:left="113" w:right="113"/>
              <w:jc w:val="center"/>
              <w:rPr>
                <w:b/>
                <w:noProof/>
              </w:rPr>
            </w:pPr>
            <w:r>
              <w:rPr>
                <w:b/>
                <w:noProof/>
              </w:rPr>
              <w:t>AGENCIA</w:t>
            </w:r>
          </w:p>
        </w:tc>
        <w:tc>
          <w:tcPr>
            <w:tcW w:w="3260" w:type="dxa"/>
            <w:vAlign w:val="center"/>
          </w:tcPr>
          <w:p>
            <w:pPr>
              <w:spacing w:after="0" w:line="240" w:lineRule="auto"/>
              <w:jc w:val="center"/>
              <w:rPr>
                <w:b/>
                <w:noProof/>
              </w:rPr>
            </w:pPr>
            <w:r>
              <w:rPr>
                <w:b/>
                <w:noProof/>
              </w:rPr>
              <w:t>Metodología y criterios para evaluar el equilibrio geográfico</w:t>
            </w:r>
          </w:p>
        </w:tc>
        <w:tc>
          <w:tcPr>
            <w:tcW w:w="2858" w:type="dxa"/>
            <w:vAlign w:val="center"/>
          </w:tcPr>
          <w:p>
            <w:pPr>
              <w:spacing w:after="0" w:line="240" w:lineRule="auto"/>
              <w:jc w:val="center"/>
              <w:rPr>
                <w:b/>
                <w:noProof/>
              </w:rPr>
            </w:pPr>
            <w:r>
              <w:rPr>
                <w:b/>
                <w:noProof/>
              </w:rPr>
              <w:t>Indicador(es) de desequilibrio (significativo)</w:t>
            </w:r>
          </w:p>
        </w:tc>
        <w:tc>
          <w:tcPr>
            <w:tcW w:w="2127" w:type="dxa"/>
            <w:vAlign w:val="center"/>
          </w:tcPr>
          <w:p>
            <w:pPr>
              <w:spacing w:after="0" w:line="240" w:lineRule="auto"/>
              <w:jc w:val="center"/>
              <w:rPr>
                <w:noProof/>
              </w:rPr>
            </w:pPr>
            <w:r>
              <w:rPr>
                <w:b/>
                <w:noProof/>
              </w:rPr>
              <w:t>Desequilibrio (significativo) observado por Estado miembro</w:t>
            </w:r>
          </w:p>
        </w:tc>
        <w:tc>
          <w:tcPr>
            <w:tcW w:w="3969" w:type="dxa"/>
            <w:vAlign w:val="center"/>
          </w:tcPr>
          <w:p>
            <w:pPr>
              <w:spacing w:after="0" w:line="240" w:lineRule="auto"/>
              <w:jc w:val="center"/>
              <w:rPr>
                <w:b/>
                <w:noProof/>
              </w:rPr>
            </w:pPr>
            <w:r>
              <w:rPr>
                <w:b/>
                <w:noProof/>
              </w:rPr>
              <w:t>Justificación objetiva del desequilibrio</w:t>
            </w:r>
          </w:p>
        </w:tc>
        <w:tc>
          <w:tcPr>
            <w:tcW w:w="708" w:type="dxa"/>
            <w:textDirection w:val="btLr"/>
            <w:vAlign w:val="center"/>
          </w:tcPr>
          <w:p>
            <w:pPr>
              <w:spacing w:after="0" w:line="240" w:lineRule="auto"/>
              <w:ind w:left="113" w:right="113"/>
              <w:jc w:val="center"/>
              <w:rPr>
                <w:b/>
                <w:noProof/>
              </w:rPr>
            </w:pPr>
            <w:r>
              <w:rPr>
                <w:b/>
                <w:noProof/>
              </w:rPr>
              <w:t>Desequilibrio futuro previsto</w:t>
            </w:r>
          </w:p>
        </w:tc>
        <w:tc>
          <w:tcPr>
            <w:tcW w:w="718" w:type="dxa"/>
            <w:textDirection w:val="btLr"/>
            <w:vAlign w:val="center"/>
          </w:tcPr>
          <w:p>
            <w:pPr>
              <w:spacing w:after="0" w:line="240" w:lineRule="auto"/>
              <w:ind w:left="113" w:right="113"/>
              <w:jc w:val="center"/>
              <w:rPr>
                <w:b/>
                <w:noProof/>
              </w:rPr>
            </w:pPr>
            <w:r>
              <w:rPr>
                <w:b/>
                <w:noProof/>
              </w:rPr>
              <w:t>Medida apropiada según el art. 27 adoptada/prevista</w:t>
            </w:r>
          </w:p>
        </w:tc>
      </w:tr>
      <w:tr>
        <w:trPr>
          <w:cantSplit/>
          <w:trHeight w:val="1574"/>
        </w:trPr>
        <w:tc>
          <w:tcPr>
            <w:tcW w:w="392" w:type="dxa"/>
            <w:textDirection w:val="btLr"/>
          </w:tcPr>
          <w:p>
            <w:pPr>
              <w:spacing w:after="0" w:line="240" w:lineRule="auto"/>
              <w:ind w:left="113" w:right="113"/>
              <w:jc w:val="center"/>
              <w:rPr>
                <w:b/>
                <w:noProof/>
              </w:rPr>
            </w:pPr>
            <w:r>
              <w:rPr>
                <w:b/>
                <w:noProof/>
              </w:rPr>
              <w:t>ACER</w:t>
            </w:r>
          </w:p>
        </w:tc>
        <w:tc>
          <w:tcPr>
            <w:tcW w:w="3260" w:type="dxa"/>
            <w:vAlign w:val="center"/>
          </w:tcPr>
          <w:p>
            <w:pPr>
              <w:spacing w:after="0" w:line="240" w:lineRule="auto"/>
              <w:jc w:val="both"/>
              <w:rPr>
                <w:noProof/>
                <w:sz w:val="18"/>
                <w:szCs w:val="18"/>
              </w:rPr>
            </w:pPr>
            <w:r>
              <w:rPr>
                <w:noProof/>
                <w:sz w:val="18"/>
              </w:rPr>
              <w:t>El desequilibrio geográfico se evalúa haciendo referencia a la representación de cada nacionalidad en el personal</w:t>
            </w:r>
          </w:p>
        </w:tc>
        <w:tc>
          <w:tcPr>
            <w:tcW w:w="2858" w:type="dxa"/>
            <w:vAlign w:val="center"/>
          </w:tcPr>
          <w:p>
            <w:pPr>
              <w:spacing w:after="0" w:line="240" w:lineRule="auto"/>
              <w:rPr>
                <w:noProof/>
                <w:sz w:val="18"/>
                <w:szCs w:val="18"/>
              </w:rPr>
            </w:pPr>
            <w:r>
              <w:rPr>
                <w:noProof/>
                <w:sz w:val="18"/>
              </w:rPr>
              <w:t>Se observa desequilibrio si menos del 50 % de los Estados miembros están representados en el personal o si el personal de una nacionalidad representa más del 50 % del personal total</w:t>
            </w:r>
          </w:p>
        </w:tc>
        <w:tc>
          <w:tcPr>
            <w:tcW w:w="2127" w:type="dxa"/>
            <w:vAlign w:val="center"/>
          </w:tcPr>
          <w:p>
            <w:pPr>
              <w:spacing w:after="0" w:line="240" w:lineRule="auto"/>
              <w:rPr>
                <w:noProof/>
                <w:sz w:val="18"/>
                <w:szCs w:val="18"/>
              </w:rPr>
            </w:pPr>
            <w:r>
              <w:rPr>
                <w:noProof/>
                <w:sz w:val="18"/>
              </w:rPr>
              <w:t>No</w:t>
            </w:r>
          </w:p>
        </w:tc>
        <w:tc>
          <w:tcPr>
            <w:tcW w:w="3969" w:type="dxa"/>
            <w:vAlign w:val="center"/>
          </w:tcPr>
          <w:p>
            <w:pPr>
              <w:spacing w:after="0" w:line="240" w:lineRule="auto"/>
              <w:rPr>
                <w:noProof/>
                <w:sz w:val="18"/>
                <w:szCs w:val="18"/>
              </w:rPr>
            </w:pPr>
            <w:r>
              <w:rPr>
                <w:noProof/>
                <w:sz w:val="18"/>
              </w:rPr>
              <w:t>n.d.</w:t>
            </w:r>
          </w:p>
        </w:tc>
        <w:tc>
          <w:tcPr>
            <w:tcW w:w="708" w:type="dxa"/>
            <w:textDirection w:val="btLr"/>
            <w:vAlign w:val="center"/>
          </w:tcPr>
          <w:p>
            <w:pPr>
              <w:spacing w:after="0" w:line="240" w:lineRule="auto"/>
              <w:ind w:left="113" w:right="113"/>
              <w:jc w:val="center"/>
              <w:rPr>
                <w:noProof/>
                <w:sz w:val="18"/>
                <w:szCs w:val="18"/>
              </w:rPr>
            </w:pPr>
            <w:r>
              <w:rPr>
                <w:noProof/>
                <w:sz w:val="18"/>
              </w:rPr>
              <w:t>No, pero el coeficiente de corrección es un problema</w:t>
            </w:r>
          </w:p>
        </w:tc>
        <w:tc>
          <w:tcPr>
            <w:tcW w:w="718" w:type="dxa"/>
            <w:textDirection w:val="btLr"/>
            <w:vAlign w:val="center"/>
          </w:tcPr>
          <w:p>
            <w:pPr>
              <w:spacing w:after="0" w:line="240" w:lineRule="auto"/>
              <w:ind w:left="113" w:right="113"/>
              <w:jc w:val="center"/>
              <w:rPr>
                <w:noProof/>
                <w:sz w:val="18"/>
                <w:szCs w:val="18"/>
              </w:rPr>
            </w:pPr>
            <w:r>
              <w:rPr>
                <w:noProof/>
                <w:sz w:val="18"/>
              </w:rPr>
              <w:t>NO/NO</w:t>
            </w:r>
          </w:p>
        </w:tc>
      </w:tr>
      <w:tr>
        <w:trPr>
          <w:cantSplit/>
          <w:trHeight w:val="1055"/>
        </w:trPr>
        <w:tc>
          <w:tcPr>
            <w:tcW w:w="392" w:type="dxa"/>
            <w:textDirection w:val="btLr"/>
          </w:tcPr>
          <w:p>
            <w:pPr>
              <w:spacing w:after="0" w:line="240" w:lineRule="auto"/>
              <w:ind w:left="113" w:right="113"/>
              <w:jc w:val="center"/>
              <w:rPr>
                <w:b/>
                <w:noProof/>
              </w:rPr>
            </w:pPr>
            <w:r>
              <w:rPr>
                <w:b/>
                <w:noProof/>
              </w:rPr>
              <w:t>CEDEFOP</w:t>
            </w:r>
          </w:p>
        </w:tc>
        <w:tc>
          <w:tcPr>
            <w:tcW w:w="3260" w:type="dxa"/>
            <w:vAlign w:val="center"/>
          </w:tcPr>
          <w:p>
            <w:pPr>
              <w:spacing w:after="0" w:line="240" w:lineRule="auto"/>
              <w:rPr>
                <w:noProof/>
                <w:sz w:val="18"/>
                <w:szCs w:val="18"/>
              </w:rPr>
            </w:pPr>
            <w:r>
              <w:rPr>
                <w:noProof/>
                <w:sz w:val="18"/>
              </w:rPr>
              <w:t>El desequilibrio geográfico se evalúa haciendo referencia a la representación de cada nacionalidad en el personal</w:t>
            </w:r>
          </w:p>
        </w:tc>
        <w:tc>
          <w:tcPr>
            <w:tcW w:w="2858" w:type="dxa"/>
            <w:vAlign w:val="center"/>
          </w:tcPr>
          <w:p>
            <w:pPr>
              <w:spacing w:after="0" w:line="240" w:lineRule="auto"/>
              <w:rPr>
                <w:noProof/>
                <w:sz w:val="18"/>
                <w:szCs w:val="18"/>
              </w:rPr>
            </w:pPr>
            <w:r>
              <w:rPr>
                <w:noProof/>
                <w:sz w:val="18"/>
              </w:rPr>
              <w:t>Se observa desequilibrio significativo cuando una nacionalidad supera el 40 % del cuadro de efectivos</w:t>
            </w:r>
          </w:p>
        </w:tc>
        <w:tc>
          <w:tcPr>
            <w:tcW w:w="2127" w:type="dxa"/>
            <w:vAlign w:val="center"/>
          </w:tcPr>
          <w:p>
            <w:pPr>
              <w:spacing w:after="0" w:line="240" w:lineRule="auto"/>
              <w:rPr>
                <w:noProof/>
                <w:sz w:val="18"/>
                <w:szCs w:val="18"/>
              </w:rPr>
            </w:pPr>
            <w:r>
              <w:rPr>
                <w:noProof/>
                <w:sz w:val="18"/>
              </w:rPr>
              <w:t>No</w:t>
            </w:r>
          </w:p>
        </w:tc>
        <w:tc>
          <w:tcPr>
            <w:tcW w:w="3969" w:type="dxa"/>
            <w:vAlign w:val="center"/>
          </w:tcPr>
          <w:p>
            <w:pPr>
              <w:spacing w:after="0" w:line="240" w:lineRule="auto"/>
              <w:rPr>
                <w:noProof/>
                <w:sz w:val="18"/>
                <w:szCs w:val="18"/>
              </w:rPr>
            </w:pPr>
            <w:r>
              <w:rPr>
                <w:noProof/>
                <w:sz w:val="18"/>
              </w:rPr>
              <w:t>n.d.</w:t>
            </w:r>
          </w:p>
        </w:tc>
        <w:tc>
          <w:tcPr>
            <w:tcW w:w="708" w:type="dxa"/>
            <w:textDirection w:val="btLr"/>
            <w:vAlign w:val="center"/>
          </w:tcPr>
          <w:p>
            <w:pPr>
              <w:spacing w:after="0" w:line="240" w:lineRule="auto"/>
              <w:ind w:left="113" w:right="113"/>
              <w:jc w:val="center"/>
              <w:rPr>
                <w:noProof/>
                <w:sz w:val="18"/>
                <w:szCs w:val="18"/>
              </w:rPr>
            </w:pPr>
            <w:r>
              <w:rPr>
                <w:noProof/>
                <w:sz w:val="18"/>
              </w:rPr>
              <w:t>No</w:t>
            </w:r>
          </w:p>
        </w:tc>
        <w:tc>
          <w:tcPr>
            <w:tcW w:w="718" w:type="dxa"/>
            <w:textDirection w:val="btLr"/>
            <w:vAlign w:val="center"/>
          </w:tcPr>
          <w:p>
            <w:pPr>
              <w:spacing w:after="0" w:line="240" w:lineRule="auto"/>
              <w:ind w:left="113" w:right="113"/>
              <w:jc w:val="center"/>
              <w:rPr>
                <w:noProof/>
                <w:sz w:val="18"/>
                <w:szCs w:val="18"/>
              </w:rPr>
            </w:pPr>
            <w:r>
              <w:rPr>
                <w:noProof/>
                <w:sz w:val="18"/>
              </w:rPr>
              <w:t>NO/NO</w:t>
            </w:r>
          </w:p>
        </w:tc>
      </w:tr>
      <w:tr>
        <w:trPr>
          <w:cantSplit/>
          <w:trHeight w:val="975"/>
        </w:trPr>
        <w:tc>
          <w:tcPr>
            <w:tcW w:w="392" w:type="dxa"/>
            <w:textDirection w:val="btLr"/>
          </w:tcPr>
          <w:p>
            <w:pPr>
              <w:spacing w:after="0" w:line="240" w:lineRule="auto"/>
              <w:ind w:left="113" w:right="113"/>
              <w:jc w:val="center"/>
              <w:rPr>
                <w:b/>
                <w:noProof/>
              </w:rPr>
            </w:pPr>
            <w:r>
              <w:rPr>
                <w:b/>
                <w:noProof/>
              </w:rPr>
              <w:t>CEPOL</w:t>
            </w:r>
          </w:p>
        </w:tc>
        <w:tc>
          <w:tcPr>
            <w:tcW w:w="3260" w:type="dxa"/>
            <w:vAlign w:val="center"/>
          </w:tcPr>
          <w:p>
            <w:pPr>
              <w:spacing w:after="0" w:line="240" w:lineRule="auto"/>
              <w:rPr>
                <w:noProof/>
                <w:sz w:val="18"/>
                <w:szCs w:val="18"/>
              </w:rPr>
            </w:pPr>
            <w:r>
              <w:rPr>
                <w:noProof/>
                <w:sz w:val="18"/>
              </w:rPr>
              <w:t>La CEPOL no tiene una definición de lo que constituye una «representación equilibrada» de cada nacionalidad entre su personal. La cuestión del equilibrio geográfico se incluye en informes internos mensuales, así como en el informe contable anual.</w:t>
            </w:r>
          </w:p>
        </w:tc>
        <w:tc>
          <w:tcPr>
            <w:tcW w:w="2858" w:type="dxa"/>
            <w:vAlign w:val="center"/>
          </w:tcPr>
          <w:p>
            <w:pPr>
              <w:spacing w:after="0" w:line="240" w:lineRule="auto"/>
              <w:rPr>
                <w:noProof/>
                <w:sz w:val="18"/>
                <w:szCs w:val="18"/>
              </w:rPr>
            </w:pPr>
            <w:r>
              <w:rPr>
                <w:noProof/>
                <w:sz w:val="18"/>
              </w:rPr>
              <w:t>La CEPOL consideraría que existe un «desequilibrio significativo» si una nacionalidad aglutinara a más de un 50 % de todo el personal (AT, AC y ENCS).</w:t>
            </w:r>
          </w:p>
        </w:tc>
        <w:tc>
          <w:tcPr>
            <w:tcW w:w="2127" w:type="dxa"/>
            <w:vAlign w:val="center"/>
          </w:tcPr>
          <w:p>
            <w:pPr>
              <w:spacing w:after="0" w:line="240" w:lineRule="auto"/>
              <w:rPr>
                <w:noProof/>
                <w:sz w:val="18"/>
                <w:szCs w:val="18"/>
              </w:rPr>
            </w:pPr>
            <w:r>
              <w:rPr>
                <w:noProof/>
                <w:sz w:val="18"/>
              </w:rPr>
              <w:t>En el periodo 2014-2016 se observó un aumento del número de nacionales húngaros debido al traslado de la agencia del Reino Unido a Hungría. Sin embargo, aún no se ha alcanzado un desequilibrio significativo.</w:t>
            </w:r>
          </w:p>
        </w:tc>
        <w:tc>
          <w:tcPr>
            <w:tcW w:w="3969" w:type="dxa"/>
            <w:vAlign w:val="center"/>
          </w:tcPr>
          <w:p>
            <w:pPr>
              <w:spacing w:after="0" w:line="240" w:lineRule="auto"/>
              <w:rPr>
                <w:noProof/>
                <w:sz w:val="18"/>
                <w:szCs w:val="18"/>
              </w:rPr>
            </w:pPr>
            <w:r>
              <w:rPr>
                <w:noProof/>
                <w:sz w:val="18"/>
              </w:rPr>
              <w:t>n.d.</w:t>
            </w:r>
          </w:p>
        </w:tc>
        <w:tc>
          <w:tcPr>
            <w:tcW w:w="708" w:type="dxa"/>
            <w:textDirection w:val="btLr"/>
            <w:vAlign w:val="center"/>
          </w:tcPr>
          <w:p>
            <w:pPr>
              <w:spacing w:after="0" w:line="240" w:lineRule="auto"/>
              <w:ind w:left="113" w:right="113"/>
              <w:jc w:val="center"/>
              <w:rPr>
                <w:noProof/>
                <w:sz w:val="18"/>
                <w:szCs w:val="18"/>
              </w:rPr>
            </w:pPr>
            <w:r>
              <w:rPr>
                <w:noProof/>
                <w:sz w:val="18"/>
              </w:rPr>
              <w:t>Sí (en base a las tendencias actuales)</w:t>
            </w:r>
          </w:p>
        </w:tc>
        <w:tc>
          <w:tcPr>
            <w:tcW w:w="718" w:type="dxa"/>
            <w:textDirection w:val="btLr"/>
            <w:vAlign w:val="center"/>
          </w:tcPr>
          <w:p>
            <w:pPr>
              <w:spacing w:after="0" w:line="240" w:lineRule="auto"/>
              <w:ind w:left="113" w:right="113"/>
              <w:jc w:val="center"/>
              <w:rPr>
                <w:noProof/>
                <w:sz w:val="18"/>
                <w:szCs w:val="18"/>
              </w:rPr>
            </w:pPr>
            <w:r>
              <w:rPr>
                <w:noProof/>
                <w:sz w:val="18"/>
              </w:rPr>
              <w:t>No/en estudio</w:t>
            </w:r>
          </w:p>
        </w:tc>
      </w:tr>
      <w:tr>
        <w:trPr>
          <w:cantSplit/>
          <w:trHeight w:val="975"/>
        </w:trPr>
        <w:tc>
          <w:tcPr>
            <w:tcW w:w="392" w:type="dxa"/>
            <w:textDirection w:val="btLr"/>
          </w:tcPr>
          <w:p>
            <w:pPr>
              <w:spacing w:after="0" w:line="240" w:lineRule="auto"/>
              <w:ind w:left="113" w:right="113"/>
              <w:jc w:val="center"/>
              <w:rPr>
                <w:b/>
                <w:noProof/>
              </w:rPr>
            </w:pPr>
            <w:r>
              <w:rPr>
                <w:b/>
                <w:noProof/>
              </w:rPr>
              <w:t>OCVV</w:t>
            </w:r>
          </w:p>
        </w:tc>
        <w:tc>
          <w:tcPr>
            <w:tcW w:w="3260" w:type="dxa"/>
            <w:vAlign w:val="center"/>
          </w:tcPr>
          <w:p>
            <w:pPr>
              <w:spacing w:after="0" w:line="240" w:lineRule="auto"/>
              <w:rPr>
                <w:noProof/>
                <w:sz w:val="18"/>
                <w:szCs w:val="18"/>
              </w:rPr>
            </w:pPr>
            <w:r>
              <w:rPr>
                <w:noProof/>
                <w:sz w:val="18"/>
              </w:rPr>
              <w:t>No se ha establecido ninguna metodología</w:t>
            </w:r>
          </w:p>
          <w:p>
            <w:pPr>
              <w:spacing w:after="0" w:line="240" w:lineRule="auto"/>
              <w:rPr>
                <w:noProof/>
                <w:sz w:val="18"/>
                <w:szCs w:val="18"/>
              </w:rPr>
            </w:pPr>
            <w:r>
              <w:rPr>
                <w:noProof/>
                <w:sz w:val="18"/>
              </w:rPr>
              <w:t>El personal administrativo general queda fuera del ámbito</w:t>
            </w:r>
          </w:p>
        </w:tc>
        <w:tc>
          <w:tcPr>
            <w:tcW w:w="2858" w:type="dxa"/>
            <w:vAlign w:val="center"/>
          </w:tcPr>
          <w:p>
            <w:pPr>
              <w:spacing w:after="0" w:line="240" w:lineRule="auto"/>
              <w:rPr>
                <w:noProof/>
                <w:sz w:val="18"/>
                <w:szCs w:val="18"/>
              </w:rPr>
            </w:pPr>
            <w:r>
              <w:rPr>
                <w:noProof/>
                <w:sz w:val="18"/>
              </w:rPr>
              <w:t>Se observa desequilibrio si más de dos directores o más del 40 % del personal AD comparten la misma nacionalidad</w:t>
            </w:r>
          </w:p>
        </w:tc>
        <w:tc>
          <w:tcPr>
            <w:tcW w:w="2127" w:type="dxa"/>
            <w:vAlign w:val="center"/>
          </w:tcPr>
          <w:p>
            <w:pPr>
              <w:spacing w:after="0" w:line="240" w:lineRule="auto"/>
              <w:rPr>
                <w:noProof/>
                <w:sz w:val="18"/>
                <w:szCs w:val="18"/>
              </w:rPr>
            </w:pPr>
            <w:r>
              <w:rPr>
                <w:noProof/>
                <w:sz w:val="18"/>
              </w:rPr>
              <w:t>No</w:t>
            </w:r>
          </w:p>
        </w:tc>
        <w:tc>
          <w:tcPr>
            <w:tcW w:w="3969" w:type="dxa"/>
            <w:vAlign w:val="center"/>
          </w:tcPr>
          <w:p>
            <w:pPr>
              <w:spacing w:after="0" w:line="240" w:lineRule="auto"/>
              <w:rPr>
                <w:noProof/>
                <w:sz w:val="18"/>
                <w:szCs w:val="18"/>
              </w:rPr>
            </w:pPr>
            <w:r>
              <w:rPr>
                <w:noProof/>
                <w:sz w:val="18"/>
              </w:rPr>
              <w:t>n.d.</w:t>
            </w:r>
          </w:p>
        </w:tc>
        <w:tc>
          <w:tcPr>
            <w:tcW w:w="708" w:type="dxa"/>
            <w:textDirection w:val="btLr"/>
            <w:vAlign w:val="center"/>
          </w:tcPr>
          <w:p>
            <w:pPr>
              <w:spacing w:after="0" w:line="240" w:lineRule="auto"/>
              <w:ind w:left="113" w:right="113"/>
              <w:jc w:val="center"/>
              <w:rPr>
                <w:noProof/>
                <w:sz w:val="18"/>
                <w:szCs w:val="18"/>
              </w:rPr>
            </w:pPr>
            <w:r>
              <w:rPr>
                <w:noProof/>
                <w:sz w:val="18"/>
              </w:rPr>
              <w:t>No</w:t>
            </w:r>
          </w:p>
        </w:tc>
        <w:tc>
          <w:tcPr>
            <w:tcW w:w="718" w:type="dxa"/>
            <w:textDirection w:val="btLr"/>
            <w:vAlign w:val="center"/>
          </w:tcPr>
          <w:p>
            <w:pPr>
              <w:spacing w:after="0" w:line="240" w:lineRule="auto"/>
              <w:ind w:left="113" w:right="113"/>
              <w:jc w:val="center"/>
              <w:rPr>
                <w:noProof/>
                <w:sz w:val="18"/>
                <w:szCs w:val="18"/>
              </w:rPr>
            </w:pPr>
            <w:r>
              <w:rPr>
                <w:noProof/>
                <w:sz w:val="18"/>
              </w:rPr>
              <w:t>NO/NO</w:t>
            </w:r>
          </w:p>
        </w:tc>
      </w:tr>
      <w:tr>
        <w:trPr>
          <w:cantSplit/>
          <w:trHeight w:val="846"/>
        </w:trPr>
        <w:tc>
          <w:tcPr>
            <w:tcW w:w="392" w:type="dxa"/>
            <w:textDirection w:val="btLr"/>
          </w:tcPr>
          <w:p>
            <w:pPr>
              <w:spacing w:after="0" w:line="240" w:lineRule="auto"/>
              <w:ind w:left="113" w:right="113"/>
              <w:jc w:val="center"/>
              <w:rPr>
                <w:b/>
                <w:noProof/>
              </w:rPr>
            </w:pPr>
            <w:r>
              <w:rPr>
                <w:b/>
                <w:noProof/>
              </w:rPr>
              <w:t>AESA</w:t>
            </w:r>
          </w:p>
        </w:tc>
        <w:tc>
          <w:tcPr>
            <w:tcW w:w="3260" w:type="dxa"/>
            <w:vAlign w:val="center"/>
          </w:tcPr>
          <w:p>
            <w:pPr>
              <w:spacing w:after="0" w:line="240" w:lineRule="auto"/>
              <w:rPr>
                <w:noProof/>
                <w:sz w:val="18"/>
                <w:szCs w:val="18"/>
              </w:rPr>
            </w:pPr>
            <w:r>
              <w:rPr>
                <w:noProof/>
                <w:sz w:val="18"/>
              </w:rPr>
              <w:t>El equilibrio geográfico se supervisa y se compara con la población de los Estados miembros</w:t>
            </w:r>
          </w:p>
        </w:tc>
        <w:tc>
          <w:tcPr>
            <w:tcW w:w="2858" w:type="dxa"/>
            <w:vAlign w:val="center"/>
          </w:tcPr>
          <w:p>
            <w:pPr>
              <w:spacing w:after="0" w:line="240" w:lineRule="auto"/>
              <w:rPr>
                <w:noProof/>
                <w:sz w:val="18"/>
                <w:szCs w:val="18"/>
              </w:rPr>
            </w:pPr>
            <w:r>
              <w:rPr>
                <w:noProof/>
                <w:sz w:val="18"/>
              </w:rPr>
              <w:t>n.d.</w:t>
            </w:r>
          </w:p>
        </w:tc>
        <w:tc>
          <w:tcPr>
            <w:tcW w:w="2127" w:type="dxa"/>
            <w:vAlign w:val="center"/>
          </w:tcPr>
          <w:p>
            <w:pPr>
              <w:spacing w:after="0" w:line="240" w:lineRule="auto"/>
              <w:rPr>
                <w:noProof/>
                <w:sz w:val="18"/>
                <w:szCs w:val="18"/>
              </w:rPr>
            </w:pPr>
            <w:r>
              <w:rPr>
                <w:noProof/>
                <w:sz w:val="18"/>
              </w:rPr>
              <w:t>No, teniendo en cuenta la especificidad de la agencia (véase la justificación)</w:t>
            </w:r>
          </w:p>
        </w:tc>
        <w:tc>
          <w:tcPr>
            <w:tcW w:w="3969" w:type="dxa"/>
            <w:vAlign w:val="center"/>
          </w:tcPr>
          <w:p>
            <w:pPr>
              <w:spacing w:after="0" w:line="240" w:lineRule="auto"/>
              <w:rPr>
                <w:noProof/>
                <w:sz w:val="18"/>
                <w:szCs w:val="18"/>
              </w:rPr>
            </w:pPr>
            <w:r>
              <w:rPr>
                <w:noProof/>
                <w:sz w:val="18"/>
              </w:rPr>
              <w:t>La distribución del personal es coherente con los datos facilitados por la Agencia sobre la distribución de los expertos en aviación entre los EM</w:t>
            </w:r>
          </w:p>
        </w:tc>
        <w:tc>
          <w:tcPr>
            <w:tcW w:w="708" w:type="dxa"/>
            <w:textDirection w:val="btLr"/>
            <w:vAlign w:val="center"/>
          </w:tcPr>
          <w:p>
            <w:pPr>
              <w:spacing w:after="0" w:line="240" w:lineRule="auto"/>
              <w:ind w:left="113" w:right="113"/>
              <w:jc w:val="center"/>
              <w:rPr>
                <w:noProof/>
                <w:sz w:val="18"/>
                <w:szCs w:val="18"/>
              </w:rPr>
            </w:pPr>
            <w:r>
              <w:rPr>
                <w:noProof/>
                <w:sz w:val="18"/>
              </w:rPr>
              <w:t>No</w:t>
            </w:r>
          </w:p>
        </w:tc>
        <w:tc>
          <w:tcPr>
            <w:tcW w:w="718" w:type="dxa"/>
            <w:textDirection w:val="btLr"/>
            <w:vAlign w:val="center"/>
          </w:tcPr>
          <w:p>
            <w:pPr>
              <w:spacing w:after="0" w:line="240" w:lineRule="auto"/>
              <w:ind w:left="113" w:right="113"/>
              <w:jc w:val="center"/>
              <w:rPr>
                <w:noProof/>
                <w:sz w:val="18"/>
                <w:szCs w:val="18"/>
              </w:rPr>
            </w:pPr>
            <w:r>
              <w:rPr>
                <w:noProof/>
                <w:sz w:val="18"/>
              </w:rPr>
              <w:t>NO/NO</w:t>
            </w:r>
          </w:p>
        </w:tc>
      </w:tr>
      <w:tr>
        <w:trPr>
          <w:cantSplit/>
          <w:trHeight w:val="846"/>
        </w:trPr>
        <w:tc>
          <w:tcPr>
            <w:tcW w:w="392" w:type="dxa"/>
            <w:textDirection w:val="btLr"/>
          </w:tcPr>
          <w:p>
            <w:pPr>
              <w:spacing w:after="0" w:line="240" w:lineRule="auto"/>
              <w:ind w:left="113" w:right="113"/>
              <w:jc w:val="center"/>
              <w:rPr>
                <w:b/>
                <w:noProof/>
              </w:rPr>
            </w:pPr>
            <w:r>
              <w:rPr>
                <w:b/>
                <w:noProof/>
              </w:rPr>
              <w:t>ECDC</w:t>
            </w:r>
          </w:p>
        </w:tc>
        <w:tc>
          <w:tcPr>
            <w:tcW w:w="3260" w:type="dxa"/>
            <w:vAlign w:val="center"/>
          </w:tcPr>
          <w:p>
            <w:pPr>
              <w:spacing w:after="0" w:line="240" w:lineRule="auto"/>
              <w:rPr>
                <w:noProof/>
                <w:sz w:val="18"/>
                <w:szCs w:val="18"/>
              </w:rPr>
            </w:pPr>
            <w:r>
              <w:rPr>
                <w:noProof/>
                <w:sz w:val="18"/>
              </w:rPr>
              <w:t>El equilibrio geográfico se evalúa a nivel global (todos los grupos de funciones juntos).</w:t>
            </w:r>
          </w:p>
          <w:p>
            <w:pPr>
              <w:spacing w:after="0" w:line="240" w:lineRule="auto"/>
              <w:rPr>
                <w:noProof/>
                <w:sz w:val="18"/>
                <w:szCs w:val="18"/>
              </w:rPr>
            </w:pPr>
            <w:r>
              <w:rPr>
                <w:noProof/>
                <w:sz w:val="18"/>
              </w:rPr>
              <w:t>Índice de referencia: todos los EM deben estar representados</w:t>
            </w:r>
          </w:p>
          <w:p>
            <w:pPr>
              <w:spacing w:after="0" w:line="240" w:lineRule="auto"/>
              <w:rPr>
                <w:noProof/>
                <w:sz w:val="18"/>
                <w:szCs w:val="18"/>
              </w:rPr>
            </w:pPr>
            <w:r>
              <w:rPr>
                <w:noProof/>
                <w:sz w:val="18"/>
              </w:rPr>
              <w:t>Se realiza una segunda evaluación haciendo referencia a la población y a los escaños en el Parlamento Europeo</w:t>
            </w:r>
          </w:p>
        </w:tc>
        <w:tc>
          <w:tcPr>
            <w:tcW w:w="2858" w:type="dxa"/>
            <w:vAlign w:val="center"/>
          </w:tcPr>
          <w:p>
            <w:pPr>
              <w:spacing w:after="0" w:line="240" w:lineRule="auto"/>
              <w:rPr>
                <w:noProof/>
                <w:sz w:val="18"/>
                <w:szCs w:val="18"/>
              </w:rPr>
            </w:pPr>
            <w:r>
              <w:rPr>
                <w:noProof/>
                <w:sz w:val="18"/>
              </w:rPr>
              <w:t>Existe un desequilibrio significativo si un gran número de EM no están representados o están significativamente infra/sobrerrepresentados</w:t>
            </w:r>
          </w:p>
        </w:tc>
        <w:tc>
          <w:tcPr>
            <w:tcW w:w="2127" w:type="dxa"/>
            <w:vAlign w:val="center"/>
          </w:tcPr>
          <w:p>
            <w:pPr>
              <w:spacing w:after="0" w:line="240" w:lineRule="auto"/>
              <w:rPr>
                <w:noProof/>
                <w:sz w:val="18"/>
                <w:szCs w:val="18"/>
              </w:rPr>
            </w:pPr>
            <w:r>
              <w:rPr>
                <w:noProof/>
                <w:sz w:val="18"/>
              </w:rPr>
              <w:t>Suecia está sobrerrepresentada</w:t>
            </w:r>
          </w:p>
        </w:tc>
        <w:tc>
          <w:tcPr>
            <w:tcW w:w="3969" w:type="dxa"/>
            <w:vAlign w:val="center"/>
          </w:tcPr>
          <w:p>
            <w:pPr>
              <w:spacing w:after="0" w:line="240" w:lineRule="auto"/>
              <w:rPr>
                <w:noProof/>
                <w:sz w:val="18"/>
                <w:szCs w:val="18"/>
              </w:rPr>
            </w:pPr>
            <w:r>
              <w:rPr>
                <w:noProof/>
                <w:sz w:val="18"/>
              </w:rPr>
              <w:t>Efecto sede</w:t>
            </w:r>
          </w:p>
        </w:tc>
        <w:tc>
          <w:tcPr>
            <w:tcW w:w="708" w:type="dxa"/>
            <w:textDirection w:val="btLr"/>
            <w:vAlign w:val="center"/>
          </w:tcPr>
          <w:p>
            <w:pPr>
              <w:spacing w:after="0" w:line="240" w:lineRule="auto"/>
              <w:ind w:left="113" w:right="113"/>
              <w:jc w:val="center"/>
              <w:rPr>
                <w:noProof/>
                <w:sz w:val="18"/>
                <w:szCs w:val="18"/>
              </w:rPr>
            </w:pPr>
            <w:r>
              <w:rPr>
                <w:noProof/>
                <w:sz w:val="18"/>
              </w:rPr>
              <w:t>No</w:t>
            </w:r>
          </w:p>
        </w:tc>
        <w:tc>
          <w:tcPr>
            <w:tcW w:w="718" w:type="dxa"/>
            <w:textDirection w:val="btLr"/>
            <w:vAlign w:val="center"/>
          </w:tcPr>
          <w:p>
            <w:pPr>
              <w:spacing w:after="0" w:line="240" w:lineRule="auto"/>
              <w:ind w:left="113" w:right="113"/>
              <w:jc w:val="center"/>
              <w:rPr>
                <w:noProof/>
                <w:sz w:val="18"/>
                <w:szCs w:val="18"/>
              </w:rPr>
            </w:pPr>
            <w:r>
              <w:rPr>
                <w:noProof/>
                <w:sz w:val="18"/>
              </w:rPr>
              <w:t>NO/NO</w:t>
            </w:r>
          </w:p>
        </w:tc>
      </w:tr>
      <w:tr>
        <w:trPr>
          <w:cantSplit/>
          <w:trHeight w:val="846"/>
        </w:trPr>
        <w:tc>
          <w:tcPr>
            <w:tcW w:w="392" w:type="dxa"/>
            <w:textDirection w:val="btLr"/>
          </w:tcPr>
          <w:p>
            <w:pPr>
              <w:spacing w:after="0" w:line="240" w:lineRule="auto"/>
              <w:ind w:left="113" w:right="113"/>
              <w:jc w:val="center"/>
              <w:rPr>
                <w:b/>
                <w:noProof/>
              </w:rPr>
            </w:pPr>
            <w:r>
              <w:rPr>
                <w:b/>
                <w:noProof/>
              </w:rPr>
              <w:t>AESPJ</w:t>
            </w:r>
          </w:p>
        </w:tc>
        <w:tc>
          <w:tcPr>
            <w:tcW w:w="3260" w:type="dxa"/>
            <w:vAlign w:val="center"/>
          </w:tcPr>
          <w:p>
            <w:pPr>
              <w:spacing w:after="0" w:line="240" w:lineRule="auto"/>
              <w:rPr>
                <w:noProof/>
                <w:sz w:val="18"/>
                <w:szCs w:val="18"/>
              </w:rPr>
            </w:pPr>
            <w:r>
              <w:rPr>
                <w:noProof/>
                <w:sz w:val="18"/>
              </w:rPr>
              <w:t>Número de nacionalidades representadas</w:t>
            </w:r>
          </w:p>
        </w:tc>
        <w:tc>
          <w:tcPr>
            <w:tcW w:w="2858" w:type="dxa"/>
            <w:vAlign w:val="center"/>
          </w:tcPr>
          <w:p>
            <w:pPr>
              <w:spacing w:after="0" w:line="240" w:lineRule="auto"/>
              <w:rPr>
                <w:noProof/>
                <w:sz w:val="18"/>
                <w:szCs w:val="18"/>
              </w:rPr>
            </w:pPr>
            <w:r>
              <w:rPr>
                <w:noProof/>
                <w:sz w:val="18"/>
              </w:rPr>
              <w:t>Se produciría un desequilibrio significativo si la agencia no fuera capaz de atraer personal de diversas nacionalidades</w:t>
            </w:r>
          </w:p>
        </w:tc>
        <w:tc>
          <w:tcPr>
            <w:tcW w:w="2127" w:type="dxa"/>
            <w:vAlign w:val="center"/>
          </w:tcPr>
          <w:p>
            <w:pPr>
              <w:spacing w:after="0" w:line="240" w:lineRule="auto"/>
              <w:rPr>
                <w:noProof/>
                <w:sz w:val="18"/>
                <w:szCs w:val="18"/>
              </w:rPr>
            </w:pPr>
            <w:r>
              <w:rPr>
                <w:noProof/>
                <w:sz w:val="18"/>
              </w:rPr>
              <w:t>No</w:t>
            </w:r>
          </w:p>
        </w:tc>
        <w:tc>
          <w:tcPr>
            <w:tcW w:w="3969" w:type="dxa"/>
            <w:vAlign w:val="center"/>
          </w:tcPr>
          <w:p>
            <w:pPr>
              <w:spacing w:after="0" w:line="240" w:lineRule="auto"/>
              <w:rPr>
                <w:noProof/>
                <w:sz w:val="18"/>
                <w:szCs w:val="18"/>
              </w:rPr>
            </w:pPr>
            <w:r>
              <w:rPr>
                <w:noProof/>
                <w:sz w:val="18"/>
              </w:rPr>
              <w:t>La AESPJ heredó el personal del CESSPJ</w:t>
            </w:r>
          </w:p>
          <w:p>
            <w:pPr>
              <w:spacing w:after="0" w:line="240" w:lineRule="auto"/>
              <w:rPr>
                <w:noProof/>
                <w:sz w:val="18"/>
                <w:szCs w:val="18"/>
              </w:rPr>
            </w:pPr>
            <w:r>
              <w:rPr>
                <w:noProof/>
                <w:sz w:val="18"/>
              </w:rPr>
              <w:t>Efecto sede</w:t>
            </w:r>
          </w:p>
        </w:tc>
        <w:tc>
          <w:tcPr>
            <w:tcW w:w="708" w:type="dxa"/>
            <w:textDirection w:val="btLr"/>
            <w:vAlign w:val="center"/>
          </w:tcPr>
          <w:p>
            <w:pPr>
              <w:spacing w:after="0" w:line="240" w:lineRule="auto"/>
              <w:ind w:left="113" w:right="113"/>
              <w:jc w:val="center"/>
              <w:rPr>
                <w:noProof/>
                <w:sz w:val="18"/>
                <w:szCs w:val="18"/>
              </w:rPr>
            </w:pPr>
            <w:r>
              <w:rPr>
                <w:noProof/>
                <w:sz w:val="18"/>
              </w:rPr>
              <w:t>No</w:t>
            </w:r>
          </w:p>
        </w:tc>
        <w:tc>
          <w:tcPr>
            <w:tcW w:w="718" w:type="dxa"/>
            <w:textDirection w:val="btLr"/>
            <w:vAlign w:val="center"/>
          </w:tcPr>
          <w:p>
            <w:pPr>
              <w:spacing w:after="0" w:line="240" w:lineRule="auto"/>
              <w:ind w:left="113" w:right="113"/>
              <w:jc w:val="center"/>
              <w:rPr>
                <w:noProof/>
                <w:sz w:val="18"/>
                <w:szCs w:val="18"/>
              </w:rPr>
            </w:pPr>
            <w:r>
              <w:rPr>
                <w:noProof/>
                <w:sz w:val="18"/>
              </w:rPr>
              <w:t>NO/NO</w:t>
            </w:r>
          </w:p>
        </w:tc>
      </w:tr>
      <w:tr>
        <w:trPr>
          <w:cantSplit/>
          <w:trHeight w:val="846"/>
        </w:trPr>
        <w:tc>
          <w:tcPr>
            <w:tcW w:w="392" w:type="dxa"/>
            <w:textDirection w:val="btLr"/>
          </w:tcPr>
          <w:p>
            <w:pPr>
              <w:spacing w:after="0" w:line="240" w:lineRule="auto"/>
              <w:ind w:left="113" w:right="113"/>
              <w:jc w:val="center"/>
              <w:rPr>
                <w:b/>
                <w:noProof/>
              </w:rPr>
            </w:pPr>
            <w:r>
              <w:rPr>
                <w:b/>
                <w:noProof/>
              </w:rPr>
              <w:t>AEMA</w:t>
            </w:r>
          </w:p>
        </w:tc>
        <w:tc>
          <w:tcPr>
            <w:tcW w:w="3260" w:type="dxa"/>
            <w:vAlign w:val="center"/>
          </w:tcPr>
          <w:p>
            <w:pPr>
              <w:spacing w:after="0" w:line="240" w:lineRule="auto"/>
              <w:rPr>
                <w:noProof/>
                <w:sz w:val="18"/>
                <w:szCs w:val="18"/>
              </w:rPr>
            </w:pPr>
            <w:r>
              <w:rPr>
                <w:noProof/>
                <w:sz w:val="18"/>
              </w:rPr>
              <w:t>Se espera que los Estados miembros más antiguos y más grandes tengan una representación mayor</w:t>
            </w:r>
          </w:p>
        </w:tc>
        <w:tc>
          <w:tcPr>
            <w:tcW w:w="2858" w:type="dxa"/>
            <w:vAlign w:val="center"/>
          </w:tcPr>
          <w:p>
            <w:pPr>
              <w:spacing w:after="0" w:line="240" w:lineRule="auto"/>
              <w:rPr>
                <w:noProof/>
                <w:sz w:val="18"/>
                <w:szCs w:val="18"/>
              </w:rPr>
            </w:pPr>
            <w:r>
              <w:rPr>
                <w:noProof/>
                <w:sz w:val="18"/>
              </w:rPr>
              <w:t>Se observa desequilibrio si la cuota de nacionalidades de los EM más grandes/antiguos disminuye</w:t>
            </w:r>
          </w:p>
        </w:tc>
        <w:tc>
          <w:tcPr>
            <w:tcW w:w="2127" w:type="dxa"/>
            <w:vAlign w:val="center"/>
          </w:tcPr>
          <w:p>
            <w:pPr>
              <w:spacing w:after="0" w:line="240" w:lineRule="auto"/>
              <w:rPr>
                <w:noProof/>
                <w:sz w:val="18"/>
                <w:szCs w:val="18"/>
              </w:rPr>
            </w:pPr>
            <w:r>
              <w:rPr>
                <w:noProof/>
                <w:sz w:val="18"/>
              </w:rPr>
              <w:t>No</w:t>
            </w:r>
          </w:p>
        </w:tc>
        <w:tc>
          <w:tcPr>
            <w:tcW w:w="3969" w:type="dxa"/>
            <w:vAlign w:val="center"/>
          </w:tcPr>
          <w:p>
            <w:pPr>
              <w:spacing w:after="0" w:line="240" w:lineRule="auto"/>
              <w:rPr>
                <w:noProof/>
                <w:sz w:val="18"/>
                <w:szCs w:val="18"/>
              </w:rPr>
            </w:pPr>
            <w:r>
              <w:rPr>
                <w:noProof/>
                <w:sz w:val="18"/>
              </w:rPr>
              <w:t>n.d.</w:t>
            </w:r>
          </w:p>
        </w:tc>
        <w:tc>
          <w:tcPr>
            <w:tcW w:w="708" w:type="dxa"/>
            <w:textDirection w:val="btLr"/>
            <w:vAlign w:val="center"/>
          </w:tcPr>
          <w:p>
            <w:pPr>
              <w:spacing w:after="0" w:line="240" w:lineRule="auto"/>
              <w:ind w:left="113" w:right="113"/>
              <w:jc w:val="center"/>
              <w:rPr>
                <w:noProof/>
                <w:sz w:val="18"/>
                <w:szCs w:val="18"/>
              </w:rPr>
            </w:pPr>
            <w:r>
              <w:rPr>
                <w:noProof/>
                <w:sz w:val="18"/>
              </w:rPr>
              <w:t>No</w:t>
            </w:r>
          </w:p>
        </w:tc>
        <w:tc>
          <w:tcPr>
            <w:tcW w:w="718" w:type="dxa"/>
            <w:textDirection w:val="btLr"/>
            <w:vAlign w:val="center"/>
          </w:tcPr>
          <w:p>
            <w:pPr>
              <w:spacing w:after="0" w:line="240" w:lineRule="auto"/>
              <w:ind w:left="113" w:right="113"/>
              <w:jc w:val="center"/>
              <w:rPr>
                <w:noProof/>
                <w:sz w:val="18"/>
                <w:szCs w:val="18"/>
              </w:rPr>
            </w:pPr>
            <w:r>
              <w:rPr>
                <w:noProof/>
                <w:sz w:val="18"/>
              </w:rPr>
              <w:t>NO/NO</w:t>
            </w:r>
          </w:p>
        </w:tc>
      </w:tr>
      <w:tr>
        <w:trPr>
          <w:cantSplit/>
          <w:trHeight w:val="1349"/>
        </w:trPr>
        <w:tc>
          <w:tcPr>
            <w:tcW w:w="392" w:type="dxa"/>
            <w:textDirection w:val="btLr"/>
          </w:tcPr>
          <w:p>
            <w:pPr>
              <w:spacing w:after="0" w:line="240" w:lineRule="auto"/>
              <w:ind w:left="113" w:right="113"/>
              <w:jc w:val="center"/>
              <w:rPr>
                <w:b/>
                <w:noProof/>
              </w:rPr>
            </w:pPr>
            <w:r>
              <w:rPr>
                <w:b/>
                <w:noProof/>
              </w:rPr>
              <w:t>EFSA</w:t>
            </w:r>
          </w:p>
        </w:tc>
        <w:tc>
          <w:tcPr>
            <w:tcW w:w="3260" w:type="dxa"/>
            <w:vAlign w:val="center"/>
          </w:tcPr>
          <w:p>
            <w:pPr>
              <w:spacing w:after="0" w:line="240" w:lineRule="auto"/>
              <w:rPr>
                <w:noProof/>
                <w:sz w:val="18"/>
                <w:szCs w:val="18"/>
              </w:rPr>
            </w:pPr>
            <w:r>
              <w:rPr>
                <w:noProof/>
                <w:sz w:val="18"/>
              </w:rPr>
              <w:t>No se han establecido ni metodología ni criterios. De adoptarse, una metodología debería tener en cuenta elementos como el efecto sede de las consecuencias de una ubicación descentralizada</w:t>
            </w:r>
          </w:p>
        </w:tc>
        <w:tc>
          <w:tcPr>
            <w:tcW w:w="2858" w:type="dxa"/>
            <w:vAlign w:val="center"/>
          </w:tcPr>
          <w:p>
            <w:pPr>
              <w:spacing w:after="0" w:line="240" w:lineRule="auto"/>
              <w:rPr>
                <w:noProof/>
                <w:sz w:val="18"/>
                <w:szCs w:val="18"/>
              </w:rPr>
            </w:pPr>
            <w:r>
              <w:rPr>
                <w:noProof/>
                <w:sz w:val="18"/>
              </w:rPr>
              <w:t>n.d.</w:t>
            </w:r>
          </w:p>
        </w:tc>
        <w:tc>
          <w:tcPr>
            <w:tcW w:w="2127" w:type="dxa"/>
            <w:vAlign w:val="center"/>
          </w:tcPr>
          <w:p>
            <w:pPr>
              <w:spacing w:after="0" w:line="240" w:lineRule="auto"/>
              <w:rPr>
                <w:noProof/>
                <w:sz w:val="18"/>
                <w:szCs w:val="18"/>
              </w:rPr>
            </w:pPr>
            <w:r>
              <w:rPr>
                <w:noProof/>
                <w:sz w:val="18"/>
              </w:rPr>
              <w:t>Una nacionalidad representa el 40 % del personal</w:t>
            </w:r>
          </w:p>
        </w:tc>
        <w:tc>
          <w:tcPr>
            <w:tcW w:w="3969" w:type="dxa"/>
            <w:vAlign w:val="center"/>
          </w:tcPr>
          <w:p>
            <w:pPr>
              <w:spacing w:after="0" w:line="240" w:lineRule="auto"/>
              <w:rPr>
                <w:noProof/>
                <w:sz w:val="18"/>
                <w:szCs w:val="18"/>
              </w:rPr>
            </w:pPr>
            <w:r>
              <w:rPr>
                <w:noProof/>
                <w:sz w:val="18"/>
              </w:rPr>
              <w:t>n.d.</w:t>
            </w:r>
          </w:p>
        </w:tc>
        <w:tc>
          <w:tcPr>
            <w:tcW w:w="708" w:type="dxa"/>
            <w:textDirection w:val="btLr"/>
            <w:vAlign w:val="center"/>
          </w:tcPr>
          <w:p>
            <w:pPr>
              <w:spacing w:after="0" w:line="240" w:lineRule="auto"/>
              <w:ind w:left="113" w:right="113"/>
              <w:jc w:val="center"/>
              <w:rPr>
                <w:noProof/>
                <w:sz w:val="18"/>
                <w:szCs w:val="18"/>
              </w:rPr>
            </w:pPr>
            <w:r>
              <w:rPr>
                <w:noProof/>
                <w:sz w:val="18"/>
              </w:rPr>
              <w:t>No</w:t>
            </w:r>
          </w:p>
        </w:tc>
        <w:tc>
          <w:tcPr>
            <w:tcW w:w="718" w:type="dxa"/>
            <w:textDirection w:val="btLr"/>
            <w:vAlign w:val="center"/>
          </w:tcPr>
          <w:p>
            <w:pPr>
              <w:spacing w:after="0" w:line="240" w:lineRule="auto"/>
              <w:ind w:left="113" w:right="113"/>
              <w:jc w:val="center"/>
              <w:rPr>
                <w:noProof/>
                <w:sz w:val="18"/>
                <w:szCs w:val="18"/>
              </w:rPr>
            </w:pPr>
            <w:r>
              <w:rPr>
                <w:noProof/>
                <w:sz w:val="18"/>
              </w:rPr>
              <w:t>NO/NO (se contemplan medidas sociales)</w:t>
            </w:r>
          </w:p>
        </w:tc>
      </w:tr>
      <w:tr>
        <w:trPr>
          <w:cantSplit/>
          <w:trHeight w:val="1099"/>
        </w:trPr>
        <w:tc>
          <w:tcPr>
            <w:tcW w:w="392" w:type="dxa"/>
            <w:textDirection w:val="btLr"/>
          </w:tcPr>
          <w:p>
            <w:pPr>
              <w:spacing w:after="0" w:line="240" w:lineRule="auto"/>
              <w:ind w:left="113" w:right="113"/>
              <w:jc w:val="center"/>
              <w:rPr>
                <w:b/>
                <w:noProof/>
              </w:rPr>
            </w:pPr>
            <w:r>
              <w:rPr>
                <w:b/>
                <w:noProof/>
              </w:rPr>
              <w:t>EMA</w:t>
            </w:r>
          </w:p>
        </w:tc>
        <w:tc>
          <w:tcPr>
            <w:tcW w:w="3260" w:type="dxa"/>
            <w:vAlign w:val="center"/>
          </w:tcPr>
          <w:p>
            <w:pPr>
              <w:spacing w:after="0" w:line="240" w:lineRule="auto"/>
              <w:rPr>
                <w:noProof/>
                <w:sz w:val="18"/>
                <w:szCs w:val="18"/>
              </w:rPr>
            </w:pPr>
            <w:r>
              <w:rPr>
                <w:noProof/>
                <w:sz w:val="18"/>
              </w:rPr>
              <w:t>El equilibrio geográfico se evalúa a nivel global (todos los grupos de funciones juntos, agentes contractuales y temporales).</w:t>
            </w:r>
            <w:r>
              <w:rPr>
                <w:noProof/>
                <w:sz w:val="18"/>
                <w:szCs w:val="18"/>
              </w:rPr>
              <w:br/>
            </w:r>
            <w:r>
              <w:rPr>
                <w:noProof/>
                <w:sz w:val="18"/>
              </w:rPr>
              <w:t xml:space="preserve">Índice de referencia: la cuota de la población del Estado miembro pertinente en la población de la UE/EEE </w:t>
            </w:r>
          </w:p>
        </w:tc>
        <w:tc>
          <w:tcPr>
            <w:tcW w:w="2858" w:type="dxa"/>
            <w:vAlign w:val="center"/>
          </w:tcPr>
          <w:p>
            <w:pPr>
              <w:spacing w:after="0" w:line="240" w:lineRule="auto"/>
              <w:rPr>
                <w:noProof/>
                <w:sz w:val="18"/>
                <w:szCs w:val="18"/>
              </w:rPr>
            </w:pPr>
            <w:r>
              <w:rPr>
                <w:noProof/>
                <w:sz w:val="18"/>
              </w:rPr>
              <w:t>Se observa desequilibrio cuando la cuota real de nacionales se desvía del índice de referencia en más del 100 % o menos del 50 %</w:t>
            </w:r>
          </w:p>
        </w:tc>
        <w:tc>
          <w:tcPr>
            <w:tcW w:w="2127" w:type="dxa"/>
            <w:vAlign w:val="center"/>
          </w:tcPr>
          <w:p>
            <w:pPr>
              <w:spacing w:after="0" w:line="240" w:lineRule="auto"/>
              <w:rPr>
                <w:noProof/>
                <w:sz w:val="18"/>
                <w:szCs w:val="18"/>
              </w:rPr>
            </w:pPr>
            <w:r>
              <w:rPr>
                <w:noProof/>
                <w:sz w:val="18"/>
              </w:rPr>
              <w:t>Infrarrepresentados: NL, DE, LU (y Noruega)</w:t>
            </w:r>
          </w:p>
          <w:p>
            <w:pPr>
              <w:spacing w:after="0" w:line="240" w:lineRule="auto"/>
              <w:rPr>
                <w:noProof/>
                <w:sz w:val="18"/>
                <w:szCs w:val="18"/>
              </w:rPr>
            </w:pPr>
            <w:r>
              <w:rPr>
                <w:noProof/>
                <w:sz w:val="18"/>
              </w:rPr>
              <w:t>Sobrerrepresentados: EE, GR, IE, LV, LT, PT y SK</w:t>
            </w:r>
          </w:p>
        </w:tc>
        <w:tc>
          <w:tcPr>
            <w:tcW w:w="3969" w:type="dxa"/>
            <w:vAlign w:val="center"/>
          </w:tcPr>
          <w:p>
            <w:pPr>
              <w:spacing w:after="0" w:line="240" w:lineRule="auto"/>
              <w:rPr>
                <w:noProof/>
                <w:sz w:val="18"/>
                <w:szCs w:val="18"/>
              </w:rPr>
            </w:pPr>
            <w:r>
              <w:rPr>
                <w:noProof/>
                <w:sz w:val="18"/>
              </w:rPr>
              <w:t>La clasificación de los puestos de la EMA (inferior a otras agencias) resta atractivo a la agencia para algunas nacionalidades. El seguimiento de un ejercicio de clasificación de puestos podría contribuir a mejorar la situación.</w:t>
            </w:r>
          </w:p>
        </w:tc>
        <w:tc>
          <w:tcPr>
            <w:tcW w:w="708" w:type="dxa"/>
            <w:textDirection w:val="btLr"/>
            <w:vAlign w:val="center"/>
          </w:tcPr>
          <w:p>
            <w:pPr>
              <w:spacing w:after="0" w:line="240" w:lineRule="auto"/>
              <w:ind w:left="113" w:right="113"/>
              <w:jc w:val="center"/>
              <w:rPr>
                <w:noProof/>
                <w:sz w:val="18"/>
                <w:szCs w:val="18"/>
              </w:rPr>
            </w:pPr>
            <w:r>
              <w:rPr>
                <w:noProof/>
                <w:sz w:val="18"/>
              </w:rPr>
              <w:t>A la espera de reubicación</w:t>
            </w:r>
          </w:p>
        </w:tc>
        <w:tc>
          <w:tcPr>
            <w:tcW w:w="718" w:type="dxa"/>
            <w:textDirection w:val="btLr"/>
            <w:vAlign w:val="center"/>
          </w:tcPr>
          <w:p>
            <w:pPr>
              <w:spacing w:after="0" w:line="240" w:lineRule="auto"/>
              <w:ind w:left="113" w:right="113"/>
              <w:jc w:val="center"/>
              <w:rPr>
                <w:noProof/>
                <w:sz w:val="18"/>
                <w:szCs w:val="18"/>
              </w:rPr>
            </w:pPr>
            <w:r>
              <w:rPr>
                <w:noProof/>
                <w:sz w:val="18"/>
              </w:rPr>
              <w:t>NO/NO</w:t>
            </w:r>
          </w:p>
        </w:tc>
      </w:tr>
      <w:tr>
        <w:trPr>
          <w:cantSplit/>
          <w:trHeight w:val="1099"/>
        </w:trPr>
        <w:tc>
          <w:tcPr>
            <w:tcW w:w="392" w:type="dxa"/>
            <w:textDirection w:val="btLr"/>
          </w:tcPr>
          <w:p>
            <w:pPr>
              <w:spacing w:after="0" w:line="240" w:lineRule="auto"/>
              <w:ind w:left="113" w:right="113"/>
              <w:jc w:val="center"/>
              <w:rPr>
                <w:b/>
                <w:noProof/>
              </w:rPr>
            </w:pPr>
            <w:r>
              <w:rPr>
                <w:b/>
                <w:noProof/>
              </w:rPr>
              <w:t>OEDT</w:t>
            </w:r>
          </w:p>
        </w:tc>
        <w:tc>
          <w:tcPr>
            <w:tcW w:w="3260" w:type="dxa"/>
            <w:vAlign w:val="center"/>
          </w:tcPr>
          <w:p>
            <w:pPr>
              <w:spacing w:after="0" w:line="240" w:lineRule="auto"/>
              <w:rPr>
                <w:noProof/>
                <w:sz w:val="18"/>
                <w:szCs w:val="18"/>
              </w:rPr>
            </w:pPr>
            <w:r>
              <w:rPr>
                <w:noProof/>
                <w:sz w:val="18"/>
              </w:rPr>
              <w:t>Todos los Estados miembros deben estar representados</w:t>
            </w:r>
          </w:p>
        </w:tc>
        <w:tc>
          <w:tcPr>
            <w:tcW w:w="2858" w:type="dxa"/>
            <w:vAlign w:val="center"/>
          </w:tcPr>
          <w:p>
            <w:pPr>
              <w:spacing w:after="0" w:line="240" w:lineRule="auto"/>
              <w:rPr>
                <w:noProof/>
                <w:sz w:val="18"/>
                <w:szCs w:val="18"/>
              </w:rPr>
            </w:pPr>
            <w:r>
              <w:rPr>
                <w:noProof/>
                <w:sz w:val="18"/>
              </w:rPr>
              <w:t>Se observa desequilibrio significativo si el personal de una nacionalidad representa más del 30 % del personal</w:t>
            </w:r>
          </w:p>
        </w:tc>
        <w:tc>
          <w:tcPr>
            <w:tcW w:w="2127" w:type="dxa"/>
            <w:vAlign w:val="center"/>
          </w:tcPr>
          <w:p>
            <w:pPr>
              <w:spacing w:after="0" w:line="240" w:lineRule="auto"/>
              <w:rPr>
                <w:noProof/>
                <w:sz w:val="18"/>
                <w:szCs w:val="18"/>
              </w:rPr>
            </w:pPr>
            <w:r>
              <w:rPr>
                <w:noProof/>
                <w:sz w:val="18"/>
              </w:rPr>
              <w:t>No</w:t>
            </w:r>
          </w:p>
        </w:tc>
        <w:tc>
          <w:tcPr>
            <w:tcW w:w="3969" w:type="dxa"/>
            <w:vAlign w:val="center"/>
          </w:tcPr>
          <w:p>
            <w:pPr>
              <w:spacing w:after="0" w:line="240" w:lineRule="auto"/>
              <w:rPr>
                <w:noProof/>
                <w:sz w:val="18"/>
                <w:szCs w:val="18"/>
              </w:rPr>
            </w:pPr>
            <w:r>
              <w:rPr>
                <w:noProof/>
                <w:sz w:val="18"/>
              </w:rPr>
              <w:t>n.d.</w:t>
            </w:r>
          </w:p>
        </w:tc>
        <w:tc>
          <w:tcPr>
            <w:tcW w:w="708" w:type="dxa"/>
            <w:textDirection w:val="btLr"/>
            <w:vAlign w:val="center"/>
          </w:tcPr>
          <w:p>
            <w:pPr>
              <w:spacing w:after="0" w:line="240" w:lineRule="auto"/>
              <w:ind w:left="113" w:right="113"/>
              <w:jc w:val="center"/>
              <w:rPr>
                <w:noProof/>
                <w:sz w:val="18"/>
                <w:szCs w:val="18"/>
              </w:rPr>
            </w:pPr>
            <w:r>
              <w:rPr>
                <w:noProof/>
                <w:sz w:val="18"/>
              </w:rPr>
              <w:t>No</w:t>
            </w:r>
          </w:p>
        </w:tc>
        <w:tc>
          <w:tcPr>
            <w:tcW w:w="718" w:type="dxa"/>
            <w:textDirection w:val="btLr"/>
            <w:vAlign w:val="center"/>
          </w:tcPr>
          <w:p>
            <w:pPr>
              <w:spacing w:after="0" w:line="240" w:lineRule="auto"/>
              <w:ind w:left="113" w:right="113"/>
              <w:jc w:val="center"/>
              <w:rPr>
                <w:noProof/>
                <w:sz w:val="18"/>
                <w:szCs w:val="18"/>
              </w:rPr>
            </w:pPr>
            <w:r>
              <w:rPr>
                <w:noProof/>
                <w:sz w:val="18"/>
              </w:rPr>
              <w:t>NO/NO</w:t>
            </w:r>
          </w:p>
        </w:tc>
      </w:tr>
      <w:tr>
        <w:trPr>
          <w:cantSplit/>
          <w:trHeight w:val="1412"/>
        </w:trPr>
        <w:tc>
          <w:tcPr>
            <w:tcW w:w="392" w:type="dxa"/>
            <w:textDirection w:val="btLr"/>
          </w:tcPr>
          <w:p>
            <w:pPr>
              <w:spacing w:after="0" w:line="240" w:lineRule="auto"/>
              <w:ind w:left="113" w:right="113"/>
              <w:jc w:val="center"/>
              <w:rPr>
                <w:b/>
                <w:noProof/>
              </w:rPr>
            </w:pPr>
            <w:r>
              <w:rPr>
                <w:b/>
                <w:noProof/>
              </w:rPr>
              <w:t>AESM</w:t>
            </w:r>
          </w:p>
        </w:tc>
        <w:tc>
          <w:tcPr>
            <w:tcW w:w="3260" w:type="dxa"/>
            <w:vAlign w:val="center"/>
          </w:tcPr>
          <w:p>
            <w:pPr>
              <w:spacing w:after="0" w:line="240" w:lineRule="auto"/>
              <w:rPr>
                <w:noProof/>
                <w:sz w:val="18"/>
                <w:szCs w:val="18"/>
              </w:rPr>
            </w:pPr>
            <w:r>
              <w:rPr>
                <w:noProof/>
                <w:sz w:val="18"/>
              </w:rPr>
              <w:t>El equilibrio geográfico se evalúa a nivel global (todos los grupos de funciones juntos).</w:t>
            </w:r>
          </w:p>
          <w:p>
            <w:pPr>
              <w:spacing w:after="0" w:line="240" w:lineRule="auto"/>
              <w:rPr>
                <w:noProof/>
                <w:sz w:val="18"/>
                <w:szCs w:val="18"/>
              </w:rPr>
            </w:pPr>
            <w:r>
              <w:rPr>
                <w:noProof/>
                <w:sz w:val="18"/>
              </w:rPr>
              <w:t>Índice de referencia: la cuota de la población del Estado miembro pertinente en la población de la UE</w:t>
            </w:r>
          </w:p>
        </w:tc>
        <w:tc>
          <w:tcPr>
            <w:tcW w:w="2858" w:type="dxa"/>
            <w:vAlign w:val="center"/>
          </w:tcPr>
          <w:p>
            <w:pPr>
              <w:spacing w:after="0" w:line="240" w:lineRule="auto"/>
              <w:rPr>
                <w:noProof/>
                <w:sz w:val="18"/>
                <w:szCs w:val="18"/>
              </w:rPr>
            </w:pPr>
            <w:r>
              <w:rPr>
                <w:noProof/>
                <w:sz w:val="18"/>
              </w:rPr>
              <w:t>Se observa desequilibrio significativo cuando la cuota real de nacionales se desvía del índice de referencia en más del 100 % o menos del 50 %</w:t>
            </w:r>
          </w:p>
        </w:tc>
        <w:tc>
          <w:tcPr>
            <w:tcW w:w="2127" w:type="dxa"/>
            <w:vAlign w:val="center"/>
          </w:tcPr>
          <w:p>
            <w:pPr>
              <w:spacing w:after="0" w:line="240" w:lineRule="auto"/>
              <w:rPr>
                <w:noProof/>
                <w:sz w:val="18"/>
                <w:szCs w:val="18"/>
                <w:lang w:val="pt-PT"/>
              </w:rPr>
            </w:pPr>
            <w:r>
              <w:rPr>
                <w:noProof/>
                <w:sz w:val="18"/>
                <w:lang w:val="pt-PT"/>
              </w:rPr>
              <w:t>Significativamente infrarrepresentados: FR, IT, UK</w:t>
            </w:r>
          </w:p>
          <w:p>
            <w:pPr>
              <w:spacing w:after="0" w:line="240" w:lineRule="auto"/>
              <w:rPr>
                <w:noProof/>
                <w:sz w:val="18"/>
                <w:szCs w:val="18"/>
                <w:lang w:val="pt-PT"/>
              </w:rPr>
            </w:pPr>
            <w:r>
              <w:rPr>
                <w:noProof/>
                <w:sz w:val="18"/>
                <w:lang w:val="pt-PT"/>
              </w:rPr>
              <w:t>Significativamente sobrerrepresentados: PT, GR, BE</w:t>
            </w:r>
          </w:p>
        </w:tc>
        <w:tc>
          <w:tcPr>
            <w:tcW w:w="3969" w:type="dxa"/>
            <w:vAlign w:val="center"/>
          </w:tcPr>
          <w:p>
            <w:pPr>
              <w:spacing w:after="0" w:line="240" w:lineRule="auto"/>
              <w:rPr>
                <w:noProof/>
                <w:sz w:val="18"/>
                <w:szCs w:val="18"/>
              </w:rPr>
            </w:pPr>
            <w:r>
              <w:rPr>
                <w:noProof/>
                <w:sz w:val="18"/>
              </w:rPr>
              <w:t>Coeficiente de corrección sistemáticamente a la baja</w:t>
            </w:r>
          </w:p>
          <w:p>
            <w:pPr>
              <w:spacing w:after="0" w:line="240" w:lineRule="auto"/>
              <w:rPr>
                <w:noProof/>
                <w:sz w:val="18"/>
                <w:szCs w:val="18"/>
              </w:rPr>
            </w:pPr>
            <w:r>
              <w:rPr>
                <w:noProof/>
                <w:sz w:val="18"/>
              </w:rPr>
              <w:t>Dificultad de los cónyuges para encontrar un empleo</w:t>
            </w:r>
          </w:p>
        </w:tc>
        <w:tc>
          <w:tcPr>
            <w:tcW w:w="708" w:type="dxa"/>
            <w:textDirection w:val="btLr"/>
            <w:vAlign w:val="center"/>
          </w:tcPr>
          <w:p>
            <w:pPr>
              <w:spacing w:after="0" w:line="240" w:lineRule="auto"/>
              <w:ind w:left="113" w:right="113"/>
              <w:jc w:val="center"/>
              <w:rPr>
                <w:noProof/>
                <w:sz w:val="18"/>
                <w:szCs w:val="18"/>
              </w:rPr>
            </w:pPr>
            <w:r>
              <w:rPr>
                <w:noProof/>
                <w:sz w:val="18"/>
              </w:rPr>
              <w:t>Sí</w:t>
            </w:r>
          </w:p>
        </w:tc>
        <w:tc>
          <w:tcPr>
            <w:tcW w:w="718" w:type="dxa"/>
            <w:textDirection w:val="btLr"/>
            <w:vAlign w:val="center"/>
          </w:tcPr>
          <w:p>
            <w:pPr>
              <w:spacing w:after="0" w:line="240" w:lineRule="auto"/>
              <w:ind w:left="113" w:right="113"/>
              <w:jc w:val="center"/>
              <w:rPr>
                <w:noProof/>
                <w:sz w:val="18"/>
                <w:szCs w:val="18"/>
              </w:rPr>
            </w:pPr>
            <w:r>
              <w:rPr>
                <w:noProof/>
                <w:sz w:val="18"/>
              </w:rPr>
              <w:t>NO/SÍ: medida social)</w:t>
            </w:r>
          </w:p>
        </w:tc>
      </w:tr>
      <w:tr>
        <w:trPr>
          <w:cantSplit/>
          <w:trHeight w:val="1412"/>
        </w:trPr>
        <w:tc>
          <w:tcPr>
            <w:tcW w:w="392" w:type="dxa"/>
            <w:textDirection w:val="btLr"/>
          </w:tcPr>
          <w:p>
            <w:pPr>
              <w:spacing w:after="0" w:line="240" w:lineRule="auto"/>
              <w:ind w:left="113" w:right="113"/>
              <w:jc w:val="center"/>
              <w:rPr>
                <w:b/>
                <w:noProof/>
              </w:rPr>
            </w:pPr>
            <w:r>
              <w:rPr>
                <w:b/>
                <w:noProof/>
              </w:rPr>
              <w:t>ENISA</w:t>
            </w:r>
          </w:p>
        </w:tc>
        <w:tc>
          <w:tcPr>
            <w:tcW w:w="3260" w:type="dxa"/>
            <w:vAlign w:val="center"/>
          </w:tcPr>
          <w:p>
            <w:pPr>
              <w:spacing w:after="0" w:line="240" w:lineRule="auto"/>
              <w:rPr>
                <w:noProof/>
                <w:sz w:val="18"/>
                <w:szCs w:val="18"/>
              </w:rPr>
            </w:pPr>
            <w:r>
              <w:rPr>
                <w:noProof/>
                <w:sz w:val="18"/>
              </w:rPr>
              <w:t xml:space="preserve">El equilibrio geográfico se supervisa y se compara con la población de los Estados miembros </w:t>
            </w:r>
          </w:p>
        </w:tc>
        <w:tc>
          <w:tcPr>
            <w:tcW w:w="2858" w:type="dxa"/>
            <w:vAlign w:val="center"/>
          </w:tcPr>
          <w:p>
            <w:pPr>
              <w:spacing w:after="0" w:line="240" w:lineRule="auto"/>
              <w:rPr>
                <w:noProof/>
                <w:sz w:val="18"/>
                <w:szCs w:val="18"/>
              </w:rPr>
            </w:pPr>
            <w:r>
              <w:rPr>
                <w:noProof/>
                <w:sz w:val="18"/>
              </w:rPr>
              <w:t>Se observa desequilibrio si el personal de una nacionalidad concreta representa más del 50 % del personal total.</w:t>
            </w:r>
          </w:p>
        </w:tc>
        <w:tc>
          <w:tcPr>
            <w:tcW w:w="2127" w:type="dxa"/>
            <w:vAlign w:val="center"/>
          </w:tcPr>
          <w:p>
            <w:pPr>
              <w:spacing w:after="0" w:line="240" w:lineRule="auto"/>
              <w:rPr>
                <w:noProof/>
                <w:sz w:val="18"/>
                <w:szCs w:val="18"/>
              </w:rPr>
            </w:pPr>
            <w:r>
              <w:rPr>
                <w:noProof/>
                <w:sz w:val="18"/>
              </w:rPr>
              <w:t>NO</w:t>
            </w:r>
          </w:p>
        </w:tc>
        <w:tc>
          <w:tcPr>
            <w:tcW w:w="3969" w:type="dxa"/>
            <w:vAlign w:val="center"/>
          </w:tcPr>
          <w:p>
            <w:pPr>
              <w:spacing w:after="0" w:line="240" w:lineRule="auto"/>
              <w:rPr>
                <w:noProof/>
                <w:sz w:val="18"/>
                <w:szCs w:val="18"/>
              </w:rPr>
            </w:pPr>
            <w:r>
              <w:rPr>
                <w:noProof/>
                <w:sz w:val="18"/>
              </w:rPr>
              <w:t>n.d., pero la crisis económica de Grecia y la bajada del coeficiente de corrección hacen que la mayoría de los interesados sean originarios del EM</w:t>
            </w:r>
          </w:p>
        </w:tc>
        <w:tc>
          <w:tcPr>
            <w:tcW w:w="708" w:type="dxa"/>
            <w:textDirection w:val="btLr"/>
            <w:vAlign w:val="center"/>
          </w:tcPr>
          <w:p>
            <w:pPr>
              <w:spacing w:after="0" w:line="240" w:lineRule="auto"/>
              <w:ind w:left="113" w:right="113"/>
              <w:jc w:val="center"/>
              <w:rPr>
                <w:noProof/>
                <w:sz w:val="18"/>
                <w:szCs w:val="18"/>
              </w:rPr>
            </w:pPr>
            <w:r>
              <w:rPr>
                <w:noProof/>
                <w:sz w:val="18"/>
              </w:rPr>
              <w:t>No</w:t>
            </w:r>
          </w:p>
        </w:tc>
        <w:tc>
          <w:tcPr>
            <w:tcW w:w="718" w:type="dxa"/>
            <w:textDirection w:val="btLr"/>
            <w:vAlign w:val="center"/>
          </w:tcPr>
          <w:p>
            <w:pPr>
              <w:spacing w:after="0" w:line="240" w:lineRule="auto"/>
              <w:ind w:left="113" w:right="113"/>
              <w:jc w:val="center"/>
              <w:rPr>
                <w:noProof/>
                <w:sz w:val="18"/>
                <w:szCs w:val="18"/>
              </w:rPr>
            </w:pPr>
            <w:r>
              <w:rPr>
                <w:noProof/>
                <w:sz w:val="18"/>
              </w:rPr>
              <w:t>NO/NO</w:t>
            </w:r>
          </w:p>
        </w:tc>
      </w:tr>
      <w:tr>
        <w:trPr>
          <w:cantSplit/>
          <w:trHeight w:val="1100"/>
        </w:trPr>
        <w:tc>
          <w:tcPr>
            <w:tcW w:w="392" w:type="dxa"/>
            <w:textDirection w:val="btLr"/>
          </w:tcPr>
          <w:p>
            <w:pPr>
              <w:spacing w:after="0" w:line="240" w:lineRule="auto"/>
              <w:ind w:left="113" w:right="113"/>
              <w:jc w:val="center"/>
              <w:rPr>
                <w:b/>
                <w:noProof/>
              </w:rPr>
            </w:pPr>
            <w:r>
              <w:rPr>
                <w:b/>
                <w:noProof/>
              </w:rPr>
              <w:t>ETF</w:t>
            </w:r>
          </w:p>
        </w:tc>
        <w:tc>
          <w:tcPr>
            <w:tcW w:w="3260" w:type="dxa"/>
            <w:vAlign w:val="center"/>
          </w:tcPr>
          <w:p>
            <w:pPr>
              <w:spacing w:after="0" w:line="240" w:lineRule="auto"/>
              <w:rPr>
                <w:noProof/>
                <w:sz w:val="18"/>
                <w:szCs w:val="18"/>
              </w:rPr>
            </w:pPr>
            <w:r>
              <w:rPr>
                <w:noProof/>
                <w:sz w:val="18"/>
              </w:rPr>
              <w:t>Recuento del número de nacionalidades representadas</w:t>
            </w:r>
          </w:p>
        </w:tc>
        <w:tc>
          <w:tcPr>
            <w:tcW w:w="2858" w:type="dxa"/>
            <w:vAlign w:val="center"/>
          </w:tcPr>
          <w:p>
            <w:pPr>
              <w:spacing w:after="0" w:line="240" w:lineRule="auto"/>
              <w:rPr>
                <w:noProof/>
                <w:sz w:val="18"/>
                <w:szCs w:val="18"/>
              </w:rPr>
            </w:pPr>
            <w:r>
              <w:rPr>
                <w:noProof/>
                <w:sz w:val="18"/>
              </w:rPr>
              <w:t>Se observa desequilibrio si están representadas menos del 60 % de las nacionalidades</w:t>
            </w:r>
          </w:p>
          <w:p>
            <w:pPr>
              <w:spacing w:after="0" w:line="240" w:lineRule="auto"/>
              <w:rPr>
                <w:noProof/>
                <w:sz w:val="18"/>
                <w:szCs w:val="18"/>
              </w:rPr>
            </w:pPr>
            <w:r>
              <w:rPr>
                <w:noProof/>
                <w:sz w:val="18"/>
              </w:rPr>
              <w:t>Se observa desequilibrio significativo si una nacionalidad representa más del 40 % de todo el personal</w:t>
            </w:r>
          </w:p>
        </w:tc>
        <w:tc>
          <w:tcPr>
            <w:tcW w:w="2127" w:type="dxa"/>
            <w:vAlign w:val="center"/>
          </w:tcPr>
          <w:p>
            <w:pPr>
              <w:spacing w:after="0" w:line="240" w:lineRule="auto"/>
              <w:rPr>
                <w:noProof/>
                <w:sz w:val="18"/>
                <w:szCs w:val="18"/>
              </w:rPr>
            </w:pPr>
            <w:r>
              <w:rPr>
                <w:noProof/>
                <w:sz w:val="18"/>
              </w:rPr>
              <w:t>No</w:t>
            </w:r>
          </w:p>
        </w:tc>
        <w:tc>
          <w:tcPr>
            <w:tcW w:w="3969" w:type="dxa"/>
            <w:vAlign w:val="center"/>
          </w:tcPr>
          <w:p>
            <w:pPr>
              <w:spacing w:after="0" w:line="240" w:lineRule="auto"/>
              <w:rPr>
                <w:noProof/>
                <w:sz w:val="18"/>
                <w:szCs w:val="18"/>
              </w:rPr>
            </w:pPr>
            <w:r>
              <w:rPr>
                <w:noProof/>
                <w:sz w:val="18"/>
              </w:rPr>
              <w:t>n.d.</w:t>
            </w:r>
          </w:p>
        </w:tc>
        <w:tc>
          <w:tcPr>
            <w:tcW w:w="708" w:type="dxa"/>
            <w:textDirection w:val="btLr"/>
            <w:vAlign w:val="center"/>
          </w:tcPr>
          <w:p>
            <w:pPr>
              <w:spacing w:after="0" w:line="240" w:lineRule="auto"/>
              <w:ind w:left="113" w:right="113"/>
              <w:jc w:val="center"/>
              <w:rPr>
                <w:noProof/>
                <w:sz w:val="18"/>
                <w:szCs w:val="18"/>
              </w:rPr>
            </w:pPr>
            <w:r>
              <w:rPr>
                <w:noProof/>
                <w:sz w:val="18"/>
              </w:rPr>
              <w:t>No</w:t>
            </w:r>
          </w:p>
        </w:tc>
        <w:tc>
          <w:tcPr>
            <w:tcW w:w="718" w:type="dxa"/>
            <w:textDirection w:val="btLr"/>
            <w:vAlign w:val="center"/>
          </w:tcPr>
          <w:p>
            <w:pPr>
              <w:spacing w:after="0" w:line="240" w:lineRule="auto"/>
              <w:ind w:left="113" w:right="113"/>
              <w:jc w:val="center"/>
              <w:rPr>
                <w:noProof/>
                <w:sz w:val="18"/>
                <w:szCs w:val="18"/>
              </w:rPr>
            </w:pPr>
            <w:r>
              <w:rPr>
                <w:noProof/>
                <w:sz w:val="18"/>
              </w:rPr>
              <w:t>NO/NO</w:t>
            </w:r>
          </w:p>
        </w:tc>
      </w:tr>
      <w:tr>
        <w:trPr>
          <w:cantSplit/>
          <w:trHeight w:val="1190"/>
        </w:trPr>
        <w:tc>
          <w:tcPr>
            <w:tcW w:w="392" w:type="dxa"/>
            <w:textDirection w:val="btLr"/>
          </w:tcPr>
          <w:p>
            <w:pPr>
              <w:spacing w:after="0" w:line="240" w:lineRule="auto"/>
              <w:ind w:left="113" w:right="113"/>
              <w:jc w:val="center"/>
              <w:rPr>
                <w:b/>
                <w:noProof/>
              </w:rPr>
            </w:pPr>
            <w:r>
              <w:rPr>
                <w:b/>
                <w:noProof/>
              </w:rPr>
              <w:t>EUIPO</w:t>
            </w:r>
          </w:p>
        </w:tc>
        <w:tc>
          <w:tcPr>
            <w:tcW w:w="3260" w:type="dxa"/>
            <w:vAlign w:val="center"/>
          </w:tcPr>
          <w:p>
            <w:pPr>
              <w:spacing w:after="0" w:line="240" w:lineRule="auto"/>
              <w:rPr>
                <w:noProof/>
                <w:sz w:val="18"/>
                <w:szCs w:val="18"/>
              </w:rPr>
            </w:pPr>
            <w:r>
              <w:rPr>
                <w:noProof/>
                <w:sz w:val="18"/>
              </w:rPr>
              <w:t>El equilibrio geográfico se evalúa a nivel global (todos los grupos de funciones juntos).</w:t>
            </w:r>
          </w:p>
          <w:p>
            <w:pPr>
              <w:spacing w:after="0" w:line="240" w:lineRule="auto"/>
              <w:rPr>
                <w:noProof/>
                <w:sz w:val="18"/>
                <w:szCs w:val="18"/>
              </w:rPr>
            </w:pPr>
            <w:r>
              <w:rPr>
                <w:noProof/>
                <w:sz w:val="18"/>
              </w:rPr>
              <w:t>Todos los Estados miembros deben estar representados</w:t>
            </w:r>
          </w:p>
        </w:tc>
        <w:tc>
          <w:tcPr>
            <w:tcW w:w="2858" w:type="dxa"/>
            <w:vAlign w:val="center"/>
          </w:tcPr>
          <w:p>
            <w:pPr>
              <w:spacing w:after="0" w:line="240" w:lineRule="auto"/>
              <w:rPr>
                <w:noProof/>
                <w:sz w:val="18"/>
                <w:szCs w:val="18"/>
              </w:rPr>
            </w:pPr>
            <w:r>
              <w:rPr>
                <w:noProof/>
                <w:sz w:val="18"/>
              </w:rPr>
              <w:t>Se observa desequilibrio si un Estado miembro está sobrerrepresentado en comparación con el resto, teniendo no obstante en cuenta su tamaño</w:t>
            </w:r>
          </w:p>
        </w:tc>
        <w:tc>
          <w:tcPr>
            <w:tcW w:w="2127" w:type="dxa"/>
            <w:vAlign w:val="center"/>
          </w:tcPr>
          <w:p>
            <w:pPr>
              <w:spacing w:after="0" w:line="240" w:lineRule="auto"/>
              <w:rPr>
                <w:noProof/>
                <w:sz w:val="18"/>
                <w:szCs w:val="18"/>
              </w:rPr>
            </w:pPr>
            <w:r>
              <w:rPr>
                <w:noProof/>
                <w:sz w:val="18"/>
              </w:rPr>
              <w:t>España está sobrerrepresentada</w:t>
            </w:r>
          </w:p>
        </w:tc>
        <w:tc>
          <w:tcPr>
            <w:tcW w:w="3969" w:type="dxa"/>
            <w:vAlign w:val="center"/>
          </w:tcPr>
          <w:p>
            <w:pPr>
              <w:spacing w:after="0" w:line="240" w:lineRule="auto"/>
              <w:rPr>
                <w:noProof/>
                <w:sz w:val="18"/>
                <w:szCs w:val="18"/>
              </w:rPr>
            </w:pPr>
            <w:r>
              <w:rPr>
                <w:noProof/>
                <w:sz w:val="18"/>
              </w:rPr>
              <w:t>Efecto sede</w:t>
            </w:r>
          </w:p>
        </w:tc>
        <w:tc>
          <w:tcPr>
            <w:tcW w:w="708" w:type="dxa"/>
            <w:textDirection w:val="btLr"/>
            <w:vAlign w:val="center"/>
          </w:tcPr>
          <w:p>
            <w:pPr>
              <w:spacing w:after="0" w:line="240" w:lineRule="auto"/>
              <w:ind w:left="113" w:right="113"/>
              <w:jc w:val="center"/>
              <w:rPr>
                <w:noProof/>
                <w:sz w:val="18"/>
                <w:szCs w:val="18"/>
              </w:rPr>
            </w:pPr>
            <w:r>
              <w:rPr>
                <w:noProof/>
                <w:sz w:val="18"/>
              </w:rPr>
              <w:t>No</w:t>
            </w:r>
          </w:p>
        </w:tc>
        <w:tc>
          <w:tcPr>
            <w:tcW w:w="718" w:type="dxa"/>
            <w:textDirection w:val="btLr"/>
            <w:vAlign w:val="center"/>
          </w:tcPr>
          <w:p>
            <w:pPr>
              <w:spacing w:after="0" w:line="240" w:lineRule="auto"/>
              <w:ind w:left="113" w:right="113"/>
              <w:jc w:val="center"/>
              <w:rPr>
                <w:noProof/>
                <w:sz w:val="18"/>
                <w:szCs w:val="18"/>
              </w:rPr>
            </w:pPr>
            <w:r>
              <w:rPr>
                <w:noProof/>
                <w:sz w:val="18"/>
              </w:rPr>
              <w:t>NO/NO</w:t>
            </w:r>
          </w:p>
        </w:tc>
      </w:tr>
      <w:tr>
        <w:trPr>
          <w:cantSplit/>
          <w:trHeight w:val="1190"/>
        </w:trPr>
        <w:tc>
          <w:tcPr>
            <w:tcW w:w="392" w:type="dxa"/>
            <w:textDirection w:val="btLr"/>
          </w:tcPr>
          <w:p>
            <w:pPr>
              <w:spacing w:after="0" w:line="240" w:lineRule="auto"/>
              <w:ind w:left="113" w:right="113"/>
              <w:jc w:val="center"/>
              <w:rPr>
                <w:b/>
                <w:noProof/>
              </w:rPr>
            </w:pPr>
            <w:r>
              <w:rPr>
                <w:b/>
                <w:noProof/>
              </w:rPr>
              <w:t>EU-LISA</w:t>
            </w:r>
          </w:p>
        </w:tc>
        <w:tc>
          <w:tcPr>
            <w:tcW w:w="3260" w:type="dxa"/>
            <w:vAlign w:val="center"/>
          </w:tcPr>
          <w:p>
            <w:pPr>
              <w:spacing w:after="0" w:line="240" w:lineRule="auto"/>
              <w:rPr>
                <w:noProof/>
                <w:sz w:val="18"/>
                <w:szCs w:val="18"/>
              </w:rPr>
            </w:pPr>
            <w:r>
              <w:rPr>
                <w:noProof/>
                <w:sz w:val="18"/>
              </w:rPr>
              <w:t>El equilibrio geográfico se evalúa a nivel global (todos los grupos de funciones juntos).</w:t>
            </w:r>
          </w:p>
          <w:p>
            <w:pPr>
              <w:spacing w:after="0" w:line="240" w:lineRule="auto"/>
              <w:rPr>
                <w:noProof/>
                <w:sz w:val="18"/>
                <w:szCs w:val="18"/>
              </w:rPr>
            </w:pPr>
            <w:r>
              <w:rPr>
                <w:noProof/>
                <w:sz w:val="18"/>
              </w:rPr>
              <w:t>Índice de referencia: la cuota de la población del Estado miembro pertinente en la población de la UE</w:t>
            </w:r>
          </w:p>
        </w:tc>
        <w:tc>
          <w:tcPr>
            <w:tcW w:w="2858" w:type="dxa"/>
            <w:vAlign w:val="center"/>
          </w:tcPr>
          <w:p>
            <w:pPr>
              <w:spacing w:after="0" w:line="240" w:lineRule="auto"/>
              <w:rPr>
                <w:noProof/>
                <w:sz w:val="18"/>
                <w:szCs w:val="18"/>
              </w:rPr>
            </w:pPr>
            <w:r>
              <w:rPr>
                <w:noProof/>
                <w:sz w:val="18"/>
              </w:rPr>
              <w:t>No definidos en la respuesta</w:t>
            </w:r>
          </w:p>
        </w:tc>
        <w:tc>
          <w:tcPr>
            <w:tcW w:w="2127" w:type="dxa"/>
            <w:vAlign w:val="center"/>
          </w:tcPr>
          <w:p>
            <w:pPr>
              <w:spacing w:after="0" w:line="240" w:lineRule="auto"/>
              <w:rPr>
                <w:noProof/>
                <w:sz w:val="18"/>
                <w:szCs w:val="18"/>
                <w:lang w:val="pt-PT"/>
              </w:rPr>
            </w:pPr>
            <w:r>
              <w:rPr>
                <w:noProof/>
                <w:sz w:val="18"/>
                <w:lang w:val="pt-PT"/>
              </w:rPr>
              <w:t>Infrarrepresentados: DE, UK, SE, DK, MT, SL</w:t>
            </w:r>
          </w:p>
          <w:p>
            <w:pPr>
              <w:spacing w:after="0" w:line="240" w:lineRule="auto"/>
              <w:rPr>
                <w:noProof/>
                <w:sz w:val="18"/>
                <w:szCs w:val="18"/>
              </w:rPr>
            </w:pPr>
            <w:r>
              <w:rPr>
                <w:noProof/>
                <w:sz w:val="18"/>
              </w:rPr>
              <w:t>Sin infrarrepresentación significativa</w:t>
            </w:r>
          </w:p>
        </w:tc>
        <w:tc>
          <w:tcPr>
            <w:tcW w:w="3969" w:type="dxa"/>
            <w:vAlign w:val="center"/>
          </w:tcPr>
          <w:p>
            <w:pPr>
              <w:spacing w:after="0" w:line="240" w:lineRule="auto"/>
              <w:rPr>
                <w:noProof/>
                <w:sz w:val="18"/>
                <w:szCs w:val="18"/>
              </w:rPr>
            </w:pPr>
            <w:r>
              <w:rPr>
                <w:noProof/>
                <w:sz w:val="18"/>
              </w:rPr>
              <w:t>Efecto sede: se tolera una presencia de hasta el 30 % del personal con nacionalidad del país de la sede</w:t>
            </w:r>
          </w:p>
          <w:p>
            <w:pPr>
              <w:spacing w:after="0" w:line="240" w:lineRule="auto"/>
              <w:rPr>
                <w:noProof/>
                <w:sz w:val="18"/>
                <w:szCs w:val="18"/>
              </w:rPr>
            </w:pPr>
            <w:r>
              <w:rPr>
                <w:noProof/>
                <w:sz w:val="18"/>
              </w:rPr>
              <w:t>Ubicación lejana de la sede</w:t>
            </w:r>
          </w:p>
          <w:p>
            <w:pPr>
              <w:spacing w:after="0" w:line="240" w:lineRule="auto"/>
              <w:rPr>
                <w:noProof/>
                <w:sz w:val="18"/>
                <w:szCs w:val="18"/>
              </w:rPr>
            </w:pPr>
            <w:r>
              <w:rPr>
                <w:noProof/>
                <w:sz w:val="18"/>
              </w:rPr>
              <w:t>Coeficiente de corrección bajo</w:t>
            </w:r>
          </w:p>
          <w:p>
            <w:pPr>
              <w:spacing w:after="0" w:line="240" w:lineRule="auto"/>
              <w:rPr>
                <w:noProof/>
                <w:sz w:val="18"/>
                <w:szCs w:val="18"/>
              </w:rPr>
            </w:pPr>
            <w:r>
              <w:rPr>
                <w:noProof/>
                <w:sz w:val="18"/>
              </w:rPr>
              <w:t>Dificultad de los cónyuges para encontrar un empleo</w:t>
            </w:r>
          </w:p>
        </w:tc>
        <w:tc>
          <w:tcPr>
            <w:tcW w:w="708" w:type="dxa"/>
            <w:textDirection w:val="btLr"/>
            <w:vAlign w:val="center"/>
          </w:tcPr>
          <w:p>
            <w:pPr>
              <w:spacing w:after="0" w:line="240" w:lineRule="auto"/>
              <w:ind w:left="113" w:right="113"/>
              <w:jc w:val="center"/>
              <w:rPr>
                <w:noProof/>
                <w:sz w:val="18"/>
                <w:szCs w:val="18"/>
              </w:rPr>
            </w:pPr>
          </w:p>
        </w:tc>
        <w:tc>
          <w:tcPr>
            <w:tcW w:w="718" w:type="dxa"/>
            <w:textDirection w:val="btLr"/>
            <w:vAlign w:val="center"/>
          </w:tcPr>
          <w:p>
            <w:pPr>
              <w:spacing w:after="0" w:line="240" w:lineRule="auto"/>
              <w:ind w:left="113" w:right="113"/>
              <w:jc w:val="center"/>
              <w:rPr>
                <w:noProof/>
                <w:sz w:val="18"/>
                <w:szCs w:val="18"/>
              </w:rPr>
            </w:pPr>
          </w:p>
        </w:tc>
      </w:tr>
      <w:tr>
        <w:trPr>
          <w:cantSplit/>
          <w:trHeight w:val="1190"/>
        </w:trPr>
        <w:tc>
          <w:tcPr>
            <w:tcW w:w="392" w:type="dxa"/>
            <w:textDirection w:val="btLr"/>
          </w:tcPr>
          <w:p>
            <w:pPr>
              <w:spacing w:after="0" w:line="240" w:lineRule="auto"/>
              <w:ind w:left="113" w:right="113"/>
              <w:jc w:val="center"/>
              <w:rPr>
                <w:b/>
                <w:noProof/>
              </w:rPr>
            </w:pPr>
            <w:r>
              <w:rPr>
                <w:b/>
                <w:noProof/>
              </w:rPr>
              <w:t>Eurofound</w:t>
            </w:r>
          </w:p>
          <w:p>
            <w:pPr>
              <w:spacing w:after="0" w:line="240" w:lineRule="auto"/>
              <w:ind w:left="113" w:right="113"/>
              <w:jc w:val="center"/>
              <w:rPr>
                <w:b/>
                <w:noProof/>
              </w:rPr>
            </w:pPr>
          </w:p>
        </w:tc>
        <w:tc>
          <w:tcPr>
            <w:tcW w:w="3260" w:type="dxa"/>
            <w:vAlign w:val="center"/>
          </w:tcPr>
          <w:p>
            <w:pPr>
              <w:spacing w:after="0" w:line="240" w:lineRule="auto"/>
              <w:rPr>
                <w:noProof/>
                <w:sz w:val="18"/>
                <w:szCs w:val="18"/>
              </w:rPr>
            </w:pPr>
            <w:r>
              <w:rPr>
                <w:noProof/>
                <w:sz w:val="18"/>
              </w:rPr>
              <w:t>Número de EM representados</w:t>
            </w:r>
          </w:p>
        </w:tc>
        <w:tc>
          <w:tcPr>
            <w:tcW w:w="2858" w:type="dxa"/>
            <w:vAlign w:val="center"/>
          </w:tcPr>
          <w:p>
            <w:pPr>
              <w:spacing w:after="0" w:line="240" w:lineRule="auto"/>
              <w:rPr>
                <w:noProof/>
                <w:sz w:val="18"/>
                <w:szCs w:val="18"/>
              </w:rPr>
            </w:pPr>
            <w:r>
              <w:rPr>
                <w:noProof/>
                <w:sz w:val="18"/>
              </w:rPr>
              <w:t>Sin definir</w:t>
            </w:r>
          </w:p>
        </w:tc>
        <w:tc>
          <w:tcPr>
            <w:tcW w:w="2127" w:type="dxa"/>
            <w:vAlign w:val="center"/>
          </w:tcPr>
          <w:p>
            <w:pPr>
              <w:spacing w:after="0" w:line="240" w:lineRule="auto"/>
              <w:rPr>
                <w:noProof/>
                <w:sz w:val="18"/>
                <w:szCs w:val="18"/>
              </w:rPr>
            </w:pPr>
            <w:r>
              <w:rPr>
                <w:noProof/>
                <w:sz w:val="18"/>
              </w:rPr>
              <w:t>No</w:t>
            </w:r>
          </w:p>
        </w:tc>
        <w:tc>
          <w:tcPr>
            <w:tcW w:w="3969" w:type="dxa"/>
            <w:vAlign w:val="center"/>
          </w:tcPr>
          <w:p>
            <w:pPr>
              <w:spacing w:after="0" w:line="240" w:lineRule="auto"/>
              <w:rPr>
                <w:noProof/>
                <w:sz w:val="18"/>
                <w:szCs w:val="18"/>
              </w:rPr>
            </w:pPr>
            <w:r>
              <w:rPr>
                <w:noProof/>
                <w:sz w:val="18"/>
              </w:rPr>
              <w:t>n.d.</w:t>
            </w:r>
          </w:p>
        </w:tc>
        <w:tc>
          <w:tcPr>
            <w:tcW w:w="708" w:type="dxa"/>
            <w:textDirection w:val="btLr"/>
            <w:vAlign w:val="center"/>
          </w:tcPr>
          <w:p>
            <w:pPr>
              <w:spacing w:after="0" w:line="240" w:lineRule="auto"/>
              <w:ind w:left="113" w:right="113"/>
              <w:jc w:val="center"/>
              <w:rPr>
                <w:noProof/>
                <w:sz w:val="18"/>
                <w:szCs w:val="18"/>
              </w:rPr>
            </w:pPr>
            <w:r>
              <w:rPr>
                <w:noProof/>
                <w:sz w:val="18"/>
              </w:rPr>
              <w:t>No</w:t>
            </w:r>
          </w:p>
        </w:tc>
        <w:tc>
          <w:tcPr>
            <w:tcW w:w="718" w:type="dxa"/>
            <w:textDirection w:val="btLr"/>
            <w:vAlign w:val="center"/>
          </w:tcPr>
          <w:p>
            <w:pPr>
              <w:spacing w:after="0" w:line="240" w:lineRule="auto"/>
              <w:ind w:left="113" w:right="113"/>
              <w:jc w:val="center"/>
              <w:rPr>
                <w:noProof/>
                <w:sz w:val="18"/>
                <w:szCs w:val="18"/>
              </w:rPr>
            </w:pPr>
            <w:r>
              <w:rPr>
                <w:noProof/>
                <w:sz w:val="18"/>
              </w:rPr>
              <w:t>NO/NO</w:t>
            </w:r>
          </w:p>
        </w:tc>
      </w:tr>
      <w:tr>
        <w:trPr>
          <w:cantSplit/>
          <w:trHeight w:val="975"/>
        </w:trPr>
        <w:tc>
          <w:tcPr>
            <w:tcW w:w="392" w:type="dxa"/>
            <w:textDirection w:val="btLr"/>
          </w:tcPr>
          <w:p>
            <w:pPr>
              <w:spacing w:after="0" w:line="240" w:lineRule="auto"/>
              <w:ind w:left="113" w:right="113"/>
              <w:jc w:val="center"/>
              <w:rPr>
                <w:b/>
                <w:noProof/>
              </w:rPr>
            </w:pPr>
            <w:r>
              <w:rPr>
                <w:b/>
                <w:noProof/>
              </w:rPr>
              <w:t>Eurojust</w:t>
            </w:r>
          </w:p>
        </w:tc>
        <w:tc>
          <w:tcPr>
            <w:tcW w:w="3260" w:type="dxa"/>
            <w:vAlign w:val="center"/>
          </w:tcPr>
          <w:p>
            <w:pPr>
              <w:spacing w:after="0" w:line="240" w:lineRule="auto"/>
              <w:rPr>
                <w:noProof/>
                <w:sz w:val="18"/>
                <w:szCs w:val="18"/>
              </w:rPr>
            </w:pPr>
            <w:r>
              <w:rPr>
                <w:noProof/>
                <w:sz w:val="18"/>
              </w:rPr>
              <w:t>n.d.</w:t>
            </w:r>
          </w:p>
        </w:tc>
        <w:tc>
          <w:tcPr>
            <w:tcW w:w="2858" w:type="dxa"/>
            <w:vAlign w:val="center"/>
          </w:tcPr>
          <w:p>
            <w:pPr>
              <w:spacing w:after="0" w:line="240" w:lineRule="auto"/>
              <w:rPr>
                <w:noProof/>
                <w:sz w:val="18"/>
                <w:szCs w:val="18"/>
              </w:rPr>
            </w:pPr>
            <w:r>
              <w:rPr>
                <w:noProof/>
                <w:sz w:val="18"/>
              </w:rPr>
              <w:t>n.d.</w:t>
            </w:r>
          </w:p>
        </w:tc>
        <w:tc>
          <w:tcPr>
            <w:tcW w:w="2127" w:type="dxa"/>
            <w:vAlign w:val="center"/>
          </w:tcPr>
          <w:p>
            <w:pPr>
              <w:spacing w:after="0" w:line="240" w:lineRule="auto"/>
              <w:rPr>
                <w:noProof/>
                <w:sz w:val="18"/>
                <w:szCs w:val="18"/>
              </w:rPr>
            </w:pPr>
            <w:r>
              <w:rPr>
                <w:noProof/>
                <w:sz w:val="18"/>
              </w:rPr>
              <w:t>No se observa desequilibrio, pero el grupo de NL es el más numeroso</w:t>
            </w:r>
          </w:p>
        </w:tc>
        <w:tc>
          <w:tcPr>
            <w:tcW w:w="3969" w:type="dxa"/>
            <w:vAlign w:val="center"/>
          </w:tcPr>
          <w:p>
            <w:pPr>
              <w:spacing w:after="0" w:line="240" w:lineRule="auto"/>
              <w:rPr>
                <w:noProof/>
                <w:sz w:val="18"/>
                <w:szCs w:val="18"/>
              </w:rPr>
            </w:pPr>
            <w:r>
              <w:rPr>
                <w:noProof/>
                <w:sz w:val="18"/>
              </w:rPr>
              <w:t>Efecto sede</w:t>
            </w:r>
          </w:p>
        </w:tc>
        <w:tc>
          <w:tcPr>
            <w:tcW w:w="708" w:type="dxa"/>
            <w:textDirection w:val="btLr"/>
            <w:vAlign w:val="center"/>
          </w:tcPr>
          <w:p>
            <w:pPr>
              <w:spacing w:after="0" w:line="240" w:lineRule="auto"/>
              <w:ind w:left="113" w:right="113"/>
              <w:jc w:val="center"/>
              <w:rPr>
                <w:noProof/>
                <w:sz w:val="18"/>
                <w:szCs w:val="18"/>
              </w:rPr>
            </w:pPr>
            <w:r>
              <w:rPr>
                <w:noProof/>
                <w:sz w:val="18"/>
              </w:rPr>
              <w:t>No</w:t>
            </w:r>
          </w:p>
        </w:tc>
        <w:tc>
          <w:tcPr>
            <w:tcW w:w="718" w:type="dxa"/>
            <w:textDirection w:val="btLr"/>
            <w:vAlign w:val="center"/>
          </w:tcPr>
          <w:p>
            <w:pPr>
              <w:spacing w:after="0" w:line="240" w:lineRule="auto"/>
              <w:ind w:left="113" w:right="113"/>
              <w:jc w:val="center"/>
              <w:rPr>
                <w:noProof/>
                <w:sz w:val="18"/>
                <w:szCs w:val="18"/>
              </w:rPr>
            </w:pPr>
            <w:r>
              <w:rPr>
                <w:noProof/>
                <w:sz w:val="18"/>
              </w:rPr>
              <w:t>NO/NO</w:t>
            </w:r>
          </w:p>
        </w:tc>
      </w:tr>
      <w:tr>
        <w:trPr>
          <w:cantSplit/>
          <w:trHeight w:val="1401"/>
        </w:trPr>
        <w:tc>
          <w:tcPr>
            <w:tcW w:w="392" w:type="dxa"/>
            <w:textDirection w:val="btLr"/>
          </w:tcPr>
          <w:p>
            <w:pPr>
              <w:spacing w:after="0" w:line="240" w:lineRule="auto"/>
              <w:ind w:left="113" w:right="113"/>
              <w:jc w:val="center"/>
              <w:rPr>
                <w:b/>
                <w:noProof/>
              </w:rPr>
            </w:pPr>
            <w:r>
              <w:rPr>
                <w:b/>
                <w:noProof/>
              </w:rPr>
              <w:t>Frontex</w:t>
            </w:r>
          </w:p>
        </w:tc>
        <w:tc>
          <w:tcPr>
            <w:tcW w:w="3260" w:type="dxa"/>
            <w:vAlign w:val="center"/>
          </w:tcPr>
          <w:p>
            <w:pPr>
              <w:spacing w:after="0" w:line="240" w:lineRule="auto"/>
              <w:rPr>
                <w:noProof/>
                <w:sz w:val="18"/>
                <w:szCs w:val="18"/>
              </w:rPr>
            </w:pPr>
            <w:r>
              <w:rPr>
                <w:noProof/>
                <w:sz w:val="18"/>
              </w:rPr>
              <w:t>El equilibrio geográfico se evalúa a nivel global (todos los grupos de funciones juntos).</w:t>
            </w:r>
          </w:p>
          <w:p>
            <w:pPr>
              <w:spacing w:after="0" w:line="240" w:lineRule="auto"/>
              <w:rPr>
                <w:noProof/>
                <w:sz w:val="18"/>
                <w:szCs w:val="18"/>
              </w:rPr>
            </w:pPr>
            <w:r>
              <w:rPr>
                <w:noProof/>
                <w:sz w:val="18"/>
              </w:rPr>
              <w:t>Índice de referencia: una combinación de «igualdad de distribución» (todos los Estados miembros con igual peso) y la cuota de la población del Estado miembro pertinente en la población de la UE</w:t>
            </w:r>
          </w:p>
        </w:tc>
        <w:tc>
          <w:tcPr>
            <w:tcW w:w="2858" w:type="dxa"/>
            <w:vAlign w:val="center"/>
          </w:tcPr>
          <w:p>
            <w:pPr>
              <w:spacing w:after="0" w:line="240" w:lineRule="auto"/>
              <w:rPr>
                <w:noProof/>
                <w:sz w:val="18"/>
                <w:szCs w:val="18"/>
              </w:rPr>
            </w:pPr>
            <w:r>
              <w:rPr>
                <w:noProof/>
                <w:sz w:val="18"/>
              </w:rPr>
              <w:t>Se observa desequilibrio significativo cuando</w:t>
            </w:r>
          </w:p>
          <w:p>
            <w:pPr>
              <w:pStyle w:val="ListParagraph"/>
              <w:numPr>
                <w:ilvl w:val="0"/>
                <w:numId w:val="35"/>
              </w:numPr>
              <w:tabs>
                <w:tab w:val="num" w:pos="283"/>
              </w:tabs>
              <w:spacing w:after="0" w:line="240" w:lineRule="auto"/>
              <w:ind w:left="317" w:hanging="283"/>
              <w:rPr>
                <w:noProof/>
                <w:sz w:val="18"/>
                <w:szCs w:val="18"/>
              </w:rPr>
            </w:pPr>
            <w:r>
              <w:rPr>
                <w:noProof/>
                <w:sz w:val="18"/>
              </w:rPr>
              <w:t>una nacionalidad no está representada entre el personal</w:t>
            </w:r>
          </w:p>
          <w:p>
            <w:pPr>
              <w:pStyle w:val="ListParagraph"/>
              <w:numPr>
                <w:ilvl w:val="0"/>
                <w:numId w:val="35"/>
              </w:numPr>
              <w:tabs>
                <w:tab w:val="num" w:pos="283"/>
              </w:tabs>
              <w:spacing w:after="0" w:line="240" w:lineRule="auto"/>
              <w:ind w:left="317" w:hanging="283"/>
              <w:rPr>
                <w:noProof/>
                <w:sz w:val="18"/>
                <w:szCs w:val="18"/>
              </w:rPr>
            </w:pPr>
            <w:r>
              <w:rPr>
                <w:noProof/>
                <w:sz w:val="18"/>
              </w:rPr>
              <w:t>la cuota real de nacionales se desvía de la cuota de población en más de +/- 50 %</w:t>
            </w:r>
          </w:p>
        </w:tc>
        <w:tc>
          <w:tcPr>
            <w:tcW w:w="2127" w:type="dxa"/>
            <w:vAlign w:val="center"/>
          </w:tcPr>
          <w:p>
            <w:pPr>
              <w:spacing w:after="0" w:line="240" w:lineRule="auto"/>
              <w:rPr>
                <w:noProof/>
                <w:sz w:val="18"/>
                <w:szCs w:val="18"/>
              </w:rPr>
            </w:pPr>
            <w:r>
              <w:rPr>
                <w:noProof/>
                <w:sz w:val="18"/>
              </w:rPr>
              <w:t>Sí (tanto infrarrepresentación como sobrerrepresentación)</w:t>
            </w:r>
          </w:p>
        </w:tc>
        <w:tc>
          <w:tcPr>
            <w:tcW w:w="3969" w:type="dxa"/>
            <w:vAlign w:val="center"/>
          </w:tcPr>
          <w:p>
            <w:pPr>
              <w:spacing w:after="0" w:line="240" w:lineRule="auto"/>
              <w:rPr>
                <w:noProof/>
                <w:sz w:val="18"/>
                <w:szCs w:val="18"/>
              </w:rPr>
            </w:pPr>
            <w:r>
              <w:rPr>
                <w:noProof/>
                <w:sz w:val="18"/>
              </w:rPr>
              <w:t>Sin justificación objetiva.</w:t>
            </w:r>
          </w:p>
          <w:p>
            <w:pPr>
              <w:spacing w:after="0" w:line="240" w:lineRule="auto"/>
              <w:rPr>
                <w:noProof/>
                <w:sz w:val="18"/>
                <w:szCs w:val="18"/>
              </w:rPr>
            </w:pPr>
            <w:r>
              <w:rPr>
                <w:noProof/>
                <w:sz w:val="18"/>
              </w:rPr>
              <w:t>Sin embargo, el bajo coeficiente de corrección aplicable a Polonia resta atractivo a la agencia</w:t>
            </w:r>
          </w:p>
        </w:tc>
        <w:tc>
          <w:tcPr>
            <w:tcW w:w="708" w:type="dxa"/>
            <w:textDirection w:val="btLr"/>
            <w:vAlign w:val="center"/>
          </w:tcPr>
          <w:p>
            <w:pPr>
              <w:spacing w:after="0" w:line="240" w:lineRule="auto"/>
              <w:ind w:left="113" w:right="113"/>
              <w:jc w:val="center"/>
              <w:rPr>
                <w:noProof/>
                <w:sz w:val="18"/>
                <w:szCs w:val="18"/>
              </w:rPr>
            </w:pPr>
            <w:r>
              <w:rPr>
                <w:noProof/>
                <w:sz w:val="18"/>
              </w:rPr>
              <w:t>Sí (vinculado al coeficiente de corrección)</w:t>
            </w:r>
          </w:p>
        </w:tc>
        <w:tc>
          <w:tcPr>
            <w:tcW w:w="718" w:type="dxa"/>
            <w:textDirection w:val="btLr"/>
            <w:vAlign w:val="center"/>
          </w:tcPr>
          <w:p>
            <w:pPr>
              <w:spacing w:after="0" w:line="240" w:lineRule="auto"/>
              <w:ind w:left="113" w:right="113"/>
              <w:jc w:val="center"/>
              <w:rPr>
                <w:noProof/>
                <w:sz w:val="18"/>
                <w:szCs w:val="18"/>
              </w:rPr>
            </w:pPr>
            <w:r>
              <w:rPr>
                <w:noProof/>
                <w:sz w:val="18"/>
              </w:rPr>
              <w:t>NO/NO (a la espera de la iniciativa de la Comisión)</w:t>
            </w:r>
          </w:p>
        </w:tc>
      </w:tr>
    </w:tbl>
    <w:p>
      <w:pPr>
        <w:spacing w:after="0" w:line="240" w:lineRule="auto"/>
        <w:rPr>
          <w:rFonts w:ascii="Times New Roman" w:eastAsia="Times New Roman" w:hAnsi="Times New Roman" w:cs="Times New Roman"/>
          <w:noProof/>
          <w:sz w:val="24"/>
          <w:szCs w:val="20"/>
        </w:rPr>
        <w:sectPr>
          <w:headerReference w:type="even" r:id="rId78"/>
          <w:headerReference w:type="default" r:id="rId79"/>
          <w:footerReference w:type="even" r:id="rId80"/>
          <w:footerReference w:type="default" r:id="rId81"/>
          <w:headerReference w:type="first" r:id="rId82"/>
          <w:footerReference w:type="first" r:id="rId83"/>
          <w:pgSz w:w="16838" w:h="11906" w:orient="landscape"/>
          <w:pgMar w:top="1588" w:right="1021" w:bottom="1134" w:left="1021" w:header="601" w:footer="1077" w:gutter="0"/>
          <w:cols w:space="720"/>
          <w:docGrid w:linePitch="326"/>
        </w:sectPr>
      </w:pPr>
      <w:r>
        <w:rPr>
          <w:noProof/>
        </w:rPr>
        <w:br w:type="page"/>
      </w:r>
    </w:p>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Anexo 13: Distribución del personal del grupo de funciones AD por nacionalidad en las agencias descentralizadas de la UE (número total)</w:t>
      </w:r>
    </w:p>
    <w:p>
      <w:pPr>
        <w:spacing w:after="240" w:line="240" w:lineRule="auto"/>
        <w:jc w:val="both"/>
        <w:rPr>
          <w:rFonts w:ascii="Times New Roman" w:eastAsia="Times New Roman" w:hAnsi="Times New Roman" w:cs="Times New Roman"/>
          <w:b/>
          <w:noProof/>
          <w:sz w:val="24"/>
          <w:szCs w:val="20"/>
        </w:rPr>
      </w:pPr>
      <w:r>
        <w:rPr>
          <w:rFonts w:ascii="Arial" w:hAnsi="Arial"/>
          <w:b/>
          <w:noProof/>
          <w:sz w:val="18"/>
        </w:rPr>
        <w:t xml:space="preserve">Funcionarios y agentes temporales, situación a 1 de enero de 2017 (solo nacionales de la UE) </w:t>
      </w:r>
      <w:r>
        <w:rPr>
          <w:noProof/>
        </w:rPr>
        <w:tab/>
      </w:r>
      <w:r>
        <w:rPr>
          <w:rFonts w:ascii="Arial" w:eastAsia="Times New Roman" w:hAnsi="Arial" w:cs="Arial"/>
          <w:b/>
          <w:bCs/>
          <w:noProof/>
          <w:sz w:val="18"/>
          <w:szCs w:val="18"/>
        </w:rPr>
        <w:br/>
      </w:r>
      <w:r>
        <w:rPr>
          <w:rFonts w:ascii="Arial" w:hAnsi="Arial"/>
          <w:b/>
          <w:noProof/>
          <w:sz w:val="18"/>
        </w:rPr>
        <w:t>Fuente: Aportación de las agencias</w:t>
      </w:r>
    </w:p>
    <w:tbl>
      <w:tblPr>
        <w:tblW w:w="13528" w:type="dxa"/>
        <w:tblInd w:w="93" w:type="dxa"/>
        <w:tblLook w:val="04A0" w:firstRow="1" w:lastRow="0" w:firstColumn="1" w:lastColumn="0" w:noHBand="0" w:noVBand="1"/>
      </w:tblPr>
      <w:tblGrid>
        <w:gridCol w:w="1660"/>
        <w:gridCol w:w="700"/>
        <w:gridCol w:w="620"/>
        <w:gridCol w:w="580"/>
        <w:gridCol w:w="580"/>
        <w:gridCol w:w="580"/>
        <w:gridCol w:w="560"/>
        <w:gridCol w:w="560"/>
        <w:gridCol w:w="560"/>
        <w:gridCol w:w="560"/>
        <w:gridCol w:w="560"/>
        <w:gridCol w:w="560"/>
        <w:gridCol w:w="580"/>
        <w:gridCol w:w="580"/>
        <w:gridCol w:w="580"/>
        <w:gridCol w:w="580"/>
        <w:gridCol w:w="580"/>
        <w:gridCol w:w="580"/>
        <w:gridCol w:w="648"/>
        <w:gridCol w:w="580"/>
        <w:gridCol w:w="740"/>
      </w:tblGrid>
      <w:tr>
        <w:trPr>
          <w:trHeight w:val="944"/>
        </w:trPr>
        <w:tc>
          <w:tcPr>
            <w:tcW w:w="166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Funcionarios y agentes temporales AD</w:t>
            </w:r>
          </w:p>
        </w:tc>
        <w:tc>
          <w:tcPr>
            <w:tcW w:w="700"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ACER</w:t>
            </w:r>
          </w:p>
        </w:tc>
        <w:tc>
          <w:tcPr>
            <w:tcW w:w="620"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CEDEFOP</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CEPOL</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OCVV</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ECDC</w:t>
            </w:r>
          </w:p>
        </w:tc>
        <w:tc>
          <w:tcPr>
            <w:tcW w:w="560"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AESA</w:t>
            </w:r>
          </w:p>
        </w:tc>
        <w:tc>
          <w:tcPr>
            <w:tcW w:w="560"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AEMA</w:t>
            </w:r>
          </w:p>
        </w:tc>
        <w:tc>
          <w:tcPr>
            <w:tcW w:w="560"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AESPJ</w:t>
            </w:r>
          </w:p>
        </w:tc>
        <w:tc>
          <w:tcPr>
            <w:tcW w:w="560"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EFSA</w:t>
            </w:r>
          </w:p>
        </w:tc>
        <w:tc>
          <w:tcPr>
            <w:tcW w:w="560"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EMA</w:t>
            </w:r>
          </w:p>
        </w:tc>
        <w:tc>
          <w:tcPr>
            <w:tcW w:w="560"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OEDT</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AESM (**)</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ENISA</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ETF</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EUIPO</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EU-LISA</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Eurofound</w:t>
            </w:r>
          </w:p>
        </w:tc>
        <w:tc>
          <w:tcPr>
            <w:tcW w:w="648"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Eurojust</w:t>
            </w:r>
            <w:r>
              <w:rPr>
                <w:rFonts w:ascii="Arial" w:eastAsia="Times New Roman" w:hAnsi="Arial" w:cs="Arial"/>
                <w:b/>
                <w:bCs/>
                <w:noProof/>
                <w:sz w:val="16"/>
                <w:szCs w:val="16"/>
              </w:rPr>
              <w:br/>
            </w:r>
            <w:r>
              <w:rPr>
                <w:rFonts w:ascii="Arial" w:hAnsi="Arial"/>
                <w:b/>
                <w:noProof/>
                <w:sz w:val="16"/>
              </w:rPr>
              <w:t>(*)</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Frontex</w:t>
            </w:r>
          </w:p>
        </w:tc>
        <w:tc>
          <w:tcPr>
            <w:tcW w:w="740" w:type="dxa"/>
            <w:tcBorders>
              <w:top w:val="single" w:sz="4" w:space="0" w:color="auto"/>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Total</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Bélgica</w:t>
            </w:r>
          </w:p>
        </w:tc>
        <w:tc>
          <w:tcPr>
            <w:tcW w:w="700" w:type="dxa"/>
            <w:tcBorders>
              <w:top w:val="single"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62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w:t>
            </w:r>
          </w:p>
        </w:tc>
        <w:tc>
          <w:tcPr>
            <w:tcW w:w="58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56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18</w:t>
            </w:r>
          </w:p>
        </w:tc>
        <w:tc>
          <w:tcPr>
            <w:tcW w:w="56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6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6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23</w:t>
            </w:r>
          </w:p>
        </w:tc>
        <w:tc>
          <w:tcPr>
            <w:tcW w:w="56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15</w:t>
            </w:r>
          </w:p>
        </w:tc>
        <w:tc>
          <w:tcPr>
            <w:tcW w:w="56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58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13</w:t>
            </w:r>
          </w:p>
        </w:tc>
        <w:tc>
          <w:tcPr>
            <w:tcW w:w="58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648"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580" w:type="dxa"/>
            <w:tcBorders>
              <w:top w:val="single"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124</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Bulgaria</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42</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Chequia</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25</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Dinamarca</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29</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Alemania</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14</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28</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36</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262</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Estonia</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10</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Irlanda</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52</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Grecia</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28</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126</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España</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18</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15</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48</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228</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Francia</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125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17</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56</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26</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17</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314</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Croacia</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5</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Italia</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74</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78</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295</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Chipre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6</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Letonia</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18</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Lituania</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17</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Luxemburgo</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7</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Hungría</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49</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Malta</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7</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Países Bajos</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26</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84</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Austria</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52</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Polonia</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23</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72</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Portugal</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28</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121</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Rumanía</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13</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76</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Eslovenia</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24</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Eslovaquia</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23</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Finlandia</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34</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Suecia</w:t>
            </w:r>
          </w:p>
        </w:tc>
        <w:tc>
          <w:tcPr>
            <w:tcW w:w="700"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38</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Reino Unido</w:t>
            </w:r>
          </w:p>
        </w:tc>
        <w:tc>
          <w:tcPr>
            <w:tcW w:w="700" w:type="dxa"/>
            <w:tcBorders>
              <w:top w:val="dotted" w:sz="4" w:space="0" w:color="auto"/>
              <w:left w:val="nil"/>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62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w:t>
            </w:r>
          </w:p>
        </w:tc>
        <w:tc>
          <w:tcPr>
            <w:tcW w:w="56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43</w:t>
            </w:r>
          </w:p>
        </w:tc>
        <w:tc>
          <w:tcPr>
            <w:tcW w:w="56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56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56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13</w:t>
            </w:r>
          </w:p>
        </w:tc>
        <w:tc>
          <w:tcPr>
            <w:tcW w:w="56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36</w:t>
            </w:r>
          </w:p>
        </w:tc>
        <w:tc>
          <w:tcPr>
            <w:tcW w:w="56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w:t>
            </w:r>
          </w:p>
        </w:tc>
        <w:tc>
          <w:tcPr>
            <w:tcW w:w="58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w:t>
            </w:r>
          </w:p>
        </w:tc>
        <w:tc>
          <w:tcPr>
            <w:tcW w:w="58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w:t>
            </w:r>
          </w:p>
        </w:tc>
        <w:tc>
          <w:tcPr>
            <w:tcW w:w="58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12</w:t>
            </w:r>
          </w:p>
        </w:tc>
        <w:tc>
          <w:tcPr>
            <w:tcW w:w="58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w:t>
            </w:r>
          </w:p>
        </w:tc>
        <w:tc>
          <w:tcPr>
            <w:tcW w:w="648"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w:t>
            </w:r>
          </w:p>
        </w:tc>
        <w:tc>
          <w:tcPr>
            <w:tcW w:w="580" w:type="dxa"/>
            <w:tcBorders>
              <w:top w:val="dotted" w:sz="4" w:space="0" w:color="auto"/>
              <w:left w:val="dotted" w:sz="4" w:space="0" w:color="auto"/>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noProof/>
                <w:sz w:val="16"/>
                <w:szCs w:val="16"/>
              </w:rPr>
            </w:pPr>
            <w:r>
              <w:rPr>
                <w:rFonts w:ascii="Arial" w:hAnsi="Arial"/>
                <w:b/>
                <w:noProof/>
                <w:sz w:val="16"/>
              </w:rPr>
              <w:t>164</w:t>
            </w:r>
          </w:p>
        </w:tc>
      </w:tr>
      <w:tr>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Total</w:t>
            </w:r>
          </w:p>
        </w:tc>
        <w:tc>
          <w:tcPr>
            <w:tcW w:w="70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48</w:t>
            </w:r>
          </w:p>
        </w:tc>
        <w:tc>
          <w:tcPr>
            <w:tcW w:w="62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90</w:t>
            </w:r>
          </w:p>
        </w:tc>
        <w:tc>
          <w:tcPr>
            <w:tcW w:w="58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17</w:t>
            </w:r>
          </w:p>
        </w:tc>
        <w:tc>
          <w:tcPr>
            <w:tcW w:w="58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12</w:t>
            </w:r>
          </w:p>
        </w:tc>
        <w:tc>
          <w:tcPr>
            <w:tcW w:w="58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106</w:t>
            </w:r>
          </w:p>
        </w:tc>
        <w:tc>
          <w:tcPr>
            <w:tcW w:w="5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544</w:t>
            </w:r>
          </w:p>
        </w:tc>
        <w:tc>
          <w:tcPr>
            <w:tcW w:w="5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59</w:t>
            </w:r>
          </w:p>
        </w:tc>
        <w:tc>
          <w:tcPr>
            <w:tcW w:w="5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74</w:t>
            </w:r>
          </w:p>
        </w:tc>
        <w:tc>
          <w:tcPr>
            <w:tcW w:w="5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212</w:t>
            </w:r>
          </w:p>
        </w:tc>
        <w:tc>
          <w:tcPr>
            <w:tcW w:w="5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330</w:t>
            </w:r>
          </w:p>
        </w:tc>
        <w:tc>
          <w:tcPr>
            <w:tcW w:w="56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47</w:t>
            </w:r>
          </w:p>
        </w:tc>
        <w:tc>
          <w:tcPr>
            <w:tcW w:w="58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132</w:t>
            </w:r>
          </w:p>
        </w:tc>
        <w:tc>
          <w:tcPr>
            <w:tcW w:w="58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26</w:t>
            </w:r>
          </w:p>
        </w:tc>
        <w:tc>
          <w:tcPr>
            <w:tcW w:w="58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52</w:t>
            </w:r>
          </w:p>
        </w:tc>
        <w:tc>
          <w:tcPr>
            <w:tcW w:w="58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230</w:t>
            </w:r>
          </w:p>
        </w:tc>
        <w:tc>
          <w:tcPr>
            <w:tcW w:w="58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72</w:t>
            </w:r>
          </w:p>
        </w:tc>
        <w:tc>
          <w:tcPr>
            <w:tcW w:w="58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47</w:t>
            </w:r>
          </w:p>
        </w:tc>
        <w:tc>
          <w:tcPr>
            <w:tcW w:w="648"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71</w:t>
            </w:r>
          </w:p>
        </w:tc>
        <w:tc>
          <w:tcPr>
            <w:tcW w:w="58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135</w:t>
            </w:r>
          </w:p>
        </w:tc>
        <w:tc>
          <w:tcPr>
            <w:tcW w:w="740"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2.304</w:t>
            </w:r>
          </w:p>
        </w:tc>
      </w:tr>
    </w:tbl>
    <w:p>
      <w:pPr>
        <w:spacing w:after="240" w:line="240" w:lineRule="auto"/>
        <w:jc w:val="both"/>
        <w:rPr>
          <w:rFonts w:ascii="Arial" w:eastAsia="Times New Roman" w:hAnsi="Arial" w:cs="Arial"/>
          <w:b/>
          <w:bCs/>
          <w:noProof/>
          <w:sz w:val="16"/>
          <w:szCs w:val="16"/>
        </w:rPr>
      </w:pPr>
      <w:r>
        <w:rPr>
          <w:rFonts w:ascii="Arial" w:hAnsi="Arial"/>
          <w:b/>
          <w:noProof/>
          <w:sz w:val="16"/>
        </w:rPr>
        <w:t>*: 0,5 ETC convertido a 1     **:  solo AT</w:t>
      </w:r>
      <w:r>
        <w:rPr>
          <w:noProof/>
        </w:rPr>
        <w:br w:type="page"/>
      </w:r>
    </w:p>
    <w:p>
      <w:pPr>
        <w:spacing w:after="120" w:line="240" w:lineRule="auto"/>
        <w:jc w:val="both"/>
        <w:rPr>
          <w:rFonts w:ascii="Times New Roman" w:eastAsia="Times New Roman" w:hAnsi="Times New Roman" w:cs="Times New Roman"/>
          <w:b/>
          <w:noProof/>
          <w:sz w:val="24"/>
          <w:szCs w:val="20"/>
        </w:rPr>
      </w:pPr>
      <w:r>
        <w:rPr>
          <w:rFonts w:ascii="Times New Roman" w:hAnsi="Times New Roman"/>
          <w:b/>
          <w:noProof/>
          <w:sz w:val="24"/>
        </w:rPr>
        <w:t>Anexo 14: Distribución del personal del grupo de funciones AD por nacionalidad en las agencias descentralizadas de la UE (porcentaje de personal AD)</w:t>
      </w:r>
    </w:p>
    <w:p>
      <w:pPr>
        <w:spacing w:after="120" w:line="240" w:lineRule="auto"/>
        <w:jc w:val="both"/>
        <w:rPr>
          <w:rFonts w:ascii="Times New Roman" w:eastAsia="Times New Roman" w:hAnsi="Times New Roman" w:cs="Times New Roman"/>
          <w:b/>
          <w:noProof/>
          <w:sz w:val="24"/>
          <w:szCs w:val="20"/>
        </w:rPr>
      </w:pPr>
      <w:r>
        <w:rPr>
          <w:rFonts w:ascii="Arial" w:hAnsi="Arial"/>
          <w:b/>
          <w:noProof/>
          <w:sz w:val="18"/>
        </w:rPr>
        <w:t>Funcionarios y agentes temporales, situación a 1 de enero de 2017 - Distribución (solo nacionales de la UE)</w:t>
      </w:r>
      <w:r>
        <w:rPr>
          <w:noProof/>
        </w:rPr>
        <w:tab/>
      </w:r>
      <w:r>
        <w:rPr>
          <w:rFonts w:ascii="Arial" w:eastAsia="Times New Roman" w:hAnsi="Arial" w:cs="Arial"/>
          <w:b/>
          <w:bCs/>
          <w:noProof/>
          <w:sz w:val="18"/>
          <w:szCs w:val="18"/>
        </w:rPr>
        <w:br/>
      </w:r>
      <w:r>
        <w:rPr>
          <w:rFonts w:ascii="Arial" w:hAnsi="Arial"/>
          <w:b/>
          <w:noProof/>
          <w:sz w:val="18"/>
        </w:rPr>
        <w:t>Fuente: Aportación de las agencias</w:t>
      </w:r>
    </w:p>
    <w:tbl>
      <w:tblPr>
        <w:tblW w:w="14919" w:type="dxa"/>
        <w:tblInd w:w="93" w:type="dxa"/>
        <w:tblLook w:val="04A0" w:firstRow="1" w:lastRow="0" w:firstColumn="1" w:lastColumn="0" w:noHBand="0" w:noVBand="1"/>
      </w:tblPr>
      <w:tblGrid>
        <w:gridCol w:w="1476"/>
        <w:gridCol w:w="679"/>
        <w:gridCol w:w="670"/>
        <w:gridCol w:w="670"/>
        <w:gridCol w:w="670"/>
        <w:gridCol w:w="670"/>
        <w:gridCol w:w="670"/>
        <w:gridCol w:w="670"/>
        <w:gridCol w:w="670"/>
        <w:gridCol w:w="670"/>
        <w:gridCol w:w="670"/>
        <w:gridCol w:w="670"/>
        <w:gridCol w:w="670"/>
        <w:gridCol w:w="670"/>
        <w:gridCol w:w="670"/>
        <w:gridCol w:w="670"/>
        <w:gridCol w:w="670"/>
        <w:gridCol w:w="670"/>
        <w:gridCol w:w="670"/>
        <w:gridCol w:w="670"/>
        <w:gridCol w:w="704"/>
      </w:tblGrid>
      <w:tr>
        <w:trPr>
          <w:trHeight w:val="990"/>
        </w:trPr>
        <w:tc>
          <w:tcPr>
            <w:tcW w:w="1612"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Funcionarios y agentes temporales AD</w:t>
            </w:r>
          </w:p>
        </w:tc>
        <w:tc>
          <w:tcPr>
            <w:tcW w:w="684"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ACER</w:t>
            </w:r>
          </w:p>
        </w:tc>
        <w:tc>
          <w:tcPr>
            <w:tcW w:w="662"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CEDEFOP</w:t>
            </w:r>
          </w:p>
        </w:tc>
        <w:tc>
          <w:tcPr>
            <w:tcW w:w="662"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CEPOL</w:t>
            </w:r>
          </w:p>
        </w:tc>
        <w:tc>
          <w:tcPr>
            <w:tcW w:w="662"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OCVV</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ECDC</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AESA</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AEMA</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AESPJ</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EFSA</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EMA</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OEDT</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AESM (*)</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ENISA</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ETF</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EUIPO</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EU-LISA</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Eurofound</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Eurojust</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Frontex</w:t>
            </w:r>
          </w:p>
        </w:tc>
        <w:tc>
          <w:tcPr>
            <w:tcW w:w="722" w:type="dxa"/>
            <w:tcBorders>
              <w:top w:val="single" w:sz="4" w:space="0" w:color="auto"/>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Total</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Bélgica</w:t>
            </w:r>
          </w:p>
        </w:tc>
        <w:tc>
          <w:tcPr>
            <w:tcW w:w="684" w:type="dxa"/>
            <w:tcBorders>
              <w:top w:val="single"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2"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2"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2"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7 %</w:t>
            </w:r>
          </w:p>
        </w:tc>
        <w:tc>
          <w:tcPr>
            <w:tcW w:w="661" w:type="dxa"/>
            <w:tcBorders>
              <w:top w:val="single"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Bulgaria</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Chequia</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Dinamarca</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Alemania</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11 %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Estonia</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Irlanda</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Grecia</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31 %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España</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10 %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Francia</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14 %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Croacia</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Italia</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13 %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13 %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Chipre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Letonia</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Lituania</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Luxemburgo</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Hungría</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18 %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Malta</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0 %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Países Bajos</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4 %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Austria</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9 %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Polonia</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17 %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Portugal</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5 %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Rumanía</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3 %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Eslovenia</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21 %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Eslovaquia</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Finlandia</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1 %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Suecia</w:t>
            </w:r>
          </w:p>
        </w:tc>
        <w:tc>
          <w:tcPr>
            <w:tcW w:w="684" w:type="dxa"/>
            <w:tcBorders>
              <w:top w:val="dotted" w:sz="4" w:space="0" w:color="auto"/>
              <w:left w:val="nil"/>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2 %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Reino Unido</w:t>
            </w:r>
          </w:p>
        </w:tc>
        <w:tc>
          <w:tcPr>
            <w:tcW w:w="684" w:type="dxa"/>
            <w:tcBorders>
              <w:top w:val="dotted" w:sz="4" w:space="0" w:color="auto"/>
              <w:left w:val="nil"/>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2"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10 %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17 %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7 %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13 %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Cs/>
                <w:noProof/>
                <w:sz w:val="16"/>
                <w:szCs w:val="16"/>
              </w:rPr>
            </w:pPr>
            <w:r>
              <w:rPr>
                <w:rFonts w:ascii="Arial" w:hAnsi="Arial"/>
                <w:noProof/>
                <w:sz w:val="16"/>
              </w:rPr>
              <w:t>4 %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7 %</w:t>
            </w:r>
          </w:p>
        </w:tc>
      </w:tr>
      <w:tr>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noProof/>
                <w:sz w:val="16"/>
                <w:szCs w:val="16"/>
              </w:rPr>
            </w:pPr>
            <w:r>
              <w:rPr>
                <w:rFonts w:ascii="Arial" w:hAnsi="Arial"/>
                <w:b/>
                <w:noProof/>
                <w:sz w:val="16"/>
              </w:rPr>
              <w:t>Total</w:t>
            </w:r>
          </w:p>
        </w:tc>
        <w:tc>
          <w:tcPr>
            <w:tcW w:w="684"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722" w:type="dxa"/>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Arial" w:eastAsia="Times New Roman" w:hAnsi="Arial" w:cs="Arial"/>
                <w:b/>
                <w:bCs/>
                <w:noProof/>
                <w:sz w:val="16"/>
                <w:szCs w:val="16"/>
              </w:rPr>
            </w:pPr>
            <w:r>
              <w:rPr>
                <w:rFonts w:ascii="Arial" w:hAnsi="Arial"/>
                <w:b/>
                <w:noProof/>
                <w:sz w:val="16"/>
              </w:rPr>
              <w:t>100 %</w:t>
            </w:r>
          </w:p>
        </w:tc>
      </w:tr>
    </w:tbl>
    <w:p>
      <w:pPr>
        <w:spacing w:after="240" w:line="240" w:lineRule="auto"/>
        <w:jc w:val="both"/>
        <w:rPr>
          <w:rFonts w:ascii="Times New Roman" w:eastAsia="Times New Roman" w:hAnsi="Times New Roman" w:cs="Times New Roman"/>
          <w:b/>
          <w:noProof/>
          <w:sz w:val="24"/>
          <w:szCs w:val="20"/>
        </w:rPr>
      </w:pPr>
      <w:r>
        <w:rPr>
          <w:rFonts w:ascii="Arial" w:hAnsi="Arial"/>
          <w:b/>
          <w:noProof/>
          <w:sz w:val="16"/>
        </w:rPr>
        <w:t>*: solo AT</w:t>
      </w:r>
    </w:p>
    <w:sectPr>
      <w:headerReference w:type="even" r:id="rId84"/>
      <w:headerReference w:type="default" r:id="rId85"/>
      <w:footerReference w:type="even" r:id="rId86"/>
      <w:footerReference w:type="default" r:id="rId87"/>
      <w:headerReference w:type="first" r:id="rId88"/>
      <w:footerReference w:type="first" r:id="rId89"/>
      <w:pgSz w:w="16838" w:h="11906" w:orient="landscape"/>
      <w:pgMar w:top="907" w:right="1021" w:bottom="1134" w:left="1021"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40656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1833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pPr>
      <w:pStyle w:val="FooterLandscape"/>
      <w:spacing w:before="24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ab/>
    </w: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26878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1173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pPr>
      <w:pStyle w:val="FooterLandscape"/>
      <w:spacing w:before="24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ab/>
    </w:r>
    <w: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00407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7134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pPr>
      <w:pStyle w:val="FooterLandscape"/>
      <w:spacing w:before="24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ab/>
    </w:r>
    <w: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51523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0510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pPr>
      <w:pStyle w:val="FooterLandscape"/>
      <w:spacing w:before="24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ab/>
    </w:r>
    <w:r>
      <w:tab/>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7066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6748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pPr>
      <w:pStyle w:val="FooterLandscape"/>
      <w:spacing w:before="24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ab/>
    </w:r>
    <w:r>
      <w:tab/>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27367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8021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pPr>
      <w:pStyle w:val="FooterLandscape"/>
      <w:spacing w:before="24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ab/>
    </w:r>
    <w:r>
      <w:tab/>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35260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63993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pPr>
      <w:pStyle w:val="FooterLandscape"/>
      <w:spacing w:befor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ab/>
    </w:r>
    <w:r>
      <w:tab/>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46231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80830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42</w:t>
        </w:r>
        <w:r>
          <w:rPr>
            <w:noProof/>
          </w:rPr>
          <w:fldChar w:fldCharType="end"/>
        </w:r>
      </w:p>
    </w:sdtContent>
  </w:sdt>
  <w:p>
    <w:pPr>
      <w:pStyle w:val="FooterLandscape"/>
      <w:spacing w:before="24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ab/>
    </w:r>
    <w:r>
      <w:tab/>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49591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3931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pPr>
      <w:pStyle w:val="FooterLandscape"/>
      <w:spacing w:before="240"/>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ab/>
    </w:r>
    <w:r>
      <w:tab/>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72896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4840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48</w:t>
        </w:r>
        <w:r>
          <w:rPr>
            <w:noProof/>
          </w:rPr>
          <w:fldChar w:fldCharType="end"/>
        </w:r>
      </w:p>
    </w:sdtContent>
  </w:sdt>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84688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850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ind w:right="2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2829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02091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9085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 xml:space="preserve">El artículo 9 del Tratado de la Unión Europea reza que «la Unión respetará en todas sus actividades el principio de la igualdad de sus ciudadanos». Análogamente, en el artículo 1 </w:t>
      </w:r>
      <w:r>
        <w:rPr>
          <w:i/>
        </w:rPr>
        <w:t>quinquies</w:t>
      </w:r>
      <w:r>
        <w:t xml:space="preserve"> del Estatuto se establece que queda prohibida toda discriminación por cualquier razón. Asimismo, el artículo 27 del Estatuto prohíbe reservar puestos de trabajo a nacionales de un Estado miembro determinado. Véase el anexo I para obtener una descripción más detallada del marco jurídico.</w:t>
      </w:r>
    </w:p>
  </w:footnote>
  <w:footnote w:id="2">
    <w:p>
      <w:pPr>
        <w:pStyle w:val="FootnoteText"/>
      </w:pPr>
      <w:r>
        <w:rPr>
          <w:rStyle w:val="FootnoteReference"/>
        </w:rPr>
        <w:footnoteRef/>
      </w:r>
      <w:r>
        <w:t xml:space="preserve"> </w:t>
      </w:r>
      <w:r>
        <w:tab/>
        <w:t>En este contexto, el legislador ha adoptado en el pasado reglamentos específicos destinados a limitar las contrataciones y a permitir la reserva de puestos de trabajo a nacionales de uno o más Estados miembros; esto sucedía habitualmente en el contexto de las ampliaciones de la Unión.</w:t>
      </w:r>
    </w:p>
  </w:footnote>
  <w:footnote w:id="3">
    <w:p>
      <w:pPr>
        <w:pStyle w:val="FootnoteText"/>
      </w:pPr>
      <w:r>
        <w:rPr>
          <w:rStyle w:val="FootnoteReference"/>
        </w:rPr>
        <w:footnoteRef/>
      </w:r>
      <w:r>
        <w:t xml:space="preserve"> </w:t>
      </w:r>
      <w:r>
        <w:tab/>
        <w:t>Véase, por ejemplo, la sentencia del Tribunal de Justicia de 30 de junio de 1983, en el asunto 85/82, Schloh / Consejo, apartado 26.</w:t>
      </w:r>
    </w:p>
  </w:footnote>
  <w:footnote w:id="4">
    <w:p>
      <w:pPr>
        <w:pStyle w:val="FootnoteText"/>
      </w:pPr>
      <w:r>
        <w:rPr>
          <w:rStyle w:val="FootnoteReference"/>
        </w:rPr>
        <w:footnoteRef/>
      </w:r>
      <w:r>
        <w:t xml:space="preserve"> </w:t>
      </w:r>
      <w:r>
        <w:tab/>
        <w:t xml:space="preserve">Véase la Comunicación de la Comisión del señor Van Miert, SEC(1994) 844, de 17 de mayo de 1994, con ocasión de la adhesión de Austria, Finlandia y Suecia. </w:t>
      </w:r>
    </w:p>
  </w:footnote>
  <w:footnote w:id="5">
    <w:p>
      <w:pPr>
        <w:pStyle w:val="FootnoteText"/>
      </w:pPr>
      <w:r>
        <w:rPr>
          <w:rStyle w:val="FootnoteReference"/>
        </w:rPr>
        <w:footnoteRef/>
      </w:r>
      <w:r>
        <w:t xml:space="preserve"> </w:t>
      </w:r>
      <w:r>
        <w:tab/>
        <w:t>Véase la Comunicación del señor Kinnock relativa a la contratación de funcionarios de la Comisión originarios de los nuevos Estados miembros, de 14 de febrero de 2003, C(2003)436/5, adoptada el 19 de febrero de 2003; Comunicación del señor Kallas C(2006)5778 relativa a la contratación de funcionarios de la Comisión y agentes temporales originarios de Bulgaria y Rumanía, de 24 de noviembre de 2006, adoptada mediante procedimiento escrito el 1 de diciembre de 2006 [SEC(2006)1574/5]; Comunicación del vicepresidente Šefčovič relativa a la contratación de funcionarios y agentes temporales de la Comisión originarios de Croacia, de 12 de julio de 2012 [SEC(2012)436 final)].</w:t>
      </w:r>
    </w:p>
  </w:footnote>
  <w:footnote w:id="6">
    <w:p>
      <w:pPr>
        <w:pStyle w:val="FootnoteText"/>
      </w:pPr>
      <w:r>
        <w:rPr>
          <w:rStyle w:val="FootnoteReference"/>
        </w:rPr>
        <w:footnoteRef/>
      </w:r>
      <w:r>
        <w:t xml:space="preserve"> </w:t>
      </w:r>
      <w:r>
        <w:tab/>
        <w:t xml:space="preserve">No obstante, los miembros del personal deben declarar si son o han sido nacionales del Estado miembro en cuyo territorio se sitúa su puesto de trabajo. </w:t>
      </w:r>
    </w:p>
  </w:footnote>
  <w:footnote w:id="7">
    <w:p>
      <w:pPr>
        <w:pStyle w:val="FootnoteText"/>
      </w:pPr>
      <w:r>
        <w:rPr>
          <w:rStyle w:val="FootnoteReference"/>
        </w:rPr>
        <w:footnoteRef/>
      </w:r>
      <w:r>
        <w:t xml:space="preserve"> </w:t>
      </w:r>
      <w:r>
        <w:tab/>
        <w:t>Salvo que aporten pruebas que acrediten que han renunciado irrevocablemente a la nacionalidad británica.</w:t>
      </w:r>
    </w:p>
  </w:footnote>
  <w:footnote w:id="8">
    <w:p>
      <w:pPr>
        <w:pStyle w:val="FootnoteText"/>
      </w:pPr>
      <w:r>
        <w:rPr>
          <w:rStyle w:val="FootnoteReference"/>
        </w:rPr>
        <w:footnoteRef/>
      </w:r>
      <w:r>
        <w:t xml:space="preserve"> </w:t>
      </w:r>
      <w:r>
        <w:tab/>
        <w:t>Este método se aparta del método anterior de atribuir un coeficiente corrector a los tres Estados miembros fundadores más grandes (Alemania, Francia e Italia) y no ofrece la garantía de estabilidad con el tiempo. De hecho, de los tres criterios objetivos, uno es volátil (la población, como se muestra en el anexo 4), y el segundo, aunque aún se menciona en el Tratado, dejó de aplicarse en abril de 2017 (la ponderación de los votos en el Consejo). No obstante, las ventajas de esta solución compensan ampliamente sus inconvenientes.</w:t>
      </w:r>
    </w:p>
  </w:footnote>
  <w:footnote w:id="9">
    <w:p>
      <w:pPr>
        <w:pStyle w:val="FootnoteText"/>
      </w:pPr>
      <w:r>
        <w:rPr>
          <w:rStyle w:val="FootnoteReference"/>
        </w:rPr>
        <w:footnoteRef/>
      </w:r>
      <w:r>
        <w:t xml:space="preserve"> </w:t>
      </w:r>
      <w:r>
        <w:tab/>
        <w:t>Por ejemplo, con respecto a los directores generales, la Comisión definió como «un objetivo deseable que cada nacionalidad ostentara como mínimo una función correspondiente al puesto básico de director general. El Comisario responsable de Personal y Administración (…) informará al Colegio de Comisarios (…) sobre el equilibrio geográfico de los altos funcionarios dos veces al año» (Documento de compilación sobre la política de altos funcionarios, SEC(2004)1352/2, aprobado el 26 de octubre de 2004, PV 1676).</w:t>
      </w:r>
    </w:p>
  </w:footnote>
  <w:footnote w:id="10">
    <w:p>
      <w:pPr>
        <w:pStyle w:val="FootnoteText"/>
      </w:pPr>
      <w:r>
        <w:rPr>
          <w:rStyle w:val="FootnoteReference"/>
        </w:rPr>
        <w:footnoteRef/>
      </w:r>
      <w:r>
        <w:t xml:space="preserve"> </w:t>
      </w:r>
      <w:r>
        <w:tab/>
        <w:t>La promoción desde el grado AD5 (el grado de contratación más habitual) hasta el grado AD9 requiere una media de doce años, mientras que el periodo más corto posible admitido por el Estatuto es de ocho años.</w:t>
      </w:r>
    </w:p>
  </w:footnote>
  <w:footnote w:id="11">
    <w:p>
      <w:pPr>
        <w:pStyle w:val="FootnoteText"/>
      </w:pPr>
      <w:r>
        <w:rPr>
          <w:rStyle w:val="FootnoteReference"/>
        </w:rPr>
        <w:footnoteRef/>
      </w:r>
      <w:r>
        <w:t xml:space="preserve"> </w:t>
      </w:r>
      <w:r>
        <w:tab/>
        <w:t>Es decir, todos los Estados miembros que se convirtieron en miembros de la Unión Europea antes de 2004.</w:t>
      </w:r>
    </w:p>
  </w:footnote>
  <w:footnote w:id="12">
    <w:p>
      <w:pPr>
        <w:pStyle w:val="FootnoteText"/>
      </w:pPr>
      <w:r>
        <w:rPr>
          <w:rStyle w:val="FootnoteReference"/>
        </w:rPr>
        <w:footnoteRef/>
      </w:r>
      <w:r>
        <w:t xml:space="preserve"> </w:t>
      </w:r>
      <w:r>
        <w:tab/>
        <w:t>Es decir, todos los Estados miembros que se adhirieron antes de 2004, sin incluir el Reino Unido.</w:t>
      </w:r>
    </w:p>
  </w:footnote>
  <w:footnote w:id="13">
    <w:p>
      <w:pPr>
        <w:pStyle w:val="FootnoteText"/>
      </w:pPr>
      <w:r>
        <w:rPr>
          <w:rStyle w:val="FootnoteReference"/>
        </w:rPr>
        <w:footnoteRef/>
      </w:r>
      <w:r>
        <w:t xml:space="preserve"> </w:t>
      </w:r>
      <w:r>
        <w:tab/>
        <w:t>Asimismo, las oposiciones generales al grado AD5 parecen sufrir un sesgo similar, con la adición de las nacionalidades neerlandesa, húngara y rumana a las nacionalidades con representación suficiente.</w:t>
      </w:r>
    </w:p>
  </w:footnote>
  <w:footnote w:id="14">
    <w:p>
      <w:pPr>
        <w:pStyle w:val="FootnoteText"/>
      </w:pPr>
      <w:r>
        <w:rPr>
          <w:rStyle w:val="FootnoteReference"/>
        </w:rPr>
        <w:footnoteRef/>
      </w:r>
      <w:r>
        <w:t xml:space="preserve"> </w:t>
      </w:r>
      <w:r>
        <w:tab/>
        <w:t>Teniendo en cuenta el requisito del Estatuto de los funcionarios de que las listas de candidatos aptos deben contener como mínimo el doble de nombres que de puestos a cubrir</w:t>
      </w:r>
      <w:r>
        <w:rPr>
          <w:rStyle w:val="FootnoteReference"/>
        </w:rPr>
        <w:footnoteRef/>
      </w:r>
      <w:r>
        <w:t>, los nacionales de cualquier Estado miembro deben representar idealmente como mínimo el 50 % del índice guía pertinente.</w:t>
      </w:r>
    </w:p>
  </w:footnote>
  <w:footnote w:id="15">
    <w:p>
      <w:pPr>
        <w:pStyle w:val="FootnoteText"/>
      </w:pPr>
      <w:r>
        <w:rPr>
          <w:rStyle w:val="FootnoteReference"/>
        </w:rPr>
        <w:footnoteRef/>
      </w:r>
      <w:r>
        <w:t xml:space="preserve"> </w:t>
      </w:r>
      <w:r>
        <w:tab/>
        <w:t>Pero ninguna institución ha ofrecido una definición detallada de este.</w:t>
      </w:r>
    </w:p>
  </w:footnote>
  <w:footnote w:id="16">
    <w:p>
      <w:pPr>
        <w:pStyle w:val="FootnoteText"/>
      </w:pPr>
      <w:r>
        <w:rPr>
          <w:rStyle w:val="FootnoteReference"/>
        </w:rPr>
        <w:footnoteRef/>
      </w:r>
      <w:r>
        <w:t xml:space="preserve"> </w:t>
      </w:r>
      <w:r>
        <w:tab/>
        <w:t>En la versión del Estatuto de 1962, la prohibición de discriminación se recogía en el artículo relacionado con la contratación (artículo 27) y se limitaba a «la raza, la religión o el sexo». En la versión de 1998, el Estatuto de los funcionarios incluyó una prohibición general de discriminación por razón de «raza, creencia política, filosófica o religiosa, sexo u orientación sexual».</w:t>
      </w:r>
    </w:p>
  </w:footnote>
  <w:footnote w:id="17">
    <w:p>
      <w:pPr>
        <w:pStyle w:val="FootnoteText"/>
      </w:pPr>
      <w:r>
        <w:rPr>
          <w:rStyle w:val="FootnoteReference"/>
        </w:rPr>
        <w:footnoteRef/>
      </w:r>
      <w:r>
        <w:t xml:space="preserve"> </w:t>
      </w:r>
      <w:r>
        <w:tab/>
        <w:t>Véase, por ejemplo, la sentencia de 30 de junio de 1983, en el asunto 85/82 Schloh / Consejo, punto 26, o la sentencia de 6 de julio de 1999 en los asuntos acumulados T-112/96 y T-115/96 Séché / Comisión.</w:t>
      </w:r>
    </w:p>
  </w:footnote>
  <w:footnote w:id="18">
    <w:p>
      <w:pPr>
        <w:pStyle w:val="FootnoteText"/>
      </w:pPr>
      <w:r>
        <w:rPr>
          <w:rStyle w:val="FootnoteReference"/>
        </w:rPr>
        <w:footnoteRef/>
      </w:r>
      <w:r>
        <w:t xml:space="preserve"> </w:t>
      </w:r>
      <w:r>
        <w:tab/>
        <w:t>Reglamento (UE, Euratom) n.° 1023/2013 del Parlamento Europeo y del Consejo, de 22 de octubre de 2013, por el que se modifica el Estatuto de los funcionarios de la Unión Europea y el régimen aplicable a los otros agentes de la Unión Europea.</w:t>
      </w:r>
    </w:p>
  </w:footnote>
  <w:footnote w:id="19">
    <w:p>
      <w:pPr>
        <w:pStyle w:val="FootnoteText"/>
      </w:pPr>
      <w:r>
        <w:rPr>
          <w:rStyle w:val="FootnoteReference"/>
        </w:rPr>
        <w:footnoteRef/>
      </w:r>
      <w:r>
        <w:t xml:space="preserve"> </w:t>
      </w:r>
      <w:r>
        <w:tab/>
        <w:t>El anexo 2 del presente informe está extraído de la Comunicación C(2003)436 de 28 de enero de 2003. Más precisamente, se corresponde con los anexos 1, 1a y 1b de dicha Comunicación.</w:t>
      </w:r>
    </w:p>
  </w:footnote>
  <w:footnote w:id="20">
    <w:p>
      <w:pPr>
        <w:pStyle w:val="FootnoteText"/>
      </w:pPr>
      <w:r>
        <w:rPr>
          <w:rStyle w:val="FootnoteReference"/>
        </w:rPr>
        <w:footnoteRef/>
      </w:r>
      <w:r>
        <w:t xml:space="preserve"> </w:t>
      </w:r>
      <w:r>
        <w:tab/>
        <w:t>Comunicación del señor Kinnock relativa a la contratación de funcionarios de la Comisión originarios de los nuevos Estados miembros, de 14 de febrero de 2003, C(2003)436/5, adoptada el 19 de febrero de 2003.</w:t>
      </w:r>
    </w:p>
  </w:footnote>
  <w:footnote w:id="21">
    <w:p>
      <w:pPr>
        <w:pStyle w:val="FootnoteText"/>
      </w:pPr>
      <w:r>
        <w:rPr>
          <w:rStyle w:val="FootnoteReference"/>
        </w:rPr>
        <w:footnoteRef/>
      </w:r>
      <w:r>
        <w:t xml:space="preserve"> </w:t>
      </w:r>
      <w:r>
        <w:tab/>
        <w:t>Más concretamente, la Comunicación rezaba: «El enfoque propuesto se aplica a los diez nuevos Estados miembros adheridos a la Unión a partir del 1 de mayo de 2004. No obstante, se puede aplicar a un número cualquiera de nuevos Estados miembros»</w:t>
      </w:r>
    </w:p>
  </w:footnote>
  <w:footnote w:id="22">
    <w:p>
      <w:pPr>
        <w:pStyle w:val="FootnoteText"/>
      </w:pPr>
      <w:r>
        <w:rPr>
          <w:rStyle w:val="FootnoteReference"/>
        </w:rPr>
        <w:footnoteRef/>
      </w:r>
      <w:r>
        <w:t xml:space="preserve"> </w:t>
      </w:r>
      <w:r>
        <w:tab/>
        <w:t>C(2003)436/5, de 14 de febrero de 2003, reunión de la Comisión 1601.</w:t>
      </w:r>
    </w:p>
  </w:footnote>
  <w:footnote w:id="23">
    <w:p>
      <w:pPr>
        <w:pStyle w:val="FootnoteText"/>
      </w:pPr>
      <w:r>
        <w:rPr>
          <w:rStyle w:val="FootnoteReference"/>
        </w:rPr>
        <w:footnoteRef/>
      </w:r>
      <w:r>
        <w:t xml:space="preserve"> </w:t>
      </w:r>
      <w:r>
        <w:tab/>
        <w:t>C(2006)5778, procedimiento escrito de 24 de noviembre de 2006.</w:t>
      </w:r>
    </w:p>
  </w:footnote>
  <w:footnote w:id="24">
    <w:p>
      <w:pPr>
        <w:pStyle w:val="FootnoteText"/>
        <w:rPr>
          <w:lang w:val="es-ES_tradnl"/>
        </w:rPr>
      </w:pPr>
      <w:r>
        <w:rPr>
          <w:rStyle w:val="FootnoteReference"/>
        </w:rPr>
        <w:footnoteRef/>
      </w:r>
      <w:r>
        <w:t xml:space="preserve"> </w:t>
      </w:r>
      <w:r>
        <w:tab/>
        <w:t>SEC(2012)436final, procedimiento escrito de finalización, de 11 de julio de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8"/>
    <w:multiLevelType w:val="singleLevel"/>
    <w:tmpl w:val="B89E0650"/>
    <w:lvl w:ilvl="0">
      <w:start w:val="1"/>
      <w:numFmt w:val="decimal"/>
      <w:pStyle w:val="ListNumber"/>
      <w:lvlText w:val="%1."/>
      <w:lvlJc w:val="left"/>
      <w:pPr>
        <w:tabs>
          <w:tab w:val="num" w:pos="360"/>
        </w:tabs>
        <w:ind w:left="360" w:hanging="360"/>
      </w:pPr>
    </w:lvl>
  </w:abstractNum>
  <w:abstractNum w:abstractNumId="3">
    <w:nsid w:val="FFFFFF89"/>
    <w:multiLevelType w:val="singleLevel"/>
    <w:tmpl w:val="F4F029F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69A6963"/>
    <w:multiLevelType w:val="hybridMultilevel"/>
    <w:tmpl w:val="9B86D6E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C20AE8"/>
    <w:multiLevelType w:val="hybridMultilevel"/>
    <w:tmpl w:val="5434C71E"/>
    <w:lvl w:ilvl="0" w:tplc="D4846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B34562C"/>
    <w:multiLevelType w:val="hybridMultilevel"/>
    <w:tmpl w:val="26DC4A84"/>
    <w:lvl w:ilvl="0" w:tplc="D4846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734306"/>
    <w:multiLevelType w:val="multilevel"/>
    <w:tmpl w:val="0456B9F6"/>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DD3599"/>
    <w:multiLevelType w:val="multilevel"/>
    <w:tmpl w:val="4EAA5BA6"/>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C9561E"/>
    <w:multiLevelType w:val="multilevel"/>
    <w:tmpl w:val="1AAA49CA"/>
    <w:lvl w:ilvl="0">
      <w:start w:val="1"/>
      <w:numFmt w:val="lowerLetter"/>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EEA7B8A"/>
    <w:multiLevelType w:val="hybridMultilevel"/>
    <w:tmpl w:val="44DC0BD0"/>
    <w:lvl w:ilvl="0" w:tplc="D4846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973347"/>
    <w:multiLevelType w:val="hybridMultilevel"/>
    <w:tmpl w:val="F21E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nsid w:val="4321140B"/>
    <w:multiLevelType w:val="singleLevel"/>
    <w:tmpl w:val="A5309298"/>
    <w:lvl w:ilvl="0">
      <w:start w:val="1"/>
      <w:numFmt w:val="decimal"/>
      <w:pStyle w:val="Considrant"/>
      <w:lvlText w:val="(%1)"/>
      <w:lvlJc w:val="left"/>
      <w:pPr>
        <w:tabs>
          <w:tab w:val="num" w:pos="709"/>
        </w:tabs>
        <w:ind w:left="709" w:hanging="709"/>
      </w:pPr>
    </w:lvl>
  </w:abstractNum>
  <w:abstractNum w:abstractNumId="22">
    <w:nsid w:val="45CF4AEC"/>
    <w:multiLevelType w:val="singleLevel"/>
    <w:tmpl w:val="7ED8A500"/>
    <w:lvl w:ilvl="0">
      <w:start w:val="1"/>
      <w:numFmt w:val="bullet"/>
      <w:lvlText w:val=""/>
      <w:lvlJc w:val="left"/>
      <w:pPr>
        <w:tabs>
          <w:tab w:val="num" w:pos="283"/>
        </w:tabs>
        <w:ind w:left="283" w:hanging="283"/>
      </w:pPr>
      <w:rPr>
        <w:rFonts w:ascii="Symbol" w:hAnsi="Symbol"/>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83558C9"/>
    <w:multiLevelType w:val="hybridMultilevel"/>
    <w:tmpl w:val="A28442A4"/>
    <w:lvl w:ilvl="0" w:tplc="D4846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654620"/>
    <w:multiLevelType w:val="hybridMultilevel"/>
    <w:tmpl w:val="109CB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9A0362"/>
    <w:multiLevelType w:val="hybridMultilevel"/>
    <w:tmpl w:val="EF7E69C6"/>
    <w:lvl w:ilvl="0" w:tplc="D4846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1">
    <w:nsid w:val="6D9C423C"/>
    <w:multiLevelType w:val="hybridMultilevel"/>
    <w:tmpl w:val="5DD049A8"/>
    <w:lvl w:ilvl="0" w:tplc="D4846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BC1A70"/>
    <w:multiLevelType w:val="hybridMultilevel"/>
    <w:tmpl w:val="E168E8A4"/>
    <w:lvl w:ilvl="0" w:tplc="D4846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36">
    <w:nsid w:val="7CCB47E9"/>
    <w:multiLevelType w:val="hybridMultilevel"/>
    <w:tmpl w:val="EE72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9B5455"/>
    <w:multiLevelType w:val="hybridMultilevel"/>
    <w:tmpl w:val="1D2C8296"/>
    <w:lvl w:ilvl="0" w:tplc="D4846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F914527"/>
    <w:multiLevelType w:val="hybridMultilevel"/>
    <w:tmpl w:val="421A2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20"/>
  </w:num>
  <w:num w:numId="5">
    <w:abstractNumId w:val="30"/>
  </w:num>
  <w:num w:numId="6">
    <w:abstractNumId w:val="33"/>
  </w:num>
  <w:num w:numId="7">
    <w:abstractNumId w:val="18"/>
  </w:num>
  <w:num w:numId="8">
    <w:abstractNumId w:val="29"/>
  </w:num>
  <w:num w:numId="9">
    <w:abstractNumId w:val="28"/>
  </w:num>
  <w:num w:numId="10">
    <w:abstractNumId w:val="23"/>
  </w:num>
  <w:num w:numId="11">
    <w:abstractNumId w:val="27"/>
  </w:num>
  <w:num w:numId="12">
    <w:abstractNumId w:val="11"/>
  </w:num>
  <w:num w:numId="13">
    <w:abstractNumId w:val="19"/>
  </w:num>
  <w:num w:numId="14">
    <w:abstractNumId w:val="8"/>
  </w:num>
  <w:num w:numId="15">
    <w:abstractNumId w:val="13"/>
  </w:num>
  <w:num w:numId="16">
    <w:abstractNumId w:val="34"/>
  </w:num>
  <w:num w:numId="17">
    <w:abstractNumId w:val="15"/>
  </w:num>
  <w:num w:numId="18">
    <w:abstractNumId w:val="1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3">
    <w:abstractNumId w:val="21"/>
  </w:num>
  <w:num w:numId="24">
    <w:abstractNumId w:val="22"/>
  </w:num>
  <w:num w:numId="25">
    <w:abstractNumId w:val="36"/>
  </w:num>
  <w:num w:numId="26">
    <w:abstractNumId w:val="38"/>
  </w:num>
  <w:num w:numId="27">
    <w:abstractNumId w:val="3"/>
  </w:num>
  <w:num w:numId="28">
    <w:abstractNumId w:val="2"/>
  </w:num>
  <w:num w:numId="29">
    <w:abstractNumId w:val="5"/>
  </w:num>
  <w:num w:numId="30">
    <w:abstractNumId w:val="9"/>
  </w:num>
  <w:num w:numId="31">
    <w:abstractNumId w:val="25"/>
  </w:num>
  <w:num w:numId="32">
    <w:abstractNumId w:val="17"/>
  </w:num>
  <w:num w:numId="33">
    <w:abstractNumId w:val="7"/>
  </w:num>
  <w:num w:numId="34">
    <w:abstractNumId w:val="16"/>
  </w:num>
  <w:num w:numId="35">
    <w:abstractNumId w:val="24"/>
  </w:num>
  <w:num w:numId="36">
    <w:abstractNumId w:val="26"/>
  </w:num>
  <w:num w:numId="37">
    <w:abstractNumId w:val="37"/>
  </w:num>
  <w:num w:numId="38">
    <w:abstractNumId w:val="32"/>
  </w:num>
  <w:num w:numId="39">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538C211-D223-4C12-B187-2B553A8013A0"/>
    <w:docVar w:name="LW_COVERPAGE_TYPE" w:val="1"/>
    <w:docVar w:name="LW_CROSSREFERENCE" w:val="&lt;UNUSED&gt;"/>
    <w:docVar w:name="LW_DocType" w:val="NORMAL"/>
    <w:docVar w:name="LW_EMISSION" w:val="15.6.2018"/>
    <w:docVar w:name="LW_EMISSION_ISODATE" w:val="2018-06-15"/>
    <w:docVar w:name="LW_EMISSION_LOCATION" w:val="BRX"/>
    <w:docVar w:name="LW_EMISSION_PREFIX" w:val="Bruselas, "/>
    <w:docVar w:name="LW_EMISSION_SUFFIX" w:val="&lt;EMPTY&gt;"/>
    <w:docVar w:name="LW_ID_DOCTYPE_NONLW" w:val="CP-006"/>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8) 3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de conformidad con el artículo 27 del Estatuto de los funcionarios y el artículo 12 del Régimen aplicable a los otros agentes de la Unión Europea (Equilibrio geográfico)"/>
    <w:docVar w:name="LW_TYPE.DOC.CP" w:val="INFORME DE LA COMISIÓN AL PARLAMENTO EUROPEO Y AL CONSEJ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line="276" w:lineRule="auto"/>
    </w:pPr>
  </w:style>
  <w:style w:type="paragraph" w:styleId="Heading1">
    <w:name w:val="heading 1"/>
    <w:basedOn w:val="Normal"/>
    <w:next w:val="Normal"/>
    <w:link w:val="Heading1Char"/>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nhideWhenUsed/>
    <w:qFormat/>
    <w:pPr>
      <w:keepNext/>
      <w:spacing w:before="240" w:after="60" w:line="240" w:lineRule="auto"/>
      <w:ind w:left="720" w:hanging="360"/>
      <w:outlineLvl w:val="1"/>
    </w:pPr>
    <w:rPr>
      <w:rFonts w:eastAsiaTheme="majorEastAsia" w:cstheme="majorBidi"/>
      <w:b/>
      <w:bCs/>
      <w:iCs/>
      <w:szCs w:val="28"/>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s-ES" w:bidi="es-ES"/>
    </w:rPr>
  </w:style>
  <w:style w:type="character" w:customStyle="1" w:styleId="Heading2Char">
    <w:name w:val="Heading 2 Char"/>
    <w:basedOn w:val="DefaultParagraphFont"/>
    <w:link w:val="Heading2"/>
    <w:rPr>
      <w:rFonts w:eastAsiaTheme="majorEastAsia" w:cstheme="majorBidi"/>
      <w:b/>
      <w:bCs/>
      <w:iCs/>
      <w:szCs w:val="2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es-ES"/>
    </w:rPr>
  </w:style>
  <w:style w:type="paragraph" w:styleId="TOC1">
    <w:name w:val="toc 1"/>
    <w:basedOn w:val="Normal"/>
    <w:next w:val="Normal"/>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styleId="TOCHeading">
    <w:name w:val="TOC Heading"/>
    <w:basedOn w:val="Normal"/>
    <w:next w:val="Normal"/>
    <w:link w:val="TOCHeadingChar"/>
    <w:qFormat/>
    <w:pPr>
      <w:spacing w:before="120" w:after="240" w:line="240" w:lineRule="auto"/>
      <w:jc w:val="center"/>
    </w:pPr>
    <w:rPr>
      <w:rFonts w:ascii="Times New Roman" w:eastAsia="Times New Roman" w:hAnsi="Times New Roman" w:cs="Times New Roman"/>
      <w:b/>
      <w:sz w:val="28"/>
      <w:szCs w:val="24"/>
    </w:rPr>
  </w:style>
  <w:style w:type="character" w:styleId="Hyperlink">
    <w:name w:val="Hyperlink"/>
    <w:uiPriority w:val="99"/>
    <w:rPr>
      <w:color w:val="0000FF"/>
      <w:u w:val="single"/>
      <w:shd w:val="clear" w:color="auto" w:fill="auto"/>
    </w:rPr>
  </w:style>
  <w:style w:type="character" w:customStyle="1" w:styleId="text-big-bold">
    <w:name w:val="text-big-bol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lang w:val="es-ES"/>
    </w:rPr>
  </w:style>
  <w:style w:type="character" w:customStyle="1" w:styleId="FooterCoverPageChar">
    <w:name w:val="Footer Cover Page Char"/>
    <w:basedOn w:val="TOCHeadingChar"/>
    <w:link w:val="FooterCoverPage"/>
    <w:rPr>
      <w:rFonts w:ascii="Times New Roman" w:eastAsia="Times New Roman" w:hAnsi="Times New Roman" w:cs="Times New Roman"/>
      <w:b w:val="0"/>
      <w:sz w:val="24"/>
      <w:szCs w:val="24"/>
      <w:lang w:val="es-E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4"/>
      <w:lang w:val="es-ES"/>
    </w:rPr>
  </w:style>
  <w:style w:type="paragraph" w:styleId="CommentText">
    <w:name w:val="annotation text"/>
    <w:basedOn w:val="Normal"/>
    <w:link w:val="CommentTextChar"/>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4"/>
      <w:lang w:val="es-E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4"/>
      <w:lang w:val="es-ES"/>
    </w:rPr>
  </w:style>
  <w:style w:type="paragraph" w:styleId="Revision">
    <w:name w:val="Revision"/>
    <w:hidden/>
    <w:uiPriority w:val="99"/>
    <w:semiHidden/>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NoteHead">
    <w:name w:val="NoteHead"/>
    <w:basedOn w:val="Normal"/>
    <w:next w:val="Normal"/>
    <w:pPr>
      <w:spacing w:before="720" w:after="720" w:line="240" w:lineRule="auto"/>
      <w:jc w:val="center"/>
    </w:pPr>
    <w:rPr>
      <w:rFonts w:ascii="Times New Roman" w:eastAsia="Times New Roman" w:hAnsi="Times New Roman" w:cs="Times New Roman"/>
      <w:b/>
      <w:smallCaps/>
      <w:sz w:val="24"/>
      <w:szCs w:val="20"/>
    </w:rPr>
  </w:style>
  <w:style w:type="character" w:customStyle="1" w:styleId="Heading5Char">
    <w:name w:val="Heading 5 Char"/>
    <w:basedOn w:val="DefaultParagraphFont"/>
    <w:link w:val="Heading5"/>
    <w:rPr>
      <w:rFonts w:ascii="Arial" w:eastAsia="Times New Roman" w:hAnsi="Arial" w:cs="Times New Roman"/>
      <w:szCs w:val="20"/>
      <w:lang w:eastAsia="es-ES" w:bidi="es-ES"/>
    </w:rPr>
  </w:style>
  <w:style w:type="character" w:customStyle="1" w:styleId="Heading6Char">
    <w:name w:val="Heading 6 Char"/>
    <w:basedOn w:val="DefaultParagraphFont"/>
    <w:link w:val="Heading6"/>
    <w:rPr>
      <w:rFonts w:ascii="Arial" w:eastAsia="Times New Roman" w:hAnsi="Arial" w:cs="Times New Roman"/>
      <w:i/>
      <w:szCs w:val="20"/>
      <w:lang w:eastAsia="es-ES" w:bidi="es-ES"/>
    </w:rPr>
  </w:style>
  <w:style w:type="character" w:customStyle="1" w:styleId="Heading7Char">
    <w:name w:val="Heading 7 Char"/>
    <w:basedOn w:val="DefaultParagraphFont"/>
    <w:link w:val="Heading7"/>
    <w:rPr>
      <w:rFonts w:ascii="Arial" w:eastAsia="Times New Roman" w:hAnsi="Arial" w:cs="Times New Roman"/>
      <w:sz w:val="20"/>
      <w:szCs w:val="20"/>
      <w:lang w:eastAsia="es-ES" w:bidi="es-ES"/>
    </w:rPr>
  </w:style>
  <w:style w:type="character" w:customStyle="1" w:styleId="Heading8Char">
    <w:name w:val="Heading 8 Char"/>
    <w:basedOn w:val="DefaultParagraphFont"/>
    <w:link w:val="Heading8"/>
    <w:rPr>
      <w:rFonts w:ascii="Arial" w:eastAsia="Times New Roman" w:hAnsi="Arial" w:cs="Times New Roman"/>
      <w:i/>
      <w:sz w:val="20"/>
      <w:szCs w:val="20"/>
      <w:lang w:eastAsia="es-ES" w:bidi="es-ES"/>
    </w:rPr>
  </w:style>
  <w:style w:type="character" w:customStyle="1" w:styleId="Heading9Char">
    <w:name w:val="Heading 9 Char"/>
    <w:basedOn w:val="DefaultParagraphFont"/>
    <w:link w:val="Heading9"/>
    <w:rPr>
      <w:rFonts w:ascii="Arial" w:eastAsia="Times New Roman" w:hAnsi="Arial" w:cs="Times New Roman"/>
      <w:i/>
      <w:sz w:val="18"/>
      <w:szCs w:val="20"/>
      <w:lang w:eastAsia="es-ES" w:bidi="es-ES"/>
    </w:rPr>
  </w:style>
  <w:style w:type="numbering" w:customStyle="1" w:styleId="NoList1">
    <w:name w:val="No List1"/>
    <w:next w:val="NoList"/>
    <w:uiPriority w:val="99"/>
    <w:semiHidden/>
    <w:unhideWhenUsed/>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Address">
    <w:name w:val="Address"/>
    <w:basedOn w:val="Normal"/>
    <w:pPr>
      <w:spacing w:after="0" w:line="240" w:lineRule="auto"/>
    </w:pPr>
    <w:rPr>
      <w:rFonts w:ascii="Times New Roman" w:eastAsia="Times New Roman" w:hAnsi="Times New Roman" w:cs="Times New Roman"/>
      <w:sz w:val="24"/>
      <w:szCs w:val="20"/>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eastAsia="es-ES" w:bidi="es-ES"/>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eastAsia="es-ES" w:bidi="es-ES"/>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eastAsia="es-ES" w:bidi="es-E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eastAsia="es-ES" w:bidi="es-ES"/>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eastAsia="es-ES" w:bidi="es-E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eastAsia="es-ES" w:bidi="es-ES"/>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eastAsia="es-ES" w:bidi="es-ES"/>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eastAsia="es-ES" w:bidi="es-ES"/>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cs="Times New Roman"/>
      <w:b/>
      <w:sz w:val="32"/>
      <w:szCs w:val="20"/>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eastAsia="es-ES" w:bidi="es-ES"/>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eastAsia="es-ES" w:bidi="es-ES"/>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eastAsia="es-ES" w:bidi="es-ES"/>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s-ES" w:bidi="es-ES"/>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7"/>
      </w:numPr>
      <w:tabs>
        <w:tab w:val="clear" w:pos="360"/>
        <w:tab w:val="num" w:pos="283"/>
      </w:tabs>
      <w:spacing w:after="240" w:line="240" w:lineRule="auto"/>
      <w:ind w:left="283" w:hanging="283"/>
      <w:jc w:val="both"/>
    </w:pPr>
    <w:rPr>
      <w:rFonts w:ascii="Times New Roman" w:eastAsia="Times New Roman" w:hAnsi="Times New Roman" w:cs="Times New Roman"/>
      <w:sz w:val="24"/>
      <w:szCs w:val="20"/>
    </w:r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28"/>
      </w:numPr>
      <w:tabs>
        <w:tab w:val="clear" w:pos="360"/>
        <w:tab w:val="num" w:pos="709"/>
      </w:tabs>
      <w:spacing w:after="240" w:line="240" w:lineRule="auto"/>
      <w:ind w:left="709" w:hanging="709"/>
      <w:jc w:val="both"/>
    </w:pPr>
    <w:rPr>
      <w:rFonts w:ascii="Times New Roman" w:eastAsia="Times New Roman" w:hAnsi="Times New Roman" w:cs="Times New Roman"/>
      <w:sz w:val="24"/>
      <w:szCs w:val="20"/>
    </w:r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eastAsia="es-ES" w:bidi="es-E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eastAsia="es-ES" w:bidi="es-ES"/>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eastAsia="es-ES" w:bidi="es-ES"/>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customStyle="1" w:styleId="NumPar1">
    <w:name w:val="NumPar 1"/>
    <w:basedOn w:val="Heading1"/>
    <w:next w:val="Text1"/>
    <w:pPr>
      <w:keepNext w:val="0"/>
      <w:spacing w:before="0"/>
      <w:outlineLvl w:val="9"/>
    </w:pPr>
    <w:rPr>
      <w:b w:val="0"/>
      <w:bCs/>
    </w:rPr>
  </w:style>
  <w:style w:type="paragraph" w:customStyle="1" w:styleId="NumPar2">
    <w:name w:val="NumPar 2"/>
    <w:basedOn w:val="Heading2"/>
    <w:next w:val="Text2"/>
    <w:pPr>
      <w:keepNext w:val="0"/>
      <w:numPr>
        <w:ilvl w:val="1"/>
      </w:numPr>
      <w:tabs>
        <w:tab w:val="num" w:pos="567"/>
      </w:tabs>
      <w:spacing w:before="0" w:after="240"/>
      <w:ind w:left="567" w:hanging="567"/>
      <w:jc w:val="both"/>
      <w:outlineLvl w:val="9"/>
    </w:pPr>
    <w:rPr>
      <w:rFonts w:ascii="Times New Roman" w:eastAsia="Times New Roman" w:hAnsi="Times New Roman" w:cs="Times New Roman"/>
      <w:b w:val="0"/>
      <w:bCs w:val="0"/>
      <w:iCs w:val="0"/>
      <w:sz w:val="24"/>
      <w:szCs w:val="20"/>
    </w:rPr>
  </w:style>
  <w:style w:type="paragraph" w:customStyle="1" w:styleId="NumPar3">
    <w:name w:val="NumPar 3"/>
    <w:basedOn w:val="Heading3"/>
    <w:next w:val="Text3"/>
    <w:pPr>
      <w:keepNext w:val="0"/>
      <w:keepLines w:val="0"/>
      <w:numPr>
        <w:ilvl w:val="2"/>
      </w:numPr>
      <w:tabs>
        <w:tab w:val="num" w:pos="709"/>
      </w:tabs>
      <w:spacing w:before="0" w:after="240" w:line="240" w:lineRule="auto"/>
      <w:ind w:left="709" w:hanging="709"/>
      <w:jc w:val="both"/>
      <w:outlineLvl w:val="9"/>
    </w:pPr>
    <w:rPr>
      <w:rFonts w:ascii="Times New Roman" w:eastAsia="Times New Roman" w:hAnsi="Times New Roman" w:cs="Times New Roman"/>
      <w:color w:val="auto"/>
      <w:szCs w:val="20"/>
    </w:rPr>
  </w:style>
  <w:style w:type="paragraph" w:customStyle="1" w:styleId="NumPar4">
    <w:name w:val="NumPar 4"/>
    <w:basedOn w:val="Heading4"/>
    <w:next w:val="Text4"/>
    <w:pPr>
      <w:keepNext w:val="0"/>
      <w:keepLines w:val="0"/>
      <w:numPr>
        <w:ilvl w:val="3"/>
      </w:numPr>
      <w:tabs>
        <w:tab w:val="num" w:pos="851"/>
      </w:tabs>
      <w:spacing w:before="0" w:after="240" w:line="240" w:lineRule="auto"/>
      <w:ind w:left="851" w:hanging="851"/>
      <w:jc w:val="both"/>
      <w:outlineLvl w:val="9"/>
    </w:pPr>
    <w:rPr>
      <w:rFonts w:ascii="Times New Roman" w:eastAsia="Times New Roman" w:hAnsi="Times New Roman" w:cs="Times New Roman"/>
      <w:i w:val="0"/>
      <w:iCs w:val="0"/>
      <w:color w:val="auto"/>
      <w:sz w:val="24"/>
      <w:szCs w:val="20"/>
    </w:r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s-ES" w:bidi="es-ES"/>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eastAsia="es-ES" w:bidi="es-ES"/>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eastAsia="es-ES" w:bidi="es-ES"/>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lang w:eastAsia="es-ES" w:bidi="es-ES"/>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eastAsia="es-ES" w:bidi="es-ES"/>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Bullet1">
    <w:name w:val="List Bullet 1"/>
    <w:basedOn w:val="Text1"/>
    <w:pPr>
      <w:numPr>
        <w:numId w:val="3"/>
      </w:numPr>
      <w:spacing w:before="0" w:after="240"/>
    </w:pPr>
    <w:rPr>
      <w:szCs w:val="20"/>
    </w:rPr>
  </w:style>
  <w:style w:type="paragraph" w:customStyle="1" w:styleId="ListDash">
    <w:name w:val="List Dash"/>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8"/>
      </w:numPr>
      <w:spacing w:before="0" w:after="240"/>
    </w:pPr>
    <w:rPr>
      <w:szCs w:val="20"/>
    </w:r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13"/>
      </w:numPr>
      <w:spacing w:before="0" w:after="240"/>
    </w:pPr>
    <w:rPr>
      <w:szCs w:val="20"/>
    </w:rPr>
  </w:style>
  <w:style w:type="paragraph" w:customStyle="1" w:styleId="ListNumber1Level2">
    <w:name w:val="List Number 1 (Level 2)"/>
    <w:basedOn w:val="Text1"/>
    <w:pPr>
      <w:numPr>
        <w:ilvl w:val="1"/>
        <w:numId w:val="13"/>
      </w:numPr>
      <w:spacing w:before="0" w:after="240"/>
    </w:pPr>
    <w:rPr>
      <w:szCs w:val="20"/>
    </w:rPr>
  </w:style>
  <w:style w:type="paragraph" w:customStyle="1" w:styleId="ListNumber1Level3">
    <w:name w:val="List Number 1 (Level 3)"/>
    <w:basedOn w:val="Text1"/>
    <w:pPr>
      <w:numPr>
        <w:ilvl w:val="2"/>
        <w:numId w:val="13"/>
      </w:numPr>
      <w:spacing w:before="0" w:after="240"/>
    </w:pPr>
    <w:rPr>
      <w:szCs w:val="20"/>
    </w:rPr>
  </w:style>
  <w:style w:type="paragraph" w:customStyle="1" w:styleId="ListNumber1Level4">
    <w:name w:val="List Number 1 (Level 4)"/>
    <w:basedOn w:val="Text1"/>
    <w:pPr>
      <w:numPr>
        <w:ilvl w:val="3"/>
        <w:numId w:val="13"/>
      </w:numPr>
      <w:spacing w:before="0" w:after="240"/>
    </w:pPr>
    <w:rPr>
      <w:szCs w:val="20"/>
    </w:r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LegalNumPar">
    <w:name w:val="LegalNumPar"/>
    <w:basedOn w:val="Normal"/>
    <w:pPr>
      <w:numPr>
        <w:numId w:val="17"/>
      </w:numPr>
      <w:spacing w:after="240" w:line="360" w:lineRule="auto"/>
    </w:pPr>
    <w:rPr>
      <w:rFonts w:ascii="Times New Roman" w:hAnsi="Times New Roman" w:cs="Times New Roman"/>
      <w:sz w:val="24"/>
    </w:rPr>
  </w:style>
  <w:style w:type="paragraph" w:customStyle="1" w:styleId="LegalNumPar2">
    <w:name w:val="LegalNumPar2"/>
    <w:basedOn w:val="Normal"/>
    <w:pPr>
      <w:numPr>
        <w:ilvl w:val="1"/>
        <w:numId w:val="17"/>
      </w:numPr>
      <w:spacing w:after="240" w:line="360" w:lineRule="auto"/>
      <w:ind w:left="952" w:hanging="476"/>
    </w:pPr>
    <w:rPr>
      <w:rFonts w:ascii="Times New Roman" w:hAnsi="Times New Roman" w:cs="Times New Roman"/>
      <w:sz w:val="24"/>
    </w:rPr>
  </w:style>
  <w:style w:type="paragraph" w:customStyle="1" w:styleId="LegalNumPar3">
    <w:name w:val="LegalNumPar3"/>
    <w:basedOn w:val="Normal"/>
    <w:pPr>
      <w:numPr>
        <w:ilvl w:val="2"/>
        <w:numId w:val="17"/>
      </w:numPr>
      <w:spacing w:after="240" w:line="360" w:lineRule="auto"/>
    </w:pPr>
    <w:rPr>
      <w:rFonts w:ascii="Times New Roman" w:hAnsi="Times New Roman" w:cs="Times New Roman"/>
      <w:sz w:val="24"/>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heme="minorEastAsia" w:hAnsi="Arial" w:cs="Arial"/>
      <w:sz w:val="24"/>
      <w:szCs w:val="24"/>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rPr>
  </w:style>
  <w:style w:type="table" w:styleId="TableGrid">
    <w:name w:val="Table Grid"/>
    <w:basedOn w:val="TableNormal"/>
    <w:uiPriority w:val="59"/>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ret2">
    <w:name w:val="Tiret 2"/>
    <w:basedOn w:val="Normal"/>
    <w:pPr>
      <w:spacing w:before="120" w:after="120" w:line="240" w:lineRule="auto"/>
      <w:ind w:left="1985"/>
      <w:jc w:val="both"/>
    </w:pPr>
    <w:rPr>
      <w:rFonts w:ascii="Times New Roman" w:eastAsia="Times New Roman" w:hAnsi="Times New Roman" w:cs="Times New Roman"/>
      <w:sz w:val="24"/>
      <w:szCs w:val="20"/>
    </w:rPr>
  </w:style>
  <w:style w:type="paragraph" w:customStyle="1" w:styleId="Considrant">
    <w:name w:val="Considérant"/>
    <w:basedOn w:val="Normal"/>
    <w:pPr>
      <w:numPr>
        <w:numId w:val="23"/>
      </w:numPr>
      <w:spacing w:before="120" w:after="120" w:line="240" w:lineRule="auto"/>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line="276" w:lineRule="auto"/>
    </w:pPr>
  </w:style>
  <w:style w:type="paragraph" w:styleId="Heading1">
    <w:name w:val="heading 1"/>
    <w:basedOn w:val="Normal"/>
    <w:next w:val="Normal"/>
    <w:link w:val="Heading1Char"/>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nhideWhenUsed/>
    <w:qFormat/>
    <w:pPr>
      <w:keepNext/>
      <w:spacing w:before="240" w:after="60" w:line="240" w:lineRule="auto"/>
      <w:ind w:left="720" w:hanging="360"/>
      <w:outlineLvl w:val="1"/>
    </w:pPr>
    <w:rPr>
      <w:rFonts w:eastAsiaTheme="majorEastAsia" w:cstheme="majorBidi"/>
      <w:b/>
      <w:bCs/>
      <w:iCs/>
      <w:szCs w:val="28"/>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s-ES" w:bidi="es-ES"/>
    </w:rPr>
  </w:style>
  <w:style w:type="character" w:customStyle="1" w:styleId="Heading2Char">
    <w:name w:val="Heading 2 Char"/>
    <w:basedOn w:val="DefaultParagraphFont"/>
    <w:link w:val="Heading2"/>
    <w:rPr>
      <w:rFonts w:eastAsiaTheme="majorEastAsia" w:cstheme="majorBidi"/>
      <w:b/>
      <w:bCs/>
      <w:iCs/>
      <w:szCs w:val="2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es-ES"/>
    </w:rPr>
  </w:style>
  <w:style w:type="paragraph" w:styleId="TOC1">
    <w:name w:val="toc 1"/>
    <w:basedOn w:val="Normal"/>
    <w:next w:val="Normal"/>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styleId="TOCHeading">
    <w:name w:val="TOC Heading"/>
    <w:basedOn w:val="Normal"/>
    <w:next w:val="Normal"/>
    <w:link w:val="TOCHeadingChar"/>
    <w:qFormat/>
    <w:pPr>
      <w:spacing w:before="120" w:after="240" w:line="240" w:lineRule="auto"/>
      <w:jc w:val="center"/>
    </w:pPr>
    <w:rPr>
      <w:rFonts w:ascii="Times New Roman" w:eastAsia="Times New Roman" w:hAnsi="Times New Roman" w:cs="Times New Roman"/>
      <w:b/>
      <w:sz w:val="28"/>
      <w:szCs w:val="24"/>
    </w:rPr>
  </w:style>
  <w:style w:type="character" w:styleId="Hyperlink">
    <w:name w:val="Hyperlink"/>
    <w:uiPriority w:val="99"/>
    <w:rPr>
      <w:color w:val="0000FF"/>
      <w:u w:val="single"/>
      <w:shd w:val="clear" w:color="auto" w:fill="auto"/>
    </w:rPr>
  </w:style>
  <w:style w:type="character" w:customStyle="1" w:styleId="text-big-bold">
    <w:name w:val="text-big-bol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lang w:val="es-ES"/>
    </w:rPr>
  </w:style>
  <w:style w:type="character" w:customStyle="1" w:styleId="FooterCoverPageChar">
    <w:name w:val="Footer Cover Page Char"/>
    <w:basedOn w:val="TOCHeadingChar"/>
    <w:link w:val="FooterCoverPage"/>
    <w:rPr>
      <w:rFonts w:ascii="Times New Roman" w:eastAsia="Times New Roman" w:hAnsi="Times New Roman" w:cs="Times New Roman"/>
      <w:b w:val="0"/>
      <w:sz w:val="24"/>
      <w:szCs w:val="24"/>
      <w:lang w:val="es-E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4"/>
      <w:lang w:val="es-ES"/>
    </w:rPr>
  </w:style>
  <w:style w:type="paragraph" w:styleId="CommentText">
    <w:name w:val="annotation text"/>
    <w:basedOn w:val="Normal"/>
    <w:link w:val="CommentTextChar"/>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4"/>
      <w:lang w:val="es-E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4"/>
      <w:lang w:val="es-ES"/>
    </w:rPr>
  </w:style>
  <w:style w:type="paragraph" w:styleId="Revision">
    <w:name w:val="Revision"/>
    <w:hidden/>
    <w:uiPriority w:val="99"/>
    <w:semiHidden/>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NoteHead">
    <w:name w:val="NoteHead"/>
    <w:basedOn w:val="Normal"/>
    <w:next w:val="Normal"/>
    <w:pPr>
      <w:spacing w:before="720" w:after="720" w:line="240" w:lineRule="auto"/>
      <w:jc w:val="center"/>
    </w:pPr>
    <w:rPr>
      <w:rFonts w:ascii="Times New Roman" w:eastAsia="Times New Roman" w:hAnsi="Times New Roman" w:cs="Times New Roman"/>
      <w:b/>
      <w:smallCaps/>
      <w:sz w:val="24"/>
      <w:szCs w:val="20"/>
    </w:rPr>
  </w:style>
  <w:style w:type="character" w:customStyle="1" w:styleId="Heading5Char">
    <w:name w:val="Heading 5 Char"/>
    <w:basedOn w:val="DefaultParagraphFont"/>
    <w:link w:val="Heading5"/>
    <w:rPr>
      <w:rFonts w:ascii="Arial" w:eastAsia="Times New Roman" w:hAnsi="Arial" w:cs="Times New Roman"/>
      <w:szCs w:val="20"/>
      <w:lang w:eastAsia="es-ES" w:bidi="es-ES"/>
    </w:rPr>
  </w:style>
  <w:style w:type="character" w:customStyle="1" w:styleId="Heading6Char">
    <w:name w:val="Heading 6 Char"/>
    <w:basedOn w:val="DefaultParagraphFont"/>
    <w:link w:val="Heading6"/>
    <w:rPr>
      <w:rFonts w:ascii="Arial" w:eastAsia="Times New Roman" w:hAnsi="Arial" w:cs="Times New Roman"/>
      <w:i/>
      <w:szCs w:val="20"/>
      <w:lang w:eastAsia="es-ES" w:bidi="es-ES"/>
    </w:rPr>
  </w:style>
  <w:style w:type="character" w:customStyle="1" w:styleId="Heading7Char">
    <w:name w:val="Heading 7 Char"/>
    <w:basedOn w:val="DefaultParagraphFont"/>
    <w:link w:val="Heading7"/>
    <w:rPr>
      <w:rFonts w:ascii="Arial" w:eastAsia="Times New Roman" w:hAnsi="Arial" w:cs="Times New Roman"/>
      <w:sz w:val="20"/>
      <w:szCs w:val="20"/>
      <w:lang w:eastAsia="es-ES" w:bidi="es-ES"/>
    </w:rPr>
  </w:style>
  <w:style w:type="character" w:customStyle="1" w:styleId="Heading8Char">
    <w:name w:val="Heading 8 Char"/>
    <w:basedOn w:val="DefaultParagraphFont"/>
    <w:link w:val="Heading8"/>
    <w:rPr>
      <w:rFonts w:ascii="Arial" w:eastAsia="Times New Roman" w:hAnsi="Arial" w:cs="Times New Roman"/>
      <w:i/>
      <w:sz w:val="20"/>
      <w:szCs w:val="20"/>
      <w:lang w:eastAsia="es-ES" w:bidi="es-ES"/>
    </w:rPr>
  </w:style>
  <w:style w:type="character" w:customStyle="1" w:styleId="Heading9Char">
    <w:name w:val="Heading 9 Char"/>
    <w:basedOn w:val="DefaultParagraphFont"/>
    <w:link w:val="Heading9"/>
    <w:rPr>
      <w:rFonts w:ascii="Arial" w:eastAsia="Times New Roman" w:hAnsi="Arial" w:cs="Times New Roman"/>
      <w:i/>
      <w:sz w:val="18"/>
      <w:szCs w:val="20"/>
      <w:lang w:eastAsia="es-ES" w:bidi="es-ES"/>
    </w:rPr>
  </w:style>
  <w:style w:type="numbering" w:customStyle="1" w:styleId="NoList1">
    <w:name w:val="No List1"/>
    <w:next w:val="NoList"/>
    <w:uiPriority w:val="99"/>
    <w:semiHidden/>
    <w:unhideWhenUsed/>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Address">
    <w:name w:val="Address"/>
    <w:basedOn w:val="Normal"/>
    <w:pPr>
      <w:spacing w:after="0" w:line="240" w:lineRule="auto"/>
    </w:pPr>
    <w:rPr>
      <w:rFonts w:ascii="Times New Roman" w:eastAsia="Times New Roman" w:hAnsi="Times New Roman" w:cs="Times New Roman"/>
      <w:sz w:val="24"/>
      <w:szCs w:val="20"/>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eastAsia="es-ES" w:bidi="es-ES"/>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eastAsia="es-ES" w:bidi="es-ES"/>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eastAsia="es-ES" w:bidi="es-E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eastAsia="es-ES" w:bidi="es-ES"/>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eastAsia="es-ES" w:bidi="es-E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eastAsia="es-ES" w:bidi="es-ES"/>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eastAsia="es-ES" w:bidi="es-ES"/>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eastAsia="es-ES" w:bidi="es-ES"/>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cs="Times New Roman"/>
      <w:b/>
      <w:sz w:val="32"/>
      <w:szCs w:val="20"/>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eastAsia="es-ES" w:bidi="es-ES"/>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eastAsia="es-ES" w:bidi="es-ES"/>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eastAsia="es-ES" w:bidi="es-ES"/>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s-ES" w:bidi="es-ES"/>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7"/>
      </w:numPr>
      <w:tabs>
        <w:tab w:val="clear" w:pos="360"/>
        <w:tab w:val="num" w:pos="283"/>
      </w:tabs>
      <w:spacing w:after="240" w:line="240" w:lineRule="auto"/>
      <w:ind w:left="283" w:hanging="283"/>
      <w:jc w:val="both"/>
    </w:pPr>
    <w:rPr>
      <w:rFonts w:ascii="Times New Roman" w:eastAsia="Times New Roman" w:hAnsi="Times New Roman" w:cs="Times New Roman"/>
      <w:sz w:val="24"/>
      <w:szCs w:val="20"/>
    </w:r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28"/>
      </w:numPr>
      <w:tabs>
        <w:tab w:val="clear" w:pos="360"/>
        <w:tab w:val="num" w:pos="709"/>
      </w:tabs>
      <w:spacing w:after="240" w:line="240" w:lineRule="auto"/>
      <w:ind w:left="709" w:hanging="709"/>
      <w:jc w:val="both"/>
    </w:pPr>
    <w:rPr>
      <w:rFonts w:ascii="Times New Roman" w:eastAsia="Times New Roman" w:hAnsi="Times New Roman" w:cs="Times New Roman"/>
      <w:sz w:val="24"/>
      <w:szCs w:val="20"/>
    </w:r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eastAsia="es-ES" w:bidi="es-E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eastAsia="es-ES" w:bidi="es-ES"/>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eastAsia="es-ES" w:bidi="es-ES"/>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customStyle="1" w:styleId="NumPar1">
    <w:name w:val="NumPar 1"/>
    <w:basedOn w:val="Heading1"/>
    <w:next w:val="Text1"/>
    <w:pPr>
      <w:keepNext w:val="0"/>
      <w:spacing w:before="0"/>
      <w:outlineLvl w:val="9"/>
    </w:pPr>
    <w:rPr>
      <w:b w:val="0"/>
      <w:bCs/>
    </w:rPr>
  </w:style>
  <w:style w:type="paragraph" w:customStyle="1" w:styleId="NumPar2">
    <w:name w:val="NumPar 2"/>
    <w:basedOn w:val="Heading2"/>
    <w:next w:val="Text2"/>
    <w:pPr>
      <w:keepNext w:val="0"/>
      <w:numPr>
        <w:ilvl w:val="1"/>
      </w:numPr>
      <w:tabs>
        <w:tab w:val="num" w:pos="567"/>
      </w:tabs>
      <w:spacing w:before="0" w:after="240"/>
      <w:ind w:left="567" w:hanging="567"/>
      <w:jc w:val="both"/>
      <w:outlineLvl w:val="9"/>
    </w:pPr>
    <w:rPr>
      <w:rFonts w:ascii="Times New Roman" w:eastAsia="Times New Roman" w:hAnsi="Times New Roman" w:cs="Times New Roman"/>
      <w:b w:val="0"/>
      <w:bCs w:val="0"/>
      <w:iCs w:val="0"/>
      <w:sz w:val="24"/>
      <w:szCs w:val="20"/>
    </w:rPr>
  </w:style>
  <w:style w:type="paragraph" w:customStyle="1" w:styleId="NumPar3">
    <w:name w:val="NumPar 3"/>
    <w:basedOn w:val="Heading3"/>
    <w:next w:val="Text3"/>
    <w:pPr>
      <w:keepNext w:val="0"/>
      <w:keepLines w:val="0"/>
      <w:numPr>
        <w:ilvl w:val="2"/>
      </w:numPr>
      <w:tabs>
        <w:tab w:val="num" w:pos="709"/>
      </w:tabs>
      <w:spacing w:before="0" w:after="240" w:line="240" w:lineRule="auto"/>
      <w:ind w:left="709" w:hanging="709"/>
      <w:jc w:val="both"/>
      <w:outlineLvl w:val="9"/>
    </w:pPr>
    <w:rPr>
      <w:rFonts w:ascii="Times New Roman" w:eastAsia="Times New Roman" w:hAnsi="Times New Roman" w:cs="Times New Roman"/>
      <w:color w:val="auto"/>
      <w:szCs w:val="20"/>
    </w:rPr>
  </w:style>
  <w:style w:type="paragraph" w:customStyle="1" w:styleId="NumPar4">
    <w:name w:val="NumPar 4"/>
    <w:basedOn w:val="Heading4"/>
    <w:next w:val="Text4"/>
    <w:pPr>
      <w:keepNext w:val="0"/>
      <w:keepLines w:val="0"/>
      <w:numPr>
        <w:ilvl w:val="3"/>
      </w:numPr>
      <w:tabs>
        <w:tab w:val="num" w:pos="851"/>
      </w:tabs>
      <w:spacing w:before="0" w:after="240" w:line="240" w:lineRule="auto"/>
      <w:ind w:left="851" w:hanging="851"/>
      <w:jc w:val="both"/>
      <w:outlineLvl w:val="9"/>
    </w:pPr>
    <w:rPr>
      <w:rFonts w:ascii="Times New Roman" w:eastAsia="Times New Roman" w:hAnsi="Times New Roman" w:cs="Times New Roman"/>
      <w:i w:val="0"/>
      <w:iCs w:val="0"/>
      <w:color w:val="auto"/>
      <w:sz w:val="24"/>
      <w:szCs w:val="20"/>
    </w:r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s-ES" w:bidi="es-ES"/>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eastAsia="es-ES" w:bidi="es-ES"/>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eastAsia="es-ES" w:bidi="es-ES"/>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lang w:eastAsia="es-ES" w:bidi="es-ES"/>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eastAsia="es-ES" w:bidi="es-ES"/>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Bullet1">
    <w:name w:val="List Bullet 1"/>
    <w:basedOn w:val="Text1"/>
    <w:pPr>
      <w:numPr>
        <w:numId w:val="3"/>
      </w:numPr>
      <w:spacing w:before="0" w:after="240"/>
    </w:pPr>
    <w:rPr>
      <w:szCs w:val="20"/>
    </w:rPr>
  </w:style>
  <w:style w:type="paragraph" w:customStyle="1" w:styleId="ListDash">
    <w:name w:val="List Dash"/>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8"/>
      </w:numPr>
      <w:spacing w:before="0" w:after="240"/>
    </w:pPr>
    <w:rPr>
      <w:szCs w:val="20"/>
    </w:r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13"/>
      </w:numPr>
      <w:spacing w:before="0" w:after="240"/>
    </w:pPr>
    <w:rPr>
      <w:szCs w:val="20"/>
    </w:rPr>
  </w:style>
  <w:style w:type="paragraph" w:customStyle="1" w:styleId="ListNumber1Level2">
    <w:name w:val="List Number 1 (Level 2)"/>
    <w:basedOn w:val="Text1"/>
    <w:pPr>
      <w:numPr>
        <w:ilvl w:val="1"/>
        <w:numId w:val="13"/>
      </w:numPr>
      <w:spacing w:before="0" w:after="240"/>
    </w:pPr>
    <w:rPr>
      <w:szCs w:val="20"/>
    </w:rPr>
  </w:style>
  <w:style w:type="paragraph" w:customStyle="1" w:styleId="ListNumber1Level3">
    <w:name w:val="List Number 1 (Level 3)"/>
    <w:basedOn w:val="Text1"/>
    <w:pPr>
      <w:numPr>
        <w:ilvl w:val="2"/>
        <w:numId w:val="13"/>
      </w:numPr>
      <w:spacing w:before="0" w:after="240"/>
    </w:pPr>
    <w:rPr>
      <w:szCs w:val="20"/>
    </w:rPr>
  </w:style>
  <w:style w:type="paragraph" w:customStyle="1" w:styleId="ListNumber1Level4">
    <w:name w:val="List Number 1 (Level 4)"/>
    <w:basedOn w:val="Text1"/>
    <w:pPr>
      <w:numPr>
        <w:ilvl w:val="3"/>
        <w:numId w:val="13"/>
      </w:numPr>
      <w:spacing w:before="0" w:after="240"/>
    </w:pPr>
    <w:rPr>
      <w:szCs w:val="20"/>
    </w:r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LegalNumPar">
    <w:name w:val="LegalNumPar"/>
    <w:basedOn w:val="Normal"/>
    <w:pPr>
      <w:numPr>
        <w:numId w:val="17"/>
      </w:numPr>
      <w:spacing w:after="240" w:line="360" w:lineRule="auto"/>
    </w:pPr>
    <w:rPr>
      <w:rFonts w:ascii="Times New Roman" w:hAnsi="Times New Roman" w:cs="Times New Roman"/>
      <w:sz w:val="24"/>
    </w:rPr>
  </w:style>
  <w:style w:type="paragraph" w:customStyle="1" w:styleId="LegalNumPar2">
    <w:name w:val="LegalNumPar2"/>
    <w:basedOn w:val="Normal"/>
    <w:pPr>
      <w:numPr>
        <w:ilvl w:val="1"/>
        <w:numId w:val="17"/>
      </w:numPr>
      <w:spacing w:after="240" w:line="360" w:lineRule="auto"/>
      <w:ind w:left="952" w:hanging="476"/>
    </w:pPr>
    <w:rPr>
      <w:rFonts w:ascii="Times New Roman" w:hAnsi="Times New Roman" w:cs="Times New Roman"/>
      <w:sz w:val="24"/>
    </w:rPr>
  </w:style>
  <w:style w:type="paragraph" w:customStyle="1" w:styleId="LegalNumPar3">
    <w:name w:val="LegalNumPar3"/>
    <w:basedOn w:val="Normal"/>
    <w:pPr>
      <w:numPr>
        <w:ilvl w:val="2"/>
        <w:numId w:val="17"/>
      </w:numPr>
      <w:spacing w:after="240" w:line="360" w:lineRule="auto"/>
    </w:pPr>
    <w:rPr>
      <w:rFonts w:ascii="Times New Roman" w:hAnsi="Times New Roman" w:cs="Times New Roman"/>
      <w:sz w:val="24"/>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heme="minorEastAsia" w:hAnsi="Arial" w:cs="Arial"/>
      <w:sz w:val="24"/>
      <w:szCs w:val="24"/>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rPr>
  </w:style>
  <w:style w:type="table" w:styleId="TableGrid">
    <w:name w:val="Table Grid"/>
    <w:basedOn w:val="TableNormal"/>
    <w:uiPriority w:val="59"/>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ret2">
    <w:name w:val="Tiret 2"/>
    <w:basedOn w:val="Normal"/>
    <w:pPr>
      <w:spacing w:before="120" w:after="120" w:line="240" w:lineRule="auto"/>
      <w:ind w:left="1985"/>
      <w:jc w:val="both"/>
    </w:pPr>
    <w:rPr>
      <w:rFonts w:ascii="Times New Roman" w:eastAsia="Times New Roman" w:hAnsi="Times New Roman" w:cs="Times New Roman"/>
      <w:sz w:val="24"/>
      <w:szCs w:val="20"/>
    </w:rPr>
  </w:style>
  <w:style w:type="paragraph" w:customStyle="1" w:styleId="Considrant">
    <w:name w:val="Considérant"/>
    <w:basedOn w:val="Normal"/>
    <w:pPr>
      <w:numPr>
        <w:numId w:val="23"/>
      </w:numPr>
      <w:spacing w:before="120" w:after="12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0539">
      <w:bodyDiv w:val="1"/>
      <w:marLeft w:val="0"/>
      <w:marRight w:val="0"/>
      <w:marTop w:val="0"/>
      <w:marBottom w:val="0"/>
      <w:divBdr>
        <w:top w:val="none" w:sz="0" w:space="0" w:color="auto"/>
        <w:left w:val="none" w:sz="0" w:space="0" w:color="auto"/>
        <w:bottom w:val="none" w:sz="0" w:space="0" w:color="auto"/>
        <w:right w:val="none" w:sz="0" w:space="0" w:color="auto"/>
      </w:divBdr>
    </w:div>
    <w:div w:id="235484313">
      <w:bodyDiv w:val="1"/>
      <w:marLeft w:val="0"/>
      <w:marRight w:val="0"/>
      <w:marTop w:val="0"/>
      <w:marBottom w:val="0"/>
      <w:divBdr>
        <w:top w:val="none" w:sz="0" w:space="0" w:color="auto"/>
        <w:left w:val="none" w:sz="0" w:space="0" w:color="auto"/>
        <w:bottom w:val="none" w:sz="0" w:space="0" w:color="auto"/>
        <w:right w:val="none" w:sz="0" w:space="0" w:color="auto"/>
      </w:divBdr>
      <w:divsChild>
        <w:div w:id="1269972850">
          <w:marLeft w:val="0"/>
          <w:marRight w:val="0"/>
          <w:marTop w:val="0"/>
          <w:marBottom w:val="0"/>
          <w:divBdr>
            <w:top w:val="none" w:sz="0" w:space="0" w:color="auto"/>
            <w:left w:val="none" w:sz="0" w:space="0" w:color="auto"/>
            <w:bottom w:val="none" w:sz="0" w:space="0" w:color="auto"/>
            <w:right w:val="none" w:sz="0" w:space="0" w:color="auto"/>
          </w:divBdr>
          <w:divsChild>
            <w:div w:id="421613088">
              <w:marLeft w:val="0"/>
              <w:marRight w:val="0"/>
              <w:marTop w:val="0"/>
              <w:marBottom w:val="0"/>
              <w:divBdr>
                <w:top w:val="none" w:sz="0" w:space="0" w:color="auto"/>
                <w:left w:val="none" w:sz="0" w:space="0" w:color="auto"/>
                <w:bottom w:val="none" w:sz="0" w:space="0" w:color="auto"/>
                <w:right w:val="none" w:sz="0" w:space="0" w:color="auto"/>
              </w:divBdr>
              <w:divsChild>
                <w:div w:id="415713352">
                  <w:marLeft w:val="0"/>
                  <w:marRight w:val="0"/>
                  <w:marTop w:val="0"/>
                  <w:marBottom w:val="0"/>
                  <w:divBdr>
                    <w:top w:val="none" w:sz="0" w:space="0" w:color="auto"/>
                    <w:left w:val="none" w:sz="0" w:space="0" w:color="auto"/>
                    <w:bottom w:val="none" w:sz="0" w:space="0" w:color="auto"/>
                    <w:right w:val="none" w:sz="0" w:space="0" w:color="auto"/>
                  </w:divBdr>
                  <w:divsChild>
                    <w:div w:id="1679037745">
                      <w:marLeft w:val="0"/>
                      <w:marRight w:val="0"/>
                      <w:marTop w:val="0"/>
                      <w:marBottom w:val="0"/>
                      <w:divBdr>
                        <w:top w:val="none" w:sz="0" w:space="0" w:color="auto"/>
                        <w:left w:val="none" w:sz="0" w:space="0" w:color="auto"/>
                        <w:bottom w:val="none" w:sz="0" w:space="0" w:color="auto"/>
                        <w:right w:val="none" w:sz="0" w:space="0" w:color="auto"/>
                      </w:divBdr>
                      <w:divsChild>
                        <w:div w:id="1485195091">
                          <w:marLeft w:val="0"/>
                          <w:marRight w:val="0"/>
                          <w:marTop w:val="0"/>
                          <w:marBottom w:val="0"/>
                          <w:divBdr>
                            <w:top w:val="none" w:sz="0" w:space="0" w:color="auto"/>
                            <w:left w:val="none" w:sz="0" w:space="0" w:color="auto"/>
                            <w:bottom w:val="none" w:sz="0" w:space="0" w:color="auto"/>
                            <w:right w:val="none" w:sz="0" w:space="0" w:color="auto"/>
                          </w:divBdr>
                          <w:divsChild>
                            <w:div w:id="1520316421">
                              <w:marLeft w:val="-225"/>
                              <w:marRight w:val="-225"/>
                              <w:marTop w:val="0"/>
                              <w:marBottom w:val="0"/>
                              <w:divBdr>
                                <w:top w:val="none" w:sz="0" w:space="0" w:color="auto"/>
                                <w:left w:val="none" w:sz="0" w:space="0" w:color="auto"/>
                                <w:bottom w:val="none" w:sz="0" w:space="0" w:color="auto"/>
                                <w:right w:val="none" w:sz="0" w:space="0" w:color="auto"/>
                              </w:divBdr>
                              <w:divsChild>
                                <w:div w:id="659043397">
                                  <w:marLeft w:val="0"/>
                                  <w:marRight w:val="0"/>
                                  <w:marTop w:val="0"/>
                                  <w:marBottom w:val="0"/>
                                  <w:divBdr>
                                    <w:top w:val="none" w:sz="0" w:space="0" w:color="auto"/>
                                    <w:left w:val="none" w:sz="0" w:space="0" w:color="auto"/>
                                    <w:bottom w:val="none" w:sz="0" w:space="0" w:color="auto"/>
                                    <w:right w:val="none" w:sz="0" w:space="0" w:color="auto"/>
                                  </w:divBdr>
                                  <w:divsChild>
                                    <w:div w:id="2125686662">
                                      <w:marLeft w:val="-225"/>
                                      <w:marRight w:val="-225"/>
                                      <w:marTop w:val="0"/>
                                      <w:marBottom w:val="0"/>
                                      <w:divBdr>
                                        <w:top w:val="none" w:sz="0" w:space="0" w:color="auto"/>
                                        <w:left w:val="none" w:sz="0" w:space="0" w:color="auto"/>
                                        <w:bottom w:val="none" w:sz="0" w:space="0" w:color="auto"/>
                                        <w:right w:val="none" w:sz="0" w:space="0" w:color="auto"/>
                                      </w:divBdr>
                                      <w:divsChild>
                                        <w:div w:id="934820341">
                                          <w:marLeft w:val="0"/>
                                          <w:marRight w:val="0"/>
                                          <w:marTop w:val="0"/>
                                          <w:marBottom w:val="0"/>
                                          <w:divBdr>
                                            <w:top w:val="none" w:sz="0" w:space="0" w:color="auto"/>
                                            <w:left w:val="none" w:sz="0" w:space="0" w:color="auto"/>
                                            <w:bottom w:val="none" w:sz="0" w:space="0" w:color="auto"/>
                                            <w:right w:val="none" w:sz="0" w:space="0" w:color="auto"/>
                                          </w:divBdr>
                                          <w:divsChild>
                                            <w:div w:id="413167205">
                                              <w:marLeft w:val="0"/>
                                              <w:marRight w:val="0"/>
                                              <w:marTop w:val="0"/>
                                              <w:marBottom w:val="0"/>
                                              <w:divBdr>
                                                <w:top w:val="none" w:sz="0" w:space="0" w:color="auto"/>
                                                <w:left w:val="none" w:sz="0" w:space="0" w:color="auto"/>
                                                <w:bottom w:val="none" w:sz="0" w:space="0" w:color="auto"/>
                                                <w:right w:val="none" w:sz="0" w:space="0" w:color="auto"/>
                                              </w:divBdr>
                                              <w:divsChild>
                                                <w:div w:id="294263467">
                                                  <w:marLeft w:val="-225"/>
                                                  <w:marRight w:val="-225"/>
                                                  <w:marTop w:val="0"/>
                                                  <w:marBottom w:val="0"/>
                                                  <w:divBdr>
                                                    <w:top w:val="none" w:sz="0" w:space="0" w:color="auto"/>
                                                    <w:left w:val="none" w:sz="0" w:space="0" w:color="auto"/>
                                                    <w:bottom w:val="none" w:sz="0" w:space="0" w:color="auto"/>
                                                    <w:right w:val="none" w:sz="0" w:space="0" w:color="auto"/>
                                                  </w:divBdr>
                                                  <w:divsChild>
                                                    <w:div w:id="1148782660">
                                                      <w:marLeft w:val="0"/>
                                                      <w:marRight w:val="0"/>
                                                      <w:marTop w:val="0"/>
                                                      <w:marBottom w:val="0"/>
                                                      <w:divBdr>
                                                        <w:top w:val="none" w:sz="0" w:space="0" w:color="auto"/>
                                                        <w:left w:val="none" w:sz="0" w:space="0" w:color="auto"/>
                                                        <w:bottom w:val="none" w:sz="0" w:space="0" w:color="auto"/>
                                                        <w:right w:val="none" w:sz="0" w:space="0" w:color="auto"/>
                                                      </w:divBdr>
                                                      <w:divsChild>
                                                        <w:div w:id="1357191495">
                                                          <w:marLeft w:val="-225"/>
                                                          <w:marRight w:val="-225"/>
                                                          <w:marTop w:val="0"/>
                                                          <w:marBottom w:val="0"/>
                                                          <w:divBdr>
                                                            <w:top w:val="none" w:sz="0" w:space="0" w:color="auto"/>
                                                            <w:left w:val="none" w:sz="0" w:space="0" w:color="auto"/>
                                                            <w:bottom w:val="none" w:sz="0" w:space="0" w:color="auto"/>
                                                            <w:right w:val="none" w:sz="0" w:space="0" w:color="auto"/>
                                                          </w:divBdr>
                                                          <w:divsChild>
                                                            <w:div w:id="478426264">
                                                              <w:marLeft w:val="0"/>
                                                              <w:marRight w:val="0"/>
                                                              <w:marTop w:val="0"/>
                                                              <w:marBottom w:val="0"/>
                                                              <w:divBdr>
                                                                <w:top w:val="none" w:sz="0" w:space="0" w:color="auto"/>
                                                                <w:left w:val="none" w:sz="0" w:space="0" w:color="auto"/>
                                                                <w:bottom w:val="none" w:sz="0" w:space="0" w:color="auto"/>
                                                                <w:right w:val="none" w:sz="0" w:space="0" w:color="auto"/>
                                                              </w:divBdr>
                                                              <w:divsChild>
                                                                <w:div w:id="1490291133">
                                                                  <w:marLeft w:val="0"/>
                                                                  <w:marRight w:val="0"/>
                                                                  <w:marTop w:val="0"/>
                                                                  <w:marBottom w:val="0"/>
                                                                  <w:divBdr>
                                                                    <w:top w:val="none" w:sz="0" w:space="0" w:color="auto"/>
                                                                    <w:left w:val="none" w:sz="0" w:space="0" w:color="auto"/>
                                                                    <w:bottom w:val="none" w:sz="0" w:space="0" w:color="auto"/>
                                                                    <w:right w:val="none" w:sz="0" w:space="0" w:color="auto"/>
                                                                  </w:divBdr>
                                                                  <w:divsChild>
                                                                    <w:div w:id="454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8538315">
      <w:bodyDiv w:val="1"/>
      <w:marLeft w:val="0"/>
      <w:marRight w:val="0"/>
      <w:marTop w:val="0"/>
      <w:marBottom w:val="0"/>
      <w:divBdr>
        <w:top w:val="none" w:sz="0" w:space="0" w:color="auto"/>
        <w:left w:val="none" w:sz="0" w:space="0" w:color="auto"/>
        <w:bottom w:val="none" w:sz="0" w:space="0" w:color="auto"/>
        <w:right w:val="none" w:sz="0" w:space="0" w:color="auto"/>
      </w:divBdr>
    </w:div>
    <w:div w:id="482889424">
      <w:bodyDiv w:val="1"/>
      <w:marLeft w:val="0"/>
      <w:marRight w:val="0"/>
      <w:marTop w:val="0"/>
      <w:marBottom w:val="0"/>
      <w:divBdr>
        <w:top w:val="none" w:sz="0" w:space="0" w:color="auto"/>
        <w:left w:val="none" w:sz="0" w:space="0" w:color="auto"/>
        <w:bottom w:val="none" w:sz="0" w:space="0" w:color="auto"/>
        <w:right w:val="none" w:sz="0" w:space="0" w:color="auto"/>
      </w:divBdr>
    </w:div>
    <w:div w:id="564292209">
      <w:bodyDiv w:val="1"/>
      <w:marLeft w:val="0"/>
      <w:marRight w:val="0"/>
      <w:marTop w:val="0"/>
      <w:marBottom w:val="0"/>
      <w:divBdr>
        <w:top w:val="none" w:sz="0" w:space="0" w:color="auto"/>
        <w:left w:val="none" w:sz="0" w:space="0" w:color="auto"/>
        <w:bottom w:val="none" w:sz="0" w:space="0" w:color="auto"/>
        <w:right w:val="none" w:sz="0" w:space="0" w:color="auto"/>
      </w:divBdr>
      <w:divsChild>
        <w:div w:id="2117367804">
          <w:marLeft w:val="0"/>
          <w:marRight w:val="0"/>
          <w:marTop w:val="0"/>
          <w:marBottom w:val="0"/>
          <w:divBdr>
            <w:top w:val="none" w:sz="0" w:space="0" w:color="auto"/>
            <w:left w:val="none" w:sz="0" w:space="0" w:color="auto"/>
            <w:bottom w:val="none" w:sz="0" w:space="0" w:color="auto"/>
            <w:right w:val="none" w:sz="0" w:space="0" w:color="auto"/>
          </w:divBdr>
          <w:divsChild>
            <w:div w:id="510264981">
              <w:marLeft w:val="0"/>
              <w:marRight w:val="0"/>
              <w:marTop w:val="0"/>
              <w:marBottom w:val="0"/>
              <w:divBdr>
                <w:top w:val="none" w:sz="0" w:space="0" w:color="auto"/>
                <w:left w:val="none" w:sz="0" w:space="0" w:color="auto"/>
                <w:bottom w:val="none" w:sz="0" w:space="0" w:color="auto"/>
                <w:right w:val="none" w:sz="0" w:space="0" w:color="auto"/>
              </w:divBdr>
              <w:divsChild>
                <w:div w:id="1251085524">
                  <w:marLeft w:val="0"/>
                  <w:marRight w:val="0"/>
                  <w:marTop w:val="0"/>
                  <w:marBottom w:val="0"/>
                  <w:divBdr>
                    <w:top w:val="none" w:sz="0" w:space="0" w:color="auto"/>
                    <w:left w:val="none" w:sz="0" w:space="0" w:color="auto"/>
                    <w:bottom w:val="none" w:sz="0" w:space="0" w:color="auto"/>
                    <w:right w:val="none" w:sz="0" w:space="0" w:color="auto"/>
                  </w:divBdr>
                  <w:divsChild>
                    <w:div w:id="291520565">
                      <w:marLeft w:val="0"/>
                      <w:marRight w:val="0"/>
                      <w:marTop w:val="0"/>
                      <w:marBottom w:val="0"/>
                      <w:divBdr>
                        <w:top w:val="none" w:sz="0" w:space="0" w:color="auto"/>
                        <w:left w:val="none" w:sz="0" w:space="0" w:color="auto"/>
                        <w:bottom w:val="none" w:sz="0" w:space="0" w:color="auto"/>
                        <w:right w:val="none" w:sz="0" w:space="0" w:color="auto"/>
                      </w:divBdr>
                      <w:divsChild>
                        <w:div w:id="403455107">
                          <w:marLeft w:val="0"/>
                          <w:marRight w:val="0"/>
                          <w:marTop w:val="0"/>
                          <w:marBottom w:val="0"/>
                          <w:divBdr>
                            <w:top w:val="none" w:sz="0" w:space="0" w:color="auto"/>
                            <w:left w:val="none" w:sz="0" w:space="0" w:color="auto"/>
                            <w:bottom w:val="none" w:sz="0" w:space="0" w:color="auto"/>
                            <w:right w:val="none" w:sz="0" w:space="0" w:color="auto"/>
                          </w:divBdr>
                          <w:divsChild>
                            <w:div w:id="665088612">
                              <w:marLeft w:val="-225"/>
                              <w:marRight w:val="-225"/>
                              <w:marTop w:val="0"/>
                              <w:marBottom w:val="0"/>
                              <w:divBdr>
                                <w:top w:val="none" w:sz="0" w:space="0" w:color="auto"/>
                                <w:left w:val="none" w:sz="0" w:space="0" w:color="auto"/>
                                <w:bottom w:val="none" w:sz="0" w:space="0" w:color="auto"/>
                                <w:right w:val="none" w:sz="0" w:space="0" w:color="auto"/>
                              </w:divBdr>
                              <w:divsChild>
                                <w:div w:id="66349398">
                                  <w:marLeft w:val="0"/>
                                  <w:marRight w:val="0"/>
                                  <w:marTop w:val="0"/>
                                  <w:marBottom w:val="0"/>
                                  <w:divBdr>
                                    <w:top w:val="none" w:sz="0" w:space="0" w:color="auto"/>
                                    <w:left w:val="none" w:sz="0" w:space="0" w:color="auto"/>
                                    <w:bottom w:val="none" w:sz="0" w:space="0" w:color="auto"/>
                                    <w:right w:val="none" w:sz="0" w:space="0" w:color="auto"/>
                                  </w:divBdr>
                                  <w:divsChild>
                                    <w:div w:id="934240760">
                                      <w:marLeft w:val="-225"/>
                                      <w:marRight w:val="-225"/>
                                      <w:marTop w:val="0"/>
                                      <w:marBottom w:val="0"/>
                                      <w:divBdr>
                                        <w:top w:val="none" w:sz="0" w:space="0" w:color="auto"/>
                                        <w:left w:val="none" w:sz="0" w:space="0" w:color="auto"/>
                                        <w:bottom w:val="none" w:sz="0" w:space="0" w:color="auto"/>
                                        <w:right w:val="none" w:sz="0" w:space="0" w:color="auto"/>
                                      </w:divBdr>
                                      <w:divsChild>
                                        <w:div w:id="1645506663">
                                          <w:marLeft w:val="0"/>
                                          <w:marRight w:val="0"/>
                                          <w:marTop w:val="0"/>
                                          <w:marBottom w:val="0"/>
                                          <w:divBdr>
                                            <w:top w:val="none" w:sz="0" w:space="0" w:color="auto"/>
                                            <w:left w:val="none" w:sz="0" w:space="0" w:color="auto"/>
                                            <w:bottom w:val="none" w:sz="0" w:space="0" w:color="auto"/>
                                            <w:right w:val="none" w:sz="0" w:space="0" w:color="auto"/>
                                          </w:divBdr>
                                          <w:divsChild>
                                            <w:div w:id="1027291436">
                                              <w:marLeft w:val="0"/>
                                              <w:marRight w:val="0"/>
                                              <w:marTop w:val="0"/>
                                              <w:marBottom w:val="0"/>
                                              <w:divBdr>
                                                <w:top w:val="none" w:sz="0" w:space="0" w:color="auto"/>
                                                <w:left w:val="none" w:sz="0" w:space="0" w:color="auto"/>
                                                <w:bottom w:val="none" w:sz="0" w:space="0" w:color="auto"/>
                                                <w:right w:val="none" w:sz="0" w:space="0" w:color="auto"/>
                                              </w:divBdr>
                                              <w:divsChild>
                                                <w:div w:id="1642883494">
                                                  <w:marLeft w:val="-225"/>
                                                  <w:marRight w:val="-225"/>
                                                  <w:marTop w:val="0"/>
                                                  <w:marBottom w:val="0"/>
                                                  <w:divBdr>
                                                    <w:top w:val="none" w:sz="0" w:space="0" w:color="auto"/>
                                                    <w:left w:val="none" w:sz="0" w:space="0" w:color="auto"/>
                                                    <w:bottom w:val="none" w:sz="0" w:space="0" w:color="auto"/>
                                                    <w:right w:val="none" w:sz="0" w:space="0" w:color="auto"/>
                                                  </w:divBdr>
                                                  <w:divsChild>
                                                    <w:div w:id="1128933885">
                                                      <w:marLeft w:val="0"/>
                                                      <w:marRight w:val="0"/>
                                                      <w:marTop w:val="0"/>
                                                      <w:marBottom w:val="0"/>
                                                      <w:divBdr>
                                                        <w:top w:val="none" w:sz="0" w:space="0" w:color="auto"/>
                                                        <w:left w:val="none" w:sz="0" w:space="0" w:color="auto"/>
                                                        <w:bottom w:val="none" w:sz="0" w:space="0" w:color="auto"/>
                                                        <w:right w:val="none" w:sz="0" w:space="0" w:color="auto"/>
                                                      </w:divBdr>
                                                      <w:divsChild>
                                                        <w:div w:id="823207827">
                                                          <w:marLeft w:val="-225"/>
                                                          <w:marRight w:val="-225"/>
                                                          <w:marTop w:val="0"/>
                                                          <w:marBottom w:val="0"/>
                                                          <w:divBdr>
                                                            <w:top w:val="none" w:sz="0" w:space="0" w:color="auto"/>
                                                            <w:left w:val="none" w:sz="0" w:space="0" w:color="auto"/>
                                                            <w:bottom w:val="none" w:sz="0" w:space="0" w:color="auto"/>
                                                            <w:right w:val="none" w:sz="0" w:space="0" w:color="auto"/>
                                                          </w:divBdr>
                                                          <w:divsChild>
                                                            <w:div w:id="192885945">
                                                              <w:marLeft w:val="0"/>
                                                              <w:marRight w:val="0"/>
                                                              <w:marTop w:val="0"/>
                                                              <w:marBottom w:val="0"/>
                                                              <w:divBdr>
                                                                <w:top w:val="none" w:sz="0" w:space="0" w:color="auto"/>
                                                                <w:left w:val="none" w:sz="0" w:space="0" w:color="auto"/>
                                                                <w:bottom w:val="none" w:sz="0" w:space="0" w:color="auto"/>
                                                                <w:right w:val="none" w:sz="0" w:space="0" w:color="auto"/>
                                                              </w:divBdr>
                                                              <w:divsChild>
                                                                <w:div w:id="923030257">
                                                                  <w:marLeft w:val="0"/>
                                                                  <w:marRight w:val="0"/>
                                                                  <w:marTop w:val="0"/>
                                                                  <w:marBottom w:val="0"/>
                                                                  <w:divBdr>
                                                                    <w:top w:val="none" w:sz="0" w:space="0" w:color="auto"/>
                                                                    <w:left w:val="none" w:sz="0" w:space="0" w:color="auto"/>
                                                                    <w:bottom w:val="none" w:sz="0" w:space="0" w:color="auto"/>
                                                                    <w:right w:val="none" w:sz="0" w:space="0" w:color="auto"/>
                                                                  </w:divBdr>
                                                                  <w:divsChild>
                                                                    <w:div w:id="11090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3199319">
      <w:bodyDiv w:val="1"/>
      <w:marLeft w:val="0"/>
      <w:marRight w:val="0"/>
      <w:marTop w:val="0"/>
      <w:marBottom w:val="0"/>
      <w:divBdr>
        <w:top w:val="none" w:sz="0" w:space="0" w:color="auto"/>
        <w:left w:val="none" w:sz="0" w:space="0" w:color="auto"/>
        <w:bottom w:val="none" w:sz="0" w:space="0" w:color="auto"/>
        <w:right w:val="none" w:sz="0" w:space="0" w:color="auto"/>
      </w:divBdr>
    </w:div>
    <w:div w:id="689142547">
      <w:bodyDiv w:val="1"/>
      <w:marLeft w:val="0"/>
      <w:marRight w:val="0"/>
      <w:marTop w:val="0"/>
      <w:marBottom w:val="0"/>
      <w:divBdr>
        <w:top w:val="none" w:sz="0" w:space="0" w:color="auto"/>
        <w:left w:val="none" w:sz="0" w:space="0" w:color="auto"/>
        <w:bottom w:val="none" w:sz="0" w:space="0" w:color="auto"/>
        <w:right w:val="none" w:sz="0" w:space="0" w:color="auto"/>
      </w:divBdr>
    </w:div>
    <w:div w:id="752778502">
      <w:bodyDiv w:val="1"/>
      <w:marLeft w:val="0"/>
      <w:marRight w:val="0"/>
      <w:marTop w:val="0"/>
      <w:marBottom w:val="0"/>
      <w:divBdr>
        <w:top w:val="none" w:sz="0" w:space="0" w:color="auto"/>
        <w:left w:val="none" w:sz="0" w:space="0" w:color="auto"/>
        <w:bottom w:val="none" w:sz="0" w:space="0" w:color="auto"/>
        <w:right w:val="none" w:sz="0" w:space="0" w:color="auto"/>
      </w:divBdr>
    </w:div>
    <w:div w:id="911622383">
      <w:bodyDiv w:val="1"/>
      <w:marLeft w:val="0"/>
      <w:marRight w:val="0"/>
      <w:marTop w:val="0"/>
      <w:marBottom w:val="0"/>
      <w:divBdr>
        <w:top w:val="none" w:sz="0" w:space="0" w:color="auto"/>
        <w:left w:val="none" w:sz="0" w:space="0" w:color="auto"/>
        <w:bottom w:val="none" w:sz="0" w:space="0" w:color="auto"/>
        <w:right w:val="none" w:sz="0" w:space="0" w:color="auto"/>
      </w:divBdr>
    </w:div>
    <w:div w:id="958487152">
      <w:bodyDiv w:val="1"/>
      <w:marLeft w:val="0"/>
      <w:marRight w:val="0"/>
      <w:marTop w:val="0"/>
      <w:marBottom w:val="0"/>
      <w:divBdr>
        <w:top w:val="none" w:sz="0" w:space="0" w:color="auto"/>
        <w:left w:val="none" w:sz="0" w:space="0" w:color="auto"/>
        <w:bottom w:val="none" w:sz="0" w:space="0" w:color="auto"/>
        <w:right w:val="none" w:sz="0" w:space="0" w:color="auto"/>
      </w:divBdr>
    </w:div>
    <w:div w:id="960037052">
      <w:bodyDiv w:val="1"/>
      <w:marLeft w:val="0"/>
      <w:marRight w:val="0"/>
      <w:marTop w:val="0"/>
      <w:marBottom w:val="0"/>
      <w:divBdr>
        <w:top w:val="none" w:sz="0" w:space="0" w:color="auto"/>
        <w:left w:val="none" w:sz="0" w:space="0" w:color="auto"/>
        <w:bottom w:val="none" w:sz="0" w:space="0" w:color="auto"/>
        <w:right w:val="none" w:sz="0" w:space="0" w:color="auto"/>
      </w:divBdr>
    </w:div>
    <w:div w:id="1168593226">
      <w:bodyDiv w:val="1"/>
      <w:marLeft w:val="0"/>
      <w:marRight w:val="0"/>
      <w:marTop w:val="0"/>
      <w:marBottom w:val="0"/>
      <w:divBdr>
        <w:top w:val="none" w:sz="0" w:space="0" w:color="auto"/>
        <w:left w:val="none" w:sz="0" w:space="0" w:color="auto"/>
        <w:bottom w:val="none" w:sz="0" w:space="0" w:color="auto"/>
        <w:right w:val="none" w:sz="0" w:space="0" w:color="auto"/>
      </w:divBdr>
    </w:div>
    <w:div w:id="1204054750">
      <w:bodyDiv w:val="1"/>
      <w:marLeft w:val="0"/>
      <w:marRight w:val="0"/>
      <w:marTop w:val="0"/>
      <w:marBottom w:val="0"/>
      <w:divBdr>
        <w:top w:val="none" w:sz="0" w:space="0" w:color="auto"/>
        <w:left w:val="none" w:sz="0" w:space="0" w:color="auto"/>
        <w:bottom w:val="none" w:sz="0" w:space="0" w:color="auto"/>
        <w:right w:val="none" w:sz="0" w:space="0" w:color="auto"/>
      </w:divBdr>
    </w:div>
    <w:div w:id="1290627464">
      <w:bodyDiv w:val="1"/>
      <w:marLeft w:val="0"/>
      <w:marRight w:val="0"/>
      <w:marTop w:val="0"/>
      <w:marBottom w:val="0"/>
      <w:divBdr>
        <w:top w:val="none" w:sz="0" w:space="0" w:color="auto"/>
        <w:left w:val="none" w:sz="0" w:space="0" w:color="auto"/>
        <w:bottom w:val="none" w:sz="0" w:space="0" w:color="auto"/>
        <w:right w:val="none" w:sz="0" w:space="0" w:color="auto"/>
      </w:divBdr>
    </w:div>
    <w:div w:id="1328051164">
      <w:bodyDiv w:val="1"/>
      <w:marLeft w:val="0"/>
      <w:marRight w:val="0"/>
      <w:marTop w:val="0"/>
      <w:marBottom w:val="0"/>
      <w:divBdr>
        <w:top w:val="none" w:sz="0" w:space="0" w:color="auto"/>
        <w:left w:val="none" w:sz="0" w:space="0" w:color="auto"/>
        <w:bottom w:val="none" w:sz="0" w:space="0" w:color="auto"/>
        <w:right w:val="none" w:sz="0" w:space="0" w:color="auto"/>
      </w:divBdr>
    </w:div>
    <w:div w:id="1892842001">
      <w:bodyDiv w:val="1"/>
      <w:marLeft w:val="0"/>
      <w:marRight w:val="0"/>
      <w:marTop w:val="0"/>
      <w:marBottom w:val="0"/>
      <w:divBdr>
        <w:top w:val="none" w:sz="0" w:space="0" w:color="auto"/>
        <w:left w:val="none" w:sz="0" w:space="0" w:color="auto"/>
        <w:bottom w:val="none" w:sz="0" w:space="0" w:color="auto"/>
        <w:right w:val="none" w:sz="0" w:space="0" w:color="auto"/>
      </w:divBdr>
    </w:div>
    <w:div w:id="1960916382">
      <w:bodyDiv w:val="1"/>
      <w:marLeft w:val="0"/>
      <w:marRight w:val="0"/>
      <w:marTop w:val="0"/>
      <w:marBottom w:val="0"/>
      <w:divBdr>
        <w:top w:val="none" w:sz="0" w:space="0" w:color="auto"/>
        <w:left w:val="none" w:sz="0" w:space="0" w:color="auto"/>
        <w:bottom w:val="none" w:sz="0" w:space="0" w:color="auto"/>
        <w:right w:val="none" w:sz="0" w:space="0" w:color="auto"/>
      </w:divBdr>
    </w:div>
    <w:div w:id="1991246618">
      <w:bodyDiv w:val="1"/>
      <w:marLeft w:val="0"/>
      <w:marRight w:val="0"/>
      <w:marTop w:val="0"/>
      <w:marBottom w:val="0"/>
      <w:divBdr>
        <w:top w:val="none" w:sz="0" w:space="0" w:color="auto"/>
        <w:left w:val="none" w:sz="0" w:space="0" w:color="auto"/>
        <w:bottom w:val="none" w:sz="0" w:space="0" w:color="auto"/>
        <w:right w:val="none" w:sz="0" w:space="0" w:color="auto"/>
      </w:divBdr>
      <w:divsChild>
        <w:div w:id="425805979">
          <w:marLeft w:val="0"/>
          <w:marRight w:val="0"/>
          <w:marTop w:val="0"/>
          <w:marBottom w:val="0"/>
          <w:divBdr>
            <w:top w:val="none" w:sz="0" w:space="0" w:color="auto"/>
            <w:left w:val="none" w:sz="0" w:space="0" w:color="auto"/>
            <w:bottom w:val="none" w:sz="0" w:space="0" w:color="auto"/>
            <w:right w:val="none" w:sz="0" w:space="0" w:color="auto"/>
          </w:divBdr>
          <w:divsChild>
            <w:div w:id="10036521">
              <w:marLeft w:val="0"/>
              <w:marRight w:val="0"/>
              <w:marTop w:val="0"/>
              <w:marBottom w:val="0"/>
              <w:divBdr>
                <w:top w:val="none" w:sz="0" w:space="0" w:color="auto"/>
                <w:left w:val="none" w:sz="0" w:space="0" w:color="auto"/>
                <w:bottom w:val="none" w:sz="0" w:space="0" w:color="auto"/>
                <w:right w:val="none" w:sz="0" w:space="0" w:color="auto"/>
              </w:divBdr>
              <w:divsChild>
                <w:div w:id="163709108">
                  <w:marLeft w:val="0"/>
                  <w:marRight w:val="0"/>
                  <w:marTop w:val="0"/>
                  <w:marBottom w:val="0"/>
                  <w:divBdr>
                    <w:top w:val="none" w:sz="0" w:space="0" w:color="auto"/>
                    <w:left w:val="none" w:sz="0" w:space="0" w:color="auto"/>
                    <w:bottom w:val="none" w:sz="0" w:space="0" w:color="auto"/>
                    <w:right w:val="none" w:sz="0" w:space="0" w:color="auto"/>
                  </w:divBdr>
                  <w:divsChild>
                    <w:div w:id="1914310357">
                      <w:marLeft w:val="0"/>
                      <w:marRight w:val="0"/>
                      <w:marTop w:val="0"/>
                      <w:marBottom w:val="0"/>
                      <w:divBdr>
                        <w:top w:val="none" w:sz="0" w:space="0" w:color="auto"/>
                        <w:left w:val="none" w:sz="0" w:space="0" w:color="auto"/>
                        <w:bottom w:val="none" w:sz="0" w:space="0" w:color="auto"/>
                        <w:right w:val="none" w:sz="0" w:space="0" w:color="auto"/>
                      </w:divBdr>
                      <w:divsChild>
                        <w:div w:id="824592098">
                          <w:marLeft w:val="0"/>
                          <w:marRight w:val="0"/>
                          <w:marTop w:val="0"/>
                          <w:marBottom w:val="0"/>
                          <w:divBdr>
                            <w:top w:val="none" w:sz="0" w:space="0" w:color="auto"/>
                            <w:left w:val="none" w:sz="0" w:space="0" w:color="auto"/>
                            <w:bottom w:val="none" w:sz="0" w:space="0" w:color="auto"/>
                            <w:right w:val="none" w:sz="0" w:space="0" w:color="auto"/>
                          </w:divBdr>
                          <w:divsChild>
                            <w:div w:id="2025982087">
                              <w:marLeft w:val="-225"/>
                              <w:marRight w:val="-225"/>
                              <w:marTop w:val="0"/>
                              <w:marBottom w:val="0"/>
                              <w:divBdr>
                                <w:top w:val="none" w:sz="0" w:space="0" w:color="auto"/>
                                <w:left w:val="none" w:sz="0" w:space="0" w:color="auto"/>
                                <w:bottom w:val="none" w:sz="0" w:space="0" w:color="auto"/>
                                <w:right w:val="none" w:sz="0" w:space="0" w:color="auto"/>
                              </w:divBdr>
                              <w:divsChild>
                                <w:div w:id="2131393731">
                                  <w:marLeft w:val="0"/>
                                  <w:marRight w:val="0"/>
                                  <w:marTop w:val="0"/>
                                  <w:marBottom w:val="0"/>
                                  <w:divBdr>
                                    <w:top w:val="none" w:sz="0" w:space="0" w:color="auto"/>
                                    <w:left w:val="none" w:sz="0" w:space="0" w:color="auto"/>
                                    <w:bottom w:val="none" w:sz="0" w:space="0" w:color="auto"/>
                                    <w:right w:val="none" w:sz="0" w:space="0" w:color="auto"/>
                                  </w:divBdr>
                                  <w:divsChild>
                                    <w:div w:id="71783436">
                                      <w:marLeft w:val="-225"/>
                                      <w:marRight w:val="-225"/>
                                      <w:marTop w:val="0"/>
                                      <w:marBottom w:val="0"/>
                                      <w:divBdr>
                                        <w:top w:val="none" w:sz="0" w:space="0" w:color="auto"/>
                                        <w:left w:val="none" w:sz="0" w:space="0" w:color="auto"/>
                                        <w:bottom w:val="none" w:sz="0" w:space="0" w:color="auto"/>
                                        <w:right w:val="none" w:sz="0" w:space="0" w:color="auto"/>
                                      </w:divBdr>
                                      <w:divsChild>
                                        <w:div w:id="1126965744">
                                          <w:marLeft w:val="0"/>
                                          <w:marRight w:val="0"/>
                                          <w:marTop w:val="0"/>
                                          <w:marBottom w:val="0"/>
                                          <w:divBdr>
                                            <w:top w:val="none" w:sz="0" w:space="0" w:color="auto"/>
                                            <w:left w:val="none" w:sz="0" w:space="0" w:color="auto"/>
                                            <w:bottom w:val="none" w:sz="0" w:space="0" w:color="auto"/>
                                            <w:right w:val="none" w:sz="0" w:space="0" w:color="auto"/>
                                          </w:divBdr>
                                          <w:divsChild>
                                            <w:div w:id="1713918390">
                                              <w:marLeft w:val="0"/>
                                              <w:marRight w:val="0"/>
                                              <w:marTop w:val="0"/>
                                              <w:marBottom w:val="0"/>
                                              <w:divBdr>
                                                <w:top w:val="none" w:sz="0" w:space="0" w:color="auto"/>
                                                <w:left w:val="none" w:sz="0" w:space="0" w:color="auto"/>
                                                <w:bottom w:val="none" w:sz="0" w:space="0" w:color="auto"/>
                                                <w:right w:val="none" w:sz="0" w:space="0" w:color="auto"/>
                                              </w:divBdr>
                                              <w:divsChild>
                                                <w:div w:id="1829176917">
                                                  <w:marLeft w:val="-225"/>
                                                  <w:marRight w:val="-225"/>
                                                  <w:marTop w:val="0"/>
                                                  <w:marBottom w:val="0"/>
                                                  <w:divBdr>
                                                    <w:top w:val="none" w:sz="0" w:space="0" w:color="auto"/>
                                                    <w:left w:val="none" w:sz="0" w:space="0" w:color="auto"/>
                                                    <w:bottom w:val="none" w:sz="0" w:space="0" w:color="auto"/>
                                                    <w:right w:val="none" w:sz="0" w:space="0" w:color="auto"/>
                                                  </w:divBdr>
                                                  <w:divsChild>
                                                    <w:div w:id="1264801117">
                                                      <w:marLeft w:val="0"/>
                                                      <w:marRight w:val="0"/>
                                                      <w:marTop w:val="0"/>
                                                      <w:marBottom w:val="0"/>
                                                      <w:divBdr>
                                                        <w:top w:val="none" w:sz="0" w:space="0" w:color="auto"/>
                                                        <w:left w:val="none" w:sz="0" w:space="0" w:color="auto"/>
                                                        <w:bottom w:val="none" w:sz="0" w:space="0" w:color="auto"/>
                                                        <w:right w:val="none" w:sz="0" w:space="0" w:color="auto"/>
                                                      </w:divBdr>
                                                      <w:divsChild>
                                                        <w:div w:id="1310095113">
                                                          <w:marLeft w:val="-225"/>
                                                          <w:marRight w:val="-225"/>
                                                          <w:marTop w:val="0"/>
                                                          <w:marBottom w:val="0"/>
                                                          <w:divBdr>
                                                            <w:top w:val="none" w:sz="0" w:space="0" w:color="auto"/>
                                                            <w:left w:val="none" w:sz="0" w:space="0" w:color="auto"/>
                                                            <w:bottom w:val="none" w:sz="0" w:space="0" w:color="auto"/>
                                                            <w:right w:val="none" w:sz="0" w:space="0" w:color="auto"/>
                                                          </w:divBdr>
                                                          <w:divsChild>
                                                            <w:div w:id="1755055867">
                                                              <w:marLeft w:val="0"/>
                                                              <w:marRight w:val="0"/>
                                                              <w:marTop w:val="0"/>
                                                              <w:marBottom w:val="0"/>
                                                              <w:divBdr>
                                                                <w:top w:val="none" w:sz="0" w:space="0" w:color="auto"/>
                                                                <w:left w:val="none" w:sz="0" w:space="0" w:color="auto"/>
                                                                <w:bottom w:val="none" w:sz="0" w:space="0" w:color="auto"/>
                                                                <w:right w:val="none" w:sz="0" w:space="0" w:color="auto"/>
                                                              </w:divBdr>
                                                              <w:divsChild>
                                                                <w:div w:id="188841085">
                                                                  <w:marLeft w:val="0"/>
                                                                  <w:marRight w:val="0"/>
                                                                  <w:marTop w:val="0"/>
                                                                  <w:marBottom w:val="0"/>
                                                                  <w:divBdr>
                                                                    <w:top w:val="none" w:sz="0" w:space="0" w:color="auto"/>
                                                                    <w:left w:val="none" w:sz="0" w:space="0" w:color="auto"/>
                                                                    <w:bottom w:val="none" w:sz="0" w:space="0" w:color="auto"/>
                                                                    <w:right w:val="none" w:sz="0" w:space="0" w:color="auto"/>
                                                                  </w:divBdr>
                                                                  <w:divsChild>
                                                                    <w:div w:id="1955551287">
                                                                      <w:marLeft w:val="0"/>
                                                                      <w:marRight w:val="0"/>
                                                                      <w:marTop w:val="0"/>
                                                                      <w:marBottom w:val="0"/>
                                                                      <w:divBdr>
                                                                        <w:top w:val="none" w:sz="0" w:space="0" w:color="auto"/>
                                                                        <w:left w:val="none" w:sz="0" w:space="0" w:color="auto"/>
                                                                        <w:bottom w:val="none" w:sz="0" w:space="0" w:color="auto"/>
                                                                        <w:right w:val="none" w:sz="0" w:space="0" w:color="auto"/>
                                                                      </w:divBdr>
                                                                    </w:div>
                                                                    <w:div w:id="875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546021">
      <w:bodyDiv w:val="1"/>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423846046">
              <w:marLeft w:val="0"/>
              <w:marRight w:val="0"/>
              <w:marTop w:val="0"/>
              <w:marBottom w:val="0"/>
              <w:divBdr>
                <w:top w:val="none" w:sz="0" w:space="0" w:color="auto"/>
                <w:left w:val="none" w:sz="0" w:space="0" w:color="auto"/>
                <w:bottom w:val="none" w:sz="0" w:space="0" w:color="auto"/>
                <w:right w:val="none" w:sz="0" w:space="0" w:color="auto"/>
              </w:divBdr>
              <w:divsChild>
                <w:div w:id="325599624">
                  <w:marLeft w:val="0"/>
                  <w:marRight w:val="0"/>
                  <w:marTop w:val="0"/>
                  <w:marBottom w:val="0"/>
                  <w:divBdr>
                    <w:top w:val="none" w:sz="0" w:space="0" w:color="auto"/>
                    <w:left w:val="none" w:sz="0" w:space="0" w:color="auto"/>
                    <w:bottom w:val="none" w:sz="0" w:space="0" w:color="auto"/>
                    <w:right w:val="none" w:sz="0" w:space="0" w:color="auto"/>
                  </w:divBdr>
                  <w:divsChild>
                    <w:div w:id="56245666">
                      <w:marLeft w:val="0"/>
                      <w:marRight w:val="0"/>
                      <w:marTop w:val="0"/>
                      <w:marBottom w:val="0"/>
                      <w:divBdr>
                        <w:top w:val="none" w:sz="0" w:space="0" w:color="auto"/>
                        <w:left w:val="none" w:sz="0" w:space="0" w:color="auto"/>
                        <w:bottom w:val="none" w:sz="0" w:space="0" w:color="auto"/>
                        <w:right w:val="none" w:sz="0" w:space="0" w:color="auto"/>
                      </w:divBdr>
                      <w:divsChild>
                        <w:div w:id="1693189000">
                          <w:marLeft w:val="0"/>
                          <w:marRight w:val="0"/>
                          <w:marTop w:val="0"/>
                          <w:marBottom w:val="0"/>
                          <w:divBdr>
                            <w:top w:val="none" w:sz="0" w:space="0" w:color="auto"/>
                            <w:left w:val="none" w:sz="0" w:space="0" w:color="auto"/>
                            <w:bottom w:val="none" w:sz="0" w:space="0" w:color="auto"/>
                            <w:right w:val="none" w:sz="0" w:space="0" w:color="auto"/>
                          </w:divBdr>
                          <w:divsChild>
                            <w:div w:id="1199050639">
                              <w:marLeft w:val="-225"/>
                              <w:marRight w:val="-225"/>
                              <w:marTop w:val="0"/>
                              <w:marBottom w:val="0"/>
                              <w:divBdr>
                                <w:top w:val="none" w:sz="0" w:space="0" w:color="auto"/>
                                <w:left w:val="none" w:sz="0" w:space="0" w:color="auto"/>
                                <w:bottom w:val="none" w:sz="0" w:space="0" w:color="auto"/>
                                <w:right w:val="none" w:sz="0" w:space="0" w:color="auto"/>
                              </w:divBdr>
                              <w:divsChild>
                                <w:div w:id="925500395">
                                  <w:marLeft w:val="0"/>
                                  <w:marRight w:val="0"/>
                                  <w:marTop w:val="0"/>
                                  <w:marBottom w:val="0"/>
                                  <w:divBdr>
                                    <w:top w:val="none" w:sz="0" w:space="0" w:color="auto"/>
                                    <w:left w:val="none" w:sz="0" w:space="0" w:color="auto"/>
                                    <w:bottom w:val="none" w:sz="0" w:space="0" w:color="auto"/>
                                    <w:right w:val="none" w:sz="0" w:space="0" w:color="auto"/>
                                  </w:divBdr>
                                  <w:divsChild>
                                    <w:div w:id="2001617035">
                                      <w:marLeft w:val="-225"/>
                                      <w:marRight w:val="-225"/>
                                      <w:marTop w:val="0"/>
                                      <w:marBottom w:val="0"/>
                                      <w:divBdr>
                                        <w:top w:val="none" w:sz="0" w:space="0" w:color="auto"/>
                                        <w:left w:val="none" w:sz="0" w:space="0" w:color="auto"/>
                                        <w:bottom w:val="none" w:sz="0" w:space="0" w:color="auto"/>
                                        <w:right w:val="none" w:sz="0" w:space="0" w:color="auto"/>
                                      </w:divBdr>
                                      <w:divsChild>
                                        <w:div w:id="1521041592">
                                          <w:marLeft w:val="0"/>
                                          <w:marRight w:val="0"/>
                                          <w:marTop w:val="0"/>
                                          <w:marBottom w:val="0"/>
                                          <w:divBdr>
                                            <w:top w:val="none" w:sz="0" w:space="0" w:color="auto"/>
                                            <w:left w:val="none" w:sz="0" w:space="0" w:color="auto"/>
                                            <w:bottom w:val="none" w:sz="0" w:space="0" w:color="auto"/>
                                            <w:right w:val="none" w:sz="0" w:space="0" w:color="auto"/>
                                          </w:divBdr>
                                          <w:divsChild>
                                            <w:div w:id="497616638">
                                              <w:marLeft w:val="0"/>
                                              <w:marRight w:val="0"/>
                                              <w:marTop w:val="0"/>
                                              <w:marBottom w:val="0"/>
                                              <w:divBdr>
                                                <w:top w:val="none" w:sz="0" w:space="0" w:color="auto"/>
                                                <w:left w:val="none" w:sz="0" w:space="0" w:color="auto"/>
                                                <w:bottom w:val="none" w:sz="0" w:space="0" w:color="auto"/>
                                                <w:right w:val="none" w:sz="0" w:space="0" w:color="auto"/>
                                              </w:divBdr>
                                              <w:divsChild>
                                                <w:div w:id="869949024">
                                                  <w:marLeft w:val="-225"/>
                                                  <w:marRight w:val="-225"/>
                                                  <w:marTop w:val="0"/>
                                                  <w:marBottom w:val="0"/>
                                                  <w:divBdr>
                                                    <w:top w:val="none" w:sz="0" w:space="0" w:color="auto"/>
                                                    <w:left w:val="none" w:sz="0" w:space="0" w:color="auto"/>
                                                    <w:bottom w:val="none" w:sz="0" w:space="0" w:color="auto"/>
                                                    <w:right w:val="none" w:sz="0" w:space="0" w:color="auto"/>
                                                  </w:divBdr>
                                                  <w:divsChild>
                                                    <w:div w:id="1479497292">
                                                      <w:marLeft w:val="0"/>
                                                      <w:marRight w:val="0"/>
                                                      <w:marTop w:val="0"/>
                                                      <w:marBottom w:val="0"/>
                                                      <w:divBdr>
                                                        <w:top w:val="none" w:sz="0" w:space="0" w:color="auto"/>
                                                        <w:left w:val="none" w:sz="0" w:space="0" w:color="auto"/>
                                                        <w:bottom w:val="none" w:sz="0" w:space="0" w:color="auto"/>
                                                        <w:right w:val="none" w:sz="0" w:space="0" w:color="auto"/>
                                                      </w:divBdr>
                                                      <w:divsChild>
                                                        <w:div w:id="332688407">
                                                          <w:marLeft w:val="-225"/>
                                                          <w:marRight w:val="-225"/>
                                                          <w:marTop w:val="0"/>
                                                          <w:marBottom w:val="0"/>
                                                          <w:divBdr>
                                                            <w:top w:val="none" w:sz="0" w:space="0" w:color="auto"/>
                                                            <w:left w:val="none" w:sz="0" w:space="0" w:color="auto"/>
                                                            <w:bottom w:val="none" w:sz="0" w:space="0" w:color="auto"/>
                                                            <w:right w:val="none" w:sz="0" w:space="0" w:color="auto"/>
                                                          </w:divBdr>
                                                          <w:divsChild>
                                                            <w:div w:id="815562735">
                                                              <w:marLeft w:val="0"/>
                                                              <w:marRight w:val="0"/>
                                                              <w:marTop w:val="0"/>
                                                              <w:marBottom w:val="0"/>
                                                              <w:divBdr>
                                                                <w:top w:val="none" w:sz="0" w:space="0" w:color="auto"/>
                                                                <w:left w:val="none" w:sz="0" w:space="0" w:color="auto"/>
                                                                <w:bottom w:val="none" w:sz="0" w:space="0" w:color="auto"/>
                                                                <w:right w:val="none" w:sz="0" w:space="0" w:color="auto"/>
                                                              </w:divBdr>
                                                              <w:divsChild>
                                                                <w:div w:id="1813450714">
                                                                  <w:marLeft w:val="0"/>
                                                                  <w:marRight w:val="0"/>
                                                                  <w:marTop w:val="0"/>
                                                                  <w:marBottom w:val="0"/>
                                                                  <w:divBdr>
                                                                    <w:top w:val="none" w:sz="0" w:space="0" w:color="auto"/>
                                                                    <w:left w:val="none" w:sz="0" w:space="0" w:color="auto"/>
                                                                    <w:bottom w:val="none" w:sz="0" w:space="0" w:color="auto"/>
                                                                    <w:right w:val="none" w:sz="0" w:space="0" w:color="auto"/>
                                                                  </w:divBdr>
                                                                  <w:divsChild>
                                                                    <w:div w:id="1782532520">
                                                                      <w:marLeft w:val="0"/>
                                                                      <w:marRight w:val="0"/>
                                                                      <w:marTop w:val="0"/>
                                                                      <w:marBottom w:val="0"/>
                                                                      <w:divBdr>
                                                                        <w:top w:val="none" w:sz="0" w:space="0" w:color="auto"/>
                                                                        <w:left w:val="none" w:sz="0" w:space="0" w:color="auto"/>
                                                                        <w:bottom w:val="none" w:sz="0" w:space="0" w:color="auto"/>
                                                                        <w:right w:val="none" w:sz="0" w:space="0" w:color="auto"/>
                                                                      </w:divBdr>
                                                                    </w:div>
                                                                    <w:div w:id="9176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header" Target="header23.xml"/><Relationship Id="rId63" Type="http://schemas.openxmlformats.org/officeDocument/2006/relationships/footer" Target="footer26.xml"/><Relationship Id="rId68" Type="http://schemas.openxmlformats.org/officeDocument/2006/relationships/footer" Target="footer28.xml"/><Relationship Id="rId76" Type="http://schemas.openxmlformats.org/officeDocument/2006/relationships/header" Target="header33.xml"/><Relationship Id="rId84" Type="http://schemas.openxmlformats.org/officeDocument/2006/relationships/header" Target="header37.xml"/><Relationship Id="rId89" Type="http://schemas.openxmlformats.org/officeDocument/2006/relationships/footer" Target="footer39.xml"/><Relationship Id="rId7" Type="http://schemas.openxmlformats.org/officeDocument/2006/relationships/footnotes" Target="footnotes.xml"/><Relationship Id="rId71" Type="http://schemas.openxmlformats.org/officeDocument/2006/relationships/footer" Target="footer30.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chart" Target="charts/chart2.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footer" Target="footer31.xml"/><Relationship Id="rId79" Type="http://schemas.openxmlformats.org/officeDocument/2006/relationships/header" Target="header35.xml"/><Relationship Id="rId87" Type="http://schemas.openxmlformats.org/officeDocument/2006/relationships/footer" Target="footer38.xml"/><Relationship Id="rId5" Type="http://schemas.openxmlformats.org/officeDocument/2006/relationships/settings" Target="settings.xml"/><Relationship Id="rId61" Type="http://schemas.openxmlformats.org/officeDocument/2006/relationships/header" Target="header26.xml"/><Relationship Id="rId82" Type="http://schemas.openxmlformats.org/officeDocument/2006/relationships/header" Target="header36.xml"/><Relationship Id="rId90" Type="http://schemas.openxmlformats.org/officeDocument/2006/relationships/fontTable" Target="fontTable.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footer" Target="footer22.xml"/><Relationship Id="rId64" Type="http://schemas.openxmlformats.org/officeDocument/2006/relationships/header" Target="header27.xml"/><Relationship Id="rId69" Type="http://schemas.openxmlformats.org/officeDocument/2006/relationships/footer" Target="footer29.xml"/><Relationship Id="rId77" Type="http://schemas.openxmlformats.org/officeDocument/2006/relationships/footer" Target="footer33.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header" Target="header31.xml"/><Relationship Id="rId80" Type="http://schemas.openxmlformats.org/officeDocument/2006/relationships/footer" Target="footer34.xml"/><Relationship Id="rId85" Type="http://schemas.openxmlformats.org/officeDocument/2006/relationships/header" Target="header3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4.xml"/><Relationship Id="rId67" Type="http://schemas.openxmlformats.org/officeDocument/2006/relationships/header" Target="header29.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header" Target="header30.xml"/><Relationship Id="rId75" Type="http://schemas.openxmlformats.org/officeDocument/2006/relationships/footer" Target="footer32.xml"/><Relationship Id="rId83" Type="http://schemas.openxmlformats.org/officeDocument/2006/relationships/footer" Target="footer36.xml"/><Relationship Id="rId88" Type="http://schemas.openxmlformats.org/officeDocument/2006/relationships/header" Target="header39.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3.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chart" Target="charts/chart1.xml"/><Relationship Id="rId60" Type="http://schemas.openxmlformats.org/officeDocument/2006/relationships/header" Target="header25.xml"/><Relationship Id="rId65" Type="http://schemas.openxmlformats.org/officeDocument/2006/relationships/footer" Target="footer27.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5.xml"/><Relationship Id="rId86" Type="http://schemas.openxmlformats.org/officeDocument/2006/relationships/footer" Target="footer37.xml"/><Relationship Id="rId4" Type="http://schemas.microsoft.com/office/2007/relationships/stylesWithEffects" Target="stylesWithEffect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HR\B\DIR\Adviser%20TM%20Armani\03%20Geographical%20balance\Rapport%20Art%2027\Versions%20sans%20maximum\Liste%2013%20-%20%202017%2001%2001%20tool%20simulatio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HR\B\DIR\Adviser%20TM%20Armani\03%20Geographical%20balance\Rapport%20Art%2027\Versions%20sans%20maximum\Liste%2013%20-%20%202017%2001%2001%20tool%20simula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s-ES" sz="1400" b="1" i="0" baseline="0">
                <a:effectLst/>
              </a:rPr>
              <a:t>Personal AD no directivo británico a 1 de enero de 2017</a:t>
            </a:r>
          </a:p>
        </c:rich>
      </c:tx>
      <c:layout>
        <c:manualLayout>
          <c:xMode val="edge"/>
          <c:yMode val="edge"/>
          <c:x val="7.8674463937621841E-2"/>
          <c:y val="4.1666666666666664E-2"/>
        </c:manualLayout>
      </c:layout>
      <c:overlay val="0"/>
    </c:title>
    <c:autoTitleDeleted val="0"/>
    <c:plotArea>
      <c:layout/>
      <c:lineChart>
        <c:grouping val="standard"/>
        <c:varyColors val="0"/>
        <c:ser>
          <c:idx val="1"/>
          <c:order val="0"/>
          <c:tx>
            <c:strRef>
              <c:f>'UK worksheet'!$A$15</c:f>
              <c:strCache>
                <c:ptCount val="1"/>
                <c:pt idx="0">
                  <c:v>GBR</c:v>
                </c:pt>
              </c:strCache>
            </c:strRef>
          </c:tx>
          <c:marker>
            <c:symbol val="none"/>
          </c:marker>
          <c:cat>
            <c:numRef>
              <c:f>'UK worksheet'!$B$14:$AN$14</c:f>
              <c:numCache>
                <c:formatCode>0</c:formatCode>
                <c:ptCount val="39"/>
                <c:pt idx="0">
                  <c:v>25</c:v>
                </c:pt>
                <c:pt idx="1">
                  <c:v>27</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pt idx="26">
                  <c:v>53</c:v>
                </c:pt>
                <c:pt idx="27">
                  <c:v>54</c:v>
                </c:pt>
                <c:pt idx="28">
                  <c:v>55</c:v>
                </c:pt>
                <c:pt idx="29">
                  <c:v>56</c:v>
                </c:pt>
                <c:pt idx="30">
                  <c:v>57</c:v>
                </c:pt>
                <c:pt idx="31">
                  <c:v>58</c:v>
                </c:pt>
                <c:pt idx="32">
                  <c:v>59</c:v>
                </c:pt>
                <c:pt idx="33">
                  <c:v>60</c:v>
                </c:pt>
                <c:pt idx="34">
                  <c:v>61</c:v>
                </c:pt>
                <c:pt idx="35">
                  <c:v>62</c:v>
                </c:pt>
                <c:pt idx="36">
                  <c:v>63</c:v>
                </c:pt>
                <c:pt idx="37">
                  <c:v>64</c:v>
                </c:pt>
                <c:pt idx="38" formatCode="General">
                  <c:v>65</c:v>
                </c:pt>
              </c:numCache>
            </c:numRef>
          </c:cat>
          <c:val>
            <c:numRef>
              <c:f>'UK worksheet'!$B$15:$AN$15</c:f>
              <c:numCache>
                <c:formatCode>General</c:formatCode>
                <c:ptCount val="39"/>
                <c:pt idx="0">
                  <c:v>1</c:v>
                </c:pt>
                <c:pt idx="1">
                  <c:v>2</c:v>
                </c:pt>
                <c:pt idx="2">
                  <c:v>3</c:v>
                </c:pt>
                <c:pt idx="3">
                  <c:v>4</c:v>
                </c:pt>
                <c:pt idx="4">
                  <c:v>1</c:v>
                </c:pt>
                <c:pt idx="5">
                  <c:v>9</c:v>
                </c:pt>
                <c:pt idx="6">
                  <c:v>4</c:v>
                </c:pt>
                <c:pt idx="7">
                  <c:v>4</c:v>
                </c:pt>
                <c:pt idx="8">
                  <c:v>5</c:v>
                </c:pt>
                <c:pt idx="9">
                  <c:v>13</c:v>
                </c:pt>
                <c:pt idx="10">
                  <c:v>5</c:v>
                </c:pt>
                <c:pt idx="11">
                  <c:v>15</c:v>
                </c:pt>
                <c:pt idx="12">
                  <c:v>7</c:v>
                </c:pt>
                <c:pt idx="13">
                  <c:v>16</c:v>
                </c:pt>
                <c:pt idx="14">
                  <c:v>8</c:v>
                </c:pt>
                <c:pt idx="15">
                  <c:v>11</c:v>
                </c:pt>
                <c:pt idx="16">
                  <c:v>12</c:v>
                </c:pt>
                <c:pt idx="17">
                  <c:v>13</c:v>
                </c:pt>
                <c:pt idx="18">
                  <c:v>21</c:v>
                </c:pt>
                <c:pt idx="19">
                  <c:v>13</c:v>
                </c:pt>
                <c:pt idx="20">
                  <c:v>19</c:v>
                </c:pt>
                <c:pt idx="21">
                  <c:v>16</c:v>
                </c:pt>
                <c:pt idx="22">
                  <c:v>25</c:v>
                </c:pt>
                <c:pt idx="23">
                  <c:v>17</c:v>
                </c:pt>
                <c:pt idx="24">
                  <c:v>26</c:v>
                </c:pt>
                <c:pt idx="25">
                  <c:v>31</c:v>
                </c:pt>
                <c:pt idx="26">
                  <c:v>14</c:v>
                </c:pt>
                <c:pt idx="27">
                  <c:v>26</c:v>
                </c:pt>
                <c:pt idx="28">
                  <c:v>26</c:v>
                </c:pt>
                <c:pt idx="29">
                  <c:v>20</c:v>
                </c:pt>
                <c:pt idx="30">
                  <c:v>20</c:v>
                </c:pt>
                <c:pt idx="31">
                  <c:v>30</c:v>
                </c:pt>
                <c:pt idx="32">
                  <c:v>15</c:v>
                </c:pt>
                <c:pt idx="33">
                  <c:v>20</c:v>
                </c:pt>
                <c:pt idx="34">
                  <c:v>10</c:v>
                </c:pt>
                <c:pt idx="35">
                  <c:v>8</c:v>
                </c:pt>
                <c:pt idx="36">
                  <c:v>10</c:v>
                </c:pt>
                <c:pt idx="37">
                  <c:v>7</c:v>
                </c:pt>
                <c:pt idx="38">
                  <c:v>1</c:v>
                </c:pt>
              </c:numCache>
            </c:numRef>
          </c:val>
          <c:smooth val="0"/>
        </c:ser>
        <c:dLbls>
          <c:showLegendKey val="0"/>
          <c:showVal val="0"/>
          <c:showCatName val="0"/>
          <c:showSerName val="0"/>
          <c:showPercent val="0"/>
          <c:showBubbleSize val="0"/>
        </c:dLbls>
        <c:marker val="1"/>
        <c:smooth val="0"/>
        <c:axId val="71811072"/>
        <c:axId val="71812608"/>
      </c:lineChart>
      <c:catAx>
        <c:axId val="71811072"/>
        <c:scaling>
          <c:orientation val="minMax"/>
        </c:scaling>
        <c:delete val="0"/>
        <c:axPos val="b"/>
        <c:numFmt formatCode="0" sourceLinked="1"/>
        <c:majorTickMark val="out"/>
        <c:minorTickMark val="none"/>
        <c:tickLblPos val="nextTo"/>
        <c:txPr>
          <a:bodyPr/>
          <a:lstStyle/>
          <a:p>
            <a:pPr>
              <a:defRPr sz="900" b="1"/>
            </a:pPr>
            <a:endParaRPr lang="en-US"/>
          </a:p>
        </c:txPr>
        <c:crossAx val="71812608"/>
        <c:crosses val="autoZero"/>
        <c:auto val="1"/>
        <c:lblAlgn val="ctr"/>
        <c:lblOffset val="100"/>
        <c:noMultiLvlLbl val="0"/>
      </c:catAx>
      <c:valAx>
        <c:axId val="71812608"/>
        <c:scaling>
          <c:orientation val="minMax"/>
          <c:max val="32"/>
          <c:min val="0"/>
        </c:scaling>
        <c:delete val="0"/>
        <c:axPos val="l"/>
        <c:majorGridlines/>
        <c:numFmt formatCode="General" sourceLinked="1"/>
        <c:majorTickMark val="out"/>
        <c:minorTickMark val="none"/>
        <c:tickLblPos val="nextTo"/>
        <c:txPr>
          <a:bodyPr/>
          <a:lstStyle/>
          <a:p>
            <a:pPr>
              <a:defRPr sz="900" b="1"/>
            </a:pPr>
            <a:endParaRPr lang="en-US"/>
          </a:p>
        </c:txPr>
        <c:crossAx val="718110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s-ES"/>
              <a:t>Personal AD no directivo británico a 1 de enero de 2017 (acumulado)</a:t>
            </a:r>
          </a:p>
        </c:rich>
      </c:tx>
      <c:layout>
        <c:manualLayout>
          <c:xMode val="edge"/>
          <c:yMode val="edge"/>
          <c:x val="0.11870741954249603"/>
          <c:y val="4.1666666666666664E-2"/>
        </c:manualLayout>
      </c:layout>
      <c:overlay val="0"/>
    </c:title>
    <c:autoTitleDeleted val="0"/>
    <c:plotArea>
      <c:layout/>
      <c:lineChart>
        <c:grouping val="standard"/>
        <c:varyColors val="0"/>
        <c:ser>
          <c:idx val="3"/>
          <c:order val="0"/>
          <c:tx>
            <c:strRef>
              <c:f>'UK worksheet'!$A$17</c:f>
              <c:strCache>
                <c:ptCount val="1"/>
                <c:pt idx="0">
                  <c:v>Cumulated presence %ge</c:v>
                </c:pt>
              </c:strCache>
            </c:strRef>
          </c:tx>
          <c:marker>
            <c:symbol val="none"/>
          </c:marker>
          <c:cat>
            <c:numRef>
              <c:f>'UK worksheet'!$B$14:$AN$14</c:f>
              <c:numCache>
                <c:formatCode>0</c:formatCode>
                <c:ptCount val="39"/>
                <c:pt idx="0">
                  <c:v>25</c:v>
                </c:pt>
                <c:pt idx="1">
                  <c:v>27</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pt idx="26">
                  <c:v>53</c:v>
                </c:pt>
                <c:pt idx="27">
                  <c:v>54</c:v>
                </c:pt>
                <c:pt idx="28">
                  <c:v>55</c:v>
                </c:pt>
                <c:pt idx="29">
                  <c:v>56</c:v>
                </c:pt>
                <c:pt idx="30">
                  <c:v>57</c:v>
                </c:pt>
                <c:pt idx="31">
                  <c:v>58</c:v>
                </c:pt>
                <c:pt idx="32">
                  <c:v>59</c:v>
                </c:pt>
                <c:pt idx="33">
                  <c:v>60</c:v>
                </c:pt>
                <c:pt idx="34">
                  <c:v>61</c:v>
                </c:pt>
                <c:pt idx="35">
                  <c:v>62</c:v>
                </c:pt>
                <c:pt idx="36">
                  <c:v>63</c:v>
                </c:pt>
                <c:pt idx="37">
                  <c:v>64</c:v>
                </c:pt>
                <c:pt idx="38" formatCode="General">
                  <c:v>65</c:v>
                </c:pt>
              </c:numCache>
            </c:numRef>
          </c:cat>
          <c:val>
            <c:numRef>
              <c:f>'UK worksheet'!$B$17:$AN$17</c:f>
              <c:numCache>
                <c:formatCode>0%</c:formatCode>
                <c:ptCount val="39"/>
                <c:pt idx="0">
                  <c:v>1.968503937007874E-3</c:v>
                </c:pt>
                <c:pt idx="1">
                  <c:v>5.905511811023622E-3</c:v>
                </c:pt>
                <c:pt idx="2">
                  <c:v>1.1811023622047244E-2</c:v>
                </c:pt>
                <c:pt idx="3">
                  <c:v>1.968503937007874E-2</c:v>
                </c:pt>
                <c:pt idx="4">
                  <c:v>2.1653543307086614E-2</c:v>
                </c:pt>
                <c:pt idx="5">
                  <c:v>3.937007874015748E-2</c:v>
                </c:pt>
                <c:pt idx="6">
                  <c:v>4.7244094488188976E-2</c:v>
                </c:pt>
                <c:pt idx="7">
                  <c:v>5.5118110236220472E-2</c:v>
                </c:pt>
                <c:pt idx="8">
                  <c:v>6.4960629921259838E-2</c:v>
                </c:pt>
                <c:pt idx="9">
                  <c:v>9.055118110236221E-2</c:v>
                </c:pt>
                <c:pt idx="10">
                  <c:v>0.10039370078740158</c:v>
                </c:pt>
                <c:pt idx="11">
                  <c:v>0.12992125984251968</c:v>
                </c:pt>
                <c:pt idx="12">
                  <c:v>0.1437007874015748</c:v>
                </c:pt>
                <c:pt idx="13">
                  <c:v>0.17519685039370078</c:v>
                </c:pt>
                <c:pt idx="14">
                  <c:v>0.19094488188976377</c:v>
                </c:pt>
                <c:pt idx="15">
                  <c:v>0.2125984251968504</c:v>
                </c:pt>
                <c:pt idx="16">
                  <c:v>0.23622047244094488</c:v>
                </c:pt>
                <c:pt idx="17">
                  <c:v>0.26181102362204722</c:v>
                </c:pt>
                <c:pt idx="18">
                  <c:v>0.30314960629921262</c:v>
                </c:pt>
                <c:pt idx="19">
                  <c:v>0.32874015748031499</c:v>
                </c:pt>
                <c:pt idx="20">
                  <c:v>0.36614173228346458</c:v>
                </c:pt>
                <c:pt idx="21">
                  <c:v>0.39763779527559057</c:v>
                </c:pt>
                <c:pt idx="22">
                  <c:v>0.44685039370078738</c:v>
                </c:pt>
                <c:pt idx="23">
                  <c:v>0.48031496062992124</c:v>
                </c:pt>
                <c:pt idx="24">
                  <c:v>0.53149606299212604</c:v>
                </c:pt>
                <c:pt idx="25">
                  <c:v>0.59251968503937003</c:v>
                </c:pt>
                <c:pt idx="26">
                  <c:v>0.62007874015748032</c:v>
                </c:pt>
                <c:pt idx="27">
                  <c:v>0.67125984251968507</c:v>
                </c:pt>
                <c:pt idx="28">
                  <c:v>0.72244094488188981</c:v>
                </c:pt>
                <c:pt idx="29">
                  <c:v>0.76181102362204722</c:v>
                </c:pt>
                <c:pt idx="30">
                  <c:v>0.80118110236220474</c:v>
                </c:pt>
                <c:pt idx="31">
                  <c:v>0.86023622047244097</c:v>
                </c:pt>
                <c:pt idx="32">
                  <c:v>0.88976377952755903</c:v>
                </c:pt>
                <c:pt idx="33">
                  <c:v>0.92913385826771655</c:v>
                </c:pt>
                <c:pt idx="34">
                  <c:v>0.94881889763779526</c:v>
                </c:pt>
                <c:pt idx="35">
                  <c:v>0.96456692913385822</c:v>
                </c:pt>
                <c:pt idx="36">
                  <c:v>0.98425196850393704</c:v>
                </c:pt>
                <c:pt idx="37">
                  <c:v>0.99803149606299213</c:v>
                </c:pt>
                <c:pt idx="38">
                  <c:v>1</c:v>
                </c:pt>
              </c:numCache>
            </c:numRef>
          </c:val>
          <c:smooth val="0"/>
        </c:ser>
        <c:dLbls>
          <c:showLegendKey val="0"/>
          <c:showVal val="0"/>
          <c:showCatName val="0"/>
          <c:showSerName val="0"/>
          <c:showPercent val="0"/>
          <c:showBubbleSize val="0"/>
        </c:dLbls>
        <c:marker val="1"/>
        <c:smooth val="0"/>
        <c:axId val="63186048"/>
        <c:axId val="63187584"/>
      </c:lineChart>
      <c:catAx>
        <c:axId val="63186048"/>
        <c:scaling>
          <c:orientation val="minMax"/>
        </c:scaling>
        <c:delete val="0"/>
        <c:axPos val="b"/>
        <c:numFmt formatCode="0" sourceLinked="1"/>
        <c:majorTickMark val="out"/>
        <c:minorTickMark val="none"/>
        <c:tickLblPos val="nextTo"/>
        <c:txPr>
          <a:bodyPr/>
          <a:lstStyle/>
          <a:p>
            <a:pPr>
              <a:defRPr sz="900" b="1"/>
            </a:pPr>
            <a:endParaRPr lang="en-US"/>
          </a:p>
        </c:txPr>
        <c:crossAx val="63187584"/>
        <c:crosses val="autoZero"/>
        <c:auto val="1"/>
        <c:lblAlgn val="ctr"/>
        <c:lblOffset val="100"/>
        <c:noMultiLvlLbl val="0"/>
      </c:catAx>
      <c:valAx>
        <c:axId val="63187584"/>
        <c:scaling>
          <c:orientation val="minMax"/>
          <c:max val="1"/>
        </c:scaling>
        <c:delete val="0"/>
        <c:axPos val="l"/>
        <c:majorGridlines/>
        <c:numFmt formatCode="0%" sourceLinked="1"/>
        <c:majorTickMark val="out"/>
        <c:minorTickMark val="none"/>
        <c:tickLblPos val="nextTo"/>
        <c:txPr>
          <a:bodyPr/>
          <a:lstStyle/>
          <a:p>
            <a:pPr>
              <a:defRPr sz="900" b="1"/>
            </a:pPr>
            <a:endParaRPr lang="en-US"/>
          </a:p>
        </c:txPr>
        <c:crossAx val="63186048"/>
        <c:crosses val="autoZero"/>
        <c:crossBetween val="between"/>
        <c:majorUnit val="0.2"/>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1BAB7-DF76-4BB7-9AA6-477F7504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16481</Words>
  <Characters>68893</Characters>
  <Application>Microsoft Office Word</Application>
  <DocSecurity>0</DocSecurity>
  <Lines>7654</Lines>
  <Paragraphs>6098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79276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2018-04-19T09:00:00Z</cp:lastPrinted>
  <dcterms:created xsi:type="dcterms:W3CDTF">2018-05-16T08:24:00Z</dcterms:created>
  <dcterms:modified xsi:type="dcterms:W3CDTF">2018-06-15T11:18:00Z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