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F0FD9A0-D48A-4950-8405-AC8DEB8A10A4" style="width:450.75pt;height:384pt">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BILAGA 1</w:t>
      </w:r>
    </w:p>
    <w:p>
      <w:pPr>
        <w:spacing w:before="0" w:after="200" w:line="276" w:lineRule="auto"/>
        <w:jc w:val="center"/>
        <w:rPr>
          <w:b/>
          <w:noProof/>
        </w:rPr>
      </w:pPr>
      <w:r>
        <w:rPr>
          <w:b/>
          <w:noProof/>
        </w:rPr>
        <w:t xml:space="preserve">Icke-uttömmande förteckning över möjliga typer av åtgärder </w:t>
      </w:r>
      <w:r>
        <w:rPr>
          <w:b/>
          <w:noProof/>
        </w:rPr>
        <w:br/>
        <w:t>som avses i artikel 7.2 första stycket a, b och d</w:t>
      </w:r>
    </w:p>
    <w:p>
      <w:pPr>
        <w:spacing w:before="0" w:after="200" w:line="276" w:lineRule="auto"/>
        <w:jc w:val="left"/>
        <w:rPr>
          <w:noProof/>
        </w:rPr>
      </w:pPr>
      <w:r>
        <w:rPr>
          <w:noProof/>
        </w:rPr>
        <w:t xml:space="preserve">De åtgärder som avses i artikel 7.2 första stycket a, b och d kan bland annat ha följande former: </w:t>
      </w:r>
    </w:p>
    <w:p>
      <w:pPr>
        <w:pStyle w:val="NormalLeft"/>
        <w:rPr>
          <w:noProof/>
        </w:rPr>
      </w:pPr>
      <w:r>
        <w:rPr>
          <w:noProof/>
        </w:rPr>
        <w:t>a)</w:t>
      </w:r>
      <w:r>
        <w:rPr>
          <w:noProof/>
        </w:rPr>
        <w:tab/>
        <w:t>När det gäller möten och liknande särskilda evenemang:</w:t>
      </w:r>
    </w:p>
    <w:p>
      <w:pPr>
        <w:pStyle w:val="Tiret1"/>
        <w:numPr>
          <w:ilvl w:val="0"/>
          <w:numId w:val="9"/>
        </w:numPr>
        <w:rPr>
          <w:noProof/>
        </w:rPr>
      </w:pPr>
      <w:r>
        <w:rPr>
          <w:noProof/>
        </w:rPr>
        <w:t>Seminarier och workshoppar, där generellt alla länder närvarar, presentationer görs och deltagarna deltar i intensiva diskussioner och intensiv verksamhet om en särskild fråga.</w:t>
      </w:r>
    </w:p>
    <w:p>
      <w:pPr>
        <w:pStyle w:val="Tiret1"/>
        <w:rPr>
          <w:noProof/>
        </w:rPr>
      </w:pPr>
      <w:r>
        <w:rPr>
          <w:noProof/>
        </w:rPr>
        <w:t xml:space="preserve">Arbetsbesök, som organiseras för att tjänstemän ska kunna förvärva eller utvidga expertis och kunskaper vad gäller skattepolitik. </w:t>
      </w:r>
    </w:p>
    <w:p>
      <w:pPr>
        <w:pStyle w:val="Tiret1"/>
        <w:rPr>
          <w:noProof/>
        </w:rPr>
      </w:pPr>
      <w:r>
        <w:rPr>
          <w:noProof/>
        </w:rPr>
        <w:t xml:space="preserve">Närvaro vid de administrativa myndigheterna och medverkan i administrativa utredningar. </w:t>
      </w:r>
    </w:p>
    <w:p>
      <w:pPr>
        <w:pStyle w:val="NormalLeft"/>
        <w:rPr>
          <w:noProof/>
        </w:rPr>
      </w:pPr>
      <w:r>
        <w:rPr>
          <w:noProof/>
        </w:rPr>
        <w:t>b)</w:t>
      </w:r>
      <w:r>
        <w:rPr>
          <w:noProof/>
        </w:rPr>
        <w:tab/>
        <w:t xml:space="preserve">När det gäller strukturerat samarbete: </w:t>
      </w:r>
    </w:p>
    <w:p>
      <w:pPr>
        <w:pStyle w:val="Tiret1"/>
        <w:rPr>
          <w:noProof/>
        </w:rPr>
      </w:pPr>
      <w:r>
        <w:rPr>
          <w:noProof/>
        </w:rPr>
        <w:t xml:space="preserve">Projektgrupper, där generellt ett begränsat antal länder deltar, där verksamhet sker under en begränsad tidsperiod i syfte att uppnå ett i förväg fastställt mål med noga angivet resultat, inbegripet samordning eller riktmärkning. </w:t>
      </w:r>
    </w:p>
    <w:p>
      <w:pPr>
        <w:pStyle w:val="Tiret1"/>
        <w:rPr>
          <w:noProof/>
        </w:rPr>
      </w:pPr>
      <w:r>
        <w:rPr>
          <w:noProof/>
        </w:rPr>
        <w:t>Arbetsgrupper, dvs. strukturerade samarbetsformer av icke-permanent eller permanent karaktär, där expertis slås samman för att utföra uppgifter på ett specifikt område eller operativ verksamhet, eventuellt med stöd av samordningstjänster online, administrativt bistånd samt infrastruktur och utrustning.</w:t>
      </w:r>
    </w:p>
    <w:p>
      <w:pPr>
        <w:pStyle w:val="Tiret1"/>
        <w:rPr>
          <w:noProof/>
        </w:rPr>
      </w:pPr>
      <w:r>
        <w:rPr>
          <w:noProof/>
        </w:rPr>
        <w:t>Multilateral eller simultan kontroll, bestående av samordnad kontroll av skattesituationen för en eller flera närstående beskattningsbara personer, vilken organiseras av två eller fler länder, varav minst två medlemsstater, med gemensamma eller kompletterande intressen.</w:t>
      </w:r>
    </w:p>
    <w:p>
      <w:pPr>
        <w:pStyle w:val="Tiret1"/>
        <w:rPr>
          <w:noProof/>
        </w:rPr>
      </w:pPr>
      <w:r>
        <w:rPr>
          <w:noProof/>
        </w:rPr>
        <w:t xml:space="preserve">Gemensam revision, bestående av en gemensam kontroll av skattesituationen för en eller flera närstående beskattningsbara personer genom en enda inspektionsgrupp bestående av två eller flera länder, varav minst två medlemsstater, med gemensamma eller kompletterande intressen. </w:t>
      </w:r>
    </w:p>
    <w:p>
      <w:pPr>
        <w:pStyle w:val="Tiret1"/>
        <w:rPr>
          <w:noProof/>
        </w:rPr>
      </w:pPr>
      <w:r>
        <w:rPr>
          <w:noProof/>
        </w:rPr>
        <w:t xml:space="preserve">Varje annan form av administrativt samarbete upprättat genom direktiv 2011/16/EU, förordning (EU) nr 904/2010, förordning (EU) nr 389/2012 eller direktiv 2010/24/EU. </w:t>
      </w:r>
    </w:p>
    <w:p>
      <w:pPr>
        <w:pStyle w:val="NormalLeft"/>
        <w:rPr>
          <w:noProof/>
        </w:rPr>
      </w:pPr>
      <w:r>
        <w:rPr>
          <w:noProof/>
        </w:rPr>
        <w:t>d)</w:t>
      </w:r>
      <w:r>
        <w:rPr>
          <w:noProof/>
        </w:rPr>
        <w:tab/>
        <w:t xml:space="preserve">När det gäller åtgärder för uppbyggnad av personalkompetens och annan kapacitetsuppbyggnad: </w:t>
      </w:r>
    </w:p>
    <w:p>
      <w:pPr>
        <w:pStyle w:val="Tiret1"/>
        <w:rPr>
          <w:noProof/>
        </w:rPr>
      </w:pPr>
      <w:r>
        <w:rPr>
          <w:noProof/>
        </w:rPr>
        <w:t>Gemensam utbildning eller utveckling av e-lärande, för att gynna erforderliga färdigheter och kunskaper om skattefrågor.</w:t>
      </w:r>
    </w:p>
    <w:p>
      <w:pPr>
        <w:pStyle w:val="Tiret1"/>
        <w:rPr>
          <w:noProof/>
        </w:rPr>
      </w:pPr>
      <w:r>
        <w:rPr>
          <w:noProof/>
        </w:rPr>
        <w:t>Tekniskt stöd, för att förbättra administrativa förfaranden, stärka den administrativa kapaciteten och förbättra skatteförvaltningarnas funktion och drift genom att ta fram och utbyta god praxis.</w:t>
      </w:r>
    </w:p>
    <w:p>
      <w:pPr>
        <w:spacing w:before="0" w:after="200" w:line="276" w:lineRule="auto"/>
        <w:jc w:val="left"/>
        <w:rPr>
          <w:b/>
          <w:noProof/>
          <w:u w:val="single"/>
        </w:rPr>
      </w:pPr>
      <w:r>
        <w:rPr>
          <w:noProof/>
        </w:rPr>
        <w:br w:type="page"/>
      </w:r>
    </w:p>
    <w:p>
      <w:pPr>
        <w:pStyle w:val="Annexetitre"/>
        <w:rPr>
          <w:noProof/>
        </w:rPr>
      </w:pPr>
      <w:r>
        <w:rPr>
          <w:noProof/>
        </w:rPr>
        <w:t>BILAGA 2</w:t>
      </w:r>
    </w:p>
    <w:p>
      <w:pPr>
        <w:spacing w:before="0" w:after="200" w:line="276" w:lineRule="auto"/>
        <w:jc w:val="center"/>
        <w:rPr>
          <w:b/>
          <w:noProof/>
        </w:rPr>
      </w:pPr>
      <w:r>
        <w:rPr>
          <w:b/>
          <w:noProof/>
        </w:rPr>
        <w:t xml:space="preserve">Indikatorer </w:t>
      </w:r>
    </w:p>
    <w:p>
      <w:pPr>
        <w:spacing w:before="0" w:after="200" w:line="276" w:lineRule="auto"/>
        <w:jc w:val="left"/>
        <w:rPr>
          <w:noProof/>
        </w:rPr>
      </w:pPr>
      <w:r>
        <w:rPr>
          <w:noProof/>
        </w:rPr>
        <w:t>Särskilt mål: stödja skattepolitik, skattesamarbete och administrativ kapacitetsuppbyggnad, inbegripet personalkompetens samt utveckling och drift av de europeiska elektroniska systemen.</w:t>
      </w:r>
    </w:p>
    <w:p>
      <w:pPr>
        <w:spacing w:before="0" w:after="200" w:line="276" w:lineRule="auto"/>
        <w:jc w:val="left"/>
        <w:rPr>
          <w:b/>
          <w:bCs/>
          <w:noProof/>
          <w:u w:val="single"/>
        </w:rPr>
      </w:pPr>
      <w:r>
        <w:rPr>
          <w:b/>
          <w:noProof/>
          <w:u w:val="single"/>
        </w:rPr>
        <w:t>1. Kapacitetsuppbyggnad (när det gäller administration, personal och it):</w:t>
      </w:r>
    </w:p>
    <w:p>
      <w:pPr>
        <w:pStyle w:val="NumPar1"/>
        <w:numPr>
          <w:ilvl w:val="0"/>
          <w:numId w:val="11"/>
        </w:numPr>
        <w:rPr>
          <w:noProof/>
        </w:rPr>
      </w:pPr>
      <w:r>
        <w:rPr>
          <w:noProof/>
        </w:rPr>
        <w:t>Index för tillämpning och genomförande av unionslagstiftning och unionspolitik (antal åtgärder som organiserats på detta område inom programmet och rekommendationer som utfärdats till följd av dessa åtgärder)</w:t>
      </w:r>
    </w:p>
    <w:p>
      <w:pPr>
        <w:pStyle w:val="NumPar1"/>
        <w:rPr>
          <w:noProof/>
        </w:rPr>
      </w:pPr>
      <w:r>
        <w:rPr>
          <w:noProof/>
        </w:rPr>
        <w:t>Index för utbildning (använda utbildningsmoduler; antal tjänstemän som utbildats; deltagarnas kvalitetspoäng)</w:t>
      </w:r>
    </w:p>
    <w:p>
      <w:pPr>
        <w:pStyle w:val="NumPar1"/>
        <w:rPr>
          <w:noProof/>
        </w:rPr>
      </w:pPr>
      <w:r>
        <w:rPr>
          <w:noProof/>
        </w:rPr>
        <w:t>De europeiska elektroniska systemens tillgänglighet (som procentandel av tiden)</w:t>
      </w:r>
    </w:p>
    <w:p>
      <w:pPr>
        <w:pStyle w:val="NumPar1"/>
        <w:rPr>
          <w:noProof/>
        </w:rPr>
      </w:pPr>
      <w:r>
        <w:rPr>
          <w:noProof/>
        </w:rPr>
        <w:t>Gemensamma kommunikationsnätets tillgänglighet (som procentandel av tiden)</w:t>
      </w:r>
    </w:p>
    <w:p>
      <w:pPr>
        <w:pStyle w:val="NumPar1"/>
        <w:rPr>
          <w:noProof/>
        </w:rPr>
      </w:pPr>
      <w:r>
        <w:rPr>
          <w:noProof/>
        </w:rPr>
        <w:t>Förenklade it-förfaranden för nationella förvaltningar och ekonomiska aktörer (antal registrerade ekonomiska aktörer, antal ansökningar och antal samråd i olika elektroniska system som finansieras genom programmet)</w:t>
      </w:r>
    </w:p>
    <w:p>
      <w:pPr>
        <w:spacing w:before="0" w:after="200" w:line="276" w:lineRule="auto"/>
        <w:jc w:val="left"/>
        <w:rPr>
          <w:b/>
          <w:bCs/>
          <w:noProof/>
          <w:u w:val="single"/>
        </w:rPr>
      </w:pPr>
      <w:r>
        <w:rPr>
          <w:b/>
          <w:noProof/>
          <w:u w:val="single"/>
        </w:rPr>
        <w:t>2. Kunskapsdelning och nätverkande:</w:t>
      </w:r>
    </w:p>
    <w:p>
      <w:pPr>
        <w:pStyle w:val="NumPar1"/>
        <w:numPr>
          <w:ilvl w:val="0"/>
          <w:numId w:val="10"/>
        </w:numPr>
        <w:rPr>
          <w:noProof/>
        </w:rPr>
      </w:pPr>
      <w:r>
        <w:rPr>
          <w:noProof/>
        </w:rPr>
        <w:t>Index för samarbetets stabilitet (den omfattning av nätverkande som skapats, antalet personliga möten, antalet samarbetsgrupper online)</w:t>
      </w:r>
    </w:p>
    <w:p>
      <w:pPr>
        <w:pStyle w:val="NumPar1"/>
        <w:rPr>
          <w:noProof/>
        </w:rPr>
      </w:pPr>
      <w:r>
        <w:rPr>
          <w:noProof/>
        </w:rPr>
        <w:t>Index för bästa praxis och riktlinjer (antal åtgärder som organiserats på detta område inom programmet; procentandel skatteförvaltningar som använt en arbetspraxis/riktlinje som utvecklats med stöd av programmet)</w:t>
      </w: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864A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3CF1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4E90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7070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0EA9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2C9A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86C3D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2A18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MPAEY Marie-Paule (TAXUD)">
    <w15:presenceInfo w15:providerId="None" w15:userId="MAMPAEY Marie-Paule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4 09:32: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ill förslag till"/>
    <w:docVar w:name="LW_ACCOMPAGNANT.CP" w:val="till förslag till"/>
    <w:docVar w:name="LW_ANNEX_NBR_FIRST" w:val="1"/>
    <w:docVar w:name="LW_ANNEX_NBR_LAST" w:val="2"/>
    <w:docVar w:name="LW_ANNEX_UNIQUE" w:val="0"/>
    <w:docVar w:name="LW_CORRIGENDUM" w:val="&lt;UNUSED&gt;"/>
    <w:docVar w:name="LW_COVERPAGE_EXISTS" w:val="True"/>
    <w:docVar w:name="LW_COVERPAGE_GUID" w:val="8F0FD9A0-D48A-4950-8405-AC8DEB8A10A4"/>
    <w:docVar w:name="LW_COVERPAGE_TYPE" w:val="1"/>
    <w:docVar w:name="LW_CROSSREFERENCE" w:val="{SWD(2018) 323 final}_x000b_{SWD(2018) 324 final}"/>
    <w:docVar w:name="LW_DocType" w:val="ANNEX"/>
    <w:docVar w:name="LW_EMISSION" w:val="8.6.2018"/>
    <w:docVar w:name="LW_EMISSION_ISODATE" w:val="2018-06-08"/>
    <w:docVar w:name="LW_EMISSION_LOCATION" w:val="BRX"/>
    <w:docVar w:name="LW_EMISSION_PREFIX" w:val="Bryssel den"/>
    <w:docVar w:name="LW_EMISSION_SUFFIX" w:val="&lt;EMPTY&gt;"/>
    <w:docVar w:name="LW_ID_DOCSTRUCTURE" w:val="COM/ANNEX"/>
    <w:docVar w:name="LW_ID_DOCTYPE" w:val="SG-017"/>
    <w:docVar w:name="LW_LANGUE" w:val="SV"/>
    <w:docVar w:name="LW_LEVEL_OF_SENSITIVITY" w:val="Standard treatment"/>
    <w:docVar w:name="LW_NOM.INST" w:val="EUROPEISKA KOMMISSIONEN"/>
    <w:docVar w:name="LW_NOM.INST_JOINTDOC" w:val="&lt;EMPTY&gt;"/>
    <w:docVar w:name="LW_OBJETACTEPRINCIPAL" w:val="om inrättande av Fiscalisprogrammet för samarbete på beskattningsområdet"/>
    <w:docVar w:name="LW_OBJETACTEPRINCIPAL.CP" w:val="om inrättande av Fiscalisprogrammet för samarbete på beskattningsområdet"/>
    <w:docVar w:name="LW_PART_NBR" w:val="&lt;UNUSED&gt;"/>
    <w:docVar w:name="LW_PART_NBR_TOTAL" w:val="&lt;UNUSED&gt;"/>
    <w:docVar w:name="LW_REF.INST.NEW" w:val="COM"/>
    <w:docVar w:name="LW_REF.INST.NEW_ADOPTED" w:val="final"/>
    <w:docVar w:name="LW_REF.INST.NEW_TEXT" w:val="(2018) 4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BILAGOR"/>
    <w:docVar w:name="LW_TYPE.DOC.CP" w:val="BILAGOR"/>
    <w:docVar w:name="LW_TYPEACTEPRINCIPAL" w:val="EUROPAPARLAMENTETS OCH RÅDETS FÖRORDNING"/>
    <w:docVar w:name="LW_TYPEACTEPRINCIPAL.CP" w:val="EUROPAPARLAMENTETS OCH RÅDETS FÖRORDNING"/>
  </w:docVar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Pr>
      <w:rFonts w:ascii="Times New Roman" w:hAnsi="Times New Roman" w:cs="Times New Roman"/>
      <w:sz w:val="24"/>
      <w:lang w:val="sv-S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Pr>
      <w:rFonts w:ascii="Times New Roman" w:hAnsi="Times New Roman" w:cs="Times New Roman"/>
      <w:sz w:val="24"/>
      <w:lang w:val="sv-S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2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24577-67AC-4B25-B67F-9E425FB28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A50C48-6702-4B77-9305-9A83ED539416}">
  <ds:schemaRef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66AF4BC-7D74-4439-9C13-97BE15FD9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475</Words>
  <Characters>3266</Characters>
  <Application>Microsoft Office Word</Application>
  <DocSecurity>0</DocSecurity>
  <Lines>65</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DEMOULIN Pierre-Yves (TAXUD)</dc:creator>
  <cp:lastModifiedBy>DIGIT/A3</cp:lastModifiedBy>
  <cp:revision>8</cp:revision>
  <dcterms:created xsi:type="dcterms:W3CDTF">2018-06-13T11:59:00Z</dcterms:created>
  <dcterms:modified xsi:type="dcterms:W3CDTF">2018-06-14T07:32:00Z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IsMyDocuments">
    <vt:bool>true</vt:bool>
  </property>
  <property fmtid="{D5CDD505-2E9C-101B-9397-08002B2CF9AE}" pid="14" name="ContentTypeId">
    <vt:lpwstr>0x010100676B29732916DF4D831BB0FCE0DA1F47</vt:lpwstr>
  </property>
  <property fmtid="{D5CDD505-2E9C-101B-9397-08002B2CF9AE}" pid="15" name="DQCStatus">
    <vt:lpwstr>Green (DQC version 03)</vt:lpwstr>
  </property>
</Properties>
</file>