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alt="05F9B2A7-2E10-423F-A1C7-260A54DEF32B" style="width:450.35pt;height:347.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bCs w:val="0"/>
          <w:noProof/>
          <w:color w:val="auto"/>
          <w:sz w:val="22"/>
          <w:szCs w:val="22"/>
          <w:lang w:val="en-GB" w:eastAsia="en-US"/>
        </w:rPr>
        <w:id w:val="-864520646"/>
        <w:docPartObj>
          <w:docPartGallery w:val="Table of Contents"/>
          <w:docPartUnique/>
        </w:docPartObj>
      </w:sdtPr>
      <w:sdtEndPr>
        <w:rPr>
          <w:rFonts w:ascii="Times New Roman" w:hAnsi="Times New Roman" w:cs="Times New Roman"/>
        </w:rPr>
      </w:sdtEndPr>
      <w:sdtContent>
        <w:p>
          <w:pPr>
            <w:pStyle w:val="TOCHeading"/>
            <w:rPr>
              <w:rFonts w:ascii="Times New Roman" w:hAnsi="Times New Roman" w:cs="Times New Roman"/>
              <w:noProof/>
              <w:color w:val="auto"/>
              <w:sz w:val="22"/>
              <w:szCs w:val="22"/>
              <w:lang w:val="el-GR"/>
            </w:rPr>
          </w:pPr>
          <w:r>
            <w:rPr>
              <w:rFonts w:ascii="Times New Roman" w:hAnsi="Times New Roman" w:cs="Times New Roman"/>
              <w:noProof/>
              <w:color w:val="auto"/>
              <w:sz w:val="22"/>
              <w:szCs w:val="22"/>
              <w:lang w:val="el-GR"/>
            </w:rPr>
            <w:t>Περιεχόμενα</w:t>
          </w:r>
        </w:p>
        <w:p>
          <w:pPr>
            <w:pStyle w:val="TOC1"/>
            <w:tabs>
              <w:tab w:val="right" w:leader="dot" w:pos="9062"/>
            </w:tabs>
            <w:rPr>
              <w:rFonts w:eastAsiaTheme="minorEastAsia"/>
              <w:noProof/>
              <w:lang w:eastAsia="en-GB"/>
            </w:rPr>
          </w:pPr>
          <w:r>
            <w:rPr>
              <w:rFonts w:ascii="Times New Roman" w:hAnsi="Times New Roman" w:cs="Times New Roman"/>
              <w:b/>
              <w:noProof/>
            </w:rPr>
            <w:fldChar w:fldCharType="begin"/>
          </w:r>
          <w:r>
            <w:rPr>
              <w:rFonts w:ascii="Times New Roman" w:hAnsi="Times New Roman" w:cs="Times New Roman"/>
              <w:b/>
              <w:noProof/>
            </w:rPr>
            <w:instrText xml:space="preserve"> TOC \o "1-3" \h \z \u </w:instrText>
          </w:r>
          <w:r>
            <w:rPr>
              <w:rFonts w:ascii="Times New Roman" w:hAnsi="Times New Roman" w:cs="Times New Roman"/>
              <w:b/>
              <w:noProof/>
            </w:rPr>
            <w:fldChar w:fldCharType="separate"/>
          </w:r>
          <w:hyperlink w:anchor="_Toc517793064" w:history="1">
            <w:r>
              <w:rPr>
                <w:rStyle w:val="Hyperlink"/>
                <w:rFonts w:ascii="Times New Roman" w:hAnsi="Times New Roman" w:cs="Times New Roman"/>
                <w:noProof/>
                <w:lang w:val="el-GR" w:eastAsia="de-DE"/>
              </w:rPr>
              <w:t>1. Εισαγωγή</w:t>
            </w:r>
            <w:r>
              <w:rPr>
                <w:noProof/>
                <w:webHidden/>
              </w:rPr>
              <w:tab/>
            </w:r>
            <w:r>
              <w:rPr>
                <w:noProof/>
                <w:webHidden/>
              </w:rPr>
              <w:fldChar w:fldCharType="begin"/>
            </w:r>
            <w:r>
              <w:rPr>
                <w:noProof/>
                <w:webHidden/>
              </w:rPr>
              <w:instrText xml:space="preserve"> PAGEREF _Toc517793064 \h </w:instrText>
            </w:r>
            <w:r>
              <w:rPr>
                <w:noProof/>
                <w:webHidden/>
              </w:rPr>
            </w:r>
            <w:r>
              <w:rPr>
                <w:noProof/>
                <w:webHidden/>
              </w:rPr>
              <w:fldChar w:fldCharType="separate"/>
            </w:r>
            <w:r>
              <w:rPr>
                <w:noProof/>
                <w:webHidden/>
              </w:rPr>
              <w:t>2</w:t>
            </w:r>
            <w:r>
              <w:rPr>
                <w:noProof/>
                <w:webHidden/>
              </w:rPr>
              <w:fldChar w:fldCharType="end"/>
            </w:r>
          </w:hyperlink>
        </w:p>
        <w:p>
          <w:pPr>
            <w:pStyle w:val="TOC1"/>
            <w:tabs>
              <w:tab w:val="right" w:leader="dot" w:pos="9062"/>
            </w:tabs>
            <w:rPr>
              <w:rFonts w:eastAsiaTheme="minorEastAsia"/>
              <w:noProof/>
              <w:lang w:eastAsia="en-GB"/>
            </w:rPr>
          </w:pPr>
          <w:hyperlink w:anchor="_Toc517793065" w:history="1">
            <w:r>
              <w:rPr>
                <w:rStyle w:val="Hyperlink"/>
                <w:rFonts w:ascii="Times New Roman" w:hAnsi="Times New Roman" w:cs="Times New Roman"/>
                <w:noProof/>
                <w:lang w:val="el-GR" w:eastAsia="de-DE"/>
              </w:rPr>
              <w:t>2. Η εγγύηση της ΕΕ</w:t>
            </w:r>
            <w:r>
              <w:rPr>
                <w:noProof/>
                <w:webHidden/>
              </w:rPr>
              <w:tab/>
            </w:r>
            <w:r>
              <w:rPr>
                <w:noProof/>
                <w:webHidden/>
              </w:rPr>
              <w:fldChar w:fldCharType="begin"/>
            </w:r>
            <w:r>
              <w:rPr>
                <w:noProof/>
                <w:webHidden/>
              </w:rPr>
              <w:instrText xml:space="preserve"> PAGEREF _Toc517793065 \h </w:instrText>
            </w:r>
            <w:r>
              <w:rPr>
                <w:noProof/>
                <w:webHidden/>
              </w:rPr>
            </w:r>
            <w:r>
              <w:rPr>
                <w:noProof/>
                <w:webHidden/>
              </w:rPr>
              <w:fldChar w:fldCharType="separate"/>
            </w:r>
            <w:r>
              <w:rPr>
                <w:noProof/>
                <w:webHidden/>
              </w:rPr>
              <w:t>3</w:t>
            </w:r>
            <w:r>
              <w:rPr>
                <w:noProof/>
                <w:webHidden/>
              </w:rPr>
              <w:fldChar w:fldCharType="end"/>
            </w:r>
          </w:hyperlink>
        </w:p>
        <w:p>
          <w:pPr>
            <w:pStyle w:val="TOC1"/>
            <w:tabs>
              <w:tab w:val="right" w:leader="dot" w:pos="9062"/>
            </w:tabs>
            <w:rPr>
              <w:rFonts w:eastAsiaTheme="minorEastAsia"/>
              <w:noProof/>
              <w:lang w:eastAsia="en-GB"/>
            </w:rPr>
          </w:pPr>
          <w:hyperlink w:anchor="_Toc517793066" w:history="1">
            <w:r>
              <w:rPr>
                <w:rStyle w:val="Hyperlink"/>
                <w:rFonts w:ascii="Times New Roman" w:hAnsi="Times New Roman" w:cs="Times New Roman"/>
                <w:noProof/>
                <w:lang w:val="el-GR"/>
              </w:rPr>
              <w:t>3. Η χρήση της εγγύησης της ΕΕ</w:t>
            </w:r>
            <w:r>
              <w:rPr>
                <w:noProof/>
                <w:webHidden/>
              </w:rPr>
              <w:tab/>
            </w:r>
            <w:r>
              <w:rPr>
                <w:noProof/>
                <w:webHidden/>
              </w:rPr>
              <w:fldChar w:fldCharType="begin"/>
            </w:r>
            <w:r>
              <w:rPr>
                <w:noProof/>
                <w:webHidden/>
              </w:rPr>
              <w:instrText xml:space="preserve"> PAGEREF _Toc517793066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eastAsiaTheme="minorEastAsia"/>
              <w:noProof/>
              <w:lang w:eastAsia="en-GB"/>
            </w:rPr>
          </w:pPr>
          <w:hyperlink w:anchor="_Toc517793067" w:history="1">
            <w:r>
              <w:rPr>
                <w:rStyle w:val="Hyperlink"/>
                <w:rFonts w:ascii="Times New Roman" w:hAnsi="Times New Roman" w:cs="Times New Roman"/>
                <w:noProof/>
                <w:lang w:val="el-GR"/>
              </w:rPr>
              <w:t>3.1. Σκέλος υποδομής και καινοτομίας (</w:t>
            </w:r>
            <w:r>
              <w:rPr>
                <w:rStyle w:val="Hyperlink"/>
                <w:rFonts w:ascii="Times New Roman" w:hAnsi="Times New Roman" w:cs="Times New Roman"/>
                <w:noProof/>
                <w:lang w:val="fr"/>
              </w:rPr>
              <w:t>IIW</w:t>
            </w:r>
            <w:r>
              <w:rPr>
                <w:rStyle w:val="Hyperlink"/>
                <w:rFonts w:ascii="Times New Roman" w:hAnsi="Times New Roman" w:cs="Times New Roman"/>
                <w:noProof/>
                <w:lang w:val="el-GR"/>
              </w:rPr>
              <w:t>)</w:t>
            </w:r>
            <w:r>
              <w:rPr>
                <w:noProof/>
                <w:webHidden/>
              </w:rPr>
              <w:tab/>
            </w:r>
            <w:r>
              <w:rPr>
                <w:noProof/>
                <w:webHidden/>
              </w:rPr>
              <w:fldChar w:fldCharType="begin"/>
            </w:r>
            <w:r>
              <w:rPr>
                <w:noProof/>
                <w:webHidden/>
              </w:rPr>
              <w:instrText xml:space="preserve"> PAGEREF _Toc517793067 \h </w:instrText>
            </w:r>
            <w:r>
              <w:rPr>
                <w:noProof/>
                <w:webHidden/>
              </w:rPr>
            </w:r>
            <w:r>
              <w:rPr>
                <w:noProof/>
                <w:webHidden/>
              </w:rPr>
              <w:fldChar w:fldCharType="separate"/>
            </w:r>
            <w:r>
              <w:rPr>
                <w:noProof/>
                <w:webHidden/>
              </w:rPr>
              <w:t>6</w:t>
            </w:r>
            <w:r>
              <w:rPr>
                <w:noProof/>
                <w:webHidden/>
              </w:rPr>
              <w:fldChar w:fldCharType="end"/>
            </w:r>
          </w:hyperlink>
        </w:p>
        <w:p>
          <w:pPr>
            <w:pStyle w:val="TOC3"/>
            <w:tabs>
              <w:tab w:val="right" w:leader="dot" w:pos="9062"/>
            </w:tabs>
            <w:rPr>
              <w:rFonts w:eastAsiaTheme="minorEastAsia"/>
              <w:noProof/>
              <w:lang w:eastAsia="en-GB"/>
            </w:rPr>
          </w:pPr>
          <w:hyperlink w:anchor="_Toc517793068" w:history="1">
            <w:r>
              <w:rPr>
                <w:rStyle w:val="Hyperlink"/>
                <w:rFonts w:ascii="Times New Roman" w:hAnsi="Times New Roman" w:cs="Times New Roman"/>
                <w:noProof/>
                <w:lang w:val="el-GR"/>
              </w:rPr>
              <w:t xml:space="preserve">3.1.1. Χαρτοφυλάκιο χρέους </w:t>
            </w:r>
            <w:r>
              <w:rPr>
                <w:rStyle w:val="Hyperlink"/>
                <w:rFonts w:ascii="Times New Roman" w:hAnsi="Times New Roman" w:cs="Times New Roman"/>
                <w:noProof/>
              </w:rPr>
              <w:t>IIW</w:t>
            </w:r>
            <w:r>
              <w:rPr>
                <w:noProof/>
                <w:webHidden/>
              </w:rPr>
              <w:tab/>
            </w:r>
            <w:r>
              <w:rPr>
                <w:noProof/>
                <w:webHidden/>
              </w:rPr>
              <w:fldChar w:fldCharType="begin"/>
            </w:r>
            <w:r>
              <w:rPr>
                <w:noProof/>
                <w:webHidden/>
              </w:rPr>
              <w:instrText xml:space="preserve"> PAGEREF _Toc517793068 \h </w:instrText>
            </w:r>
            <w:r>
              <w:rPr>
                <w:noProof/>
                <w:webHidden/>
              </w:rPr>
            </w:r>
            <w:r>
              <w:rPr>
                <w:noProof/>
                <w:webHidden/>
              </w:rPr>
              <w:fldChar w:fldCharType="separate"/>
            </w:r>
            <w:r>
              <w:rPr>
                <w:noProof/>
                <w:webHidden/>
              </w:rPr>
              <w:t>6</w:t>
            </w:r>
            <w:r>
              <w:rPr>
                <w:noProof/>
                <w:webHidden/>
              </w:rPr>
              <w:fldChar w:fldCharType="end"/>
            </w:r>
          </w:hyperlink>
        </w:p>
        <w:p>
          <w:pPr>
            <w:pStyle w:val="TOC3"/>
            <w:tabs>
              <w:tab w:val="right" w:leader="dot" w:pos="9062"/>
            </w:tabs>
            <w:rPr>
              <w:rFonts w:eastAsiaTheme="minorEastAsia"/>
              <w:noProof/>
              <w:lang w:eastAsia="en-GB"/>
            </w:rPr>
          </w:pPr>
          <w:hyperlink w:anchor="_Toc517793069" w:history="1">
            <w:r>
              <w:rPr>
                <w:rStyle w:val="Hyperlink"/>
                <w:rFonts w:ascii="Times New Roman" w:hAnsi="Times New Roman" w:cs="Times New Roman"/>
                <w:noProof/>
              </w:rPr>
              <w:t xml:space="preserve">3.1.2. </w:t>
            </w:r>
            <w:r>
              <w:rPr>
                <w:rStyle w:val="Hyperlink"/>
                <w:rFonts w:ascii="Times New Roman" w:hAnsi="Times New Roman" w:cs="Times New Roman"/>
                <w:noProof/>
                <w:lang w:val="el-GR"/>
              </w:rPr>
              <w:t xml:space="preserve">Χαρτοφυλάκιο μετοχών </w:t>
            </w:r>
            <w:r>
              <w:rPr>
                <w:rStyle w:val="Hyperlink"/>
                <w:rFonts w:ascii="Times New Roman" w:hAnsi="Times New Roman" w:cs="Times New Roman"/>
                <w:noProof/>
              </w:rPr>
              <w:t>IIW</w:t>
            </w:r>
            <w:r>
              <w:rPr>
                <w:noProof/>
                <w:webHidden/>
              </w:rPr>
              <w:tab/>
            </w:r>
            <w:r>
              <w:rPr>
                <w:noProof/>
                <w:webHidden/>
              </w:rPr>
              <w:fldChar w:fldCharType="begin"/>
            </w:r>
            <w:r>
              <w:rPr>
                <w:noProof/>
                <w:webHidden/>
              </w:rPr>
              <w:instrText xml:space="preserve"> PAGEREF _Toc517793069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2"/>
            </w:tabs>
            <w:rPr>
              <w:rFonts w:eastAsiaTheme="minorEastAsia"/>
              <w:noProof/>
              <w:lang w:eastAsia="en-GB"/>
            </w:rPr>
          </w:pPr>
          <w:hyperlink w:anchor="_Toc517793070" w:history="1">
            <w:r>
              <w:rPr>
                <w:rStyle w:val="Hyperlink"/>
                <w:rFonts w:ascii="Times New Roman" w:hAnsi="Times New Roman" w:cs="Times New Roman"/>
                <w:noProof/>
                <w:lang w:val="el-GR"/>
              </w:rPr>
              <w:t>3.2. Σκέλος για τις ΜΜΕ (</w:t>
            </w:r>
            <w:r>
              <w:rPr>
                <w:rStyle w:val="Hyperlink"/>
                <w:rFonts w:ascii="Times New Roman" w:hAnsi="Times New Roman" w:cs="Times New Roman"/>
                <w:noProof/>
              </w:rPr>
              <w:t>SMEW</w:t>
            </w:r>
            <w:r>
              <w:rPr>
                <w:rStyle w:val="Hyperlink"/>
                <w:rFonts w:ascii="Times New Roman" w:hAnsi="Times New Roman" w:cs="Times New Roman"/>
                <w:noProof/>
                <w:lang w:val="el-GR"/>
              </w:rPr>
              <w:t>)</w:t>
            </w:r>
            <w:r>
              <w:rPr>
                <w:noProof/>
                <w:webHidden/>
              </w:rPr>
              <w:tab/>
            </w:r>
            <w:r>
              <w:rPr>
                <w:noProof/>
                <w:webHidden/>
              </w:rPr>
              <w:fldChar w:fldCharType="begin"/>
            </w:r>
            <w:r>
              <w:rPr>
                <w:noProof/>
                <w:webHidden/>
              </w:rPr>
              <w:instrText xml:space="preserve"> PAGEREF _Toc517793070 \h </w:instrText>
            </w:r>
            <w:r>
              <w:rPr>
                <w:noProof/>
                <w:webHidden/>
              </w:rPr>
            </w:r>
            <w:r>
              <w:rPr>
                <w:noProof/>
                <w:webHidden/>
              </w:rPr>
              <w:fldChar w:fldCharType="separate"/>
            </w:r>
            <w:r>
              <w:rPr>
                <w:noProof/>
                <w:webHidden/>
              </w:rPr>
              <w:t>8</w:t>
            </w:r>
            <w:r>
              <w:rPr>
                <w:noProof/>
                <w:webHidden/>
              </w:rPr>
              <w:fldChar w:fldCharType="end"/>
            </w:r>
          </w:hyperlink>
        </w:p>
        <w:p>
          <w:pPr>
            <w:pStyle w:val="TOC1"/>
            <w:tabs>
              <w:tab w:val="right" w:leader="dot" w:pos="9062"/>
            </w:tabs>
            <w:rPr>
              <w:rFonts w:eastAsiaTheme="minorEastAsia"/>
              <w:noProof/>
              <w:lang w:eastAsia="en-GB"/>
            </w:rPr>
          </w:pPr>
          <w:hyperlink w:anchor="_Toc517793071" w:history="1">
            <w:r>
              <w:rPr>
                <w:rStyle w:val="Hyperlink"/>
                <w:rFonts w:ascii="Times New Roman" w:hAnsi="Times New Roman" w:cs="Times New Roman"/>
                <w:noProof/>
                <w:lang w:val="el-GR"/>
              </w:rPr>
              <w:t>4. Η λειτουργία του Ταμείου Εγγυήσεων της ΕΕ στο πλαίσιο του ΕΤΣΕ</w:t>
            </w:r>
            <w:r>
              <w:rPr>
                <w:noProof/>
                <w:webHidden/>
              </w:rPr>
              <w:tab/>
            </w:r>
            <w:r>
              <w:rPr>
                <w:noProof/>
                <w:webHidden/>
              </w:rPr>
              <w:fldChar w:fldCharType="begin"/>
            </w:r>
            <w:r>
              <w:rPr>
                <w:noProof/>
                <w:webHidden/>
              </w:rPr>
              <w:instrText xml:space="preserve"> PAGEREF _Toc517793071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62"/>
            </w:tabs>
            <w:rPr>
              <w:rFonts w:eastAsiaTheme="minorEastAsia"/>
              <w:noProof/>
              <w:lang w:eastAsia="en-GB"/>
            </w:rPr>
          </w:pPr>
          <w:hyperlink w:anchor="_Toc517793072" w:history="1">
            <w:r>
              <w:rPr>
                <w:rStyle w:val="Hyperlink"/>
                <w:rFonts w:ascii="Times New Roman" w:hAnsi="Times New Roman" w:cs="Times New Roman"/>
                <w:noProof/>
                <w:lang w:val="el-GR"/>
              </w:rPr>
              <w:t>4.1. Ο μηχανισμός τροφοδότησης του Ταμείου Εγγυήσεων</w:t>
            </w:r>
            <w:r>
              <w:rPr>
                <w:noProof/>
                <w:webHidden/>
              </w:rPr>
              <w:tab/>
            </w:r>
            <w:r>
              <w:rPr>
                <w:noProof/>
                <w:webHidden/>
              </w:rPr>
              <w:fldChar w:fldCharType="begin"/>
            </w:r>
            <w:r>
              <w:rPr>
                <w:noProof/>
                <w:webHidden/>
              </w:rPr>
              <w:instrText xml:space="preserve"> PAGEREF _Toc517793072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9062"/>
            </w:tabs>
            <w:rPr>
              <w:rFonts w:eastAsiaTheme="minorEastAsia"/>
              <w:noProof/>
              <w:lang w:eastAsia="en-GB"/>
            </w:rPr>
          </w:pPr>
          <w:hyperlink w:anchor="_Toc517793073" w:history="1">
            <w:r>
              <w:rPr>
                <w:rStyle w:val="Hyperlink"/>
                <w:rFonts w:ascii="Times New Roman" w:hAnsi="Times New Roman" w:cs="Times New Roman"/>
                <w:noProof/>
              </w:rPr>
              <w:t xml:space="preserve">4.2. </w:t>
            </w:r>
            <w:r>
              <w:rPr>
                <w:rStyle w:val="Hyperlink"/>
                <w:rFonts w:ascii="Times New Roman" w:hAnsi="Times New Roman" w:cs="Times New Roman"/>
                <w:noProof/>
                <w:lang w:val="el-GR"/>
              </w:rPr>
              <w:t>Ετήσιες και σωρευτικές ροές</w:t>
            </w:r>
            <w:r>
              <w:rPr>
                <w:noProof/>
                <w:webHidden/>
              </w:rPr>
              <w:tab/>
            </w:r>
            <w:r>
              <w:rPr>
                <w:noProof/>
                <w:webHidden/>
              </w:rPr>
              <w:fldChar w:fldCharType="begin"/>
            </w:r>
            <w:r>
              <w:rPr>
                <w:noProof/>
                <w:webHidden/>
              </w:rPr>
              <w:instrText xml:space="preserve"> PAGEREF _Toc517793073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9062"/>
            </w:tabs>
            <w:rPr>
              <w:rFonts w:eastAsiaTheme="minorEastAsia"/>
              <w:noProof/>
              <w:lang w:eastAsia="en-GB"/>
            </w:rPr>
          </w:pPr>
          <w:hyperlink w:anchor="_Toc517793074" w:history="1">
            <w:r>
              <w:rPr>
                <w:rStyle w:val="Hyperlink"/>
                <w:rFonts w:ascii="Times New Roman" w:hAnsi="Times New Roman" w:cs="Times New Roman"/>
                <w:noProof/>
                <w:lang w:val="el-GR"/>
              </w:rPr>
              <w:t>4.3. Σύνθεση και βασικά χαρακτηριστικά του χαρτοφυλακίου</w:t>
            </w:r>
            <w:r>
              <w:rPr>
                <w:noProof/>
                <w:webHidden/>
              </w:rPr>
              <w:tab/>
            </w:r>
            <w:r>
              <w:rPr>
                <w:noProof/>
                <w:webHidden/>
              </w:rPr>
              <w:fldChar w:fldCharType="begin"/>
            </w:r>
            <w:r>
              <w:rPr>
                <w:noProof/>
                <w:webHidden/>
              </w:rPr>
              <w:instrText xml:space="preserve"> PAGEREF _Toc517793074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9062"/>
            </w:tabs>
            <w:rPr>
              <w:rFonts w:eastAsiaTheme="minorEastAsia"/>
              <w:noProof/>
              <w:lang w:eastAsia="en-GB"/>
            </w:rPr>
          </w:pPr>
          <w:hyperlink w:anchor="_Toc517793075" w:history="1">
            <w:r>
              <w:rPr>
                <w:rStyle w:val="Hyperlink"/>
                <w:rFonts w:ascii="Times New Roman" w:hAnsi="Times New Roman" w:cs="Times New Roman"/>
                <w:noProof/>
              </w:rPr>
              <w:t>4.4. Απόδοση</w:t>
            </w:r>
            <w:r>
              <w:rPr>
                <w:noProof/>
                <w:webHidden/>
              </w:rPr>
              <w:tab/>
            </w:r>
            <w:r>
              <w:rPr>
                <w:noProof/>
                <w:webHidden/>
              </w:rPr>
              <w:fldChar w:fldCharType="begin"/>
            </w:r>
            <w:r>
              <w:rPr>
                <w:noProof/>
                <w:webHidden/>
              </w:rPr>
              <w:instrText xml:space="preserve"> PAGEREF _Toc517793075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062"/>
            </w:tabs>
            <w:rPr>
              <w:rFonts w:eastAsiaTheme="minorEastAsia"/>
              <w:noProof/>
              <w:lang w:eastAsia="en-GB"/>
            </w:rPr>
          </w:pPr>
          <w:hyperlink w:anchor="_Toc517793076" w:history="1">
            <w:r>
              <w:rPr>
                <w:rStyle w:val="Hyperlink"/>
                <w:rFonts w:ascii="Times New Roman" w:hAnsi="Times New Roman" w:cs="Times New Roman"/>
                <w:noProof/>
                <w:lang w:val="el-GR"/>
              </w:rPr>
              <w:t>4.5. Αξιολόγηση της επάρκειας του ποσοστού-στόχου και του επιπέδου του Ταμείου Εγγυήσεων</w:t>
            </w:r>
            <w:r>
              <w:rPr>
                <w:noProof/>
                <w:webHidden/>
              </w:rPr>
              <w:tab/>
            </w:r>
            <w:r>
              <w:rPr>
                <w:noProof/>
                <w:webHidden/>
              </w:rPr>
              <w:fldChar w:fldCharType="begin"/>
            </w:r>
            <w:r>
              <w:rPr>
                <w:noProof/>
                <w:webHidden/>
              </w:rPr>
              <w:instrText xml:space="preserve"> PAGEREF _Toc517793076 \h </w:instrText>
            </w:r>
            <w:r>
              <w:rPr>
                <w:noProof/>
                <w:webHidden/>
              </w:rPr>
            </w:r>
            <w:r>
              <w:rPr>
                <w:noProof/>
                <w:webHidden/>
              </w:rPr>
              <w:fldChar w:fldCharType="separate"/>
            </w:r>
            <w:r>
              <w:rPr>
                <w:noProof/>
                <w:webHidden/>
              </w:rPr>
              <w:t>13</w:t>
            </w:r>
            <w:r>
              <w:rPr>
                <w:noProof/>
                <w:webHidden/>
              </w:rPr>
              <w:fldChar w:fldCharType="end"/>
            </w:r>
          </w:hyperlink>
        </w:p>
        <w:p>
          <w:pPr>
            <w:pStyle w:val="TOC1"/>
            <w:tabs>
              <w:tab w:val="right" w:leader="dot" w:pos="9062"/>
            </w:tabs>
            <w:rPr>
              <w:rFonts w:eastAsiaTheme="minorEastAsia"/>
              <w:noProof/>
              <w:lang w:eastAsia="en-GB"/>
            </w:rPr>
          </w:pPr>
          <w:hyperlink w:anchor="_Toc517793077" w:history="1">
            <w:r>
              <w:rPr>
                <w:rStyle w:val="Hyperlink"/>
                <w:rFonts w:ascii="Times New Roman" w:hAnsi="Times New Roman" w:cs="Times New Roman"/>
                <w:noProof/>
                <w:lang w:val="el-GR"/>
              </w:rPr>
              <w:t>5. Συμπεράσματα</w:t>
            </w:r>
            <w:r>
              <w:rPr>
                <w:noProof/>
                <w:webHidden/>
              </w:rPr>
              <w:tab/>
            </w:r>
            <w:r>
              <w:rPr>
                <w:noProof/>
                <w:webHidden/>
              </w:rPr>
              <w:fldChar w:fldCharType="begin"/>
            </w:r>
            <w:r>
              <w:rPr>
                <w:noProof/>
                <w:webHidden/>
              </w:rPr>
              <w:instrText xml:space="preserve"> PAGEREF _Toc517793077 \h </w:instrText>
            </w:r>
            <w:r>
              <w:rPr>
                <w:noProof/>
                <w:webHidden/>
              </w:rPr>
            </w:r>
            <w:r>
              <w:rPr>
                <w:noProof/>
                <w:webHidden/>
              </w:rPr>
              <w:fldChar w:fldCharType="separate"/>
            </w:r>
            <w:r>
              <w:rPr>
                <w:noProof/>
                <w:webHidden/>
              </w:rPr>
              <w:t>13</w:t>
            </w:r>
            <w:r>
              <w:rPr>
                <w:noProof/>
                <w:webHidden/>
              </w:rPr>
              <w:fldChar w:fldCharType="end"/>
            </w:r>
          </w:hyperlink>
        </w:p>
        <w:p>
          <w:pPr>
            <w:rPr>
              <w:rFonts w:ascii="Times New Roman" w:hAnsi="Times New Roman" w:cs="Times New Roman"/>
              <w:noProof/>
            </w:rPr>
          </w:pPr>
          <w:r>
            <w:rPr>
              <w:rFonts w:ascii="Times New Roman" w:hAnsi="Times New Roman" w:cs="Times New Roman"/>
              <w:b/>
              <w:bCs/>
              <w:noProof/>
            </w:rPr>
            <w:fldChar w:fldCharType="end"/>
          </w:r>
        </w:p>
      </w:sdtContent>
    </w:sdt>
    <w:p>
      <w:pPr>
        <w:spacing w:before="120" w:after="120"/>
        <w:ind w:left="850" w:hanging="850"/>
        <w:jc w:val="both"/>
        <w:outlineLvl w:val="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pStyle w:val="Heading1"/>
        <w:spacing w:after="240"/>
        <w:rPr>
          <w:rFonts w:ascii="Times New Roman" w:hAnsi="Times New Roman" w:cs="Times New Roman"/>
          <w:noProof/>
          <w:color w:val="auto"/>
          <w:lang w:val="el-GR" w:eastAsia="de-DE"/>
        </w:rPr>
      </w:pPr>
      <w:bookmarkStart w:id="2" w:name="_Toc358640308"/>
      <w:bookmarkStart w:id="3" w:name="_Toc358640576"/>
      <w:bookmarkStart w:id="4" w:name="_Toc358640627"/>
      <w:bookmarkStart w:id="5" w:name="_Toc358640725"/>
      <w:bookmarkStart w:id="6" w:name="_Toc385254771"/>
      <w:bookmarkStart w:id="7" w:name="_Toc415736037"/>
      <w:bookmarkStart w:id="8" w:name="_Toc415748654"/>
      <w:bookmarkStart w:id="9" w:name="_Toc417031771"/>
      <w:bookmarkStart w:id="10" w:name="_Toc449626267"/>
      <w:bookmarkStart w:id="11" w:name="_Toc449626494"/>
      <w:bookmarkStart w:id="12" w:name="_Toc477351964"/>
      <w:bookmarkStart w:id="13" w:name="_Toc477528171"/>
      <w:bookmarkStart w:id="14" w:name="_Toc477855448"/>
      <w:bookmarkStart w:id="15" w:name="_Toc502311792"/>
      <w:bookmarkStart w:id="16" w:name="_Toc517793064"/>
      <w:bookmarkStart w:id="17" w:name="_Toc449689407"/>
      <w:r>
        <w:rPr>
          <w:rFonts w:ascii="Times New Roman" w:hAnsi="Times New Roman" w:cs="Times New Roman"/>
          <w:noProof/>
          <w:color w:val="auto"/>
          <w:lang w:val="el-GR" w:eastAsia="de-DE"/>
        </w:rPr>
        <w:lastRenderedPageBreak/>
        <w:t xml:space="preserve">1. </w:t>
      </w:r>
      <w:bookmarkEnd w:id="2"/>
      <w:bookmarkEnd w:id="3"/>
      <w:bookmarkEnd w:id="4"/>
      <w:bookmarkEnd w:id="5"/>
      <w:bookmarkEnd w:id="6"/>
      <w:bookmarkEnd w:id="7"/>
      <w:bookmarkEnd w:id="8"/>
      <w:bookmarkEnd w:id="9"/>
      <w:bookmarkEnd w:id="10"/>
      <w:bookmarkEnd w:id="11"/>
      <w:bookmarkEnd w:id="12"/>
      <w:bookmarkEnd w:id="13"/>
      <w:bookmarkEnd w:id="14"/>
      <w:bookmarkEnd w:id="15"/>
      <w:r>
        <w:rPr>
          <w:rFonts w:ascii="Times New Roman" w:hAnsi="Times New Roman" w:cs="Times New Roman"/>
          <w:noProof/>
          <w:color w:val="auto"/>
          <w:lang w:val="el-GR" w:eastAsia="de-DE"/>
        </w:rPr>
        <w:t>Εισαγωγή</w:t>
      </w:r>
      <w:bookmarkEnd w:id="16"/>
    </w:p>
    <w:bookmarkEnd w:id="17"/>
    <w:p>
      <w:pPr>
        <w:spacing w:after="240"/>
        <w:jc w:val="both"/>
        <w:rPr>
          <w:rFonts w:ascii="Times New Roman" w:eastAsia="Times New Roman" w:hAnsi="Times New Roman" w:cs="Times New Roman"/>
          <w:noProof/>
          <w:sz w:val="24"/>
          <w:szCs w:val="24"/>
          <w:lang w:val="el-GR" w:eastAsia="en-GB"/>
        </w:rPr>
      </w:pPr>
      <w:r>
        <w:rPr>
          <w:rFonts w:ascii="Times New Roman" w:eastAsia="Times New Roman" w:hAnsi="Times New Roman" w:cs="Times New Roman"/>
          <w:noProof/>
          <w:sz w:val="24"/>
          <w:szCs w:val="24"/>
          <w:lang w:val="el-GR" w:eastAsia="en-GB"/>
        </w:rPr>
        <w:t xml:space="preserve">Το 2014, η Επιτροπή ανακοίνωσε το επενδυτικό σχέδιο για την Ευρώπη, μια νέα πρωτοβουλία, η οποία συστάθηκε το 2015 για την υποστήριξη των επενδύσεων στην Ευρώπη μετά τη χρηματοπιστωτική και οικονομική κρίση. </w:t>
      </w:r>
    </w:p>
    <w:p>
      <w:pPr>
        <w:spacing w:before="480" w:after="240"/>
        <w:jc w:val="both"/>
        <w:rPr>
          <w:rFonts w:ascii="Times New Roman" w:eastAsia="Times New Roman" w:hAnsi="Times New Roman" w:cs="Times New Roman"/>
          <w:noProof/>
          <w:sz w:val="24"/>
          <w:szCs w:val="24"/>
          <w:lang w:val="el-GR" w:eastAsia="en-GB"/>
        </w:rPr>
      </w:pPr>
      <w:r>
        <w:rPr>
          <w:rFonts w:ascii="Times New Roman" w:eastAsia="Times New Roman" w:hAnsi="Times New Roman" w:cs="Times New Roman"/>
          <w:noProof/>
          <w:sz w:val="24"/>
          <w:szCs w:val="24"/>
          <w:lang w:val="el-GR" w:eastAsia="en-GB"/>
        </w:rPr>
        <w:t>Το Ευρωπαϊκό Ταμείο Στρατηγικών Επενδύσεων (ΕΤΣΕ) συστάθηκε, μαζί με τον Ευρωπαϊκό Κόμβο Επενδυτικών Συμβουλών και την Ευρωπαϊκή Πύλη Επενδυτικών Έργων, σύμφωνα με τον κανονισμό (ΕΕ) 2015/1017 του Ευρωπαϊκού Κοινοβουλίου και του Συμβουλίου, της 25ης Ιουνίου 2015, για το Ευρωπαϊκό Ταμείο Στρατηγικών Επενδύσεων, τον Ευρωπαϊκό Κόμβο Επενδυτικών Συμβουλών και την Ευρωπαϊκή Πύλη Επενδυτικών Έργων και την τροποποίηση των κανονισμών (ΕΕ) αριθ. 1291/2013 και (ΕΕ) αριθ. 1316/2013 – το Ευρωπαϊκό Ταμείο Στρατηγικών Επενδύσεων</w:t>
      </w:r>
      <w:r>
        <w:rPr>
          <w:rStyle w:val="FootnoteReference"/>
          <w:rFonts w:ascii="Times New Roman" w:eastAsia="Times New Roman" w:hAnsi="Times New Roman" w:cs="Times New Roman"/>
          <w:noProof/>
          <w:sz w:val="24"/>
          <w:szCs w:val="24"/>
          <w:lang w:eastAsia="en-GB"/>
        </w:rPr>
        <w:footnoteReference w:id="1"/>
      </w:r>
      <w:r>
        <w:rPr>
          <w:rFonts w:ascii="Times New Roman" w:eastAsia="Times New Roman" w:hAnsi="Times New Roman" w:cs="Times New Roman"/>
          <w:noProof/>
          <w:sz w:val="24"/>
          <w:szCs w:val="24"/>
          <w:lang w:val="el-GR" w:eastAsia="en-GB"/>
        </w:rPr>
        <w:t xml:space="preserve"> (κανονισμός ΕΤΣΕ), με στόχο την επανεκκίνηση των επενδύσεων στην Ένωση, μέσω της κινητοποίησης της ιδιωτικής χρηματοδότησης. </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Η συμφωνία για τη διαχείριση του ΕΤΣΕ και τη χορήγηση της εγγύησης της ΕΕ («συμφωνία ΕΤΣΕ») υπογράφηκε από την Ευρωπαϊκή Επιτροπή και την Ευρωπαϊκή Τράπεζα Επενδύσεων (εφεξής «ΕΤΕπ») στις 22 Ιουλίου 2015. Η πρώτη τροποποίηση και αναδιατύπωση της συμφωνίας ΕΤΣΕ υπογράφηκε στις 21 Ιουλίου 2016. Η δεύτερη τροποποίηση και αναδιατύπωση της συμφωνίας ΕΤΣΕ υπογράφηκε στις 21 Νοεμβρίου 2017.</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Στα τέλη του 2017, ο κανονισμός ΕΤΣΕ τροποποιήθηκε από τον κανονισμό (ΕΕ) 2017/2396 του Ευρωπαϊκού Κοινοβουλίου και του Συμβουλίου, της 13ης Δεκεμβρίου 2017, για την τροποποίηση των κανονισμών (ΕΕ) αριθ.</w:t>
      </w:r>
      <w:r>
        <w:rPr>
          <w:rFonts w:ascii="Times New Roman" w:hAnsi="Times New Roman" w:cs="Times New Roman"/>
          <w:noProof/>
          <w:sz w:val="24"/>
          <w:szCs w:val="24"/>
        </w:rPr>
        <w:t> </w:t>
      </w:r>
      <w:r>
        <w:rPr>
          <w:rFonts w:ascii="Times New Roman" w:hAnsi="Times New Roman" w:cs="Times New Roman"/>
          <w:noProof/>
          <w:sz w:val="24"/>
          <w:szCs w:val="24"/>
          <w:lang w:val="el-GR"/>
        </w:rPr>
        <w:t>1316/2013 και (ΕΕ) 2015/1017 όσον αφορά την παράταση της λειτουργίας του Ευρωπαϊκού Ταμείου Στρατηγικών Επενδύσεων, καθώς και τη θέσπιση τεχνικών βελτιώσεων για το εν λόγω Ταμείο και τον Ευρωπαϊκό Κόμβο Επενδυτικών Συμβουλών</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lang w:val="el-GR"/>
        </w:rPr>
        <w:t xml:space="preserve"> (κανονισμός ΕΤΣΕ 2.0). Ο κανονισμός ΕΤΣΕ 2.0, μεταξύ άλλων, αύξησε το ύψος της εγγύησης της ΕΕ και αναπροσάρμοσε το ποσοστό-στόχο τροφοδότησης. Μια τρίτη τροποποίηση και αναδιατύπωση της συμφωνίας ΕΤΣΕ υπογράφηκε στις 9 Μαρτίου 2018 ώστε να αντικατοπτρίζεται ο κανονισμός ΕΤΣΕ 2.0.</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Το άρθρο 18 παράγραφος 3 στοιχείο β) του κανονισμού ΕΤΣΕ προβλέπει ότι η Επιτροπή, έως τις 30 Ιουνίου 2018 και εν συνεχεία ανά τριετία, δημοσιεύει αναλυτική έκθεση σχετικά με τη χρήση της εγγύησης της ΕΕ και τη λειτουργία του ταμείου εγγυήσεων. </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lastRenderedPageBreak/>
        <w:t>Πρόσθετες λεπτομερείς πληροφορίες σχετικά με την εφαρμογή του ΕΤΣΕ εμφανίζονται στο έγγραφο εργασίας των υπηρεσιών της Επιτροπής</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lang w:val="el-GR"/>
        </w:rPr>
        <w:t xml:space="preserve"> που συνοδεύει την πρόταση της Επιτροπής για κανονισμό του Ευρωπαϊκού Κοινοβουλίου και του Συμβουλίου σχετικά με την ίδρυση του Ταμείου </w:t>
      </w:r>
      <w:r>
        <w:rPr>
          <w:rFonts w:ascii="Times New Roman" w:hAnsi="Times New Roman" w:cs="Times New Roman"/>
          <w:noProof/>
          <w:sz w:val="24"/>
          <w:szCs w:val="24"/>
          <w:lang w:val="fr"/>
        </w:rPr>
        <w:t>InvestEU</w:t>
      </w:r>
      <w:r>
        <w:rPr>
          <w:rFonts w:ascii="Times New Roman" w:hAnsi="Times New Roman" w:cs="Times New Roman"/>
          <w:noProof/>
          <w:sz w:val="24"/>
          <w:szCs w:val="24"/>
          <w:lang w:val="el-GR"/>
        </w:rPr>
        <w:t xml:space="preserve"> για την περίοδο 2021-2027, όπου παρουσιάζονται τα αποτελέσματα της ανεξάρτητης εξωτερικής αξιολόγησης της εφαρμογής του κανονισμού για το ΕΤΣΕ.</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Η τελευταία ημερομηνία συλλογής στοιχείων για την παρούσα έκθεση ήταν η 31η Δεκεμβρίου 2017.</w:t>
      </w:r>
    </w:p>
    <w:p>
      <w:pPr>
        <w:pStyle w:val="Heading1"/>
        <w:spacing w:after="240"/>
        <w:rPr>
          <w:rFonts w:ascii="Times New Roman" w:hAnsi="Times New Roman" w:cs="Times New Roman"/>
          <w:noProof/>
          <w:color w:val="auto"/>
          <w:lang w:val="el-GR" w:eastAsia="de-DE"/>
        </w:rPr>
      </w:pPr>
      <w:bookmarkStart w:id="18" w:name="_Toc517793065"/>
      <w:r>
        <w:rPr>
          <w:rFonts w:ascii="Times New Roman" w:hAnsi="Times New Roman" w:cs="Times New Roman"/>
          <w:noProof/>
          <w:color w:val="auto"/>
          <w:lang w:val="el-GR" w:eastAsia="de-DE"/>
        </w:rPr>
        <w:t>2. Η εγγύηση της ΕΕ</w:t>
      </w:r>
      <w:bookmarkEnd w:id="18"/>
      <w:r>
        <w:rPr>
          <w:rFonts w:ascii="Times New Roman" w:hAnsi="Times New Roman" w:cs="Times New Roman"/>
          <w:noProof/>
          <w:color w:val="auto"/>
          <w:lang w:val="el-GR" w:eastAsia="de-DE"/>
        </w:rPr>
        <w:t xml:space="preserve"> </w:t>
      </w:r>
      <w:r>
        <w:rPr>
          <w:rFonts w:ascii="Times New Roman" w:hAnsi="Times New Roman" w:cs="Times New Roman"/>
          <w:noProof/>
          <w:color w:val="auto"/>
          <w:lang w:eastAsia="de-DE"/>
        </w:rPr>
        <w:t>   </w:t>
      </w:r>
    </w:p>
    <w:p>
      <w:pPr>
        <w:spacing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Η Ένωση παρέχει αμετάκλητη και άνευ όρων εγγύηση στην ΕΤΕπ για χρηματοδοτικές και επενδυτικές πράξεις στο πλαίσιο του ΕΤΣΕ. Η εγγύηση της ΕΕ αποτελεί τον ακρογωνιαίο λίθο του ΕΤΣΕ. Παρέχοντας υψηλότερη ικανότητα ανάληψης κινδύνου έναντι της ΕΤΕπ, η εγγύηση της ΕΕ επιτρέπει την αύξηση του όγκου των έργων υψηλότερου κινδύνου που στηρίζονται από χρηματοδοτικές και επενδυτικές πράξεις της ΕΤΕπ στο πλαίσιο του σκέλους υποδομής και καινοτομίας («</w:t>
      </w:r>
      <w:r>
        <w:rPr>
          <w:rFonts w:ascii="Times New Roman" w:hAnsi="Times New Roman" w:cs="Times New Roman"/>
          <w:noProof/>
          <w:sz w:val="24"/>
          <w:szCs w:val="24"/>
          <w:lang w:val="fr"/>
        </w:rPr>
        <w:t>IIW</w:t>
      </w:r>
      <w:r>
        <w:rPr>
          <w:rFonts w:ascii="Times New Roman" w:hAnsi="Times New Roman" w:cs="Times New Roman"/>
          <w:noProof/>
          <w:sz w:val="24"/>
          <w:szCs w:val="24"/>
          <w:lang w:val="el-GR"/>
        </w:rPr>
        <w:t>») και, ως εκ τούτου, συμβάλλει στην αντιμετώπιση των αδυναμιών της αγοράς και των μη ικανοποιητικών επενδυτικών καταστάσεων. Η εγγύηση της ΕΕ επιτρέπει επίσης μεγαλύτερο όγκο δανειοδότησης και μεγαλύτερο αριθμό εταιρειών που θα καλύπτονται στο πλαίσιο του σκέλους για τις ΜΜΕ από το Ευρωπαϊκό Ταμείο Επενδύσεων (ΕΤΕ) και, ως εκ τούτου, διευκολύνει την πρόσβαση σε χρηματοδότηση</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lang w:val="el-GR"/>
        </w:rPr>
        <w:t xml:space="preserve"> για τις ΜΜΕ και τις μικρές εταιρείες μεσαίας κεφαλαιοποίησης.</w:t>
      </w:r>
    </w:p>
    <w:p>
      <w:pPr>
        <w:widowControl w:val="0"/>
        <w:autoSpaceDE w:val="0"/>
        <w:autoSpaceDN w:val="0"/>
        <w:adjustRightInd w:val="0"/>
        <w:spacing w:before="480" w:after="240"/>
        <w:jc w:val="both"/>
        <w:rPr>
          <w:rFonts w:ascii="Times New Roman" w:eastAsia="Times New Roman" w:hAnsi="Times New Roman" w:cs="Times New Roman"/>
          <w:noProof/>
          <w:sz w:val="24"/>
          <w:szCs w:val="24"/>
          <w:lang w:val="el-GR" w:eastAsia="en-GB"/>
        </w:rPr>
      </w:pPr>
      <w:r>
        <w:rPr>
          <w:rFonts w:ascii="Times New Roman" w:eastAsia="Times New Roman" w:hAnsi="Times New Roman" w:cs="Times New Roman"/>
          <w:noProof/>
          <w:sz w:val="24"/>
          <w:szCs w:val="24"/>
          <w:lang w:val="el-GR" w:eastAsia="en-GB"/>
        </w:rPr>
        <w:t xml:space="preserve">Μέρος των συνόλου των πράξεων του ΕΤΣΕ καλύπτεται από την εγγύηση της ΕΕ, ενώ ένα άλλο μέρος γίνεται με ανάληψη του κινδύνου από την ίδια την ΕΤΕπ. Η αρχική χορήγηση για την εγγύηση της ΕΕ ήταν 16 δισ. </w:t>
      </w:r>
      <w:r>
        <w:rPr>
          <w:rFonts w:ascii="Times New Roman" w:eastAsia="Times New Roman" w:hAnsi="Times New Roman" w:cs="Times New Roman"/>
          <w:noProof/>
          <w:sz w:val="24"/>
          <w:szCs w:val="24"/>
          <w:lang w:val="fr" w:eastAsia="en-GB"/>
        </w:rPr>
        <w:t>EUR</w:t>
      </w:r>
      <w:r>
        <w:rPr>
          <w:rFonts w:ascii="Times New Roman" w:eastAsia="Times New Roman" w:hAnsi="Times New Roman" w:cs="Times New Roman"/>
          <w:noProof/>
          <w:sz w:val="24"/>
          <w:szCs w:val="24"/>
          <w:lang w:val="el-GR" w:eastAsia="en-GB"/>
        </w:rPr>
        <w:t xml:space="preserve"> από τον προϋπολογισμό της ΕΕ, η οποία συμπληρώνεται από κονδύλιο ύψους 5 δισ. ευρώ από τους ίδιους πόρους της ΕΤΕπ. Τα ποσά αυτά αυξήθηκαν σε 26 δισ. ευρώ και 7,5 δισ. ευρώ, αντίστοιχα, με τον κανονισμό ΕΤΣΕ 2.0.</w:t>
      </w:r>
    </w:p>
    <w:p>
      <w:pPr>
        <w:widowControl w:val="0"/>
        <w:autoSpaceDE w:val="0"/>
        <w:autoSpaceDN w:val="0"/>
        <w:adjustRightInd w:val="0"/>
        <w:spacing w:before="480" w:after="240"/>
        <w:jc w:val="both"/>
        <w:rPr>
          <w:rFonts w:ascii="Times New Roman" w:eastAsia="Times New Roman" w:hAnsi="Times New Roman" w:cs="Times New Roman"/>
          <w:bCs/>
          <w:iCs/>
          <w:noProof/>
          <w:sz w:val="24"/>
          <w:szCs w:val="24"/>
          <w:lang w:val="el-GR" w:eastAsia="en-GB"/>
        </w:rPr>
      </w:pPr>
      <w:r>
        <w:rPr>
          <w:rFonts w:ascii="Times New Roman" w:eastAsia="Times New Roman" w:hAnsi="Times New Roman" w:cs="Times New Roman"/>
          <w:noProof/>
          <w:sz w:val="24"/>
          <w:szCs w:val="24"/>
          <w:lang w:val="el-GR" w:eastAsia="en-GB"/>
        </w:rPr>
        <w:t>Η εγγύηση της ΕΕ καλύπτει τις χρηματοδοτικές και επενδυτικές πράξεις που έχουν υπογραφεί από την ΕΤΕπ στο πλαίσιο του σκέλους υποδομής και καινοτομίας («</w:t>
      </w:r>
      <w:r>
        <w:rPr>
          <w:rFonts w:ascii="Times New Roman" w:eastAsia="Times New Roman" w:hAnsi="Times New Roman" w:cs="Times New Roman"/>
          <w:noProof/>
          <w:sz w:val="24"/>
          <w:szCs w:val="24"/>
          <w:lang w:eastAsia="en-GB"/>
        </w:rPr>
        <w:t>IIW</w:t>
      </w:r>
      <w:r>
        <w:rPr>
          <w:rFonts w:ascii="Times New Roman" w:eastAsia="Times New Roman" w:hAnsi="Times New Roman" w:cs="Times New Roman"/>
          <w:noProof/>
          <w:sz w:val="24"/>
          <w:szCs w:val="24"/>
          <w:lang w:val="el-GR" w:eastAsia="en-GB"/>
        </w:rPr>
        <w:t>») και από το ΕΤΕ στο πλαίσιο του σκέλους για τις ΜΜΕ («</w:t>
      </w:r>
      <w:r>
        <w:rPr>
          <w:rFonts w:ascii="Times New Roman" w:eastAsia="Times New Roman" w:hAnsi="Times New Roman" w:cs="Times New Roman"/>
          <w:noProof/>
          <w:sz w:val="24"/>
          <w:szCs w:val="24"/>
          <w:lang w:eastAsia="en-GB"/>
        </w:rPr>
        <w:t>SMEW</w:t>
      </w:r>
      <w:r>
        <w:rPr>
          <w:rFonts w:ascii="Times New Roman" w:eastAsia="Times New Roman" w:hAnsi="Times New Roman" w:cs="Times New Roman"/>
          <w:noProof/>
          <w:sz w:val="24"/>
          <w:szCs w:val="24"/>
          <w:lang w:val="el-GR" w:eastAsia="en-GB"/>
        </w:rPr>
        <w:t>»). Η αρχική κατανομή μεταξύ των δύο σκελών ήταν κατ’</w:t>
      </w:r>
      <w:r>
        <w:rPr>
          <w:rFonts w:ascii="Times New Roman" w:eastAsia="Times New Roman" w:hAnsi="Times New Roman" w:cs="Times New Roman"/>
          <w:noProof/>
          <w:sz w:val="24"/>
          <w:szCs w:val="24"/>
          <w:lang w:val="fr" w:eastAsia="en-GB"/>
        </w:rPr>
        <w:t> </w:t>
      </w:r>
      <w:r>
        <w:rPr>
          <w:rFonts w:ascii="Times New Roman" w:eastAsia="Times New Roman" w:hAnsi="Times New Roman" w:cs="Times New Roman"/>
          <w:noProof/>
          <w:sz w:val="24"/>
          <w:szCs w:val="24"/>
          <w:lang w:val="el-GR" w:eastAsia="en-GB"/>
        </w:rPr>
        <w:t xml:space="preserve">ανώτατο όριο 13,5 δισ. </w:t>
      </w:r>
      <w:r>
        <w:rPr>
          <w:rFonts w:ascii="Times New Roman" w:eastAsia="Times New Roman" w:hAnsi="Times New Roman" w:cs="Times New Roman"/>
          <w:noProof/>
          <w:sz w:val="24"/>
          <w:szCs w:val="24"/>
          <w:lang w:val="fr" w:eastAsia="en-GB"/>
        </w:rPr>
        <w:t>EUR</w:t>
      </w:r>
      <w:r>
        <w:rPr>
          <w:rFonts w:ascii="Times New Roman" w:eastAsia="Times New Roman" w:hAnsi="Times New Roman" w:cs="Times New Roman"/>
          <w:noProof/>
          <w:sz w:val="24"/>
          <w:szCs w:val="24"/>
          <w:lang w:val="el-GR" w:eastAsia="en-GB"/>
        </w:rPr>
        <w:t xml:space="preserve"> για το </w:t>
      </w:r>
      <w:r>
        <w:rPr>
          <w:rFonts w:ascii="Times New Roman" w:eastAsia="Times New Roman" w:hAnsi="Times New Roman" w:cs="Times New Roman"/>
          <w:noProof/>
          <w:sz w:val="24"/>
          <w:szCs w:val="24"/>
          <w:lang w:val="fr" w:eastAsia="en-GB"/>
        </w:rPr>
        <w:t>IIW</w:t>
      </w:r>
      <w:r>
        <w:rPr>
          <w:rFonts w:ascii="Times New Roman" w:eastAsia="Times New Roman" w:hAnsi="Times New Roman" w:cs="Times New Roman"/>
          <w:noProof/>
          <w:sz w:val="24"/>
          <w:szCs w:val="24"/>
          <w:lang w:val="el-GR" w:eastAsia="en-GB"/>
        </w:rPr>
        <w:t xml:space="preserve"> και κατ’</w:t>
      </w:r>
      <w:r>
        <w:rPr>
          <w:rFonts w:ascii="Times New Roman" w:eastAsia="Times New Roman" w:hAnsi="Times New Roman" w:cs="Times New Roman"/>
          <w:noProof/>
          <w:sz w:val="24"/>
          <w:szCs w:val="24"/>
          <w:lang w:val="fr" w:eastAsia="en-GB"/>
        </w:rPr>
        <w:t> </w:t>
      </w:r>
      <w:r>
        <w:rPr>
          <w:rFonts w:ascii="Times New Roman" w:eastAsia="Times New Roman" w:hAnsi="Times New Roman" w:cs="Times New Roman"/>
          <w:noProof/>
          <w:sz w:val="24"/>
          <w:szCs w:val="24"/>
          <w:lang w:val="el-GR" w:eastAsia="en-GB"/>
        </w:rPr>
        <w:t xml:space="preserve">ανώτατο όριο 2,5 δισ. ευρώ για το </w:t>
      </w:r>
      <w:r>
        <w:rPr>
          <w:rFonts w:ascii="Times New Roman" w:eastAsia="Times New Roman" w:hAnsi="Times New Roman" w:cs="Times New Roman"/>
          <w:noProof/>
          <w:sz w:val="24"/>
          <w:szCs w:val="24"/>
          <w:lang w:val="fr" w:eastAsia="en-GB"/>
        </w:rPr>
        <w:t>SMEW</w:t>
      </w:r>
      <w:r>
        <w:rPr>
          <w:rFonts w:ascii="Times New Roman" w:eastAsia="Times New Roman" w:hAnsi="Times New Roman" w:cs="Times New Roman"/>
          <w:noProof/>
          <w:sz w:val="24"/>
          <w:szCs w:val="24"/>
          <w:lang w:val="el-GR" w:eastAsia="en-GB"/>
        </w:rPr>
        <w:t xml:space="preserve">. Δεδομένης της ιδιαίτερα έντονης αντίδρασης του </w:t>
      </w:r>
      <w:r>
        <w:rPr>
          <w:rFonts w:ascii="Times New Roman" w:eastAsia="Times New Roman" w:hAnsi="Times New Roman" w:cs="Times New Roman"/>
          <w:noProof/>
          <w:sz w:val="24"/>
          <w:szCs w:val="24"/>
          <w:lang w:val="fr" w:eastAsia="en-GB"/>
        </w:rPr>
        <w:t>SMEW</w:t>
      </w:r>
      <w:r>
        <w:rPr>
          <w:rFonts w:ascii="Times New Roman" w:eastAsia="Times New Roman" w:hAnsi="Times New Roman" w:cs="Times New Roman"/>
          <w:noProof/>
          <w:sz w:val="24"/>
          <w:szCs w:val="24"/>
          <w:lang w:val="el-GR" w:eastAsia="en-GB"/>
        </w:rPr>
        <w:t>, το διοικητικό συμβούλιο του ΕΤΣΕ, που απαρτίζεται από μέλη που εκπροσωπούν την Επιτροπή και την ΕΤΕπ, αποφάσισε να χρησιμοποιήσει η ευελιξία που προβλέπεται στον κανονισμό</w:t>
      </w:r>
      <w:r>
        <w:rPr>
          <w:rFonts w:ascii="Times New Roman" w:eastAsia="Times New Roman" w:hAnsi="Times New Roman" w:cs="Times New Roman"/>
          <w:noProof/>
          <w:sz w:val="24"/>
          <w:szCs w:val="24"/>
          <w:vertAlign w:val="superscript"/>
          <w:lang w:eastAsia="en-GB"/>
        </w:rPr>
        <w:footnoteReference w:id="5"/>
      </w:r>
      <w:r>
        <w:rPr>
          <w:rFonts w:ascii="Times New Roman" w:eastAsia="Times New Roman" w:hAnsi="Times New Roman" w:cs="Times New Roman"/>
          <w:noProof/>
          <w:sz w:val="24"/>
          <w:szCs w:val="24"/>
          <w:lang w:val="el-GR" w:eastAsia="en-GB"/>
        </w:rPr>
        <w:t xml:space="preserve"> ώστε να ενισχύσει το </w:t>
      </w:r>
      <w:r>
        <w:rPr>
          <w:rFonts w:ascii="Times New Roman" w:eastAsia="Times New Roman" w:hAnsi="Times New Roman" w:cs="Times New Roman"/>
          <w:noProof/>
          <w:sz w:val="24"/>
          <w:szCs w:val="24"/>
          <w:lang w:val="fr" w:eastAsia="en-GB"/>
        </w:rPr>
        <w:t>SMEW</w:t>
      </w:r>
      <w:r>
        <w:rPr>
          <w:rFonts w:ascii="Times New Roman" w:eastAsia="Times New Roman" w:hAnsi="Times New Roman" w:cs="Times New Roman"/>
          <w:noProof/>
          <w:sz w:val="24"/>
          <w:szCs w:val="24"/>
          <w:lang w:val="el-GR" w:eastAsia="en-GB"/>
        </w:rPr>
        <w:t xml:space="preserve"> με την ανακατανομή 500 εκατ. ευρώ από το </w:t>
      </w:r>
      <w:r>
        <w:rPr>
          <w:rFonts w:ascii="Times New Roman" w:eastAsia="Times New Roman" w:hAnsi="Times New Roman" w:cs="Times New Roman"/>
          <w:noProof/>
          <w:sz w:val="24"/>
          <w:szCs w:val="24"/>
          <w:lang w:val="fr" w:eastAsia="en-GB"/>
        </w:rPr>
        <w:t>IIW</w:t>
      </w:r>
      <w:r>
        <w:rPr>
          <w:rFonts w:ascii="Times New Roman" w:eastAsia="Times New Roman" w:hAnsi="Times New Roman" w:cs="Times New Roman"/>
          <w:noProof/>
          <w:sz w:val="24"/>
          <w:szCs w:val="24"/>
          <w:lang w:val="el-GR" w:eastAsia="en-GB"/>
        </w:rPr>
        <w:t xml:space="preserve"> στο </w:t>
      </w:r>
      <w:r>
        <w:rPr>
          <w:rFonts w:ascii="Times New Roman" w:eastAsia="Times New Roman" w:hAnsi="Times New Roman" w:cs="Times New Roman"/>
          <w:noProof/>
          <w:sz w:val="24"/>
          <w:szCs w:val="24"/>
          <w:lang w:val="fr" w:eastAsia="en-GB"/>
        </w:rPr>
        <w:t>SMEW</w:t>
      </w:r>
      <w:r>
        <w:rPr>
          <w:rFonts w:ascii="Times New Roman" w:eastAsia="Times New Roman" w:hAnsi="Times New Roman" w:cs="Times New Roman"/>
          <w:noProof/>
          <w:sz w:val="24"/>
          <w:szCs w:val="24"/>
          <w:lang w:val="el-GR" w:eastAsia="en-GB"/>
        </w:rPr>
        <w:t xml:space="preserve"> </w:t>
      </w:r>
      <w:r>
        <w:rPr>
          <w:rFonts w:ascii="Times New Roman" w:eastAsia="Times New Roman" w:hAnsi="Times New Roman" w:cs="Times New Roman"/>
          <w:noProof/>
          <w:sz w:val="24"/>
          <w:szCs w:val="24"/>
          <w:lang w:val="el-GR" w:eastAsia="en-GB"/>
        </w:rPr>
        <w:lastRenderedPageBreak/>
        <w:t xml:space="preserve">τον Ιούλιο του 2016. Ο κανονισμός ΕΤΣΕ 2.0 αύξησε περαιτέρω το μερίδιο του </w:t>
      </w:r>
      <w:r>
        <w:rPr>
          <w:rFonts w:ascii="Times New Roman" w:eastAsia="Times New Roman" w:hAnsi="Times New Roman" w:cs="Times New Roman"/>
          <w:noProof/>
          <w:sz w:val="24"/>
          <w:szCs w:val="24"/>
          <w:lang w:eastAsia="en-GB"/>
        </w:rPr>
        <w:t>SMEW</w:t>
      </w:r>
      <w:r>
        <w:rPr>
          <w:rFonts w:ascii="Times New Roman" w:eastAsia="Times New Roman" w:hAnsi="Times New Roman" w:cs="Times New Roman"/>
          <w:noProof/>
          <w:sz w:val="24"/>
          <w:szCs w:val="24"/>
          <w:lang w:val="el-GR" w:eastAsia="en-GB"/>
        </w:rPr>
        <w:t xml:space="preserve">, με τον καθορισμό </w:t>
      </w:r>
      <w:r>
        <w:rPr>
          <w:rFonts w:ascii="Times New Roman" w:eastAsia="Times New Roman" w:hAnsi="Times New Roman" w:cs="Times New Roman"/>
          <w:bCs/>
          <w:iCs/>
          <w:noProof/>
          <w:sz w:val="24"/>
          <w:szCs w:val="24"/>
          <w:lang w:val="el-GR" w:eastAsia="en-GB"/>
        </w:rPr>
        <w:t xml:space="preserve">ορίου ύψους 6,5 δισ. ευρώ που μπορεί </w:t>
      </w:r>
      <w:r>
        <w:rPr>
          <w:rFonts w:ascii="Times New Roman" w:eastAsia="Times New Roman" w:hAnsi="Times New Roman" w:cs="Times New Roman"/>
          <w:noProof/>
          <w:sz w:val="24"/>
          <w:szCs w:val="24"/>
          <w:lang w:val="el-GR" w:eastAsia="en-GB"/>
        </w:rPr>
        <w:t xml:space="preserve">να αναπροσαρμοστεί από το διοικητικό συμβούλιο </w:t>
      </w:r>
      <w:r>
        <w:rPr>
          <w:rFonts w:ascii="Times New Roman" w:eastAsia="Times New Roman" w:hAnsi="Times New Roman" w:cs="Times New Roman"/>
          <w:bCs/>
          <w:iCs/>
          <w:noProof/>
          <w:sz w:val="24"/>
          <w:szCs w:val="24"/>
          <w:lang w:val="el-GR" w:eastAsia="en-GB"/>
        </w:rPr>
        <w:t>έως το μέγιστο ποσό των 9 δισ. ευρώ</w:t>
      </w:r>
      <w:r>
        <w:rPr>
          <w:rFonts w:ascii="Times New Roman" w:eastAsia="Times New Roman" w:hAnsi="Times New Roman" w:cs="Times New Roman"/>
          <w:bCs/>
          <w:iCs/>
          <w:noProof/>
          <w:sz w:val="24"/>
          <w:szCs w:val="24"/>
          <w:vertAlign w:val="superscript"/>
          <w:lang w:eastAsia="en-GB"/>
        </w:rPr>
        <w:footnoteReference w:id="6"/>
      </w:r>
      <w:r>
        <w:rPr>
          <w:rFonts w:ascii="Times New Roman" w:eastAsia="Times New Roman" w:hAnsi="Times New Roman" w:cs="Times New Roman"/>
          <w:bCs/>
          <w:iCs/>
          <w:noProof/>
          <w:sz w:val="24"/>
          <w:szCs w:val="24"/>
          <w:lang w:val="el-GR" w:eastAsia="en-GB"/>
        </w:rPr>
        <w:t>.</w:t>
      </w:r>
    </w:p>
    <w:p>
      <w:pPr>
        <w:spacing w:before="480" w:after="240"/>
        <w:jc w:val="both"/>
        <w:rPr>
          <w:rFonts w:ascii="Times New Roman" w:hAnsi="Times New Roman" w:cs="Times New Roman"/>
          <w:noProof/>
          <w:sz w:val="24"/>
          <w:szCs w:val="24"/>
        </w:rPr>
      </w:pPr>
      <w:r>
        <w:rPr>
          <w:rFonts w:ascii="Times New Roman" w:hAnsi="Times New Roman" w:cs="Times New Roman"/>
          <w:noProof/>
          <w:sz w:val="24"/>
          <w:szCs w:val="24"/>
          <w:lang w:val="el-GR"/>
        </w:rPr>
        <w:t xml:space="preserve">Η εγγύηση της ΕΕ είναι ανανεούμενης φύσεως εντός της διάρκειας ζωής του ΕΤΣΕ, δηλαδή η διαθέσιμη κάλυψη στο πλαίσιο της εγγύησης της ΕΕ, μπορεί να διατεθεί σε νέες πράξεις μετά την απόσβεση των υφιστάμενων, υπό την προϋπόθεση ότι η εγγύηση της ΕΕ δεν θα υπερβεί ποτέ τα 26 δισ. </w:t>
      </w:r>
      <w:r>
        <w:rPr>
          <w:rFonts w:ascii="Times New Roman" w:hAnsi="Times New Roman" w:cs="Times New Roman"/>
          <w:noProof/>
          <w:sz w:val="24"/>
          <w:szCs w:val="24"/>
          <w:lang w:val="fr"/>
        </w:rPr>
        <w:t>EUR</w:t>
      </w:r>
      <w:r>
        <w:rPr>
          <w:rFonts w:ascii="Times New Roman" w:hAnsi="Times New Roman" w:cs="Times New Roman"/>
          <w:noProof/>
          <w:sz w:val="24"/>
          <w:szCs w:val="24"/>
          <w:lang w:val="el-GR"/>
        </w:rPr>
        <w:t xml:space="preserve"> από την 6η Ιουλίου 2018 και ύστερα (ή τα 16 δισ. </w:t>
      </w:r>
      <w:r>
        <w:rPr>
          <w:rFonts w:ascii="Times New Roman" w:hAnsi="Times New Roman" w:cs="Times New Roman"/>
          <w:noProof/>
          <w:sz w:val="24"/>
          <w:szCs w:val="24"/>
          <w:lang w:val="fr"/>
        </w:rPr>
        <w:t>EUR</w:t>
      </w:r>
      <w:r>
        <w:rPr>
          <w:rFonts w:ascii="Times New Roman" w:hAnsi="Times New Roman" w:cs="Times New Roman"/>
          <w:noProof/>
          <w:sz w:val="24"/>
          <w:szCs w:val="24"/>
          <w:lang w:val="el-GR"/>
        </w:rPr>
        <w:t xml:space="preserve"> προηγουμένως) και ότι οι σωρευτικές καθαρές πληρωμές από τον γενικό προϋπολογισμό της Ένωσης δυνάμει της εγγύησης της ΕΕ δεν υπερβαίνουν τα 26 δισ. </w:t>
      </w:r>
      <w:r>
        <w:rPr>
          <w:rFonts w:ascii="Times New Roman" w:hAnsi="Times New Roman" w:cs="Times New Roman"/>
          <w:noProof/>
          <w:sz w:val="24"/>
          <w:szCs w:val="24"/>
          <w:lang w:val="fr"/>
        </w:rPr>
        <w:t>EUR</w:t>
      </w:r>
      <w:r>
        <w:rPr>
          <w:rFonts w:ascii="Times New Roman" w:hAnsi="Times New Roman" w:cs="Times New Roman"/>
          <w:noProof/>
          <w:sz w:val="24"/>
          <w:szCs w:val="24"/>
          <w:lang w:val="el-GR"/>
        </w:rPr>
        <w:t xml:space="preserve"> από την 6η Ιουλίου 2018 και ύστερα (ή τα 16 δισ. </w:t>
      </w:r>
      <w:r>
        <w:rPr>
          <w:rFonts w:ascii="Times New Roman" w:hAnsi="Times New Roman" w:cs="Times New Roman"/>
          <w:noProof/>
          <w:sz w:val="24"/>
          <w:szCs w:val="24"/>
        </w:rPr>
        <w:t xml:space="preserve">EUR </w:t>
      </w:r>
      <w:r>
        <w:rPr>
          <w:rFonts w:ascii="Times New Roman" w:hAnsi="Times New Roman" w:cs="Times New Roman"/>
          <w:noProof/>
          <w:sz w:val="24"/>
          <w:szCs w:val="24"/>
          <w:lang w:val="el-GR"/>
        </w:rPr>
        <w:t>προηγουμένως</w:t>
      </w:r>
      <w:r>
        <w:rPr>
          <w:rFonts w:ascii="Times New Roman" w:hAnsi="Times New Roman" w:cs="Times New Roman"/>
          <w:noProof/>
          <w:sz w:val="24"/>
          <w:szCs w:val="24"/>
        </w:rPr>
        <w:t>).</w:t>
      </w:r>
    </w:p>
    <w:p>
      <w:pPr>
        <w:keepLines/>
        <w:spacing w:before="480" w:after="240"/>
        <w:jc w:val="both"/>
        <w:rPr>
          <w:rFonts w:ascii="Times New Roman" w:hAnsi="Times New Roman" w:cs="Times New Roman"/>
          <w:b/>
          <w:bCs/>
          <w:noProof/>
          <w:sz w:val="24"/>
          <w:szCs w:val="24"/>
          <w:lang w:val="el-GR"/>
        </w:rPr>
      </w:pPr>
      <w:r>
        <w:rPr>
          <w:rFonts w:ascii="Times New Roman" w:hAnsi="Times New Roman" w:cs="Times New Roman"/>
          <w:b/>
          <w:bCs/>
          <w:noProof/>
          <w:sz w:val="24"/>
          <w:szCs w:val="24"/>
          <w:lang w:val="el-GR"/>
        </w:rPr>
        <w:t xml:space="preserve">Πίνακας </w:t>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lang w:val="el-GR"/>
        </w:rPr>
        <w:instrText xml:space="preserve"> </w:instrText>
      </w:r>
      <w:r>
        <w:rPr>
          <w:rFonts w:ascii="Times New Roman" w:hAnsi="Times New Roman" w:cs="Times New Roman"/>
          <w:b/>
          <w:bCs/>
          <w:noProof/>
          <w:sz w:val="24"/>
          <w:szCs w:val="24"/>
        </w:rPr>
        <w:instrText>SEQ</w:instrText>
      </w:r>
      <w:r>
        <w:rPr>
          <w:rFonts w:ascii="Times New Roman" w:hAnsi="Times New Roman" w:cs="Times New Roman"/>
          <w:b/>
          <w:bCs/>
          <w:noProof/>
          <w:sz w:val="24"/>
          <w:szCs w:val="24"/>
          <w:lang w:val="el-GR"/>
        </w:rPr>
        <w:instrText xml:space="preserve"> </w:instrText>
      </w:r>
      <w:r>
        <w:rPr>
          <w:rFonts w:ascii="Times New Roman" w:hAnsi="Times New Roman" w:cs="Times New Roman"/>
          <w:b/>
          <w:bCs/>
          <w:noProof/>
          <w:sz w:val="24"/>
          <w:szCs w:val="24"/>
        </w:rPr>
        <w:instrText>Table</w:instrText>
      </w:r>
      <w:r>
        <w:rPr>
          <w:rFonts w:ascii="Times New Roman" w:hAnsi="Times New Roman" w:cs="Times New Roman"/>
          <w:b/>
          <w:bCs/>
          <w:noProof/>
          <w:sz w:val="24"/>
          <w:szCs w:val="24"/>
          <w:lang w:val="el-GR"/>
        </w:rPr>
        <w:instrText xml:space="preserve"> \* </w:instrText>
      </w:r>
      <w:r>
        <w:rPr>
          <w:rFonts w:ascii="Times New Roman" w:hAnsi="Times New Roman" w:cs="Times New Roman"/>
          <w:b/>
          <w:bCs/>
          <w:noProof/>
          <w:sz w:val="24"/>
          <w:szCs w:val="24"/>
        </w:rPr>
        <w:instrText>ARABIC</w:instrText>
      </w:r>
      <w:r>
        <w:rPr>
          <w:rFonts w:ascii="Times New Roman" w:hAnsi="Times New Roman" w:cs="Times New Roman"/>
          <w:b/>
          <w:bCs/>
          <w:noProof/>
          <w:sz w:val="24"/>
          <w:szCs w:val="24"/>
          <w:lang w:val="el-GR"/>
        </w:rPr>
        <w:instrText xml:space="preserve">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lang w:val="el-GR"/>
        </w:rPr>
        <w:t>1</w:t>
      </w:r>
      <w:r>
        <w:rPr>
          <w:rFonts w:ascii="Times New Roman" w:hAnsi="Times New Roman" w:cs="Times New Roman"/>
          <w:noProof/>
          <w:sz w:val="24"/>
          <w:szCs w:val="24"/>
        </w:rPr>
        <w:fldChar w:fldCharType="end"/>
      </w:r>
      <w:r>
        <w:rPr>
          <w:rFonts w:ascii="Times New Roman" w:hAnsi="Times New Roman" w:cs="Times New Roman"/>
          <w:b/>
          <w:bCs/>
          <w:noProof/>
          <w:sz w:val="24"/>
          <w:szCs w:val="24"/>
          <w:lang w:val="el-GR"/>
        </w:rPr>
        <w:t xml:space="preserve"> - Η κατανομή της εγγύησης της ΕΕ και η εξέλιξή της διαχρονικά</w:t>
      </w:r>
    </w:p>
    <w:tbl>
      <w:tblPr>
        <w:tblStyle w:val="TableGrid2"/>
        <w:tblW w:w="0" w:type="auto"/>
        <w:tblLook w:val="04A0" w:firstRow="1" w:lastRow="0" w:firstColumn="1" w:lastColumn="0" w:noHBand="0" w:noVBand="1"/>
      </w:tblPr>
      <w:tblGrid>
        <w:gridCol w:w="3223"/>
        <w:gridCol w:w="1683"/>
        <w:gridCol w:w="1908"/>
        <w:gridCol w:w="1683"/>
      </w:tblGrid>
      <w:tr>
        <w:tc>
          <w:tcPr>
            <w:tcW w:w="322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w:t>
            </w:r>
            <w:r>
              <w:rPr>
                <w:rFonts w:ascii="Times New Roman" w:hAnsi="Times New Roman" w:cs="Times New Roman"/>
                <w:noProof/>
                <w:sz w:val="24"/>
                <w:szCs w:val="24"/>
                <w:lang w:val="fr"/>
              </w:rPr>
              <w:t>σε δισ. ευρώ</w:t>
            </w:r>
            <w:r>
              <w:rPr>
                <w:rFonts w:ascii="Times New Roman" w:hAnsi="Times New Roman" w:cs="Times New Roman"/>
                <w:noProof/>
                <w:sz w:val="24"/>
                <w:szCs w:val="24"/>
                <w:lang w:val="fr-BE"/>
              </w:rPr>
              <w:t>)</w:t>
            </w:r>
          </w:p>
        </w:tc>
        <w:tc>
          <w:tcPr>
            <w:tcW w:w="1683" w:type="dxa"/>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
              </w:rPr>
              <w:t>ΕΤΣΕ</w:t>
            </w:r>
            <w:r>
              <w:rPr>
                <w:rFonts w:ascii="Times New Roman" w:hAnsi="Times New Roman" w:cs="Times New Roman"/>
                <w:b/>
                <w:noProof/>
                <w:sz w:val="24"/>
                <w:szCs w:val="24"/>
                <w:lang w:val="fr-BE"/>
              </w:rPr>
              <w:t xml:space="preserve"> 1.0</w:t>
            </w:r>
          </w:p>
        </w:tc>
        <w:tc>
          <w:tcPr>
            <w:tcW w:w="1908" w:type="dxa"/>
            <w:vAlign w:val="center"/>
          </w:tcPr>
          <w:p>
            <w:pPr>
              <w:keepLines/>
              <w:spacing w:before="480" w:after="240" w:line="276" w:lineRule="auto"/>
              <w:jc w:val="both"/>
              <w:rPr>
                <w:rFonts w:ascii="Times New Roman" w:hAnsi="Times New Roman" w:cs="Times New Roman"/>
                <w:noProof/>
                <w:sz w:val="24"/>
                <w:szCs w:val="24"/>
                <w:lang w:val="el-GR"/>
              </w:rPr>
            </w:pPr>
            <w:r>
              <w:rPr>
                <w:rFonts w:ascii="Times New Roman" w:hAnsi="Times New Roman" w:cs="Times New Roman"/>
                <w:b/>
                <w:noProof/>
                <w:sz w:val="24"/>
                <w:szCs w:val="24"/>
                <w:lang w:val="el-GR"/>
              </w:rPr>
              <w:t>Αναπροσαρμογή για το ΕΤΣΕ 1.0</w:t>
            </w:r>
          </w:p>
        </w:tc>
        <w:tc>
          <w:tcPr>
            <w:tcW w:w="1683" w:type="dxa"/>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
              </w:rPr>
              <w:t>ΕΤΣΕ</w:t>
            </w:r>
            <w:r>
              <w:rPr>
                <w:rFonts w:ascii="Times New Roman" w:hAnsi="Times New Roman" w:cs="Times New Roman"/>
                <w:b/>
                <w:noProof/>
                <w:sz w:val="24"/>
                <w:szCs w:val="24"/>
                <w:lang w:val="fr-BE"/>
              </w:rPr>
              <w:t xml:space="preserve"> 2.0</w:t>
            </w:r>
          </w:p>
        </w:tc>
      </w:tr>
      <w:tr>
        <w:tc>
          <w:tcPr>
            <w:tcW w:w="322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IIW </w:t>
            </w:r>
          </w:p>
        </w:tc>
        <w:tc>
          <w:tcPr>
            <w:tcW w:w="168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13,5</w:t>
            </w:r>
          </w:p>
        </w:tc>
        <w:tc>
          <w:tcPr>
            <w:tcW w:w="1908"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13,0</w:t>
            </w:r>
          </w:p>
        </w:tc>
        <w:tc>
          <w:tcPr>
            <w:tcW w:w="168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19,5 </w:t>
            </w:r>
          </w:p>
        </w:tc>
      </w:tr>
      <w:tr>
        <w:tc>
          <w:tcPr>
            <w:tcW w:w="322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
              </w:rPr>
              <w:t>ΜΜΕ</w:t>
            </w:r>
          </w:p>
        </w:tc>
        <w:tc>
          <w:tcPr>
            <w:tcW w:w="168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2,5</w:t>
            </w:r>
          </w:p>
        </w:tc>
        <w:tc>
          <w:tcPr>
            <w:tcW w:w="1908"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3,0</w:t>
            </w:r>
          </w:p>
        </w:tc>
        <w:tc>
          <w:tcPr>
            <w:tcW w:w="168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6,5</w:t>
            </w:r>
          </w:p>
        </w:tc>
      </w:tr>
      <w:tr>
        <w:tc>
          <w:tcPr>
            <w:tcW w:w="3223" w:type="dxa"/>
            <w:tcBorders>
              <w:bottom w:val="single" w:sz="4" w:space="0" w:color="auto"/>
            </w:tcBorders>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
              </w:rPr>
              <w:t>Συνολική εγγύηση της ΕΕ</w:t>
            </w:r>
          </w:p>
        </w:tc>
        <w:tc>
          <w:tcPr>
            <w:tcW w:w="1683" w:type="dxa"/>
            <w:tcBorders>
              <w:bottom w:val="single" w:sz="4" w:space="0" w:color="auto"/>
            </w:tcBorders>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BE"/>
              </w:rPr>
              <w:t>16,0</w:t>
            </w:r>
          </w:p>
        </w:tc>
        <w:tc>
          <w:tcPr>
            <w:tcW w:w="1908" w:type="dxa"/>
            <w:tcBorders>
              <w:bottom w:val="single" w:sz="4" w:space="0" w:color="auto"/>
            </w:tcBorders>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BE"/>
              </w:rPr>
              <w:t>16,0</w:t>
            </w:r>
          </w:p>
        </w:tc>
        <w:tc>
          <w:tcPr>
            <w:tcW w:w="1683" w:type="dxa"/>
            <w:tcBorders>
              <w:bottom w:val="single" w:sz="4" w:space="0" w:color="auto"/>
            </w:tcBorders>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BE"/>
              </w:rPr>
              <w:t>26,0</w:t>
            </w:r>
          </w:p>
        </w:tc>
      </w:tr>
      <w:tr>
        <w:tc>
          <w:tcPr>
            <w:tcW w:w="3223" w:type="dxa"/>
            <w:tcBorders>
              <w:left w:val="nil"/>
              <w:right w:val="nil"/>
            </w:tcBorders>
            <w:vAlign w:val="center"/>
          </w:tcPr>
          <w:p>
            <w:pPr>
              <w:keepLines/>
              <w:spacing w:before="480" w:after="240" w:line="276" w:lineRule="auto"/>
              <w:jc w:val="both"/>
              <w:rPr>
                <w:rFonts w:ascii="Times New Roman" w:hAnsi="Times New Roman" w:cs="Times New Roman"/>
                <w:b/>
                <w:noProof/>
                <w:sz w:val="24"/>
                <w:szCs w:val="24"/>
                <w:lang w:val="fr-BE"/>
              </w:rPr>
            </w:pPr>
          </w:p>
        </w:tc>
        <w:tc>
          <w:tcPr>
            <w:tcW w:w="1683" w:type="dxa"/>
            <w:tcBorders>
              <w:left w:val="nil"/>
              <w:right w:val="nil"/>
            </w:tcBorders>
            <w:vAlign w:val="center"/>
          </w:tcPr>
          <w:p>
            <w:pPr>
              <w:keepLines/>
              <w:spacing w:before="480" w:after="240" w:line="276" w:lineRule="auto"/>
              <w:jc w:val="both"/>
              <w:rPr>
                <w:rFonts w:ascii="Times New Roman" w:hAnsi="Times New Roman" w:cs="Times New Roman"/>
                <w:noProof/>
                <w:sz w:val="24"/>
                <w:szCs w:val="24"/>
                <w:lang w:val="fr-BE"/>
              </w:rPr>
            </w:pPr>
          </w:p>
        </w:tc>
        <w:tc>
          <w:tcPr>
            <w:tcW w:w="1908" w:type="dxa"/>
            <w:tcBorders>
              <w:left w:val="nil"/>
              <w:right w:val="nil"/>
            </w:tcBorders>
            <w:vAlign w:val="center"/>
          </w:tcPr>
          <w:p>
            <w:pPr>
              <w:keepLines/>
              <w:spacing w:before="480" w:after="240" w:line="276" w:lineRule="auto"/>
              <w:jc w:val="both"/>
              <w:rPr>
                <w:rFonts w:ascii="Times New Roman" w:hAnsi="Times New Roman" w:cs="Times New Roman"/>
                <w:noProof/>
                <w:sz w:val="24"/>
                <w:szCs w:val="24"/>
                <w:lang w:val="fr-BE"/>
              </w:rPr>
            </w:pPr>
          </w:p>
        </w:tc>
        <w:tc>
          <w:tcPr>
            <w:tcW w:w="1683" w:type="dxa"/>
            <w:tcBorders>
              <w:left w:val="nil"/>
              <w:right w:val="nil"/>
            </w:tcBorders>
            <w:vAlign w:val="center"/>
          </w:tcPr>
          <w:p>
            <w:pPr>
              <w:keepLines/>
              <w:spacing w:before="480" w:after="240" w:line="276" w:lineRule="auto"/>
              <w:jc w:val="both"/>
              <w:rPr>
                <w:rFonts w:ascii="Times New Roman" w:hAnsi="Times New Roman" w:cs="Times New Roman"/>
                <w:noProof/>
                <w:sz w:val="24"/>
                <w:szCs w:val="24"/>
                <w:lang w:val="fr-BE"/>
              </w:rPr>
            </w:pPr>
          </w:p>
        </w:tc>
      </w:tr>
      <w:tr>
        <w:tc>
          <w:tcPr>
            <w:tcW w:w="3223" w:type="dxa"/>
            <w:vAlign w:val="center"/>
          </w:tcPr>
          <w:p>
            <w:pPr>
              <w:keepLines/>
              <w:spacing w:before="480" w:after="240" w:line="276" w:lineRule="auto"/>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Ικανότητα ανάληψης κινδύνων της ΕΤΕπ</w:t>
            </w:r>
          </w:p>
        </w:tc>
        <w:tc>
          <w:tcPr>
            <w:tcW w:w="168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5,0</w:t>
            </w:r>
          </w:p>
        </w:tc>
        <w:tc>
          <w:tcPr>
            <w:tcW w:w="1908"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5,0</w:t>
            </w:r>
          </w:p>
        </w:tc>
        <w:tc>
          <w:tcPr>
            <w:tcW w:w="1683" w:type="dxa"/>
            <w:vAlign w:val="center"/>
          </w:tcPr>
          <w:p>
            <w:pPr>
              <w:keepLines/>
              <w:spacing w:before="480" w:after="240" w:line="276"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7,5</w:t>
            </w:r>
          </w:p>
        </w:tc>
      </w:tr>
      <w:tr>
        <w:tc>
          <w:tcPr>
            <w:tcW w:w="3223" w:type="dxa"/>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el-GR"/>
              </w:rPr>
              <w:t>Σύνολο</w:t>
            </w:r>
            <w:r>
              <w:rPr>
                <w:rFonts w:ascii="Times New Roman" w:hAnsi="Times New Roman" w:cs="Times New Roman"/>
                <w:b/>
                <w:noProof/>
                <w:sz w:val="24"/>
                <w:szCs w:val="24"/>
                <w:lang w:val="fr-BE"/>
              </w:rPr>
              <w:t xml:space="preserve"> </w:t>
            </w:r>
            <w:r>
              <w:rPr>
                <w:rFonts w:ascii="Times New Roman" w:hAnsi="Times New Roman" w:cs="Times New Roman"/>
                <w:b/>
                <w:noProof/>
                <w:sz w:val="24"/>
                <w:szCs w:val="24"/>
                <w:lang w:val="fr"/>
              </w:rPr>
              <w:t>ΕΤΣΕ</w:t>
            </w:r>
          </w:p>
        </w:tc>
        <w:tc>
          <w:tcPr>
            <w:tcW w:w="1683" w:type="dxa"/>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BE"/>
              </w:rPr>
              <w:t>21,0</w:t>
            </w:r>
          </w:p>
        </w:tc>
        <w:tc>
          <w:tcPr>
            <w:tcW w:w="1908" w:type="dxa"/>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BE"/>
              </w:rPr>
              <w:t>21,0</w:t>
            </w:r>
          </w:p>
        </w:tc>
        <w:tc>
          <w:tcPr>
            <w:tcW w:w="1683" w:type="dxa"/>
            <w:vAlign w:val="center"/>
          </w:tcPr>
          <w:p>
            <w:pPr>
              <w:keepLines/>
              <w:spacing w:before="480" w:after="240" w:line="276" w:lineRule="auto"/>
              <w:jc w:val="both"/>
              <w:rPr>
                <w:rFonts w:ascii="Times New Roman" w:hAnsi="Times New Roman" w:cs="Times New Roman"/>
                <w:b/>
                <w:noProof/>
                <w:sz w:val="24"/>
                <w:szCs w:val="24"/>
                <w:lang w:val="fr-BE"/>
              </w:rPr>
            </w:pPr>
            <w:r>
              <w:rPr>
                <w:rFonts w:ascii="Times New Roman" w:hAnsi="Times New Roman" w:cs="Times New Roman"/>
                <w:b/>
                <w:noProof/>
                <w:sz w:val="24"/>
                <w:szCs w:val="24"/>
                <w:lang w:val="fr-BE"/>
              </w:rPr>
              <w:t>33,5</w:t>
            </w:r>
          </w:p>
        </w:tc>
      </w:tr>
    </w:tbl>
    <w:p>
      <w:pPr>
        <w:keepLines/>
        <w:spacing w:before="480" w:after="240"/>
        <w:jc w:val="both"/>
        <w:rPr>
          <w:rFonts w:ascii="Times New Roman" w:hAnsi="Times New Roman" w:cs="Times New Roman"/>
          <w:noProof/>
          <w:sz w:val="24"/>
          <w:szCs w:val="24"/>
        </w:rPr>
      </w:pPr>
      <w:r>
        <w:rPr>
          <w:rFonts w:ascii="Times New Roman" w:hAnsi="Times New Roman" w:cs="Times New Roman"/>
          <w:b/>
          <w:noProof/>
          <w:sz w:val="24"/>
          <w:szCs w:val="24"/>
          <w:lang w:val="fr"/>
        </w:rPr>
        <w:lastRenderedPageBreak/>
        <w:t>Πηγή:</w:t>
      </w:r>
      <w:r>
        <w:rPr>
          <w:rFonts w:ascii="Times New Roman" w:hAnsi="Times New Roman" w:cs="Times New Roman"/>
          <w:b/>
          <w:noProof/>
          <w:sz w:val="24"/>
          <w:szCs w:val="24"/>
          <w:lang w:val="el-GR"/>
        </w:rPr>
        <w:t xml:space="preserve"> </w:t>
      </w:r>
      <w:r>
        <w:rPr>
          <w:rFonts w:ascii="Times New Roman" w:hAnsi="Times New Roman" w:cs="Times New Roman"/>
          <w:noProof/>
          <w:sz w:val="24"/>
          <w:szCs w:val="24"/>
          <w:lang w:val="fr"/>
        </w:rPr>
        <w:t>Υπηρεσίες της Επιτροπής</w:t>
      </w:r>
    </w:p>
    <w:p>
      <w:pPr>
        <w:pStyle w:val="Heading1"/>
        <w:spacing w:after="240"/>
        <w:rPr>
          <w:rFonts w:ascii="Times New Roman" w:hAnsi="Times New Roman" w:cs="Times New Roman"/>
          <w:noProof/>
          <w:color w:val="auto"/>
          <w:lang w:val="el-GR"/>
        </w:rPr>
      </w:pPr>
      <w:bookmarkStart w:id="19" w:name="_Toc517793066"/>
      <w:r>
        <w:rPr>
          <w:rFonts w:ascii="Times New Roman" w:hAnsi="Times New Roman" w:cs="Times New Roman"/>
          <w:noProof/>
          <w:color w:val="auto"/>
          <w:lang w:val="el-GR"/>
        </w:rPr>
        <w:t>3. Η χρήση της εγγύησης της ΕΕ</w:t>
      </w:r>
      <w:bookmarkEnd w:id="19"/>
    </w:p>
    <w:p>
      <w:pPr>
        <w:spacing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Το παρόν τμήμα εξετάζει τη χρήση της εγγύησης της ΕΕ βάσει των διαφόρων δραστηριοτήτων που λαμβάνουν στήριξη από το ΕΤΣΕ. Η εγγύηση της ΕΕ καλύπτει διάφορα προϊόντα στο πλαίσιο των δύο σκελών (</w:t>
      </w:r>
      <w:r>
        <w:rPr>
          <w:rFonts w:ascii="Times New Roman" w:hAnsi="Times New Roman" w:cs="Times New Roman"/>
          <w:noProof/>
          <w:sz w:val="24"/>
          <w:szCs w:val="24"/>
        </w:rPr>
        <w:t>IIW</w:t>
      </w:r>
      <w:r>
        <w:rPr>
          <w:rFonts w:ascii="Times New Roman" w:hAnsi="Times New Roman" w:cs="Times New Roman"/>
          <w:noProof/>
          <w:sz w:val="24"/>
          <w:szCs w:val="24"/>
          <w:lang w:val="el-GR"/>
        </w:rPr>
        <w:t xml:space="preserve"> και </w:t>
      </w:r>
      <w:r>
        <w:rPr>
          <w:rFonts w:ascii="Times New Roman" w:hAnsi="Times New Roman" w:cs="Times New Roman"/>
          <w:noProof/>
          <w:sz w:val="24"/>
          <w:szCs w:val="24"/>
        </w:rPr>
        <w:t>SMEW</w:t>
      </w:r>
      <w:r>
        <w:rPr>
          <w:rFonts w:ascii="Times New Roman" w:hAnsi="Times New Roman" w:cs="Times New Roman"/>
          <w:noProof/>
          <w:sz w:val="24"/>
          <w:szCs w:val="24"/>
          <w:lang w:val="el-GR"/>
        </w:rPr>
        <w:t>).</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Στο τέλος του 2017, ο όμιλος της ΕΤΕπ (ΕΤΕπ και ΕΤΕ) είχε υπογράψει 606 πράξεις στο πλαίσιο του ΕΤΣΕ, για συνολική χρηματοδότηση ύψους 37,4 δισ. ευρώ. Οι πράξεις αυτές αναμένεται να κινητοποιήσουν επενδύσεις ύψους 207,3 δισ. </w:t>
      </w:r>
      <w:r>
        <w:rPr>
          <w:rFonts w:ascii="Times New Roman" w:hAnsi="Times New Roman" w:cs="Times New Roman"/>
          <w:noProof/>
          <w:sz w:val="24"/>
          <w:szCs w:val="24"/>
          <w:lang w:val="fr"/>
        </w:rPr>
        <w:t>EUR</w:t>
      </w:r>
      <w:r>
        <w:rPr>
          <w:rFonts w:ascii="Times New Roman" w:hAnsi="Times New Roman" w:cs="Times New Roman"/>
          <w:noProof/>
          <w:sz w:val="24"/>
          <w:szCs w:val="24"/>
          <w:lang w:val="el-GR"/>
        </w:rPr>
        <w:t xml:space="preserve"> στο σύνολο των 28 κρατών μελών της ΕΕ και σε όλους τους στόχους που ορίζονται στον κανονισμό του ΕΤΣΕ (βλέπε σχήμα 1).</w:t>
      </w:r>
    </w:p>
    <w:p>
      <w:pPr>
        <w:spacing w:before="480" w:after="240"/>
        <w:jc w:val="both"/>
        <w:rPr>
          <w:rFonts w:ascii="Times New Roman" w:hAnsi="Times New Roman" w:cs="Times New Roman"/>
          <w:noProof/>
          <w:sz w:val="20"/>
          <w:szCs w:val="20"/>
          <w:lang w:val="el-GR"/>
        </w:rPr>
      </w:pPr>
      <w:bookmarkStart w:id="20" w:name="_Ref458432919"/>
      <w:bookmarkStart w:id="21" w:name="_Toc458500290"/>
      <w:bookmarkStart w:id="22" w:name="_Toc460865972"/>
      <w:r>
        <w:rPr>
          <w:rFonts w:ascii="Times New Roman" w:hAnsi="Times New Roman" w:cs="Times New Roman"/>
          <w:noProof/>
          <w:sz w:val="20"/>
          <w:szCs w:val="20"/>
          <w:lang w:val="el-GR"/>
        </w:rPr>
        <w:t xml:space="preserve">Σχήμα </w:t>
      </w:r>
      <w:r>
        <w:rPr>
          <w:rFonts w:ascii="Times New Roman" w:hAnsi="Times New Roman" w:cs="Times New Roman"/>
          <w:noProof/>
          <w:sz w:val="20"/>
          <w:szCs w:val="20"/>
          <w:lang w:val="fr"/>
        </w:rPr>
        <w:fldChar w:fldCharType="begin"/>
      </w:r>
      <w:r>
        <w:rPr>
          <w:rFonts w:ascii="Times New Roman" w:hAnsi="Times New Roman" w:cs="Times New Roman"/>
          <w:noProof/>
          <w:sz w:val="20"/>
          <w:szCs w:val="20"/>
          <w:lang w:val="el-GR"/>
        </w:rPr>
        <w:instrText xml:space="preserve"> </w:instrText>
      </w:r>
      <w:r>
        <w:rPr>
          <w:rFonts w:ascii="Times New Roman" w:hAnsi="Times New Roman" w:cs="Times New Roman"/>
          <w:noProof/>
          <w:sz w:val="20"/>
          <w:szCs w:val="20"/>
          <w:lang w:val="fr"/>
        </w:rPr>
        <w:instrText>SEQ</w:instrText>
      </w:r>
      <w:r>
        <w:rPr>
          <w:rFonts w:ascii="Times New Roman" w:hAnsi="Times New Roman" w:cs="Times New Roman"/>
          <w:noProof/>
          <w:sz w:val="20"/>
          <w:szCs w:val="20"/>
          <w:lang w:val="el-GR"/>
        </w:rPr>
        <w:instrText xml:space="preserve"> </w:instrText>
      </w:r>
      <w:r>
        <w:rPr>
          <w:rFonts w:ascii="Times New Roman" w:hAnsi="Times New Roman" w:cs="Times New Roman"/>
          <w:noProof/>
          <w:sz w:val="20"/>
          <w:szCs w:val="20"/>
          <w:lang w:val="fr"/>
        </w:rPr>
        <w:instrText>Figure</w:instrText>
      </w:r>
      <w:r>
        <w:rPr>
          <w:rFonts w:ascii="Times New Roman" w:hAnsi="Times New Roman" w:cs="Times New Roman"/>
          <w:noProof/>
          <w:sz w:val="20"/>
          <w:szCs w:val="20"/>
          <w:lang w:val="el-GR"/>
        </w:rPr>
        <w:instrText xml:space="preserve"> \* </w:instrText>
      </w:r>
      <w:r>
        <w:rPr>
          <w:rFonts w:ascii="Times New Roman" w:hAnsi="Times New Roman" w:cs="Times New Roman"/>
          <w:noProof/>
          <w:sz w:val="20"/>
          <w:szCs w:val="20"/>
          <w:lang w:val="fr"/>
        </w:rPr>
        <w:instrText>ARABIC</w:instrText>
      </w:r>
      <w:r>
        <w:rPr>
          <w:rFonts w:ascii="Times New Roman" w:hAnsi="Times New Roman" w:cs="Times New Roman"/>
          <w:noProof/>
          <w:sz w:val="20"/>
          <w:szCs w:val="20"/>
          <w:lang w:val="el-GR"/>
        </w:rPr>
        <w:instrText xml:space="preserve"> </w:instrText>
      </w:r>
      <w:r>
        <w:rPr>
          <w:rFonts w:ascii="Times New Roman" w:hAnsi="Times New Roman" w:cs="Times New Roman"/>
          <w:noProof/>
          <w:sz w:val="20"/>
          <w:szCs w:val="20"/>
          <w:lang w:val="fr"/>
        </w:rPr>
        <w:fldChar w:fldCharType="separate"/>
      </w:r>
      <w:r>
        <w:rPr>
          <w:rFonts w:ascii="Times New Roman" w:hAnsi="Times New Roman" w:cs="Times New Roman"/>
          <w:noProof/>
          <w:sz w:val="20"/>
          <w:szCs w:val="20"/>
          <w:lang w:val="el-GR"/>
        </w:rPr>
        <w:t>1</w:t>
      </w:r>
      <w:r>
        <w:rPr>
          <w:rFonts w:ascii="Times New Roman" w:hAnsi="Times New Roman" w:cs="Times New Roman"/>
          <w:noProof/>
          <w:sz w:val="20"/>
          <w:szCs w:val="20"/>
        </w:rPr>
        <w:fldChar w:fldCharType="end"/>
      </w:r>
      <w:bookmarkEnd w:id="20"/>
      <w:r>
        <w:rPr>
          <w:rFonts w:ascii="Times New Roman" w:hAnsi="Times New Roman" w:cs="Times New Roman"/>
          <w:noProof/>
          <w:sz w:val="20"/>
          <w:szCs w:val="20"/>
          <w:lang w:val="el-GR"/>
        </w:rPr>
        <w:t>: Κινητοποίηση επενδύσεων του</w:t>
      </w:r>
      <w:bookmarkEnd w:id="21"/>
      <w:bookmarkEnd w:id="22"/>
      <w:r>
        <w:rPr>
          <w:rFonts w:ascii="Times New Roman" w:hAnsi="Times New Roman" w:cs="Times New Roman"/>
          <w:noProof/>
          <w:sz w:val="20"/>
          <w:szCs w:val="20"/>
          <w:lang w:val="el-GR"/>
        </w:rPr>
        <w:t xml:space="preserve"> ΕΤΣΕ για πράξεις που έχουν υπογραφεί στο πλαίσιο του </w:t>
      </w:r>
      <w:r>
        <w:rPr>
          <w:rFonts w:ascii="Times New Roman" w:hAnsi="Times New Roman" w:cs="Times New Roman"/>
          <w:noProof/>
          <w:sz w:val="20"/>
          <w:szCs w:val="20"/>
        </w:rPr>
        <w:t>IIW</w:t>
      </w:r>
      <w:r>
        <w:rPr>
          <w:rFonts w:ascii="Times New Roman" w:hAnsi="Times New Roman" w:cs="Times New Roman"/>
          <w:noProof/>
          <w:sz w:val="20"/>
          <w:szCs w:val="20"/>
          <w:lang w:val="el-GR"/>
        </w:rPr>
        <w:t xml:space="preserve"> και του </w:t>
      </w:r>
      <w:r>
        <w:rPr>
          <w:rFonts w:ascii="Times New Roman" w:hAnsi="Times New Roman" w:cs="Times New Roman"/>
          <w:noProof/>
          <w:sz w:val="20"/>
          <w:szCs w:val="20"/>
        </w:rPr>
        <w:t>SMEW</w:t>
      </w:r>
      <w:r>
        <w:rPr>
          <w:rFonts w:ascii="Times New Roman" w:hAnsi="Times New Roman" w:cs="Times New Roman"/>
          <w:noProof/>
          <w:sz w:val="20"/>
          <w:szCs w:val="20"/>
          <w:lang w:val="el-GR"/>
        </w:rPr>
        <w:t xml:space="preserve"> (κατά τομέα την 31η Δεκεμβρίου 2017)</w:t>
      </w:r>
    </w:p>
    <w:p>
      <w:pPr>
        <w:keepNext/>
        <w:spacing w:before="480" w:after="240" w:line="240" w:lineRule="auto"/>
        <w:jc w:val="both"/>
        <w:rPr>
          <w:rFonts w:ascii="Times New Roman" w:hAnsi="Times New Roman" w:cs="Times New Roman"/>
          <w:noProof/>
          <w:sz w:val="24"/>
          <w:szCs w:val="24"/>
        </w:rPr>
      </w:pPr>
      <w:r>
        <w:rPr>
          <w:noProof/>
          <w:lang w:val="en-US"/>
        </w:rPr>
        <w:drawing>
          <wp:inline distT="0" distB="0" distL="0" distR="0">
            <wp:extent cx="4972050" cy="2319338"/>
            <wp:effectExtent l="0" t="0" r="19050"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480" w:after="240"/>
        <w:jc w:val="both"/>
        <w:rPr>
          <w:rFonts w:ascii="Times New Roman" w:hAnsi="Times New Roman" w:cs="Times New Roman"/>
          <w:noProof/>
          <w:sz w:val="20"/>
          <w:szCs w:val="20"/>
          <w:lang w:val="el-GR"/>
        </w:rPr>
      </w:pPr>
      <w:r>
        <w:rPr>
          <w:rFonts w:ascii="Times New Roman" w:hAnsi="Times New Roman" w:cs="Times New Roman"/>
          <w:noProof/>
          <w:sz w:val="20"/>
          <w:szCs w:val="20"/>
          <w:lang w:val="el-GR"/>
        </w:rPr>
        <w:t>Πηγή: ΕΤΕπ</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Στο τέλος του 2017, το άνοιγμα του προϋπολογισμού της ΕΕ σε πιθανές μελλοντικές πληρωμές βάσει της εγγύησης της ΕΕ από την άποψη των υπογεγραμμένων πράξεων (είτε έχουν εκταμιευθεί είτε όχι) ανερχόταν σε 13,5 δισ. ευρώ, ενώ το συνολικό εκκρεμές εκταμιευθέν άνοιγμα που καλύπτεται από την εγγύηση της ΕΕ ανερχόταν σε σχεδόν 10,1 δισ. ευρώ. </w:t>
      </w:r>
    </w:p>
    <w:p>
      <w:pPr>
        <w:spacing w:before="480" w:after="240"/>
        <w:jc w:val="both"/>
        <w:rPr>
          <w:rFonts w:ascii="Times New Roman" w:hAnsi="Times New Roman" w:cs="Times New Roman"/>
          <w:noProof/>
          <w:sz w:val="24"/>
          <w:szCs w:val="24"/>
          <w:highlight w:val="yellow"/>
          <w:lang w:val="el-GR"/>
        </w:rPr>
      </w:pPr>
      <w:r>
        <w:rPr>
          <w:rFonts w:ascii="Times New Roman" w:hAnsi="Times New Roman" w:cs="Times New Roman"/>
          <w:noProof/>
          <w:sz w:val="24"/>
          <w:szCs w:val="24"/>
          <w:lang w:val="el-GR"/>
        </w:rPr>
        <w:t xml:space="preserve">Δεν υπήρξε καμία κατάπτωση εγγύησης έναντι του προϋπολογισμού της Ένωσης λόγω αδυναμίας πληρωμής από μέρους επιχειρήσεων κατά τη διάρκεια της περιόδου που </w:t>
      </w:r>
      <w:r>
        <w:rPr>
          <w:rFonts w:ascii="Times New Roman" w:hAnsi="Times New Roman" w:cs="Times New Roman"/>
          <w:noProof/>
          <w:sz w:val="24"/>
          <w:szCs w:val="24"/>
          <w:lang w:val="el-GR"/>
        </w:rPr>
        <w:lastRenderedPageBreak/>
        <w:t xml:space="preserve">καλύπτεται από την παρούσα έκθεση. Η εγγύηση της ΕΕ χρησιμοποιήθηκε μόνο για την κάλυψη του κόστους χρηματοδότησης της ΕΤΕπ, το οποίο καλύφθηκε από τα έσοδα από τις πράξεις </w:t>
      </w:r>
      <w:r>
        <w:rPr>
          <w:rFonts w:ascii="Times New Roman" w:hAnsi="Times New Roman" w:cs="Times New Roman"/>
          <w:noProof/>
          <w:sz w:val="24"/>
          <w:szCs w:val="24"/>
          <w:lang w:val="fr"/>
        </w:rPr>
        <w:t>IIW</w:t>
      </w:r>
      <w:r>
        <w:rPr>
          <w:rFonts w:ascii="Times New Roman" w:hAnsi="Times New Roman" w:cs="Times New Roman"/>
          <w:noProof/>
          <w:sz w:val="24"/>
          <w:szCs w:val="24"/>
          <w:lang w:val="el-GR"/>
        </w:rPr>
        <w:t xml:space="preserve">. </w:t>
      </w:r>
    </w:p>
    <w:p>
      <w:pPr>
        <w:pStyle w:val="Heading2"/>
        <w:spacing w:after="240"/>
        <w:rPr>
          <w:rFonts w:ascii="Times New Roman" w:hAnsi="Times New Roman" w:cs="Times New Roman"/>
          <w:noProof/>
          <w:color w:val="auto"/>
          <w:lang w:val="el-GR"/>
        </w:rPr>
      </w:pPr>
      <w:bookmarkStart w:id="23" w:name="_Toc456716046"/>
      <w:bookmarkStart w:id="24" w:name="_Toc456716111"/>
      <w:bookmarkStart w:id="25" w:name="_Toc456716404"/>
      <w:bookmarkStart w:id="26" w:name="_Toc456716460"/>
      <w:bookmarkStart w:id="27" w:name="_Toc456717219"/>
      <w:bookmarkStart w:id="28" w:name="_Toc456717363"/>
      <w:bookmarkStart w:id="29" w:name="_Toc456717895"/>
      <w:bookmarkStart w:id="30" w:name="_Toc456719731"/>
      <w:bookmarkStart w:id="31" w:name="_Toc456719788"/>
      <w:bookmarkStart w:id="32" w:name="_Toc456720241"/>
      <w:bookmarkStart w:id="33" w:name="_Toc456720595"/>
      <w:bookmarkStart w:id="34" w:name="_Toc456768922"/>
      <w:bookmarkStart w:id="35" w:name="_Toc456777007"/>
      <w:bookmarkStart w:id="36" w:name="_Toc456777072"/>
      <w:bookmarkStart w:id="37" w:name="_Toc456778090"/>
      <w:bookmarkStart w:id="38" w:name="_Toc456778155"/>
      <w:bookmarkStart w:id="39" w:name="_Toc457846721"/>
      <w:bookmarkStart w:id="40" w:name="_Toc457908501"/>
      <w:bookmarkStart w:id="41" w:name="_Toc457908557"/>
      <w:bookmarkStart w:id="42" w:name="_Toc458418177"/>
      <w:bookmarkStart w:id="43" w:name="_Toc458434041"/>
      <w:bookmarkStart w:id="44" w:name="_Toc458434099"/>
      <w:bookmarkStart w:id="45" w:name="_Toc458434177"/>
      <w:bookmarkStart w:id="46" w:name="_Toc458497566"/>
      <w:bookmarkStart w:id="47" w:name="_Toc458500226"/>
      <w:bookmarkStart w:id="48" w:name="_Toc458500306"/>
      <w:bookmarkStart w:id="49" w:name="_Toc458502560"/>
      <w:bookmarkStart w:id="50" w:name="_Toc458507714"/>
      <w:bookmarkStart w:id="51" w:name="_Toc458515947"/>
      <w:bookmarkStart w:id="52" w:name="_Toc458517663"/>
      <w:bookmarkStart w:id="53" w:name="_Toc458520910"/>
      <w:bookmarkStart w:id="54" w:name="_Toc458520976"/>
      <w:bookmarkStart w:id="55" w:name="_Toc458521832"/>
      <w:bookmarkStart w:id="56" w:name="_Toc458521911"/>
      <w:bookmarkStart w:id="57" w:name="_Toc458521991"/>
      <w:bookmarkStart w:id="58" w:name="_Toc459195903"/>
      <w:bookmarkStart w:id="59" w:name="_Toc459886938"/>
      <w:bookmarkStart w:id="60" w:name="_Toc459886979"/>
      <w:bookmarkStart w:id="61" w:name="_Toc459888280"/>
      <w:bookmarkStart w:id="62" w:name="_Toc459904457"/>
      <w:bookmarkStart w:id="63" w:name="_Toc459975755"/>
      <w:bookmarkStart w:id="64" w:name="_Toc459976021"/>
      <w:bookmarkStart w:id="65" w:name="_Toc459976073"/>
      <w:bookmarkStart w:id="66" w:name="_Toc460062193"/>
      <w:bookmarkStart w:id="67" w:name="_Toc460062355"/>
      <w:bookmarkStart w:id="68" w:name="_Toc460419196"/>
      <w:bookmarkStart w:id="69" w:name="_Toc460582017"/>
      <w:bookmarkStart w:id="70" w:name="_Toc460582068"/>
      <w:bookmarkStart w:id="71" w:name="_Toc460865938"/>
      <w:bookmarkStart w:id="72" w:name="_Toc456716047"/>
      <w:bookmarkStart w:id="73" w:name="_Toc456716112"/>
      <w:bookmarkStart w:id="74" w:name="_Toc456716405"/>
      <w:bookmarkStart w:id="75" w:name="_Toc456716461"/>
      <w:bookmarkStart w:id="76" w:name="_Toc456717220"/>
      <w:bookmarkStart w:id="77" w:name="_Toc456717364"/>
      <w:bookmarkStart w:id="78" w:name="_Toc456717896"/>
      <w:bookmarkStart w:id="79" w:name="_Toc456719732"/>
      <w:bookmarkStart w:id="80" w:name="_Toc456719789"/>
      <w:bookmarkStart w:id="81" w:name="_Toc456720242"/>
      <w:bookmarkStart w:id="82" w:name="_Toc456720596"/>
      <w:bookmarkStart w:id="83" w:name="_Toc456768923"/>
      <w:bookmarkStart w:id="84" w:name="_Toc456777008"/>
      <w:bookmarkStart w:id="85" w:name="_Toc456777073"/>
      <w:bookmarkStart w:id="86" w:name="_Toc456778091"/>
      <w:bookmarkStart w:id="87" w:name="_Toc456778156"/>
      <w:bookmarkStart w:id="88" w:name="_Toc457846722"/>
      <w:bookmarkStart w:id="89" w:name="_Toc457908502"/>
      <w:bookmarkStart w:id="90" w:name="_Toc457908558"/>
      <w:bookmarkStart w:id="91" w:name="_Toc458418178"/>
      <w:bookmarkStart w:id="92" w:name="_Toc458434042"/>
      <w:bookmarkStart w:id="93" w:name="_Toc458434100"/>
      <w:bookmarkStart w:id="94" w:name="_Toc458434178"/>
      <w:bookmarkStart w:id="95" w:name="_Toc458497567"/>
      <w:bookmarkStart w:id="96" w:name="_Toc458500227"/>
      <w:bookmarkStart w:id="97" w:name="_Toc458500307"/>
      <w:bookmarkStart w:id="98" w:name="_Toc458502561"/>
      <w:bookmarkStart w:id="99" w:name="_Toc458507715"/>
      <w:bookmarkStart w:id="100" w:name="_Toc458515948"/>
      <w:bookmarkStart w:id="101" w:name="_Toc458517664"/>
      <w:bookmarkStart w:id="102" w:name="_Toc458520911"/>
      <w:bookmarkStart w:id="103" w:name="_Toc458520977"/>
      <w:bookmarkStart w:id="104" w:name="_Toc458521833"/>
      <w:bookmarkStart w:id="105" w:name="_Toc458521912"/>
      <w:bookmarkStart w:id="106" w:name="_Toc458521992"/>
      <w:bookmarkStart w:id="107" w:name="_Toc459195904"/>
      <w:bookmarkStart w:id="108" w:name="_Toc459886939"/>
      <w:bookmarkStart w:id="109" w:name="_Toc459886980"/>
      <w:bookmarkStart w:id="110" w:name="_Toc459888281"/>
      <w:bookmarkStart w:id="111" w:name="_Toc459904458"/>
      <w:bookmarkStart w:id="112" w:name="_Toc459975756"/>
      <w:bookmarkStart w:id="113" w:name="_Toc459976022"/>
      <w:bookmarkStart w:id="114" w:name="_Toc459976074"/>
      <w:bookmarkStart w:id="115" w:name="_Toc460062194"/>
      <w:bookmarkStart w:id="116" w:name="_Toc460062356"/>
      <w:bookmarkStart w:id="117" w:name="_Toc460419197"/>
      <w:bookmarkStart w:id="118" w:name="_Toc460582018"/>
      <w:bookmarkStart w:id="119" w:name="_Toc460582069"/>
      <w:bookmarkStart w:id="120" w:name="_Toc460865939"/>
      <w:bookmarkStart w:id="121" w:name="_Toc456716113"/>
      <w:bookmarkStart w:id="122" w:name="_Toc456716406"/>
      <w:bookmarkStart w:id="123" w:name="_Toc456716462"/>
      <w:bookmarkStart w:id="124" w:name="_Toc456717221"/>
      <w:bookmarkStart w:id="125" w:name="_Toc456717365"/>
      <w:bookmarkStart w:id="126" w:name="_Toc456717897"/>
      <w:bookmarkStart w:id="127" w:name="_Toc456719733"/>
      <w:bookmarkStart w:id="128" w:name="_Toc456719790"/>
      <w:bookmarkStart w:id="129" w:name="_Toc456720243"/>
      <w:bookmarkStart w:id="130" w:name="_Toc456720597"/>
      <w:bookmarkStart w:id="131" w:name="_Toc456768924"/>
      <w:bookmarkStart w:id="132" w:name="_Toc456777009"/>
      <w:bookmarkStart w:id="133" w:name="_Toc456777074"/>
      <w:bookmarkStart w:id="134" w:name="_Toc456778092"/>
      <w:bookmarkStart w:id="135" w:name="_Toc456778157"/>
      <w:bookmarkStart w:id="136" w:name="_Toc457846723"/>
      <w:bookmarkStart w:id="137" w:name="_Toc457908503"/>
      <w:bookmarkStart w:id="138" w:name="_Toc457908559"/>
      <w:bookmarkStart w:id="139" w:name="_Toc458418179"/>
      <w:bookmarkStart w:id="140" w:name="_Toc458434043"/>
      <w:bookmarkStart w:id="141" w:name="_Toc458434101"/>
      <w:bookmarkStart w:id="142" w:name="_Toc458434179"/>
      <w:bookmarkStart w:id="143" w:name="_Toc458497568"/>
      <w:bookmarkStart w:id="144" w:name="_Toc458500228"/>
      <w:bookmarkStart w:id="145" w:name="_Toc458500308"/>
      <w:bookmarkStart w:id="146" w:name="_Toc458502562"/>
      <w:bookmarkStart w:id="147" w:name="_Toc458507716"/>
      <w:bookmarkStart w:id="148" w:name="_Toc458515949"/>
      <w:bookmarkStart w:id="149" w:name="_Toc458517665"/>
      <w:bookmarkStart w:id="150" w:name="_Toc458520912"/>
      <w:bookmarkStart w:id="151" w:name="_Toc458520978"/>
      <w:bookmarkStart w:id="152" w:name="_Toc458521834"/>
      <w:bookmarkStart w:id="153" w:name="_Toc458521913"/>
      <w:bookmarkStart w:id="154" w:name="_Toc458521993"/>
      <w:bookmarkStart w:id="155" w:name="_Toc459195905"/>
      <w:bookmarkStart w:id="156" w:name="_Toc459886940"/>
      <w:bookmarkStart w:id="157" w:name="_Toc459886981"/>
      <w:bookmarkStart w:id="158" w:name="_Toc459888282"/>
      <w:bookmarkStart w:id="159" w:name="_Toc459904459"/>
      <w:bookmarkStart w:id="160" w:name="_Toc459975757"/>
      <w:bookmarkStart w:id="161" w:name="_Toc459976023"/>
      <w:bookmarkStart w:id="162" w:name="_Toc459976075"/>
      <w:bookmarkStart w:id="163" w:name="_Toc460062195"/>
      <w:bookmarkStart w:id="164" w:name="_Toc460062357"/>
      <w:bookmarkStart w:id="165" w:name="_Toc460419198"/>
      <w:bookmarkStart w:id="166" w:name="_Toc460582019"/>
      <w:bookmarkStart w:id="167" w:name="_Toc460582070"/>
      <w:bookmarkStart w:id="168" w:name="_Toc460865940"/>
      <w:bookmarkStart w:id="169" w:name="_Toc459886941"/>
      <w:bookmarkStart w:id="170" w:name="_Toc459886982"/>
      <w:bookmarkStart w:id="171" w:name="_Toc459888283"/>
      <w:bookmarkStart w:id="172" w:name="_Toc459904460"/>
      <w:bookmarkStart w:id="173" w:name="_Toc459975758"/>
      <w:bookmarkStart w:id="174" w:name="_Toc459976024"/>
      <w:bookmarkStart w:id="175" w:name="_Toc459976076"/>
      <w:bookmarkStart w:id="176" w:name="_Toc460062196"/>
      <w:bookmarkStart w:id="177" w:name="_Toc460062358"/>
      <w:bookmarkStart w:id="178" w:name="_Toc460419199"/>
      <w:bookmarkStart w:id="179" w:name="_Toc460582020"/>
      <w:bookmarkStart w:id="180" w:name="_Toc460582071"/>
      <w:bookmarkStart w:id="181" w:name="_Toc460865941"/>
      <w:bookmarkStart w:id="182" w:name="_Toc460865942"/>
      <w:bookmarkStart w:id="183" w:name="_Toc51779306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Times New Roman" w:hAnsi="Times New Roman" w:cs="Times New Roman"/>
          <w:noProof/>
          <w:color w:val="auto"/>
          <w:lang w:val="el-GR"/>
        </w:rPr>
        <w:t xml:space="preserve">3.1. </w:t>
      </w:r>
      <w:bookmarkEnd w:id="182"/>
      <w:r>
        <w:rPr>
          <w:rFonts w:ascii="Times New Roman" w:hAnsi="Times New Roman" w:cs="Times New Roman"/>
          <w:noProof/>
          <w:color w:val="auto"/>
          <w:lang w:val="el-GR"/>
        </w:rPr>
        <w:t>Σκέλος υποδομής και καινοτομίας (</w:t>
      </w:r>
      <w:r>
        <w:rPr>
          <w:rFonts w:ascii="Times New Roman" w:hAnsi="Times New Roman" w:cs="Times New Roman"/>
          <w:noProof/>
          <w:color w:val="auto"/>
          <w:lang w:val="fr"/>
        </w:rPr>
        <w:t>IIW</w:t>
      </w:r>
      <w:r>
        <w:rPr>
          <w:rFonts w:ascii="Times New Roman" w:hAnsi="Times New Roman" w:cs="Times New Roman"/>
          <w:noProof/>
          <w:color w:val="auto"/>
          <w:lang w:val="el-GR"/>
        </w:rPr>
        <w:t>)</w:t>
      </w:r>
      <w:bookmarkEnd w:id="183"/>
    </w:p>
    <w:p>
      <w:pPr>
        <w:spacing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Στο πλαίσιο του </w:t>
      </w:r>
      <w:r>
        <w:rPr>
          <w:rFonts w:ascii="Times New Roman" w:hAnsi="Times New Roman" w:cs="Times New Roman"/>
          <w:noProof/>
          <w:sz w:val="24"/>
          <w:szCs w:val="24"/>
        </w:rPr>
        <w:t>IIW</w:t>
      </w:r>
      <w:r>
        <w:rPr>
          <w:rFonts w:ascii="Times New Roman" w:hAnsi="Times New Roman" w:cs="Times New Roman"/>
          <w:noProof/>
          <w:sz w:val="24"/>
          <w:szCs w:val="24"/>
          <w:lang w:val="el-GR"/>
        </w:rPr>
        <w:t xml:space="preserve">, η κατανομή των πράξεων της ΕΤΕπ στο χαρτοφυλάκιο χρέους ή στο μετοχικό χαρτοφυλάκιο βασίζεται στο σύστημα αξιολόγησης δανείων της ΕΤΕπ και στη συνήθη αξιολόγηση κινδύνου της ΕΤΕπ. Στο πλαίσιο του </w:t>
      </w:r>
      <w:r>
        <w:rPr>
          <w:rFonts w:ascii="Times New Roman" w:hAnsi="Times New Roman" w:cs="Times New Roman"/>
          <w:noProof/>
          <w:sz w:val="24"/>
          <w:szCs w:val="24"/>
        </w:rPr>
        <w:t>IIW</w:t>
      </w:r>
      <w:r>
        <w:rPr>
          <w:rFonts w:ascii="Times New Roman" w:hAnsi="Times New Roman" w:cs="Times New Roman"/>
          <w:noProof/>
          <w:sz w:val="24"/>
          <w:szCs w:val="24"/>
          <w:lang w:val="el-GR"/>
        </w:rPr>
        <w:t>, η εγγύηση της ΕΕ, ύψους 13 δισ. ευρώ, κατανέμεται ως εξής:</w:t>
      </w:r>
    </w:p>
    <w:p>
      <w:pPr>
        <w:numPr>
          <w:ilvl w:val="0"/>
          <w:numId w:val="4"/>
        </w:numPr>
        <w:spacing w:before="480" w:after="240"/>
        <w:contextualSpacing/>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έως 10,5 δισ. ευρώ για πράξεις τύπου χρέους. </w:t>
      </w:r>
    </w:p>
    <w:p>
      <w:pPr>
        <w:numPr>
          <w:ilvl w:val="0"/>
          <w:numId w:val="4"/>
        </w:numPr>
        <w:spacing w:before="480" w:after="240"/>
        <w:contextualSpacing/>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έως 2,5 δισ. ευρώ για πράξεις μετοχικού τύπου.</w:t>
      </w:r>
    </w:p>
    <w:p>
      <w:pPr>
        <w:spacing w:before="480" w:after="240"/>
        <w:jc w:val="both"/>
        <w:rPr>
          <w:rFonts w:ascii="Times New Roman" w:hAnsi="Times New Roman" w:cs="Times New Roman"/>
          <w:noProof/>
          <w:sz w:val="24"/>
          <w:szCs w:val="24"/>
          <w:lang w:val="el-GR"/>
        </w:rPr>
      </w:pPr>
      <w:bookmarkStart w:id="184" w:name="_Toc458161748"/>
      <w:r>
        <w:rPr>
          <w:rFonts w:ascii="Times New Roman" w:hAnsi="Times New Roman" w:cs="Times New Roman"/>
          <w:noProof/>
          <w:sz w:val="24"/>
          <w:szCs w:val="24"/>
          <w:lang w:val="el-GR"/>
        </w:rPr>
        <w:t xml:space="preserve">Την 31η Δεκεμβρίου 2017, στο πλαίσιο του </w:t>
      </w:r>
      <w:r>
        <w:rPr>
          <w:rFonts w:ascii="Times New Roman" w:hAnsi="Times New Roman" w:cs="Times New Roman"/>
          <w:noProof/>
          <w:sz w:val="24"/>
          <w:szCs w:val="24"/>
        </w:rPr>
        <w:t>IIW</w:t>
      </w:r>
      <w:r>
        <w:rPr>
          <w:rFonts w:ascii="Times New Roman" w:hAnsi="Times New Roman" w:cs="Times New Roman"/>
          <w:noProof/>
          <w:sz w:val="24"/>
          <w:szCs w:val="24"/>
          <w:lang w:val="el-GR"/>
        </w:rPr>
        <w:t>, η ΕΤΕπ είχε υπογράψει 278 πράξεις, συνολικής χρηματοδότησης ύψους 27,4 δισ. ευρώ, η οποία αναμένεται να κινητοποιήσει επενδύσεις ύψους 131,4 δισ. ευρώ σε 27 κράτη μέλη της ΕΕ.</w:t>
      </w:r>
    </w:p>
    <w:p>
      <w:pPr>
        <w:pStyle w:val="Heading3"/>
        <w:spacing w:after="240"/>
        <w:rPr>
          <w:rFonts w:ascii="Times New Roman" w:hAnsi="Times New Roman" w:cs="Times New Roman"/>
          <w:noProof/>
          <w:color w:val="auto"/>
          <w:lang w:val="el-GR"/>
        </w:rPr>
      </w:pPr>
      <w:bookmarkStart w:id="185" w:name="_Toc456716049"/>
      <w:bookmarkStart w:id="186" w:name="_Toc456716115"/>
      <w:bookmarkStart w:id="187" w:name="_Ref458516187"/>
      <w:bookmarkStart w:id="188" w:name="_Ref458516189"/>
      <w:bookmarkStart w:id="189" w:name="_Toc460865943"/>
      <w:bookmarkStart w:id="190" w:name="_Toc517793068"/>
      <w:bookmarkEnd w:id="184"/>
      <w:bookmarkEnd w:id="185"/>
      <w:bookmarkEnd w:id="186"/>
      <w:r>
        <w:rPr>
          <w:rFonts w:ascii="Times New Roman" w:hAnsi="Times New Roman" w:cs="Times New Roman"/>
          <w:noProof/>
          <w:color w:val="auto"/>
          <w:lang w:val="el-GR"/>
        </w:rPr>
        <w:t xml:space="preserve">3.1.1. Χαρτοφυλάκιο χρέους </w:t>
      </w:r>
      <w:r>
        <w:rPr>
          <w:rFonts w:ascii="Times New Roman" w:hAnsi="Times New Roman" w:cs="Times New Roman"/>
          <w:noProof/>
          <w:color w:val="auto"/>
        </w:rPr>
        <w:t>IIW</w:t>
      </w:r>
      <w:bookmarkEnd w:id="187"/>
      <w:bookmarkEnd w:id="188"/>
      <w:bookmarkEnd w:id="189"/>
      <w:bookmarkEnd w:id="190"/>
    </w:p>
    <w:p>
      <w:pPr>
        <w:spacing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Το χαρτοφυλάκιο χρέους του </w:t>
      </w:r>
      <w:r>
        <w:rPr>
          <w:rFonts w:ascii="Times New Roman" w:hAnsi="Times New Roman" w:cs="Times New Roman"/>
          <w:noProof/>
          <w:sz w:val="24"/>
          <w:szCs w:val="24"/>
          <w:lang w:val="fr"/>
        </w:rPr>
        <w:t>IIW</w:t>
      </w:r>
      <w:r>
        <w:rPr>
          <w:rFonts w:ascii="Times New Roman" w:hAnsi="Times New Roman" w:cs="Times New Roman"/>
          <w:noProof/>
          <w:sz w:val="24"/>
          <w:szCs w:val="24"/>
          <w:lang w:val="el-GR"/>
        </w:rPr>
        <w:t xml:space="preserve"> περιλαμβάνει όλες τις υπογραφείσες και μη ακυρωθείσες πράξεις τύπου χρέους. Για κάθε πράξη τύπου χρέους, η ΕΤΕπ διενεργεί συνήθη αξιολόγηση κινδύνου, με υπολογισμό της πιθανότητας αθέτησης και του ποσοστού ανάκτησης, χωρίς να λαμβάνει υπόψη την εγγύηση της ΕΕ (προκειμένου να αντικατοπτρίζεται ο συνολικός κίνδυνος της συναλλαγής</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lang w:val="el-GR"/>
        </w:rPr>
        <w:t xml:space="preserve">). Οι πράξεις που στηρίζονται από την εγγύηση της ΕΕ έχουν κατά κανόνα υψηλότερο προφίλ κινδύνου από τις συνήθεις πράξεις της ΕΤΕπ και, ως εκ τούτου, εμπίπτουν στο πεδίο των </w:t>
      </w:r>
      <w:r>
        <w:rPr>
          <w:rFonts w:ascii="Times New Roman" w:hAnsi="Times New Roman" w:cs="Times New Roman"/>
          <w:i/>
          <w:noProof/>
          <w:sz w:val="24"/>
          <w:szCs w:val="24"/>
          <w:lang w:val="el-GR"/>
        </w:rPr>
        <w:t>ειδικών δραστηριοτήτων</w:t>
      </w:r>
      <w:r>
        <w:rPr>
          <w:rFonts w:ascii="Times New Roman" w:hAnsi="Times New Roman" w:cs="Times New Roman"/>
          <w:i/>
          <w:noProof/>
          <w:sz w:val="24"/>
          <w:szCs w:val="24"/>
          <w:vertAlign w:val="superscript"/>
        </w:rPr>
        <w:footnoteReference w:id="8"/>
      </w:r>
      <w:r>
        <w:rPr>
          <w:rFonts w:ascii="Times New Roman" w:hAnsi="Times New Roman" w:cs="Times New Roman"/>
          <w:noProof/>
          <w:sz w:val="24"/>
          <w:szCs w:val="24"/>
          <w:lang w:val="el-GR"/>
        </w:rPr>
        <w:t xml:space="preserve">. Οι λιγότερο ριψοκίνδυνες συναλλαγές μπορούν να ενσωματώνονται στο χαρτοφυλάκιο του ΕΤΣΕ, με την προϋπόθεση ότι αποδεικνύεται σαφώς υψηλή προστιθέμενη αξία και ότι η υπαγωγή τους είναι σύμφωνη με το κριτήριο της παροχής προσθετικότητας. </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Στο πλαίσιο του χαρτοφυλακίου χρέους του </w:t>
      </w:r>
      <w:r>
        <w:rPr>
          <w:rFonts w:ascii="Times New Roman" w:hAnsi="Times New Roman" w:cs="Times New Roman"/>
          <w:noProof/>
          <w:sz w:val="24"/>
          <w:szCs w:val="24"/>
          <w:lang w:val="fr"/>
        </w:rPr>
        <w:t>IIW</w:t>
      </w:r>
      <w:r>
        <w:rPr>
          <w:rFonts w:ascii="Times New Roman" w:hAnsi="Times New Roman" w:cs="Times New Roman"/>
          <w:noProof/>
          <w:sz w:val="24"/>
          <w:szCs w:val="24"/>
          <w:lang w:val="el-GR"/>
        </w:rPr>
        <w:t>, ο προϋπολογισμός της Ένωσης παρέχει εγγύηση τμήματος πρωτεύουσας ζημίας 100</w:t>
      </w:r>
      <w:r>
        <w:rPr>
          <w:rFonts w:ascii="Times New Roman" w:hAnsi="Times New Roman" w:cs="Times New Roman"/>
          <w:noProof/>
          <w:sz w:val="24"/>
          <w:szCs w:val="24"/>
          <w:lang w:val="fr"/>
        </w:rPr>
        <w:t> </w:t>
      </w:r>
      <w:r>
        <w:rPr>
          <w:rFonts w:ascii="Times New Roman" w:hAnsi="Times New Roman" w:cs="Times New Roman"/>
          <w:noProof/>
          <w:sz w:val="24"/>
          <w:szCs w:val="24"/>
          <w:lang w:val="el-GR"/>
        </w:rPr>
        <w:t>% για το χαρτοφυλάκιο χρέους που εφαρμόζεται από την ΕΤΕπ στο πλαίσιο του ΕΤΣΕ. Το τμήμα πρωτεύουσας ζημίας αναμένεται να είναι περίπου 25</w:t>
      </w:r>
      <w:r>
        <w:rPr>
          <w:rFonts w:ascii="Times New Roman" w:hAnsi="Times New Roman" w:cs="Times New Roman"/>
          <w:noProof/>
          <w:sz w:val="24"/>
          <w:szCs w:val="24"/>
          <w:lang w:val="fr"/>
        </w:rPr>
        <w:t> </w:t>
      </w:r>
      <w:r>
        <w:rPr>
          <w:rFonts w:ascii="Times New Roman" w:hAnsi="Times New Roman" w:cs="Times New Roman"/>
          <w:noProof/>
          <w:sz w:val="24"/>
          <w:szCs w:val="24"/>
          <w:lang w:val="el-GR"/>
        </w:rPr>
        <w:t xml:space="preserve">% για το χαρτοφυλάκιο χρέους-προτύπων μέσων του </w:t>
      </w:r>
      <w:r>
        <w:rPr>
          <w:rFonts w:ascii="Times New Roman" w:hAnsi="Times New Roman" w:cs="Times New Roman"/>
          <w:noProof/>
          <w:sz w:val="24"/>
          <w:szCs w:val="24"/>
          <w:lang w:val="fr"/>
        </w:rPr>
        <w:t>IIW</w:t>
      </w:r>
      <w:r>
        <w:rPr>
          <w:rFonts w:ascii="Times New Roman" w:hAnsi="Times New Roman" w:cs="Times New Roman"/>
          <w:noProof/>
          <w:sz w:val="24"/>
          <w:szCs w:val="24"/>
          <w:lang w:val="el-GR"/>
        </w:rPr>
        <w:t xml:space="preserve"> και 33</w:t>
      </w:r>
      <w:r>
        <w:rPr>
          <w:rFonts w:ascii="Times New Roman" w:hAnsi="Times New Roman" w:cs="Times New Roman"/>
          <w:noProof/>
          <w:sz w:val="24"/>
          <w:szCs w:val="24"/>
          <w:lang w:val="fr"/>
        </w:rPr>
        <w:t> </w:t>
      </w:r>
      <w:r>
        <w:rPr>
          <w:rFonts w:ascii="Times New Roman" w:hAnsi="Times New Roman" w:cs="Times New Roman"/>
          <w:noProof/>
          <w:sz w:val="24"/>
          <w:szCs w:val="24"/>
          <w:lang w:val="el-GR"/>
        </w:rPr>
        <w:t xml:space="preserve">% για το χαρτοφυλάκιο χρέους-υβριδικών μέσων του </w:t>
      </w:r>
      <w:r>
        <w:rPr>
          <w:rFonts w:ascii="Times New Roman" w:hAnsi="Times New Roman" w:cs="Times New Roman"/>
          <w:noProof/>
          <w:sz w:val="24"/>
          <w:szCs w:val="24"/>
          <w:lang w:val="fr"/>
        </w:rPr>
        <w:t>IIW</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lang w:val="el-GR"/>
        </w:rPr>
        <w:t xml:space="preserve"> του όγκου του συνολικού χαρτοφυλακίου </w:t>
      </w:r>
      <w:r>
        <w:rPr>
          <w:rFonts w:ascii="Times New Roman" w:hAnsi="Times New Roman" w:cs="Times New Roman"/>
          <w:noProof/>
          <w:sz w:val="24"/>
          <w:szCs w:val="24"/>
          <w:lang w:val="el-GR"/>
        </w:rPr>
        <w:lastRenderedPageBreak/>
        <w:t xml:space="preserve">των πράξεων που χρηματοδοτούνται από την ΕΤΕπ στο τέλος της επενδυτικής περιόδου, έχοντας υπόψη ότι ο υπολειπόμενος κίνδυνος βαρύνει πλήρως την ΕΤΕπ. </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Η εγγύηση της ΕΕ μπορεί να καταπέσει σε περίπτωση αθέτησης υποχρεώσεων από τους οφειλέτες της ΕΤΕπ ή, σε περίπτωση διεξαγωγής διαδικασίας αναδιάρθρωσης, για την κάλυψη ζημιών από την αναδιάρθρωση σε σχέση με πράξεις τύπου χρέους.</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Οι πράξεις χρέους της ΕΤΕπ παράγουν έσοδα που καθορίζονται σύμφωνα με τη μεθοδολογία τιμολόγησης της ΕΤΕπ. Τα έσοδα τα σχετικά με τους κινδύνους επιμερίζονται μεταξύ της Ένωσης και της ΕΤΕπ βάσει του αναληφθέντος κινδύνου, σύμφωνα με τις αρχές επιμερισμού του κινδύνου και των εσόδων που καθορίζονται στη συμφωνία ΕΤΣΕ.</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Στις 31 Δεκεμβρίου 2017, είχαν υπογραφεί 207 πράξεις τύπου χρέους (εκ των οποίων 14 υβριδικές πράξεις) στο πλαίσιο του </w:t>
      </w:r>
      <w:r>
        <w:rPr>
          <w:rFonts w:ascii="Times New Roman" w:hAnsi="Times New Roman" w:cs="Times New Roman"/>
          <w:noProof/>
          <w:sz w:val="24"/>
          <w:szCs w:val="24"/>
        </w:rPr>
        <w:t>IIW</w:t>
      </w:r>
      <w:r>
        <w:rPr>
          <w:rFonts w:ascii="Times New Roman" w:hAnsi="Times New Roman" w:cs="Times New Roman"/>
          <w:noProof/>
          <w:sz w:val="24"/>
          <w:szCs w:val="24"/>
          <w:lang w:val="el-GR"/>
        </w:rPr>
        <w:t xml:space="preserve"> με συνολική χρηματοδότηση ύψους 24,1 δισ. ευρώ.</w:t>
      </w:r>
    </w:p>
    <w:p>
      <w:pPr>
        <w:pStyle w:val="Heading3"/>
        <w:spacing w:after="240"/>
        <w:rPr>
          <w:rFonts w:ascii="Times New Roman" w:hAnsi="Times New Roman" w:cs="Times New Roman"/>
          <w:noProof/>
          <w:color w:val="auto"/>
          <w:lang w:val="el-GR"/>
        </w:rPr>
      </w:pPr>
      <w:bookmarkStart w:id="191" w:name="_Toc460865944"/>
      <w:bookmarkStart w:id="192" w:name="_Toc517793069"/>
      <w:r>
        <w:rPr>
          <w:rFonts w:ascii="Times New Roman" w:hAnsi="Times New Roman" w:cs="Times New Roman"/>
          <w:noProof/>
          <w:color w:val="auto"/>
        </w:rPr>
        <w:t xml:space="preserve">3.1.2. </w:t>
      </w:r>
      <w:r>
        <w:rPr>
          <w:rFonts w:ascii="Times New Roman" w:hAnsi="Times New Roman" w:cs="Times New Roman"/>
          <w:noProof/>
          <w:color w:val="auto"/>
          <w:lang w:val="el-GR"/>
        </w:rPr>
        <w:t xml:space="preserve">Χαρτοφυλάκιο μετοχών </w:t>
      </w:r>
      <w:r>
        <w:rPr>
          <w:rFonts w:ascii="Times New Roman" w:hAnsi="Times New Roman" w:cs="Times New Roman"/>
          <w:noProof/>
          <w:color w:val="auto"/>
        </w:rPr>
        <w:t>IIW</w:t>
      </w:r>
      <w:bookmarkEnd w:id="191"/>
      <w:bookmarkEnd w:id="192"/>
    </w:p>
    <w:p>
      <w:pPr>
        <w:spacing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Το χαρτοφυλάκιο μετοχών του </w:t>
      </w:r>
      <w:r>
        <w:rPr>
          <w:rFonts w:ascii="Times New Roman" w:hAnsi="Times New Roman" w:cs="Times New Roman"/>
          <w:noProof/>
          <w:sz w:val="24"/>
          <w:szCs w:val="24"/>
        </w:rPr>
        <w:t>IIW</w:t>
      </w:r>
      <w:r>
        <w:rPr>
          <w:rFonts w:ascii="Times New Roman" w:hAnsi="Times New Roman" w:cs="Times New Roman"/>
          <w:noProof/>
          <w:sz w:val="24"/>
          <w:szCs w:val="24"/>
          <w:lang w:val="el-GR"/>
        </w:rPr>
        <w:t xml:space="preserve"> περιλαμβάνει όλες τις υπογραφείσες και μη ακυρωθείσες πράξεις μετοχικού τύπου. Στο πλαίσιο αυτού του χαρτοφυλακίου, η εγγύηση της ΕΕ μπορεί να χρησιμοποιείται για τη στήριξη άμεσων επενδύσεων σε μεμονωμένες εταιρείες ή έργα (άμεσες επενδύσεις μετοχικού τύπου) ή για χρηματοδότηση ταμείων ή χαρτοφυλακίων ανάλογου κινδύνου (χαρτοφυλάκιο μετοχικού τύπου). </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Η ΕΤΕπ πραγματοποιεί τη συνήθη αξιολόγησή της και αποφασίζει για το εάν μια επιχείρηση αναλαμβάνει ή όχι κινδύνους μετοχικού τύπου, ανεξάρτητα από τη νομική της μορφή και την ονοματολογία της. Οι επενδύσεις μετοχικού τύπου τιμολογούνται σύμφωνα με την αγορά, ενώ αν δεν υπάρχει αγορά πρέπει να χρησιμοποιείται έρευνα αγοράς ή συγκριτική αξιολόγηση.</w:t>
      </w:r>
    </w:p>
    <w:p>
      <w:pPr>
        <w:autoSpaceDE w:val="0"/>
        <w:autoSpaceDN w:val="0"/>
        <w:adjustRightInd w:val="0"/>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Στο πλαίσιο του χαρτοφυλακίου μετοχών-προτύπων μέσων του </w:t>
      </w:r>
      <w:r>
        <w:rPr>
          <w:rFonts w:ascii="Times New Roman" w:hAnsi="Times New Roman" w:cs="Times New Roman"/>
          <w:noProof/>
          <w:sz w:val="24"/>
          <w:szCs w:val="24"/>
        </w:rPr>
        <w:t>IIW</w:t>
      </w:r>
      <w:r>
        <w:rPr>
          <w:rFonts w:ascii="Times New Roman" w:hAnsi="Times New Roman" w:cs="Times New Roman"/>
          <w:noProof/>
          <w:sz w:val="24"/>
          <w:szCs w:val="24"/>
          <w:lang w:val="el-GR"/>
        </w:rPr>
        <w:t>, για κάθε πράξη η εγγύηση της ΕΕ καλύπτει το 100</w:t>
      </w:r>
      <w:r>
        <w:rPr>
          <w:rFonts w:ascii="Times New Roman" w:hAnsi="Times New Roman" w:cs="Times New Roman"/>
          <w:noProof/>
          <w:sz w:val="24"/>
          <w:szCs w:val="24"/>
          <w:lang w:val="fr"/>
        </w:rPr>
        <w:t> </w:t>
      </w:r>
      <w:r>
        <w:rPr>
          <w:rFonts w:ascii="Times New Roman" w:hAnsi="Times New Roman" w:cs="Times New Roman"/>
          <w:noProof/>
          <w:sz w:val="24"/>
          <w:szCs w:val="24"/>
          <w:lang w:val="el-GR"/>
        </w:rPr>
        <w:t xml:space="preserve">% των ποσών που χρηματοδοτούνται από την ΕΤΕπ, υπό την προϋπόθεση ότι η ΕΤΕπ επενδύει επί ίσοις όροις ισοδύναμο ποσό για δικό της λογαριασμό. </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Η εγγύηση της ΕΕ μπορεί να καταπέσει για να καλύψει αρνητικές προσαρμογές αξίας</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lang w:val="el-GR"/>
        </w:rPr>
        <w:t xml:space="preserve"> (μη υλοποιηθείσες ζημίες), υλοποιηθείσες ζημίες κατά την αποεπένδυση και το κόστος χρηματοδότησης της ΕΤΕπ, για το μέρος των επενδύσεων μετοχικού κεφαλαίου που εγγυάται η ΕΕ. </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lastRenderedPageBreak/>
        <w:t xml:space="preserve">Όλα τα ποσά σε μετρητά που θεωρούνται ως έσοδα τα οποία εισπράττονται έναντι του χαρτοφυλακίου μετοχών-προτύπων μέσων του </w:t>
      </w:r>
      <w:r>
        <w:rPr>
          <w:rFonts w:ascii="Times New Roman" w:hAnsi="Times New Roman" w:cs="Times New Roman"/>
          <w:noProof/>
          <w:sz w:val="24"/>
          <w:szCs w:val="24"/>
        </w:rPr>
        <w:t>IIW</w:t>
      </w:r>
      <w:r>
        <w:rPr>
          <w:rFonts w:ascii="Times New Roman" w:hAnsi="Times New Roman" w:cs="Times New Roman"/>
          <w:noProof/>
          <w:sz w:val="24"/>
          <w:szCs w:val="24"/>
          <w:lang w:val="el-GR"/>
        </w:rPr>
        <w:t xml:space="preserve"> χρησιμοποιούνται για την αμοιβή της εγγύησης της ΕΕ. </w:t>
      </w:r>
    </w:p>
    <w:p>
      <w:pPr>
        <w:autoSpaceDE w:val="0"/>
        <w:autoSpaceDN w:val="0"/>
        <w:adjustRightInd w:val="0"/>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Η τρίτη τροποποίηση και αναδιατύπωση της συμφωνίας ΕΤΣΕ, της 9ης Μαρτίου 2018, προβλέπει τη δημιουργία ενός χαρτοφυλακίου μετοχών-ΕΑΤ του </w:t>
      </w:r>
      <w:r>
        <w:rPr>
          <w:rFonts w:ascii="Times New Roman" w:hAnsi="Times New Roman" w:cs="Times New Roman"/>
          <w:noProof/>
          <w:sz w:val="24"/>
          <w:szCs w:val="24"/>
        </w:rPr>
        <w:t>IIW</w:t>
      </w:r>
      <w:r>
        <w:rPr>
          <w:rFonts w:ascii="Times New Roman" w:hAnsi="Times New Roman" w:cs="Times New Roman"/>
          <w:noProof/>
          <w:sz w:val="24"/>
          <w:szCs w:val="24"/>
          <w:lang w:val="el-GR"/>
        </w:rPr>
        <w:t>. Σε βάση χαρτοφυλακίου, η εγγύηση της ΕΕ παρέχει το 95</w:t>
      </w:r>
      <w:r>
        <w:rPr>
          <w:rFonts w:ascii="Times New Roman" w:hAnsi="Times New Roman" w:cs="Times New Roman"/>
          <w:noProof/>
          <w:sz w:val="24"/>
          <w:szCs w:val="24"/>
          <w:lang w:val="fr"/>
        </w:rPr>
        <w:t> </w:t>
      </w:r>
      <w:r>
        <w:rPr>
          <w:rFonts w:ascii="Times New Roman" w:hAnsi="Times New Roman" w:cs="Times New Roman"/>
          <w:noProof/>
          <w:sz w:val="24"/>
          <w:szCs w:val="24"/>
          <w:lang w:val="el-GR"/>
        </w:rPr>
        <w:t>% του τμήματος πρωτεύουσας ζημίας, ενώ η ΕΤΕπ διατηρεί το υπόλοιπο 5</w:t>
      </w:r>
      <w:r>
        <w:rPr>
          <w:rFonts w:ascii="Times New Roman" w:hAnsi="Times New Roman" w:cs="Times New Roman"/>
          <w:noProof/>
          <w:sz w:val="24"/>
          <w:szCs w:val="24"/>
          <w:lang w:val="fr"/>
        </w:rPr>
        <w:t> </w:t>
      </w:r>
      <w:r>
        <w:rPr>
          <w:rFonts w:ascii="Times New Roman" w:hAnsi="Times New Roman" w:cs="Times New Roman"/>
          <w:noProof/>
          <w:sz w:val="24"/>
          <w:szCs w:val="24"/>
          <w:lang w:val="el-GR"/>
        </w:rPr>
        <w:t xml:space="preserve">% καθώς και τον πλήρη υπολειπόμενο κίνδυνο. </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Στις 31 Δεκεμβρίου 2017 είχαν υπογραφεί 77 πράξεις μετοχικού τύπου, στο πλαίσιο του </w:t>
      </w:r>
      <w:r>
        <w:rPr>
          <w:rFonts w:ascii="Times New Roman" w:hAnsi="Times New Roman" w:cs="Times New Roman"/>
          <w:noProof/>
          <w:sz w:val="24"/>
          <w:szCs w:val="24"/>
        </w:rPr>
        <w:t>IIW</w:t>
      </w:r>
      <w:r>
        <w:rPr>
          <w:rFonts w:ascii="Times New Roman" w:hAnsi="Times New Roman" w:cs="Times New Roman"/>
          <w:noProof/>
          <w:sz w:val="24"/>
          <w:szCs w:val="24"/>
          <w:lang w:val="el-GR"/>
        </w:rPr>
        <w:t xml:space="preserve"> για συνολική χρηματοδότηση ύψους 3,3 δισ. ευρώ.</w:t>
      </w:r>
    </w:p>
    <w:p>
      <w:pPr>
        <w:pStyle w:val="Heading2"/>
        <w:spacing w:after="240"/>
        <w:rPr>
          <w:rFonts w:ascii="Times New Roman" w:hAnsi="Times New Roman" w:cs="Times New Roman"/>
          <w:noProof/>
          <w:color w:val="auto"/>
          <w:lang w:val="el-GR"/>
        </w:rPr>
      </w:pPr>
      <w:bookmarkStart w:id="193" w:name="_Toc517793070"/>
      <w:r>
        <w:rPr>
          <w:rFonts w:ascii="Times New Roman" w:hAnsi="Times New Roman" w:cs="Times New Roman"/>
          <w:noProof/>
          <w:color w:val="auto"/>
          <w:lang w:val="el-GR"/>
        </w:rPr>
        <w:t>3.2. Σκέλος για τις ΜΜΕ (</w:t>
      </w:r>
      <w:r>
        <w:rPr>
          <w:rFonts w:ascii="Times New Roman" w:hAnsi="Times New Roman" w:cs="Times New Roman"/>
          <w:noProof/>
          <w:color w:val="auto"/>
        </w:rPr>
        <w:t>SMEW</w:t>
      </w:r>
      <w:r>
        <w:rPr>
          <w:rFonts w:ascii="Times New Roman" w:hAnsi="Times New Roman" w:cs="Times New Roman"/>
          <w:noProof/>
          <w:color w:val="auto"/>
          <w:lang w:val="el-GR"/>
        </w:rPr>
        <w:t>)</w:t>
      </w:r>
      <w:bookmarkEnd w:id="193"/>
    </w:p>
    <w:p>
      <w:pPr>
        <w:spacing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Το σκέλος για τις ΜΜΕ (</w:t>
      </w:r>
      <w:r>
        <w:rPr>
          <w:rFonts w:ascii="Times New Roman" w:hAnsi="Times New Roman" w:cs="Times New Roman"/>
          <w:noProof/>
          <w:sz w:val="24"/>
          <w:szCs w:val="24"/>
          <w:lang w:val="fr"/>
        </w:rPr>
        <w:t>SMEW</w:t>
      </w:r>
      <w:r>
        <w:rPr>
          <w:rFonts w:ascii="Times New Roman" w:hAnsi="Times New Roman" w:cs="Times New Roman"/>
          <w:noProof/>
          <w:sz w:val="24"/>
          <w:szCs w:val="24"/>
          <w:lang w:val="el-GR"/>
        </w:rPr>
        <w:t xml:space="preserve">) του ΕΤΣΕ διευκολύνει την πρόσβαση σε δανειακή χρηματοδότηση και χρηματοδότηση μετοχικού κεφαλαίου για τις μικρές και μεσαίες επιχειρήσεις (ΜΜΕ) και, σε περιορισμένο βαθμό, επίσης για τις μικρές επιχειρήσεις μεσαίας κεφαλαιοποίησης. Υλοποιείται από το ΕΤΕ. </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Στον τομέα της στήριξης της δανειακής χρηματοδότησης, το μέρος του </w:t>
      </w:r>
      <w:r>
        <w:rPr>
          <w:rFonts w:ascii="Times New Roman" w:hAnsi="Times New Roman" w:cs="Times New Roman"/>
          <w:noProof/>
          <w:sz w:val="24"/>
          <w:szCs w:val="24"/>
        </w:rPr>
        <w:t>SMEW</w:t>
      </w:r>
      <w:r>
        <w:rPr>
          <w:rFonts w:ascii="Times New Roman" w:hAnsi="Times New Roman" w:cs="Times New Roman"/>
          <w:noProof/>
          <w:sz w:val="24"/>
          <w:szCs w:val="24"/>
          <w:lang w:val="el-GR"/>
        </w:rPr>
        <w:t xml:space="preserve"> που επωφελείται από την εγγύηση της ΕΕ στο πλαίσιο του ΕΤΣΕ ενισχύει υφιστάμενα χρηματοδοτικά μέσα της ΕΕ για τις ΜΜΕ, κατά τρόπον ώστε η παρέμβασή τους να είναι ταχύτερη και να μπορούν να υποστηρίξουν μεγαλύτερο όγκο δανειοδότησης και μεγαλύτερο αριθμό εταιρειών. Συγκεκριμένα, η στήριξη παρέχεται στον μηχανισμό εγγύησης δανείων του προγράμματος </w:t>
      </w:r>
      <w:r>
        <w:rPr>
          <w:rFonts w:ascii="Times New Roman" w:hAnsi="Times New Roman" w:cs="Times New Roman"/>
          <w:noProof/>
          <w:sz w:val="24"/>
          <w:szCs w:val="24"/>
          <w:lang w:val="fr"/>
        </w:rPr>
        <w:t>COSME</w:t>
      </w:r>
      <w:r>
        <w:rPr>
          <w:rFonts w:ascii="Times New Roman" w:hAnsi="Times New Roman" w:cs="Times New Roman"/>
          <w:noProof/>
          <w:sz w:val="24"/>
          <w:szCs w:val="24"/>
          <w:lang w:val="el-GR"/>
        </w:rPr>
        <w:t xml:space="preserve"> που ενισχύει την πρόσβαση σε χρηματοδότηση για τις πιο ριψοκίνδυνες ΜΜΕ, στον μηχανισμό εγγυήσεων υπέρ των ΜΜΕ </w:t>
      </w:r>
      <w:r>
        <w:rPr>
          <w:rFonts w:ascii="Times New Roman" w:hAnsi="Times New Roman" w:cs="Times New Roman"/>
          <w:noProof/>
          <w:sz w:val="24"/>
          <w:szCs w:val="24"/>
          <w:lang w:val="fr"/>
        </w:rPr>
        <w:t>InnovFin</w:t>
      </w:r>
      <w:r>
        <w:rPr>
          <w:rFonts w:ascii="Times New Roman" w:hAnsi="Times New Roman" w:cs="Times New Roman"/>
          <w:noProof/>
          <w:sz w:val="24"/>
          <w:szCs w:val="24"/>
          <w:lang w:val="el-GR"/>
        </w:rPr>
        <w:t xml:space="preserve"> που επικεντρώνεται σε καινοτόμες επιχειρήσεις έντασης έρευνας και στον μηχανισμό εγγυήσεων του </w:t>
      </w:r>
      <w:r>
        <w:rPr>
          <w:rFonts w:ascii="Times New Roman" w:hAnsi="Times New Roman" w:cs="Times New Roman"/>
          <w:noProof/>
          <w:sz w:val="24"/>
          <w:szCs w:val="24"/>
          <w:lang w:val="fr"/>
        </w:rPr>
        <w:t>EaSI</w:t>
      </w:r>
      <w:r>
        <w:rPr>
          <w:rFonts w:ascii="Times New Roman" w:hAnsi="Times New Roman" w:cs="Times New Roman"/>
          <w:noProof/>
          <w:sz w:val="24"/>
          <w:szCs w:val="24"/>
          <w:lang w:val="el-GR"/>
        </w:rPr>
        <w:t xml:space="preserve">, ο οποίος στηρίζει τη μικροχρηματοδότηση και τις κοινωνικές επιχειρήσεις, καθώς και στον μηχανισμό εγγυήσεων του </w:t>
      </w:r>
      <w:r>
        <w:rPr>
          <w:rFonts w:ascii="Times New Roman" w:hAnsi="Times New Roman" w:cs="Times New Roman"/>
          <w:noProof/>
          <w:sz w:val="24"/>
          <w:szCs w:val="24"/>
          <w:lang w:val="fr"/>
        </w:rPr>
        <w:t>CCS</w:t>
      </w:r>
      <w:r>
        <w:rPr>
          <w:rFonts w:ascii="Times New Roman" w:hAnsi="Times New Roman" w:cs="Times New Roman"/>
          <w:noProof/>
          <w:sz w:val="24"/>
          <w:szCs w:val="24"/>
          <w:lang w:val="el-GR"/>
        </w:rPr>
        <w:t xml:space="preserve"> (του πολιτιστικού και δημιουργικού κλάδου) που παρέχει εξειδικευμένη στήριξη σε ΜΜΕ στους τομείς του πολιτισμού και της δημιουργίας. Στο πλαίσιο των εν λόγω προϊόντων, το ΕΤΣΕ στηρίζει εγγυήσεις τις οποίες η ΕΤΕ χορηγεί στις τράπεζες, διασφαλίζοντας ότι αυτές χορηγούν δάνεια στους στοχευόμενους δικαιούχους, είτε με μεγαλύτερους συνολικούς όγκους χαρτοφυλακίων είτε με καλύτερους όρους από ό, τι χωρίς την εγγύηση της ΕΕ.</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Στον τομέα της χρηματοδότησης μετοχικού κεφαλαίου, το μέρος του </w:t>
      </w:r>
      <w:r>
        <w:rPr>
          <w:rFonts w:ascii="Times New Roman" w:hAnsi="Times New Roman" w:cs="Times New Roman"/>
          <w:noProof/>
          <w:sz w:val="24"/>
          <w:szCs w:val="24"/>
        </w:rPr>
        <w:t>SMEW</w:t>
      </w:r>
      <w:r>
        <w:rPr>
          <w:rFonts w:ascii="Times New Roman" w:hAnsi="Times New Roman" w:cs="Times New Roman"/>
          <w:noProof/>
          <w:sz w:val="24"/>
          <w:szCs w:val="24"/>
          <w:lang w:val="el-GR"/>
        </w:rPr>
        <w:t xml:space="preserve"> που επωφελείται από την εγγύηση της ΕΕ στο πλαίσιο του ΕΤΣΕ, στηρίζει έναν μηχανισμό τον οποίο χρησιμοποιεί το ΕΤΕ για να επενδύει σε μετοχικά αμοιβαία κεφάλαια, ταμεία χαρτοφυλακίου ή φορείς συνεπένδυσης που διοχετεύουν χρηματοδότηση μετοχικού κεφαλαίου σε εταιρείες σε πρώιμο στάδιο (π.χ. νεοφυείς εταιρείες) και, επίσης, σε </w:t>
      </w:r>
      <w:r>
        <w:rPr>
          <w:rFonts w:ascii="Times New Roman" w:hAnsi="Times New Roman" w:cs="Times New Roman"/>
          <w:noProof/>
          <w:sz w:val="24"/>
          <w:szCs w:val="24"/>
          <w:lang w:val="el-GR"/>
        </w:rPr>
        <w:lastRenderedPageBreak/>
        <w:t>επιχειρήσεις που είναι στο στάδιο ανάπτυξης και επέκτασης (π.χ. επεκτεινόμενες επιχειρήσεις).</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Η εγγύηση της ΕΕ που χορηγείται στο </w:t>
      </w:r>
      <w:r>
        <w:rPr>
          <w:rFonts w:ascii="Times New Roman" w:hAnsi="Times New Roman" w:cs="Times New Roman"/>
          <w:noProof/>
          <w:sz w:val="24"/>
          <w:szCs w:val="24"/>
          <w:lang w:val="fr"/>
        </w:rPr>
        <w:t>SMEW</w:t>
      </w:r>
      <w:r>
        <w:rPr>
          <w:rFonts w:ascii="Times New Roman" w:hAnsi="Times New Roman" w:cs="Times New Roman"/>
          <w:noProof/>
          <w:sz w:val="24"/>
          <w:szCs w:val="24"/>
          <w:lang w:val="el-GR"/>
        </w:rPr>
        <w:t xml:space="preserve"> δυνάμει του κανονισμού για το ΕΤΣΕ ανέρχεται σε 3 δισ. ευρώ (μετά τη μεταβίβαση από το </w:t>
      </w:r>
      <w:r>
        <w:rPr>
          <w:rFonts w:ascii="Times New Roman" w:hAnsi="Times New Roman" w:cs="Times New Roman"/>
          <w:noProof/>
          <w:sz w:val="24"/>
          <w:szCs w:val="24"/>
          <w:lang w:val="fr"/>
        </w:rPr>
        <w:t>IIW</w:t>
      </w:r>
      <w:r>
        <w:rPr>
          <w:rFonts w:ascii="Times New Roman" w:hAnsi="Times New Roman" w:cs="Times New Roman"/>
          <w:noProof/>
          <w:sz w:val="24"/>
          <w:szCs w:val="24"/>
          <w:lang w:val="el-GR"/>
        </w:rPr>
        <w:t xml:space="preserve"> που περιγράφεται στο τμήμα 2). Με τον κανονισμό ΕΤΣΕ 2.0, η εγγύηση της ΕΕ που διατίθεται στο </w:t>
      </w:r>
      <w:r>
        <w:rPr>
          <w:rFonts w:ascii="Times New Roman" w:hAnsi="Times New Roman" w:cs="Times New Roman"/>
          <w:noProof/>
          <w:sz w:val="24"/>
          <w:szCs w:val="24"/>
          <w:lang w:val="fr"/>
        </w:rPr>
        <w:t>SMEW</w:t>
      </w:r>
      <w:r>
        <w:rPr>
          <w:rFonts w:ascii="Times New Roman" w:hAnsi="Times New Roman" w:cs="Times New Roman"/>
          <w:noProof/>
          <w:sz w:val="24"/>
          <w:szCs w:val="24"/>
          <w:lang w:val="el-GR"/>
        </w:rPr>
        <w:t xml:space="preserve"> διευρύνθηκε με άλλα 3,5 δισ. ευρώ, που είναι διαθέσιμα για χρήση κατά την περίοδο 2018-2020. Εκτός από τα μέσα που καλύπτονται από την εγγύηση της ΕΕ στο πλαίσιο του ΕΤΣΕ, το </w:t>
      </w:r>
      <w:r>
        <w:rPr>
          <w:rFonts w:ascii="Times New Roman" w:hAnsi="Times New Roman" w:cs="Times New Roman"/>
          <w:noProof/>
          <w:sz w:val="24"/>
          <w:szCs w:val="24"/>
          <w:lang w:val="fr"/>
        </w:rPr>
        <w:t>SMEW</w:t>
      </w:r>
      <w:r>
        <w:rPr>
          <w:rFonts w:ascii="Times New Roman" w:hAnsi="Times New Roman" w:cs="Times New Roman"/>
          <w:noProof/>
          <w:sz w:val="24"/>
          <w:szCs w:val="24"/>
          <w:lang w:val="el-GR"/>
        </w:rPr>
        <w:t xml:space="preserve"> επωφελείται επίσης από μια άμεση συνεισφορά της ΕΤΕπ ύψους 2,5 δισ. ευρώ η οποία χρησίμευσε για την επέκταση της εντολής χορήγησης κεφαλαίων επιχειρηματικού κινδύνου της ΕΤΕπ προς το ΕΤΕ για τη στήριξη της χρηματοδότησης μετοχικού κεφαλαίου για ΜΜΕ και επιχειρήσεις μεσαίας κεφαλαιοποίησης. Η εν λόγω άμεση συνεισφορά της ΕΤΕπ προς το ΕΤΣΕ επεκτάθηκε κατά 1,5 δισ. ευρώ στο πλαίσιο του ΕΤΣΕ 2.0.</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Στο τέλος του 2017, το ΕΤΕ είχε υπογράψει πράξεις </w:t>
      </w:r>
      <w:r>
        <w:rPr>
          <w:rFonts w:ascii="Times New Roman" w:hAnsi="Times New Roman" w:cs="Times New Roman"/>
          <w:noProof/>
          <w:sz w:val="24"/>
          <w:szCs w:val="24"/>
          <w:lang w:val="fr"/>
        </w:rPr>
        <w:t>SMEW</w:t>
      </w:r>
      <w:r>
        <w:rPr>
          <w:rFonts w:ascii="Times New Roman" w:hAnsi="Times New Roman" w:cs="Times New Roman"/>
          <w:noProof/>
          <w:sz w:val="24"/>
          <w:szCs w:val="24"/>
          <w:lang w:val="el-GR"/>
        </w:rPr>
        <w:t xml:space="preserve"> με 305 ενδιάμεσους χρηματοπιστωτικούς οργανισμούς για συνολική χρηματοδότηση της ΕΤΕπ ύψους σχεδόν 10 δισ. ευρώ. Οι πράξεις αυτές αναμένεται να κινητοποιήσουν επενδύσεις ύψους 76 δισ. ευρώ στο σύνολο των 28 κρατών μελών της ΕΕ. Μέχρι το τέλος του 2017, συνολικά 135.785 επιχειρήσεις είχαν ήδη λάβει χρηματοδότηση υποστηριζόμενη από το ΕΤΣΕ στο πλαίσιο του </w:t>
      </w:r>
      <w:r>
        <w:rPr>
          <w:rFonts w:ascii="Times New Roman" w:hAnsi="Times New Roman" w:cs="Times New Roman"/>
          <w:noProof/>
          <w:sz w:val="24"/>
          <w:szCs w:val="24"/>
        </w:rPr>
        <w:t>SMEW</w:t>
      </w:r>
      <w:r>
        <w:rPr>
          <w:rFonts w:ascii="Times New Roman" w:hAnsi="Times New Roman" w:cs="Times New Roman"/>
          <w:noProof/>
          <w:sz w:val="24"/>
          <w:szCs w:val="24"/>
          <w:lang w:val="el-GR"/>
        </w:rPr>
        <w:t xml:space="preserve"> και δημιουργήθηκαν ή υποστηρίχθηκαν 1,5 εκατομμύρια θέσεις εργασίας.  </w:t>
      </w:r>
    </w:p>
    <w:p>
      <w:pPr>
        <w:pStyle w:val="Heading1"/>
        <w:spacing w:after="240"/>
        <w:rPr>
          <w:rFonts w:ascii="Times New Roman" w:hAnsi="Times New Roman" w:cs="Times New Roman"/>
          <w:noProof/>
          <w:color w:val="auto"/>
          <w:lang w:val="el-GR"/>
        </w:rPr>
      </w:pPr>
      <w:bookmarkStart w:id="194" w:name="_Toc517793071"/>
      <w:r>
        <w:rPr>
          <w:rFonts w:ascii="Times New Roman" w:hAnsi="Times New Roman" w:cs="Times New Roman"/>
          <w:noProof/>
          <w:color w:val="auto"/>
          <w:lang w:val="el-GR"/>
        </w:rPr>
        <w:t>4. Η λειτουργία του Ταμείου Εγγυήσεων της ΕΕ στο πλαίσιο του ΕΤΣΕ</w:t>
      </w:r>
      <w:bookmarkEnd w:id="194"/>
    </w:p>
    <w:p>
      <w:pPr>
        <w:spacing w:after="240"/>
        <w:jc w:val="both"/>
        <w:rPr>
          <w:rFonts w:ascii="Times New Roman" w:hAnsi="Times New Roman" w:cs="Times New Roman"/>
          <w:noProof/>
          <w:sz w:val="24"/>
          <w:szCs w:val="24"/>
          <w:highlight w:val="yellow"/>
          <w:lang w:val="el-GR"/>
        </w:rPr>
      </w:pPr>
      <w:r>
        <w:rPr>
          <w:rFonts w:ascii="Times New Roman" w:hAnsi="Times New Roman" w:cs="Times New Roman"/>
          <w:noProof/>
          <w:sz w:val="24"/>
          <w:szCs w:val="24"/>
          <w:lang w:val="el-GR"/>
        </w:rPr>
        <w:t>Το Ταμείο Εγγυήσεων στο πλαίσιο του ΕΤΣΕ (το Ταμείο Εγγυήσεων) ιδρύθηκε σύμφωνα με το άρθρο 12 του κανονισμού ΕΤΣΕ και χρηματοδοτείται κυρίως από πληρωμές από τον γενικό προϋπολογισμό της Ένωσης και από τα έσοδα που προέρχονται από πράξεις στο πλαίσιο της εγγύησης της ΕΕ. Το Ταμείο Εγγυήσεων αποτελεί αποθεματικό ρευστότητας από το οποίο η ΕΤΕπ πληρώνεται σε περίπτωση κατάπτωσης της εγγύησης της ΕΕ. Το Ταμείο Εγγυήσεων πρέπει να διατηρείται σε ένα ορισμένο ποσοστό</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lang w:val="el-GR"/>
        </w:rPr>
        <w:t xml:space="preserve"> (το ποσοστό-στόχος) του συνολικού ποσού των υποχρεώσεων βάσει της εγγύησης της ΕΕ, που επί του παρόντος είναι 35</w:t>
      </w:r>
      <w:r>
        <w:rPr>
          <w:rFonts w:ascii="Times New Roman" w:hAnsi="Times New Roman" w:cs="Times New Roman"/>
          <w:noProof/>
          <w:sz w:val="24"/>
          <w:szCs w:val="24"/>
          <w:lang w:val="fr"/>
        </w:rPr>
        <w:t> </w:t>
      </w:r>
      <w:r>
        <w:rPr>
          <w:rFonts w:ascii="Times New Roman" w:hAnsi="Times New Roman" w:cs="Times New Roman"/>
          <w:noProof/>
          <w:sz w:val="24"/>
          <w:szCs w:val="24"/>
          <w:lang w:val="el-GR"/>
        </w:rPr>
        <w:t>%. Έτσι, το αποθεματικό ρευστότητας προορίζεται να παρέχει κατάλληλο περιθώριο ασφαλείας για να αποφευχθεί η έκθεση του προϋπολογισμού της Ένωσης σε ξαφνικές καταπτώσεις εγγυήσεων, οι οποίες θα μπορούσαν να συνεπάγονται περικοπές δαπανών ή τροποποιήσεων του προϋπολογισμού. Ως εκ τούτου, συμβάλλει στην προβλεψιμότητα του δημοσιονομικού πλαισίου.</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lastRenderedPageBreak/>
        <w:t>Σύμφωνα με τη συμφωνία ΕΤΣΕ, οι καταπτώσεις εγγυήσεων πληρώνονται από το Ταμείο Εγγυήσεων εάν το ύψος τους υπερβαίνει τα κεφάλαια που έχει στη διάθεσή της η ΕΤΕπ στον λογαριασμό ΕΤΣΕ. Ο λογαριασμός ΕΤΣΕ, τον οποίο διαχειρίζεται η ΕΤΕπ, έχει συσταθεί για την είσπραξη των εσόδων της ΕΕ που προέρχονται από πράξεις στο πλαίσιο της εγγύησης της ΕΕ και από ανακτηθέντα ποσά, καθώς και, στον βαθμό που υπάρχει διαθέσιμο υπόλοιπο, για την πληρωμή των περιπτώσεων κατάπτωσης της εγγύησης της ΕΕ και για την πληρωμή των ανακτήσιμων διοικητικών εξόδων και εξόδων είσπραξης της ΕΤΕπ.</w:t>
      </w:r>
    </w:p>
    <w:p>
      <w:pPr>
        <w:pStyle w:val="Heading2"/>
        <w:spacing w:after="240"/>
        <w:rPr>
          <w:rFonts w:ascii="Times New Roman" w:hAnsi="Times New Roman" w:cs="Times New Roman"/>
          <w:noProof/>
          <w:color w:val="auto"/>
          <w:lang w:val="el-GR"/>
        </w:rPr>
      </w:pPr>
      <w:bookmarkStart w:id="195" w:name="_Toc517793072"/>
      <w:r>
        <w:rPr>
          <w:rFonts w:ascii="Times New Roman" w:hAnsi="Times New Roman" w:cs="Times New Roman"/>
          <w:noProof/>
          <w:color w:val="auto"/>
          <w:lang w:val="el-GR"/>
        </w:rPr>
        <w:t>4.1. Ο μηχανισμός τροφοδότησης του Ταμείου Εγγυήσεων</w:t>
      </w:r>
      <w:bookmarkEnd w:id="195"/>
    </w:p>
    <w:p>
      <w:pPr>
        <w:spacing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Το Ταμείο Εγγυήσεων τροφοδοτείται μέσω των εξής:</w:t>
      </w:r>
    </w:p>
    <w:p>
      <w:pPr>
        <w:numPr>
          <w:ilvl w:val="0"/>
          <w:numId w:val="2"/>
        </w:numPr>
        <w:spacing w:before="480" w:after="240"/>
        <w:contextualSpacing/>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Συνεισφορών από τον γενικό προϋπολογισμό της Ένωσης· ο προϋπολογισμός που διατίθεται για την τροφοδότηση του Ταμείου Εγγυήσεων ανέρχεται σε 8</w:t>
      </w:r>
      <w:r>
        <w:rPr>
          <w:rFonts w:ascii="Times New Roman" w:hAnsi="Times New Roman" w:cs="Times New Roman"/>
          <w:noProof/>
          <w:sz w:val="24"/>
          <w:szCs w:val="24"/>
          <w:lang w:val="fr"/>
        </w:rPr>
        <w:t> </w:t>
      </w:r>
      <w:r>
        <w:rPr>
          <w:rFonts w:ascii="Times New Roman" w:hAnsi="Times New Roman" w:cs="Times New Roman"/>
          <w:noProof/>
          <w:sz w:val="24"/>
          <w:szCs w:val="24"/>
          <w:lang w:val="el-GR"/>
        </w:rPr>
        <w:t>425 εκατ. ευρώ·</w:t>
      </w:r>
    </w:p>
    <w:p>
      <w:pPr>
        <w:numPr>
          <w:ilvl w:val="0"/>
          <w:numId w:val="2"/>
        </w:numPr>
        <w:spacing w:before="480" w:after="240"/>
        <w:contextualSpacing/>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Εσόδων και άλλων πληρωμών που εισπράττει η Ένωση βάσει της συμφωνίας ΕΤΣΕ (δηλαδή έργα που επωφελούνται στήριξης από το ΕΤΣΕ)· τα εν λόγω έσοδα ειδικού προορισμού για το Ταμείο Εγγυήσεων ανέρχονται σε 675 εκατ. ευρώ·</w:t>
      </w:r>
    </w:p>
    <w:p>
      <w:pPr>
        <w:numPr>
          <w:ilvl w:val="0"/>
          <w:numId w:val="2"/>
        </w:numPr>
        <w:spacing w:before="480" w:after="240"/>
        <w:contextualSpacing/>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Αποδόσεων (τόκων) από πόρους του Ταμείου Εγγυήσεων που επενδύονται στις χρηματοπιστωτικές αγορές·</w:t>
      </w:r>
    </w:p>
    <w:p>
      <w:pPr>
        <w:numPr>
          <w:ilvl w:val="0"/>
          <w:numId w:val="2"/>
        </w:numPr>
        <w:spacing w:before="480" w:after="240"/>
        <w:contextualSpacing/>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Ανακτηθέντων ποσών από έργα για τα οποία κατέπεσε η εγγύηση της ΕΕ (δηλαδή οφειλέτες που αθετούν τις υποχρεώσεις τους).</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Το Ταμείο Εγγυήσεων τροφοδοτείται σταδιακά λαμβάνοντας υπόψη την αύξηση της έκθεσης που καλύπτεται από την εγγύηση της ΕΕ και είναι υπό την άμεση διαχείριση της Επιτροπής· οι πόροι του επενδύονται σύμφωνα με την αρχή της χρηστής δημοσιονομικής διαχείρισης και τους κατάλληλους κανόνες προληπτικής εποπτείας.</w:t>
      </w:r>
    </w:p>
    <w:p>
      <w:pPr>
        <w:pStyle w:val="Heading2"/>
        <w:spacing w:after="240"/>
        <w:rPr>
          <w:rFonts w:ascii="Times New Roman" w:hAnsi="Times New Roman" w:cs="Times New Roman"/>
          <w:noProof/>
          <w:color w:val="auto"/>
        </w:rPr>
      </w:pPr>
      <w:bookmarkStart w:id="196" w:name="_Toc517793073"/>
      <w:r>
        <w:rPr>
          <w:rFonts w:ascii="Times New Roman" w:hAnsi="Times New Roman" w:cs="Times New Roman"/>
          <w:noProof/>
          <w:color w:val="auto"/>
        </w:rPr>
        <w:t xml:space="preserve">4.2. </w:t>
      </w:r>
      <w:r>
        <w:rPr>
          <w:rFonts w:ascii="Times New Roman" w:hAnsi="Times New Roman" w:cs="Times New Roman"/>
          <w:noProof/>
          <w:color w:val="auto"/>
          <w:lang w:val="el-GR"/>
        </w:rPr>
        <w:t>Ετήσιες και σωρευτικές ροές</w:t>
      </w:r>
      <w:bookmarkEnd w:id="196"/>
    </w:p>
    <w:p>
      <w:pPr>
        <w:spacing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Το χρονοδιάγραμμα πληρωμών της θέσης του προϋπολογισμού που τροφοδοτεί το Ταμείο Εγγυήσεων παρουσιάζεται στον πίνακα 1. Το 2016, διατέθηκε στο Ταμείο ποσό 1</w:t>
      </w:r>
      <w:r>
        <w:rPr>
          <w:rFonts w:ascii="Times New Roman" w:hAnsi="Times New Roman" w:cs="Times New Roman"/>
          <w:noProof/>
          <w:sz w:val="24"/>
          <w:szCs w:val="24"/>
          <w:lang w:val="fr"/>
        </w:rPr>
        <w:t> </w:t>
      </w:r>
      <w:r>
        <w:rPr>
          <w:rFonts w:ascii="Times New Roman" w:hAnsi="Times New Roman" w:cs="Times New Roman"/>
          <w:noProof/>
          <w:sz w:val="24"/>
          <w:szCs w:val="24"/>
          <w:lang w:val="el-GR"/>
        </w:rPr>
        <w:t>018 εκατ. ευρώ. Από το ποσό αυτό, το μεγαλύτερο μέρος προερχόταν από πιστώσεις πληρωμών του προϋπολογισμού της Ένωσης (1</w:t>
      </w:r>
      <w:r>
        <w:rPr>
          <w:rFonts w:ascii="Times New Roman" w:hAnsi="Times New Roman" w:cs="Times New Roman"/>
          <w:noProof/>
          <w:sz w:val="24"/>
          <w:szCs w:val="24"/>
          <w:lang w:val="fr"/>
        </w:rPr>
        <w:t> </w:t>
      </w:r>
      <w:r>
        <w:rPr>
          <w:rFonts w:ascii="Times New Roman" w:hAnsi="Times New Roman" w:cs="Times New Roman"/>
          <w:noProof/>
          <w:sz w:val="24"/>
          <w:szCs w:val="24"/>
          <w:lang w:val="el-GR"/>
        </w:rPr>
        <w:t>012 εκατ. ευρώ), ενώ ποσό 6,33 εκατ. ευρώ, που προερχόταν από πράξεις στο πλαίσιο της εγγύησης της ΕΕ, είχε ανακτηθεί από τον λογαριασμό ΕΤΣΕ (ως έσοδα για ειδικό προορισμό). Το 2017, διατέθηκε στο Ταμείο Εγγυήσεων ποσό 2</w:t>
      </w:r>
      <w:r>
        <w:rPr>
          <w:rFonts w:ascii="Times New Roman" w:hAnsi="Times New Roman" w:cs="Times New Roman"/>
          <w:noProof/>
          <w:sz w:val="24"/>
          <w:szCs w:val="24"/>
          <w:lang w:val="fr"/>
        </w:rPr>
        <w:t> </w:t>
      </w:r>
      <w:r>
        <w:rPr>
          <w:rFonts w:ascii="Times New Roman" w:hAnsi="Times New Roman" w:cs="Times New Roman"/>
          <w:noProof/>
          <w:sz w:val="24"/>
          <w:szCs w:val="24"/>
          <w:lang w:val="el-GR"/>
        </w:rPr>
        <w:t xml:space="preserve">490 εκατ. ευρώ. Από το ποσό αυτό, 39,2 εκατ. ευρώ, που προέρχονταν από πράξεις στο πλαίσιο της εγγύησης της ΕΕ, είχε ανακτηθεί από τον λογαριασμό ΕΤΣΕ (ως έσοδα για ειδικό προορισμό). </w:t>
      </w:r>
    </w:p>
    <w:bookmarkStart w:id="197" w:name="_MON_1586770886"/>
    <w:bookmarkEnd w:id="197"/>
    <w:p>
      <w:pPr>
        <w:spacing w:after="240"/>
        <w:jc w:val="both"/>
        <w:rPr>
          <w:rFonts w:ascii="Times New Roman" w:hAnsi="Times New Roman" w:cs="Times New Roman"/>
          <w:noProof/>
          <w:sz w:val="24"/>
          <w:szCs w:val="24"/>
        </w:rPr>
      </w:pPr>
      <w:r>
        <w:rPr>
          <w:rFonts w:ascii="Times New Roman" w:hAnsi="Times New Roman" w:cs="Times New Roman"/>
          <w:noProof/>
          <w:sz w:val="24"/>
          <w:szCs w:val="24"/>
        </w:rPr>
        <w:object w:dxaOrig="9584" w:dyaOrig="3046">
          <v:shape id="_x0000_i1026" type="#_x0000_t75" style="width:463.25pt;height:152.85pt" o:ole="">
            <v:imagedata r:id="rId17" o:title=""/>
          </v:shape>
          <o:OLEObject Type="Embed" ProgID="Excel.Sheet.12" ShapeID="_x0000_i1026" DrawAspect="Content" ObjectID="_1591590894" r:id="rId18"/>
        </w:object>
      </w:r>
    </w:p>
    <w:p>
      <w:pPr>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Στις 31 Δεκεμβρίου 2017, το σωρευτικό ποσό των 3</w:t>
      </w:r>
      <w:r>
        <w:rPr>
          <w:rFonts w:ascii="Times New Roman" w:hAnsi="Times New Roman" w:cs="Times New Roman"/>
          <w:noProof/>
          <w:sz w:val="24"/>
          <w:szCs w:val="24"/>
          <w:lang w:val="fr"/>
        </w:rPr>
        <w:t> </w:t>
      </w:r>
      <w:r>
        <w:rPr>
          <w:rFonts w:ascii="Times New Roman" w:hAnsi="Times New Roman" w:cs="Times New Roman"/>
          <w:noProof/>
          <w:sz w:val="24"/>
          <w:szCs w:val="24"/>
          <w:lang w:val="el-GR"/>
        </w:rPr>
        <w:t>508 εκατ. ευρώ καταβλήθηκε και επενδύθηκε σε ομόλογα.</w:t>
      </w:r>
    </w:p>
    <w:p>
      <w:pPr>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lastRenderedPageBreak/>
        <w:t xml:space="preserve">Στις 31 Δεκεμβρίου 2017, οι πράξεις του ΕΤΣΕ που διαχειρίζεται η ΕΤΕπ στο πλαίσιο του </w:t>
      </w:r>
      <w:r>
        <w:rPr>
          <w:rFonts w:ascii="Times New Roman" w:hAnsi="Times New Roman" w:cs="Times New Roman"/>
          <w:noProof/>
          <w:sz w:val="24"/>
          <w:szCs w:val="24"/>
        </w:rPr>
        <w:t>IIW</w:t>
      </w:r>
      <w:r>
        <w:rPr>
          <w:rFonts w:ascii="Times New Roman" w:hAnsi="Times New Roman" w:cs="Times New Roman"/>
          <w:noProof/>
          <w:sz w:val="24"/>
          <w:szCs w:val="24"/>
          <w:lang w:val="el-GR"/>
        </w:rPr>
        <w:t xml:space="preserve"> παρήγαγαν έσοδα ύψους 78,5 εκατ. ευρώ για την ΕΕ</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lang w:val="el-GR"/>
        </w:rPr>
        <w:t>, εκ των οποίων 61,0 εκατ. ευρώ κατά τη διάρκεια του 2017.</w:t>
      </w:r>
    </w:p>
    <w:p>
      <w:pPr>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Στις 31 Δεκεμβρίου 2017, καταβλήθηκε ποσό 0,4 εκατ. ευρώ για την κάλυψη του κόστους χρηματοδότησης της ΕΤΕπ. Εξάλλου, ποσό ύψους 1,0 εκατ. ευρώ καταβλήθηκε για την κάλυψη διοικητικών τελών και άλλων δαπανών για τις πράξεις του ΕΤΣΕ που διαχειρίζεται το ΕΤΕ στο πλαίσιο του </w:t>
      </w:r>
      <w:r>
        <w:rPr>
          <w:rFonts w:ascii="Times New Roman" w:hAnsi="Times New Roman" w:cs="Times New Roman"/>
          <w:noProof/>
          <w:sz w:val="24"/>
          <w:szCs w:val="24"/>
        </w:rPr>
        <w:t>SMEW</w:t>
      </w:r>
      <w:r>
        <w:rPr>
          <w:rFonts w:ascii="Times New Roman" w:hAnsi="Times New Roman" w:cs="Times New Roman"/>
          <w:noProof/>
          <w:sz w:val="24"/>
          <w:szCs w:val="24"/>
          <w:lang w:val="el-GR"/>
        </w:rPr>
        <w:t>, σύμφωνα με τις διατάξεις του κανονισμού ΕΤΣΕ και της συμφωνίας ΕΤΣΕ. Τα ποσά αυτά καταβάλλονται από το λογαριασμό ΕΤΣΕ.</w:t>
      </w:r>
    </w:p>
    <w:p>
      <w:pPr>
        <w:pStyle w:val="Heading2"/>
        <w:spacing w:after="240"/>
        <w:rPr>
          <w:rFonts w:ascii="Times New Roman" w:hAnsi="Times New Roman" w:cs="Times New Roman"/>
          <w:noProof/>
          <w:color w:val="auto"/>
          <w:lang w:val="el-GR"/>
        </w:rPr>
      </w:pPr>
      <w:bookmarkStart w:id="198" w:name="_Toc517793074"/>
      <w:r>
        <w:rPr>
          <w:rFonts w:ascii="Times New Roman" w:hAnsi="Times New Roman" w:cs="Times New Roman"/>
          <w:noProof/>
          <w:color w:val="auto"/>
          <w:lang w:val="el-GR"/>
        </w:rPr>
        <w:t>4.3. Σύνθεση και βασικά χαρακτηριστικά του χαρτοφυλακίου</w:t>
      </w:r>
      <w:bookmarkEnd w:id="198"/>
    </w:p>
    <w:p>
      <w:pPr>
        <w:spacing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Το επενδυτικό χαρτοφυλάκιο του Ταμείου Εγγυήσεων επενδύεται σύμφωνα με τις αρχές διαχείρισης που ορίζονται στην απόφαση </w:t>
      </w:r>
      <w:r>
        <w:rPr>
          <w:rFonts w:ascii="Times New Roman" w:hAnsi="Times New Roman" w:cs="Times New Roman"/>
          <w:noProof/>
          <w:sz w:val="24"/>
          <w:szCs w:val="24"/>
          <w:lang w:val="fr"/>
        </w:rPr>
        <w:t>C</w:t>
      </w:r>
      <w:r>
        <w:rPr>
          <w:rFonts w:ascii="Times New Roman" w:hAnsi="Times New Roman" w:cs="Times New Roman"/>
          <w:noProof/>
          <w:sz w:val="24"/>
          <w:szCs w:val="24"/>
          <w:lang w:val="el-GR"/>
        </w:rPr>
        <w:t xml:space="preserve">(2016)165 της Επιτροπής, της 21ης Ιανουαρίου 2016, σχετικά με την έγκριση κατευθυντήριων γραμμών για τη διαχείριση των στοιχείων ενεργητικού του ταμείου εγγυήσεων του Ευρωπαϊκού Ταμείου Στρατηγικών Επενδύσεων. </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Στις κατευθυντήριες αυτές γραμμές προβλέπεται ότι το χαρτοφυλάκιο επενδύσεων παρέχει επαρκή ρευστότητα, σχετικά με τις πιθανές περιπτώσεις κατάπτωσης εγγυήσεων, ενώ παράλληλα στοχεύει στη βελτιστοποίηση της απόδοσης και στην επίτευξη επιπέδου κινδύνου που είναι συμβατό με τη διατήρηση υψηλού βαθμού ασφάλειας και σταθερότητας. </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Εγκρίθηκαν επενδυτικές στρατηγικές και στρατηγικές διαχείρισης των κινδύνων που αντικατοπτρίζουν τους επενδυτικούς στόχους και τις προοπτικές των συνθηκών της αγοράς. Η επενδυτική προσέγγιση αποσκοπεί στην ενίσχυση της διαφοροποίησης μεταξύ των διαφόρων κατηγοριών τίτλων σταθερού εισοδήματος. </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Στο τέλος του Δεκεμβρίου 2017, το χαρτοφυλάκιο επενδύσεων συνίστατο κυρίως σε κρατικούς τίτλους (42,5</w:t>
      </w:r>
      <w:r>
        <w:rPr>
          <w:rFonts w:ascii="Times New Roman" w:hAnsi="Times New Roman" w:cs="Times New Roman"/>
          <w:noProof/>
          <w:sz w:val="24"/>
          <w:szCs w:val="24"/>
        </w:rPr>
        <w:t> </w:t>
      </w:r>
      <w:r>
        <w:rPr>
          <w:rFonts w:ascii="Times New Roman" w:hAnsi="Times New Roman" w:cs="Times New Roman"/>
          <w:noProof/>
          <w:sz w:val="24"/>
          <w:szCs w:val="24"/>
          <w:lang w:val="el-GR"/>
        </w:rPr>
        <w:t>% της αγοραίας αξίας) καθώς και σε τίτλους φορέων σε υπο-εθνικό επίπεδο, φορέων σε υπερεθνικό επίπεδο και λοιπών φορέων (</w:t>
      </w:r>
      <w:r>
        <w:rPr>
          <w:rFonts w:ascii="Times New Roman" w:hAnsi="Times New Roman" w:cs="Times New Roman"/>
          <w:noProof/>
          <w:sz w:val="24"/>
          <w:szCs w:val="24"/>
        </w:rPr>
        <w:t>SSA</w:t>
      </w:r>
      <w:r>
        <w:rPr>
          <w:rFonts w:ascii="Times New Roman" w:hAnsi="Times New Roman" w:cs="Times New Roman"/>
          <w:noProof/>
          <w:sz w:val="24"/>
          <w:szCs w:val="24"/>
          <w:lang w:val="el-GR"/>
        </w:rPr>
        <w:t>) (21,5</w:t>
      </w:r>
      <w:r>
        <w:rPr>
          <w:rFonts w:ascii="Times New Roman" w:hAnsi="Times New Roman" w:cs="Times New Roman"/>
          <w:noProof/>
          <w:sz w:val="24"/>
          <w:szCs w:val="24"/>
        </w:rPr>
        <w:t> </w:t>
      </w:r>
      <w:r>
        <w:rPr>
          <w:rFonts w:ascii="Times New Roman" w:hAnsi="Times New Roman" w:cs="Times New Roman"/>
          <w:noProof/>
          <w:sz w:val="24"/>
          <w:szCs w:val="24"/>
          <w:lang w:val="el-GR"/>
        </w:rPr>
        <w:t>% της αγοραίας αξίας) και καλυμμένα ομόλογα (25,5</w:t>
      </w:r>
      <w:r>
        <w:rPr>
          <w:rFonts w:ascii="Times New Roman" w:hAnsi="Times New Roman" w:cs="Times New Roman"/>
          <w:noProof/>
          <w:sz w:val="24"/>
          <w:szCs w:val="24"/>
        </w:rPr>
        <w:t> </w:t>
      </w:r>
      <w:r>
        <w:rPr>
          <w:rFonts w:ascii="Times New Roman" w:hAnsi="Times New Roman" w:cs="Times New Roman"/>
          <w:noProof/>
          <w:sz w:val="24"/>
          <w:szCs w:val="24"/>
          <w:lang w:val="el-GR"/>
        </w:rPr>
        <w:t>% της αγοραίας αξίας). Το υπόλοιπο αποτελείτο κυρίως από μη εξασφαλισμένα ομόλογα που είχαν εκδοθεί από επιχειρήσεις και χρηματοπιστωτικά ιδρύματα. Περίπου 18% του χαρτοφυλακίου επενδύθηκε σε άμεσα ρευστοποιήσιμες επενδύσεις με υψηλή διαβάθμιση (ΑΑ/</w:t>
      </w:r>
      <w:r>
        <w:rPr>
          <w:rFonts w:ascii="Times New Roman" w:hAnsi="Times New Roman" w:cs="Times New Roman"/>
          <w:noProof/>
          <w:sz w:val="24"/>
          <w:szCs w:val="24"/>
        </w:rPr>
        <w:t>AAA</w:t>
      </w:r>
      <w:r>
        <w:rPr>
          <w:rFonts w:ascii="Times New Roman" w:hAnsi="Times New Roman" w:cs="Times New Roman"/>
          <w:noProof/>
          <w:sz w:val="24"/>
          <w:szCs w:val="24"/>
          <w:lang w:val="el-GR"/>
        </w:rPr>
        <w:t>) σε δολάρια ΗΠΑ. Η έκθεση σε συναλλαγματικό κίνδυνο των επενδύσεων αυτών καλύπτεται από αντιστάθμιση του κινδύνου.</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Η διάρκεια του χαρτοφυλακίου</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vertAlign w:val="superscript"/>
          <w:lang w:val="el-GR"/>
        </w:rPr>
        <w:t xml:space="preserve"> </w:t>
      </w:r>
      <w:r>
        <w:rPr>
          <w:rFonts w:ascii="Times New Roman" w:hAnsi="Times New Roman" w:cs="Times New Roman"/>
          <w:noProof/>
          <w:sz w:val="24"/>
          <w:szCs w:val="24"/>
          <w:lang w:val="el-GR"/>
        </w:rPr>
        <w:t xml:space="preserve">στο τέλος του 2017 ήταν 3,47 έτη. Η μέση πιστοληπτική ικανότητα είναι </w:t>
      </w:r>
      <w:r>
        <w:rPr>
          <w:rFonts w:ascii="Times New Roman" w:hAnsi="Times New Roman" w:cs="Times New Roman"/>
          <w:noProof/>
          <w:sz w:val="24"/>
          <w:szCs w:val="24"/>
        </w:rPr>
        <w:t>A</w:t>
      </w:r>
      <w:r>
        <w:rPr>
          <w:rFonts w:ascii="Times New Roman" w:hAnsi="Times New Roman" w:cs="Times New Roman"/>
          <w:noProof/>
          <w:sz w:val="24"/>
          <w:szCs w:val="24"/>
          <w:lang w:val="el-GR"/>
        </w:rPr>
        <w:t>-.</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lastRenderedPageBreak/>
        <w:t>Το μεγαλύτερο μέρος του χαρτοφυλακίου έχει επενδυθεί σε άμεσα ρευστοποιήσιμους τίτλους, ενώ επαρκές τμήμα αυτού (το 16</w:t>
      </w:r>
      <w:r>
        <w:rPr>
          <w:rFonts w:ascii="Times New Roman" w:hAnsi="Times New Roman" w:cs="Times New Roman"/>
          <w:noProof/>
          <w:sz w:val="24"/>
          <w:szCs w:val="24"/>
        </w:rPr>
        <w:t> </w:t>
      </w:r>
      <w:r>
        <w:rPr>
          <w:rFonts w:ascii="Times New Roman" w:hAnsi="Times New Roman" w:cs="Times New Roman"/>
          <w:noProof/>
          <w:sz w:val="24"/>
          <w:szCs w:val="24"/>
          <w:lang w:val="el-GR"/>
        </w:rPr>
        <w:t>% της συνολικής αξίας του χαρτοφυλακίου) λήγει σε λιγότερο από 12 μήνες.</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Τα χαρακτηριστικά του χαρτοφυλακίου, όσον αφορά τη διάρκεια, τον πιστωτικό κίνδυνο και τη ρευστότητα, έχουν βαθμονομηθεί σύμφωνα με τις προβλέψεις ταμειακών ροών που απορρέουν από τις πράξεις του ΕΤΣΕ στο πλαίσιο της εγγύησης της ΕΕ (π.χ. προβλέψεις για καταπτώσεις, έσοδα).</w:t>
      </w:r>
    </w:p>
    <w:p>
      <w:pPr>
        <w:pStyle w:val="Heading2"/>
        <w:spacing w:after="240"/>
        <w:rPr>
          <w:rFonts w:ascii="Times New Roman" w:hAnsi="Times New Roman" w:cs="Times New Roman"/>
          <w:noProof/>
          <w:color w:val="auto"/>
        </w:rPr>
      </w:pPr>
      <w:bookmarkStart w:id="199" w:name="_Toc517793075"/>
      <w:r>
        <w:rPr>
          <w:rFonts w:ascii="Times New Roman" w:hAnsi="Times New Roman" w:cs="Times New Roman"/>
          <w:noProof/>
          <w:color w:val="auto"/>
        </w:rPr>
        <w:t>4.4. Απόδοση</w:t>
      </w:r>
      <w:bookmarkEnd w:id="199"/>
    </w:p>
    <w:p>
      <w:pPr>
        <w:spacing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Η απόδοση σταθμίζεται χρονικά προκειμένου να μην επηρεάζεται από το μέγεθος του χαρτοφυλακίου το οποίο αυξήθηκε σημαντικά κατά τη διάρκεια των δύο ετών.</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Από την έναρξή του τον Απρίλιο του 2016, Η απόλυτη απόδοση του Ταμείου Εγγυήσεων ήταν 0,2% των επιδόσεων κατά την τελευταία ημερομηνία συλλογής στοιχείων για την παρούσα έκθεση, στα τέλη Δεκεμβρίου του 2017. Η εν λόγω μηδενική απόδοση επετεύχθη σε συνθήκες αρνητικών επιτοκίων (ιδίως για ό,τι είναι αντιληπτό από τις αγορές ως «πιστωτικά ακίνδυνο» και για τα ρευστά ανοίγματα στην Ευρώπη</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lang w:val="el-GR"/>
        </w:rPr>
        <w:t>) και αυξανόμενων επιτοκίων στις Ηνωμένες Πολιτείες</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lang w:val="el-GR"/>
        </w:rPr>
        <w:t>.</w:t>
      </w:r>
    </w:p>
    <w:p>
      <w:pPr>
        <w:pStyle w:val="Heading2"/>
        <w:spacing w:after="240"/>
        <w:rPr>
          <w:rFonts w:ascii="Times New Roman" w:hAnsi="Times New Roman" w:cs="Times New Roman"/>
          <w:noProof/>
          <w:color w:val="auto"/>
          <w:lang w:val="el-GR"/>
        </w:rPr>
      </w:pPr>
      <w:bookmarkStart w:id="200" w:name="_Toc517793076"/>
      <w:r>
        <w:rPr>
          <w:rFonts w:ascii="Times New Roman" w:hAnsi="Times New Roman" w:cs="Times New Roman"/>
          <w:noProof/>
          <w:color w:val="auto"/>
          <w:lang w:val="el-GR"/>
        </w:rPr>
        <w:t>4.5. Αξιολόγηση της επάρκειας του ποσοστού-στόχου και του επιπέδου του Ταμείου Εγγυήσεων</w:t>
      </w:r>
      <w:bookmarkEnd w:id="200"/>
    </w:p>
    <w:p>
      <w:pPr>
        <w:spacing w:after="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Το ποσοστό-στόχος του Ταμείου Εγγυήσεων είχε αρχικά καθοριστεί στο 50</w:t>
      </w:r>
      <w:r>
        <w:rPr>
          <w:rFonts w:ascii="Times New Roman" w:hAnsi="Times New Roman" w:cs="Times New Roman"/>
          <w:noProof/>
          <w:sz w:val="24"/>
          <w:szCs w:val="24"/>
          <w:lang w:val="fr"/>
        </w:rPr>
        <w:t> </w:t>
      </w:r>
      <w:r>
        <w:rPr>
          <w:rFonts w:ascii="Times New Roman" w:hAnsi="Times New Roman" w:cs="Times New Roman"/>
          <w:noProof/>
          <w:sz w:val="24"/>
          <w:szCs w:val="24"/>
          <w:lang w:val="el-GR"/>
        </w:rPr>
        <w:t xml:space="preserve">% των συνολικών υποχρεώσεων που απορρέουν από την εγγύηση της ΕΕ. Ο στόχος αυτός υπολογίστηκε πριν από την έναρξη του ΕΤΣΕ. </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Το 2016, η εσωτερική αξιολόγηση του ΕΤΣΕ από την Επιτροπή</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lang w:val="el-GR"/>
        </w:rPr>
        <w:t xml:space="preserve"> κατέληξε στο συμπέρασμα ότι η τροφοδότηση του Ταμείου Εγγυήσεων θα μπορούσε να αναπροσαρμοστεί. Η εκτίμηση κινδύνου των διαφόρων προϊόντων που υποστηρίζονται από την εγγύηση της ΕΕ έδειξε ότι συνολικά ο προϋπολογισμός της Ένωσης θα μπορούσε να είναι επαρκώς προστατευμένος έναντι πιθανών καταπτώσεων στο πλαίσιο της εγγύησης της ΕΕ με ένα αναπροσαρμοσμένο </w:t>
      </w:r>
      <w:r>
        <w:rPr>
          <w:rFonts w:ascii="Times New Roman" w:hAnsi="Times New Roman" w:cs="Times New Roman"/>
          <w:noProof/>
          <w:sz w:val="24"/>
          <w:szCs w:val="24"/>
          <w:lang w:val="el-GR"/>
        </w:rPr>
        <w:lastRenderedPageBreak/>
        <w:t>ποσοστό-στόχο για την τροφοδότηση του Ταμείου Εγγυήσεων ύψους 35</w:t>
      </w:r>
      <w:r>
        <w:rPr>
          <w:rFonts w:ascii="Times New Roman" w:hAnsi="Times New Roman" w:cs="Times New Roman"/>
          <w:noProof/>
          <w:sz w:val="24"/>
          <w:szCs w:val="24"/>
          <w:lang w:val="fr"/>
        </w:rPr>
        <w:t> </w:t>
      </w:r>
      <w:r>
        <w:rPr>
          <w:rFonts w:ascii="Times New Roman" w:hAnsi="Times New Roman" w:cs="Times New Roman"/>
          <w:noProof/>
          <w:sz w:val="24"/>
          <w:szCs w:val="24"/>
          <w:lang w:val="el-GR"/>
        </w:rPr>
        <w:t xml:space="preserve">% λαμβανομένων υπόψη των ανακτήσεων, των εσόδων και των επανεισροών από πράξεις του ΕΤΣΕ. </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Το Συμβούλιο και το Ευρωπαϊκό Κοινοβούλιο ενέκριναν την πρόταση της Επιτροπής και το ποσοστό-στόχος ορίστηκε στο επίπεδο του 35</w:t>
      </w:r>
      <w:r>
        <w:rPr>
          <w:rFonts w:ascii="Times New Roman" w:hAnsi="Times New Roman" w:cs="Times New Roman"/>
          <w:noProof/>
          <w:sz w:val="24"/>
          <w:szCs w:val="24"/>
          <w:lang w:val="fr"/>
        </w:rPr>
        <w:t> </w:t>
      </w:r>
      <w:r>
        <w:rPr>
          <w:rFonts w:ascii="Times New Roman" w:hAnsi="Times New Roman" w:cs="Times New Roman"/>
          <w:noProof/>
          <w:sz w:val="24"/>
          <w:szCs w:val="24"/>
          <w:lang w:val="el-GR"/>
        </w:rPr>
        <w:t xml:space="preserve">% των συνολικών υποχρεώσεων εγγύησης της ΕΕ από την έναρξη ισχύος του κανονισμού ΕΤΣΕ 2.0. Η επάρκεια του ποσοστού-στόχου επιβεβαιώθηκε με βάση το χαρτοφυλάκιο του ΕΤΣΕ στα τέλη του 2017. </w:t>
      </w:r>
    </w:p>
    <w:p>
      <w:pPr>
        <w:pStyle w:val="Heading1"/>
        <w:spacing w:after="240"/>
        <w:rPr>
          <w:rFonts w:ascii="Times New Roman" w:hAnsi="Times New Roman" w:cs="Times New Roman"/>
          <w:noProof/>
          <w:color w:val="auto"/>
          <w:lang w:val="el-GR"/>
        </w:rPr>
      </w:pPr>
      <w:bookmarkStart w:id="201" w:name="_Toc517793077"/>
      <w:r>
        <w:rPr>
          <w:rFonts w:ascii="Times New Roman" w:hAnsi="Times New Roman" w:cs="Times New Roman"/>
          <w:noProof/>
          <w:color w:val="auto"/>
          <w:lang w:val="el-GR"/>
        </w:rPr>
        <w:t>5. Συμπεράσματα</w:t>
      </w:r>
      <w:bookmarkEnd w:id="201"/>
    </w:p>
    <w:p>
      <w:pPr>
        <w:spacing w:after="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 xml:space="preserve">Η ανεξάρτητη αξιολόγηση της εφαρμογής του κανονισμού για το ΕΤΣΕ, που αποτελεί τη βάση της πρότασης της Επιτροπής για κανονισμό του Ευρωπαϊκού Κοινοβουλίου και του Συμβουλίου για τη θέσπιση του προγράμματος </w:t>
      </w:r>
      <w:r>
        <w:rPr>
          <w:rFonts w:ascii="Times New Roman" w:hAnsi="Times New Roman" w:cs="Times New Roman"/>
          <w:noProof/>
          <w:sz w:val="24"/>
          <w:szCs w:val="24"/>
          <w:lang w:val="fr"/>
        </w:rPr>
        <w:t>InvestEU</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lang w:val="el-GR"/>
        </w:rPr>
        <w:t xml:space="preserve"> κατέληξε σε θετικό συμπέρασμα όσον αφορά τη συνολική συνάφεια και αποτελεσματικότητα της εγγύησης της ΕΕ. </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Μεταξύ του 2014 και του 2017, οι ειδικές δραστηριότητες της ΕΤΕπ σημείωσαν σχεδόν πενταπλάσια αύξηση, με τις πράξεις του ΕΤΣΕ στο πλαίσιο της εγγύησης της ΕΕ να αντιπροσωπεύουν το 95</w:t>
      </w:r>
      <w:r>
        <w:rPr>
          <w:rFonts w:ascii="Times New Roman" w:hAnsi="Times New Roman" w:cs="Times New Roman"/>
          <w:noProof/>
          <w:sz w:val="24"/>
          <w:szCs w:val="24"/>
          <w:lang w:val="fr"/>
        </w:rPr>
        <w:t> </w:t>
      </w:r>
      <w:r>
        <w:rPr>
          <w:rFonts w:ascii="Times New Roman" w:hAnsi="Times New Roman" w:cs="Times New Roman"/>
          <w:noProof/>
          <w:sz w:val="24"/>
          <w:szCs w:val="24"/>
          <w:lang w:val="el-GR"/>
        </w:rPr>
        <w:t xml:space="preserve">% των ειδικών δραστηριοτήτων της ΕΤΕπ το 2016 και το 2017, καταδεικνύοντας έτσι την προστιθέμενη αξία της εγγύησης της ΕΕ. Η παροχή πρόσθετης ικανότητας ανάληψης κινδύνων στην ΕΤΕπ και το ΕΤΕ οδήγησε σε πρόσθετη και υψηλότερου κινδύνου χρηματοδότηση από τον Όμιλο ΕΤΕπ. </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Η αξιολόγηση επιβεβαίωσε περαιτέρω ότι τα επίπεδα της εγγύησης της ΕΕ και της συνεισφοράς της ΕΤΕπ είχαν το κατάλληλο μέγεθος για την περίοδο 2015-2018, δεδομένου ότι επέτρεπαν στον Όμιλο ΕΤΕπ να κινητοποιήσει επίπεδο επενδύσεων σύμφωνο με τις προσδοκίες. Η αναπροσαρμογή του ποσοστού-στόχου για το Ταμείο Εγγυήσεων στο πλαίσιο του ΕΤΣΕ 2.0 είχε ως αποτέλεσμα την πιο αποδοτική χρήση του προϋπολογισμού της ΕΕ. Επιπλέον, δεδομένου ότι μεγάλο μέρος των πρόσθετων πόρων που απαιτούνται για την τροφοδότηση της επέκτασης του Ταμείου Εγγυήσεων θα προέρχονται από έσοδα και επανεισροές του ΕΤΣΕ από άλλα χρηματοδοτικά μέσα, ο αντίκτυπος σε άλλα τμήματα του προϋπολογισμού της ΕΕ ήταν περιορισμένος, γεγονός που οδηγεί σε αύξηση της αποτελεσματικότητας της δημοσιονομικής στήριξης της ΕΕ.</w:t>
      </w:r>
    </w:p>
    <w:p>
      <w:pPr>
        <w:spacing w:before="480" w:after="240"/>
        <w:jc w:val="both"/>
        <w:rPr>
          <w:rFonts w:ascii="Times New Roman" w:hAnsi="Times New Roman" w:cs="Times New Roman"/>
          <w:noProof/>
          <w:sz w:val="24"/>
          <w:szCs w:val="24"/>
          <w:lang w:val="el-GR"/>
        </w:rPr>
      </w:pPr>
      <w:r>
        <w:rPr>
          <w:rFonts w:ascii="Times New Roman" w:hAnsi="Times New Roman" w:cs="Times New Roman"/>
          <w:noProof/>
          <w:sz w:val="24"/>
          <w:szCs w:val="24"/>
          <w:lang w:val="el-GR"/>
        </w:rPr>
        <w:t>Τέλος, η αξιολόγηση έκρινε ότι, συνολικά, η προσέγγιση για την μοντελοποίηση του ποσοστού-στόχου του ΕΤΣΕ φαίνεται να είναι κατάλληλη και σύμφωνη με την πρακτική του κλάδου.</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0389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80" w:hanging="480"/>
        <w:rPr>
          <w:lang w:val="el-GR"/>
        </w:rPr>
      </w:pPr>
      <w:r>
        <w:rPr>
          <w:rStyle w:val="FootnoteReference"/>
        </w:rPr>
        <w:footnoteRef/>
      </w:r>
      <w:r>
        <w:rPr>
          <w:rFonts w:ascii="Times New Roman" w:hAnsi="Times New Roman" w:cs="Times New Roman"/>
          <w:iCs/>
          <w:lang w:val="da-DK"/>
        </w:rPr>
        <w:tab/>
      </w:r>
      <w:r>
        <w:rPr>
          <w:rFonts w:ascii="Times New Roman" w:hAnsi="Times New Roman" w:cs="Times New Roman"/>
          <w:iCs/>
        </w:rPr>
        <w:t>ΕΕ</w:t>
      </w:r>
      <w:r>
        <w:rPr>
          <w:rFonts w:ascii="Times New Roman" w:hAnsi="Times New Roman" w:cs="Times New Roman"/>
          <w:iCs/>
          <w:lang w:val="da-DK"/>
        </w:rPr>
        <w:t xml:space="preserve"> L 169</w:t>
      </w:r>
      <w:r>
        <w:rPr>
          <w:rFonts w:ascii="Times New Roman" w:hAnsi="Times New Roman" w:cs="Times New Roman"/>
          <w:iCs/>
          <w:lang w:val="el-GR"/>
        </w:rPr>
        <w:t xml:space="preserve"> της</w:t>
      </w:r>
      <w:r>
        <w:rPr>
          <w:rFonts w:ascii="Times New Roman" w:hAnsi="Times New Roman" w:cs="Times New Roman"/>
          <w:iCs/>
          <w:lang w:val="da-DK"/>
        </w:rPr>
        <w:t xml:space="preserve"> 1.7.2015, </w:t>
      </w:r>
      <w:r>
        <w:rPr>
          <w:rFonts w:ascii="Times New Roman" w:hAnsi="Times New Roman" w:cs="Times New Roman"/>
          <w:iCs/>
          <w:lang w:val="el-GR"/>
        </w:rPr>
        <w:t>σ</w:t>
      </w:r>
      <w:r>
        <w:rPr>
          <w:rFonts w:ascii="Times New Roman" w:hAnsi="Times New Roman" w:cs="Times New Roman"/>
          <w:iCs/>
          <w:lang w:val="da-DK"/>
        </w:rPr>
        <w:t>. 1–38</w:t>
      </w:r>
      <w:r>
        <w:rPr>
          <w:rFonts w:ascii="Times New Roman" w:hAnsi="Times New Roman" w:cs="Times New Roman"/>
          <w:iCs/>
          <w:lang w:val="el-GR"/>
        </w:rPr>
        <w:t>.</w:t>
      </w:r>
    </w:p>
  </w:footnote>
  <w:footnote w:id="2">
    <w:p>
      <w:pPr>
        <w:pStyle w:val="FootnoteText"/>
        <w:ind w:left="480" w:hanging="480"/>
        <w:rPr>
          <w:rFonts w:ascii="Times New Roman" w:hAnsi="Times New Roman" w:cs="Times New Roman"/>
          <w:lang w:val="el-GR"/>
        </w:rPr>
      </w:pPr>
      <w:r>
        <w:rPr>
          <w:rStyle w:val="FootnoteReference"/>
          <w:rFonts w:ascii="Times New Roman" w:hAnsi="Times New Roman" w:cs="Times New Roman"/>
        </w:rPr>
        <w:footnoteRef/>
      </w:r>
      <w:r>
        <w:rPr>
          <w:rFonts w:ascii="Times New Roman" w:hAnsi="Times New Roman" w:cs="Times New Roman"/>
          <w:lang w:val="da-DK"/>
        </w:rPr>
        <w:tab/>
      </w:r>
      <w:r>
        <w:rPr>
          <w:rFonts w:ascii="Times New Roman" w:hAnsi="Times New Roman" w:cs="Times New Roman"/>
          <w:lang w:val="el-GR"/>
        </w:rPr>
        <w:t xml:space="preserve">ΕΕ </w:t>
      </w:r>
      <w:r>
        <w:rPr>
          <w:rFonts w:ascii="Times New Roman" w:hAnsi="Times New Roman" w:cs="Times New Roman"/>
          <w:lang w:val="da-DK"/>
        </w:rPr>
        <w:t>L</w:t>
      </w:r>
      <w:r>
        <w:rPr>
          <w:rFonts w:ascii="Times New Roman" w:hAnsi="Times New Roman" w:cs="Times New Roman"/>
          <w:lang w:val="el-GR"/>
        </w:rPr>
        <w:t xml:space="preserve"> 345 της 27.12.2017, σ. 34.</w:t>
      </w:r>
    </w:p>
  </w:footnote>
  <w:footnote w:id="3">
    <w:p>
      <w:pPr>
        <w:pStyle w:val="FootnoteText"/>
        <w:ind w:left="480" w:hanging="480"/>
        <w:rPr>
          <w:lang w:val="el-GR"/>
        </w:rPr>
      </w:pPr>
      <w:r>
        <w:rPr>
          <w:rStyle w:val="FootnoteReference"/>
        </w:rPr>
        <w:footnoteRef/>
      </w:r>
      <w:r>
        <w:rPr>
          <w:lang w:val="el-GR"/>
        </w:rPr>
        <w:t xml:space="preserve"> </w:t>
      </w:r>
      <w:r>
        <w:rPr>
          <w:lang w:val="el-GR"/>
        </w:rPr>
        <w:tab/>
      </w:r>
      <w:r>
        <w:rPr>
          <w:rFonts w:ascii="Times New Roman" w:hAnsi="Times New Roman" w:cs="Times New Roman"/>
          <w:lang w:val="el-GR"/>
        </w:rPr>
        <w:t>Στοιχεία προς συμπλήρωση</w:t>
      </w:r>
    </w:p>
  </w:footnote>
  <w:footnote w:id="4">
    <w:p>
      <w:pPr>
        <w:pStyle w:val="FootnoteText"/>
        <w:ind w:left="480" w:hanging="480"/>
        <w:jc w:val="both"/>
        <w:rPr>
          <w:rFonts w:ascii="Times New Roman" w:hAnsi="Times New Roman" w:cs="Times New Roman"/>
          <w:i/>
          <w:lang w:val="el-GR"/>
        </w:rPr>
      </w:pPr>
      <w:r>
        <w:rPr>
          <w:rStyle w:val="FootnoteReference"/>
          <w:rFonts w:ascii="Times New Roman" w:hAnsi="Times New Roman" w:cs="Times New Roman"/>
        </w:rPr>
        <w:footnoteRef/>
      </w:r>
      <w:r>
        <w:rPr>
          <w:rFonts w:ascii="Times New Roman" w:hAnsi="Times New Roman" w:cs="Times New Roman"/>
          <w:lang w:val="el-GR"/>
        </w:rPr>
        <w:t xml:space="preserve"> </w:t>
      </w:r>
      <w:r>
        <w:rPr>
          <w:rFonts w:ascii="Times New Roman" w:hAnsi="Times New Roman" w:cs="Times New Roman"/>
          <w:lang w:val="el-GR"/>
        </w:rPr>
        <w:tab/>
        <w:t>Άρθρο 3 του κανονισμού</w:t>
      </w:r>
    </w:p>
  </w:footnote>
  <w:footnote w:id="5">
    <w:p>
      <w:pPr>
        <w:pStyle w:val="FootnoteText"/>
        <w:ind w:left="480" w:hanging="480"/>
        <w:jc w:val="both"/>
        <w:rPr>
          <w:rFonts w:ascii="Times New Roman" w:hAnsi="Times New Roman" w:cs="Times New Roman"/>
          <w:lang w:val="el-GR"/>
        </w:rPr>
      </w:pPr>
      <w:r>
        <w:rPr>
          <w:rStyle w:val="FootnoteReference"/>
          <w:rFonts w:ascii="Times New Roman" w:hAnsi="Times New Roman" w:cs="Times New Roman"/>
        </w:rPr>
        <w:footnoteRef/>
      </w:r>
      <w:r>
        <w:rPr>
          <w:rFonts w:ascii="Times New Roman" w:hAnsi="Times New Roman" w:cs="Times New Roman"/>
          <w:lang w:val="el-GR"/>
        </w:rPr>
        <w:t xml:space="preserve"> </w:t>
      </w:r>
      <w:r>
        <w:rPr>
          <w:rFonts w:ascii="Times New Roman" w:hAnsi="Times New Roman" w:cs="Times New Roman"/>
          <w:lang w:val="el-GR"/>
        </w:rPr>
        <w:tab/>
        <w:t>Άρθρο 11</w:t>
      </w:r>
      <w:r>
        <w:rPr>
          <w:rFonts w:ascii="Times New Roman" w:hAnsi="Times New Roman" w:cs="Times New Roman"/>
          <w:sz w:val="22"/>
          <w:szCs w:val="22"/>
          <w:lang w:val="el-GR"/>
        </w:rPr>
        <w:t xml:space="preserve"> </w:t>
      </w:r>
      <w:r>
        <w:rPr>
          <w:rFonts w:ascii="Times New Roman" w:hAnsi="Times New Roman" w:cs="Times New Roman"/>
          <w:lang w:val="el-GR"/>
        </w:rPr>
        <w:t>παράγραφος 1 και παράγραφος 3 του κανονισμού</w:t>
      </w:r>
    </w:p>
  </w:footnote>
  <w:footnote w:id="6">
    <w:p>
      <w:pPr>
        <w:pStyle w:val="FootnoteText"/>
        <w:ind w:left="480" w:hanging="480"/>
        <w:rPr>
          <w:rFonts w:ascii="Times New Roman" w:hAnsi="Times New Roman" w:cs="Times New Roman"/>
          <w:lang w:val="el-GR"/>
        </w:rPr>
      </w:pPr>
      <w:r>
        <w:rPr>
          <w:rStyle w:val="FootnoteReference"/>
          <w:rFonts w:ascii="Times New Roman" w:hAnsi="Times New Roman" w:cs="Times New Roman"/>
        </w:rPr>
        <w:footnoteRef/>
      </w:r>
      <w:r>
        <w:rPr>
          <w:rFonts w:ascii="Times New Roman" w:hAnsi="Times New Roman" w:cs="Times New Roman"/>
          <w:lang w:val="el-GR"/>
        </w:rPr>
        <w:t xml:space="preserve"> </w:t>
      </w:r>
      <w:r>
        <w:rPr>
          <w:rFonts w:ascii="Times New Roman" w:hAnsi="Times New Roman" w:cs="Times New Roman"/>
          <w:lang w:val="el-GR"/>
        </w:rPr>
        <w:tab/>
        <w:t>Άρθρο 11 παράγραφος 3 του κανονισμού όπως έχει τροποποιηθεί</w:t>
      </w:r>
    </w:p>
  </w:footnote>
  <w:footnote w:id="7">
    <w:p>
      <w:pPr>
        <w:pStyle w:val="FootnoteText"/>
        <w:ind w:left="480" w:hanging="480"/>
        <w:jc w:val="both"/>
        <w:rPr>
          <w:rFonts w:ascii="Times New Roman" w:hAnsi="Times New Roman" w:cs="Times New Roman"/>
          <w:lang w:val="el-GR"/>
        </w:rPr>
      </w:pPr>
      <w:r>
        <w:rPr>
          <w:rStyle w:val="FootnoteReference"/>
          <w:rFonts w:ascii="Times New Roman" w:hAnsi="Times New Roman" w:cs="Times New Roman"/>
        </w:rPr>
        <w:footnoteRef/>
      </w:r>
      <w:r>
        <w:rPr>
          <w:rFonts w:ascii="Times New Roman" w:hAnsi="Times New Roman" w:cs="Times New Roman"/>
          <w:lang w:val="el-GR"/>
        </w:rPr>
        <w:t xml:space="preserve"> </w:t>
      </w:r>
      <w:r>
        <w:rPr>
          <w:rFonts w:ascii="Times New Roman" w:hAnsi="Times New Roman" w:cs="Times New Roman"/>
          <w:lang w:val="el-GR"/>
        </w:rPr>
        <w:tab/>
        <w:t>Παράρτημα ΙΙ του κανονισμού, σημείο 6.</w:t>
      </w:r>
    </w:p>
  </w:footnote>
  <w:footnote w:id="8">
    <w:p>
      <w:pPr>
        <w:pStyle w:val="FootnoteText"/>
        <w:ind w:left="480" w:hanging="480"/>
        <w:rPr>
          <w:lang w:val="el-GR"/>
        </w:rPr>
      </w:pPr>
      <w:r>
        <w:rPr>
          <w:rStyle w:val="FootnoteReference"/>
        </w:rPr>
        <w:footnoteRef/>
      </w:r>
      <w:r>
        <w:rPr>
          <w:lang w:val="el-GR"/>
        </w:rPr>
        <w:t xml:space="preserve"> </w:t>
      </w:r>
      <w:r>
        <w:rPr>
          <w:lang w:val="el-GR"/>
        </w:rPr>
        <w:tab/>
      </w:r>
      <w:r>
        <w:rPr>
          <w:rFonts w:ascii="Times New Roman" w:hAnsi="Times New Roman" w:cs="Times New Roman"/>
          <w:lang w:val="el-GR"/>
        </w:rPr>
        <w:t>Οι ειδικές δραστηριότητες ορίζονται στο άρθρο 16 του καταστατικού της ΕΤΕπ.</w:t>
      </w:r>
    </w:p>
  </w:footnote>
  <w:footnote w:id="9">
    <w:p>
      <w:pPr>
        <w:pStyle w:val="FootnoteText"/>
        <w:ind w:left="480" w:hanging="480"/>
        <w:jc w:val="both"/>
        <w:rPr>
          <w:lang w:val="el-GR"/>
        </w:rPr>
      </w:pPr>
      <w:r>
        <w:rPr>
          <w:rStyle w:val="FootnoteReference"/>
          <w:rFonts w:ascii="Times New Roman" w:hAnsi="Times New Roman" w:cs="Times New Roman"/>
        </w:rPr>
        <w:footnoteRef/>
      </w:r>
      <w:r>
        <w:rPr>
          <w:rStyle w:val="FootnoteReference"/>
          <w:rFonts w:ascii="Times New Roman" w:hAnsi="Times New Roman" w:cs="Times New Roman"/>
          <w:lang w:val="el-GR"/>
        </w:rPr>
        <w:t xml:space="preserve"> </w:t>
      </w:r>
      <w:r>
        <w:rPr>
          <w:rFonts w:ascii="Times New Roman" w:hAnsi="Times New Roman" w:cs="Times New Roman"/>
          <w:lang w:val="el-GR"/>
        </w:rPr>
        <w:tab/>
        <w:t xml:space="preserve">Δημιουργήθηκε υβριδικό τμήμα στο πλαίσιο του χαρτοφυλακίου χρέους του </w:t>
      </w:r>
      <w:r>
        <w:rPr>
          <w:rFonts w:ascii="Times New Roman" w:hAnsi="Times New Roman" w:cs="Times New Roman"/>
          <w:lang w:val="fr"/>
        </w:rPr>
        <w:t>IIW</w:t>
      </w:r>
      <w:r>
        <w:rPr>
          <w:rFonts w:ascii="Times New Roman" w:hAnsi="Times New Roman" w:cs="Times New Roman"/>
          <w:lang w:val="el-GR"/>
        </w:rPr>
        <w:t xml:space="preserve"> για την κάλυψη συγκεκριμένων πράξεων όπως πράξεις επιμερισμού κινδύνων, τις οποίες η ΕΤΕπ αναθέτει πλήρως σε ενδιάμεσους χρηματοπιστωτικούς οργανισμούς, τίτλοι εξασφαλισμένοι με περιουσιακά στοιχεία κ.λπ. Στις 31 Δεκεμβρίου 2017, η χορήγηση της εγγύησης της ΕΕ για το χαρτοφυλάκιο αυτό ανερχόταν σε 1 δισ. ευρώ.</w:t>
      </w:r>
    </w:p>
  </w:footnote>
  <w:footnote w:id="10">
    <w:p>
      <w:pPr>
        <w:pStyle w:val="FootnoteText"/>
        <w:ind w:left="480" w:hanging="480"/>
        <w:rPr>
          <w:rFonts w:ascii="Times New Roman" w:hAnsi="Times New Roman" w:cs="Times New Roman"/>
          <w:lang w:val="el-GR"/>
        </w:rPr>
      </w:pPr>
      <w:r>
        <w:rPr>
          <w:rStyle w:val="FootnoteReference"/>
        </w:rPr>
        <w:footnoteRef/>
      </w:r>
      <w:r>
        <w:rPr>
          <w:lang w:val="el-GR"/>
        </w:rPr>
        <w:t xml:space="preserve"> </w:t>
      </w:r>
      <w:r>
        <w:rPr>
          <w:lang w:val="el-GR"/>
        </w:rPr>
        <w:tab/>
      </w:r>
      <w:r>
        <w:rPr>
          <w:rFonts w:ascii="Times New Roman" w:hAnsi="Times New Roman" w:cs="Times New Roman"/>
          <w:lang w:val="el-GR"/>
        </w:rPr>
        <w:t>Προσαρμογή της αξίας σημαίνει μεταβολή της συνολικής λογιστικής αξίας των πράξεων μετοχικού τύπου.</w:t>
      </w:r>
    </w:p>
  </w:footnote>
  <w:footnote w:id="11">
    <w:p>
      <w:pPr>
        <w:pStyle w:val="FootnoteText"/>
        <w:ind w:left="480" w:hanging="480"/>
        <w:jc w:val="both"/>
        <w:rPr>
          <w:lang w:val="el-GR"/>
        </w:rPr>
      </w:pPr>
      <w:r>
        <w:rPr>
          <w:rStyle w:val="FootnoteReference"/>
        </w:rPr>
        <w:footnoteRef/>
      </w:r>
      <w:r>
        <w:rPr>
          <w:lang w:val="el-GR"/>
        </w:rPr>
        <w:t xml:space="preserve"> </w:t>
      </w:r>
      <w:r>
        <w:rPr>
          <w:lang w:val="el-GR"/>
        </w:rPr>
        <w:tab/>
      </w:r>
      <w:r>
        <w:rPr>
          <w:rFonts w:ascii="Times New Roman" w:hAnsi="Times New Roman" w:cs="Times New Roman"/>
          <w:lang w:val="el-GR"/>
        </w:rPr>
        <w:t>Το ποσοστό-στόχος είχε αρχικά οριστεί από το άρθρο 12 παράγραφος 5 του κανονισμού για το ΕΤΣΕ στο 50</w:t>
      </w:r>
      <w:r>
        <w:rPr>
          <w:rFonts w:ascii="Times New Roman" w:hAnsi="Times New Roman" w:cs="Times New Roman"/>
          <w:lang w:val="fr"/>
        </w:rPr>
        <w:t> </w:t>
      </w:r>
      <w:r>
        <w:rPr>
          <w:rFonts w:ascii="Times New Roman" w:hAnsi="Times New Roman" w:cs="Times New Roman"/>
          <w:lang w:val="el-GR"/>
        </w:rPr>
        <w:t>% των συνολικών υποχρεώσεων εγγύησης της ΕΕ. Από την έναρξη ισχύος του κανονισμού ΕΤΣΕ 2.0, το ποσοστό-στόχος καθορίζεται στο 35</w:t>
      </w:r>
      <w:r>
        <w:rPr>
          <w:rFonts w:ascii="Times New Roman" w:hAnsi="Times New Roman" w:cs="Times New Roman"/>
          <w:lang w:val="fr"/>
        </w:rPr>
        <w:t> </w:t>
      </w:r>
      <w:r>
        <w:rPr>
          <w:rFonts w:ascii="Times New Roman" w:hAnsi="Times New Roman" w:cs="Times New Roman"/>
          <w:lang w:val="el-GR"/>
        </w:rPr>
        <w:t>% των συνολικών υποχρεώσεων εγγύησης της ΕΕ</w:t>
      </w:r>
      <w:r>
        <w:rPr>
          <w:rFonts w:ascii="Times New Roman" w:hAnsi="Times New Roman" w:cs="Times New Roman"/>
          <w:noProof/>
          <w:lang w:val="el-GR"/>
        </w:rPr>
        <w:t>.</w:t>
      </w:r>
    </w:p>
  </w:footnote>
  <w:footnote w:id="12">
    <w:p>
      <w:pPr>
        <w:pStyle w:val="FootnoteText"/>
        <w:ind w:left="480" w:hanging="480"/>
        <w:jc w:val="both"/>
        <w:rPr>
          <w:lang w:val="el-GR"/>
        </w:rPr>
      </w:pPr>
      <w:r>
        <w:rPr>
          <w:rStyle w:val="FootnoteReference"/>
          <w:rFonts w:ascii="Times New Roman" w:hAnsi="Times New Roman" w:cs="Times New Roman"/>
        </w:rPr>
        <w:footnoteRef/>
      </w:r>
      <w:r>
        <w:rPr>
          <w:rFonts w:ascii="Times New Roman" w:hAnsi="Times New Roman" w:cs="Times New Roman"/>
          <w:lang w:val="el-GR"/>
        </w:rPr>
        <w:t xml:space="preserve"> </w:t>
      </w:r>
      <w:r>
        <w:rPr>
          <w:rFonts w:ascii="Times New Roman" w:hAnsi="Times New Roman" w:cs="Times New Roman"/>
          <w:lang w:val="el-GR"/>
        </w:rPr>
        <w:tab/>
        <w:t>Βλ. τις εκθέσεις της Επιτροπής προς το Ευρωπαϊκό Κοινοβούλιο, το Συμβούλιο και το Ελεγκτικό Συνέδριο σχετικά με τη διαχείριση του ταμείου εγγυήσεων του ΕΤΣΕ το 2016 και το 2017.</w:t>
      </w:r>
    </w:p>
  </w:footnote>
  <w:footnote w:id="13">
    <w:p>
      <w:pPr>
        <w:pStyle w:val="FootnoteText"/>
        <w:ind w:left="480" w:hanging="480"/>
        <w:jc w:val="both"/>
        <w:rPr>
          <w:rFonts w:ascii="Times New Roman" w:hAnsi="Times New Roman" w:cs="Times New Roman"/>
          <w:lang w:val="el-GR"/>
        </w:rPr>
      </w:pPr>
      <w:r>
        <w:rPr>
          <w:rStyle w:val="FootnoteReference"/>
          <w:rFonts w:ascii="Times New Roman" w:hAnsi="Times New Roman" w:cs="Times New Roman"/>
        </w:rPr>
        <w:footnoteRef/>
      </w:r>
      <w:r>
        <w:rPr>
          <w:rFonts w:ascii="Times New Roman" w:hAnsi="Times New Roman" w:cs="Times New Roman"/>
          <w:lang w:val="el-GR"/>
        </w:rPr>
        <w:t xml:space="preserve"> </w:t>
      </w:r>
      <w:r>
        <w:rPr>
          <w:rFonts w:ascii="Times New Roman" w:hAnsi="Times New Roman" w:cs="Times New Roman"/>
          <w:lang w:val="el-GR"/>
        </w:rPr>
        <w:tab/>
        <w:t>Τα στοιχεία για τη διάρκεια αφορούν την «τροποποιημένη διάρκεια» που μετρά την ευαισθησία της τιμής ενός ομολόγου ως προς τις διακυμάνσεις επιτοκίου. Ο αριθμός αυτός βασίζεται στην παραδοχή ότι η τιμή μιας κινητής αξίας είναι αντιστρόφως ανάλογη ως προς τα επιτόκια.</w:t>
      </w:r>
    </w:p>
  </w:footnote>
  <w:footnote w:id="14">
    <w:p>
      <w:pPr>
        <w:pStyle w:val="FootnoteText"/>
        <w:ind w:left="480" w:hanging="480"/>
        <w:jc w:val="both"/>
        <w:rPr>
          <w:rFonts w:ascii="Times New Roman" w:hAnsi="Times New Roman" w:cs="Times New Roman"/>
          <w:lang w:val="el-GR"/>
        </w:rPr>
      </w:pPr>
      <w:r>
        <w:rPr>
          <w:rStyle w:val="FootnoteReference"/>
          <w:rFonts w:ascii="Times New Roman" w:hAnsi="Times New Roman" w:cs="Times New Roman"/>
        </w:rPr>
        <w:footnoteRef/>
      </w:r>
      <w:r>
        <w:rPr>
          <w:rFonts w:ascii="Times New Roman" w:hAnsi="Times New Roman" w:cs="Times New Roman"/>
          <w:lang w:val="el-GR"/>
        </w:rPr>
        <w:t xml:space="preserve"> </w:t>
      </w:r>
      <w:r>
        <w:rPr>
          <w:rFonts w:ascii="Times New Roman" w:hAnsi="Times New Roman" w:cs="Times New Roman"/>
          <w:lang w:val="el-GR"/>
        </w:rPr>
        <w:tab/>
        <w:t>Για παράδειγμα, η μέση απόδοση των γερμανικών 5ετών ομολόγων ήταν αρνητική κατά 34 μονάδες βάσης κατά το 2017.</w:t>
      </w:r>
    </w:p>
  </w:footnote>
  <w:footnote w:id="15">
    <w:p>
      <w:pPr>
        <w:pStyle w:val="FootnoteText"/>
        <w:ind w:left="480" w:hanging="480"/>
        <w:jc w:val="both"/>
        <w:rPr>
          <w:rFonts w:ascii="Times New Roman" w:hAnsi="Times New Roman" w:cs="Times New Roman"/>
          <w:lang w:val="el-GR"/>
        </w:rPr>
      </w:pPr>
      <w:r>
        <w:rPr>
          <w:rStyle w:val="FootnoteReference"/>
          <w:rFonts w:ascii="Times New Roman" w:hAnsi="Times New Roman" w:cs="Times New Roman"/>
        </w:rPr>
        <w:footnoteRef/>
      </w:r>
      <w:r>
        <w:rPr>
          <w:rFonts w:ascii="Times New Roman" w:hAnsi="Times New Roman" w:cs="Times New Roman"/>
          <w:lang w:val="el-GR"/>
        </w:rPr>
        <w:t xml:space="preserve"> </w:t>
      </w:r>
      <w:r>
        <w:rPr>
          <w:rFonts w:ascii="Times New Roman" w:hAnsi="Times New Roman" w:cs="Times New Roman"/>
          <w:lang w:val="el-GR"/>
        </w:rPr>
        <w:tab/>
        <w:t xml:space="preserve">Για παράδειγμα, οι αποδόσεις των 2ετών κρατικών ομολόγων των ΗΠΑ αυξήθηκαν κατά 69 μονάδες βάσης κατά το 2017. Ενώ οι αυξανόμενες αποδόσεις προσφέρουν καλύτερες ευκαιρίες επανεπένδυσης με την πάροδο του χρόνου, οδηγούν σε αρχικό αποτέλεσμα αρνητικής ανατίμησης. </w:t>
      </w:r>
    </w:p>
  </w:footnote>
  <w:footnote w:id="16">
    <w:p>
      <w:pPr>
        <w:pStyle w:val="FootnoteText"/>
        <w:ind w:left="480" w:hanging="480"/>
        <w:rPr>
          <w:sz w:val="16"/>
          <w:szCs w:val="16"/>
          <w:lang w:val="en-US"/>
        </w:rPr>
      </w:pPr>
      <w:r>
        <w:rPr>
          <w:rStyle w:val="FootnoteReference"/>
          <w:rFonts w:ascii="Times New Roman" w:hAnsi="Times New Roman" w:cs="Times New Roman"/>
        </w:rPr>
        <w:footnoteRef/>
      </w:r>
      <w:r>
        <w:rPr>
          <w:rFonts w:ascii="Times New Roman" w:hAnsi="Times New Roman" w:cs="Times New Roman"/>
        </w:rPr>
        <w:t>.</w:t>
      </w:r>
      <w:r>
        <w:rPr>
          <w:rFonts w:ascii="Times New Roman" w:hAnsi="Times New Roman" w:cs="Times New Roman"/>
        </w:rPr>
        <w:tab/>
        <w:t>SWD(2016) 297</w:t>
      </w:r>
    </w:p>
  </w:footnote>
  <w:footnote w:id="17">
    <w:p>
      <w:pPr>
        <w:pStyle w:val="FootnoteText"/>
        <w:rPr>
          <w:lang w:val="fr-BE"/>
        </w:rPr>
      </w:pPr>
      <w:r>
        <w:rPr>
          <w:rStyle w:val="FootnoteReference"/>
        </w:rPr>
        <w:footnoteRef/>
      </w:r>
      <w:r>
        <w:t>.</w:t>
      </w:r>
      <w:r>
        <w:tab/>
        <w:t>COM(2018) 439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DE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EB0178"/>
    <w:multiLevelType w:val="hybridMultilevel"/>
    <w:tmpl w:val="E88A9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6017D3"/>
    <w:multiLevelType w:val="hybridMultilevel"/>
    <w:tmpl w:val="6AACE47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E92B7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B061C02"/>
    <w:multiLevelType w:val="multilevel"/>
    <w:tmpl w:val="3BAEEE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9DA56DA"/>
    <w:multiLevelType w:val="hybridMultilevel"/>
    <w:tmpl w:val="6B565A1A"/>
    <w:lvl w:ilvl="0" w:tplc="B3BCD238">
      <w:start w:val="1"/>
      <w:numFmt w:val="bullet"/>
      <w:lvlText w:val="-"/>
      <w:lvlJc w:val="left"/>
      <w:pPr>
        <w:ind w:left="720" w:hanging="360"/>
      </w:pPr>
      <w:rPr>
        <w:rFonts w:ascii="Times New Roman" w:hAnsi="Times New Roman" w:cs="Times New Roman" w:hint="default"/>
      </w:rPr>
    </w:lvl>
    <w:lvl w:ilvl="1" w:tplc="62CE0D02">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1ED51D1"/>
    <w:multiLevelType w:val="multilevel"/>
    <w:tmpl w:val="DA047F9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F984DDE"/>
    <w:multiLevelType w:val="hybridMultilevel"/>
    <w:tmpl w:val="262A7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6"/>
  </w:num>
  <w:num w:numId="6">
    <w:abstractNumId w:val="1"/>
  </w:num>
  <w:num w:numId="7">
    <w:abstractNumId w:val="3"/>
  </w:num>
  <w:num w:numId="8">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telle Göger">
    <w15:presenceInfo w15:providerId="Windows Live" w15:userId="eb688eccb3f987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5F9B2A7-2E10-423F-A1C7-260A54DEF32B"/>
    <w:docVar w:name="LW_COVERPAGE_TYPE" w:val="1"/>
    <w:docVar w:name="LW_CROSSREFERENCE" w:val="&lt;UNUSED&gt;"/>
    <w:docVar w:name="LW_DocType" w:val="NORMAL"/>
    <w:docVar w:name="LW_EMISSION" w:val="29.6.2018"/>
    <w:docVar w:name="LW_EMISSION_ISODATE" w:val="2018-06-29"/>
    <w:docVar w:name="LW_EMISSION_LOCATION" w:val="BRX"/>
    <w:docVar w:name="LW_EMISSION_PREFIX" w:val="Βρυξέλλες, "/>
    <w:docVar w:name="LW_EMISSION_SUFFIX" w:val="&lt;EMPTY&gt;"/>
    <w:docVar w:name="LW_ID_DOCTYPE_NONLW" w:val="CP-006"/>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18) 4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913?\u957?\u945?\u955?\u965?\u964?\u953?\u954?\u942? \u941?\u954?\u952?\u949?\u963?\u951? \u960?\u961?\u959?\u962? \u964?\u959? \u917?\u965?\u961?\u969?\u960?\u945?\u970?\u954?\u972? \u922?\u959?\u953?\u957?\u959?\u946?\u959?\u973?\u955?\u953?\u959? \u954?\u945?\u953? \u964?\u959? \u931?\u965?\u956?\u946?\u959?\u973?\u955?\u953?\u959? \u963?\u967?\u949?\u964?\u953?\u954?\u940? \u956?\u949? \u964?\u951? \u967?\u961?\u942?\u963?\u951? \u964?\u951?\u962? \u949?\u947?\u947?\u973?\u951?\u963?\u951?\u962? \u964?\u951?\u962? \u917?\u917? \u947?\u953?\u945? \u964?\u959? \u917?\u965?\u961?\u969?\u960?\u945?\u970?\u954?\u972? \u932?\u945?\u956?\u949?\u943?\u959? \u931?\u964?\u961?\u945?\u964?\u951?\u947?\u953?\u954?\u974?\u957? \u917?\u960?\u949?\u957?\u948?\u973?\u963?\u949?\u969?\u957? (\u917?\u932?\u931?\u917?) \u954?\u945?\u953? \u964?\u951? \u955?\u949?\u953?\u964?\u959?\u965?\u961?\u947?\u943?\u945? \u964?\u959?\u965? \u964?\u945?\u956?\u949?\u943?\u959?\u965? \u949?\u947?\u947?\u965?\u942?\u963?\u949?\u969?\u957? \u964?\u959?\u965? \u917?\u965?\u961?\u969?\u960?\u945?\u970?\u954?\u959?\u973? \u932?\u945?\u956?\u949?\u943?\u959?\u965? \u931?\u964?\u961?\u945?\u964?\u951?\u947?\u953?\u954?\u974?\u957? \u917?\u960?\u949?\u957?\u948?\u973?\u963?\u949?\u969?\u957? (\u917?\u932?\u931?\u917?)"/>
    <w:docVar w:name="LW_TYPE.DOC.CP" w:val="\u917?\u922?\u920?\u917?\u931?\u919? \u932?\u919?\u931? \u917?\u928?\u921?\u932?\u929?\u927?\u928?\u919?\u931? \u928?\u929?\u927?\u931? \u932?\u927? \u917?\u933?\u929?\u937?\u928?\u913?\u938?\u922?\u927? \u922?\u927?\u921?\u925?\u927?\u914?\u927?\u933?\u923?\u921?\u927? \u922?\u913?\u921? \u932?\u927? \u931?\u933?\u924?\u914?\u927?\u933?\u923?\u921?\u927?"/>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pPr>
      <w:spacing w:after="100"/>
      <w:ind w:left="440"/>
    </w:p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pPr>
      <w:spacing w:after="100"/>
      <w:ind w:left="440"/>
    </w:p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package" Target="embeddings/Microsoft_Excel_Worksheet2.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
              <c:idx val="5"/>
              <c:layout>
                <c:manualLayout>
                  <c:x val="4.1379712593397087E-2"/>
                  <c:y val="0.11675228017649864"/>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'Fig.1 Invest mobilised_signed'!$B$4:$B$10</c:f>
              <c:strCache>
                <c:ptCount val="7"/>
                <c:pt idx="0">
                  <c:v>ΕΑΚ</c:v>
                </c:pt>
                <c:pt idx="1">
                  <c:v>Ενέργεια</c:v>
                </c:pt>
                <c:pt idx="2">
                  <c:v>Μεταφορές</c:v>
                </c:pt>
                <c:pt idx="3">
                  <c:v>ΜΜΕ και εταιρείες μεσαίας κεφαλαιοποίησης</c:v>
                </c:pt>
                <c:pt idx="4">
                  <c:v>Ψηφιακά</c:v>
                </c:pt>
                <c:pt idx="5">
                  <c:v>Περιβάλλον και αποδοτική χρήση των πόρων</c:v>
                </c:pt>
                <c:pt idx="6">
                  <c:v>Κοινωνικός τομέας</c:v>
                </c:pt>
              </c:strCache>
            </c:strRef>
          </c:cat>
          <c:val>
            <c:numRef>
              <c:f>'Fig.1 Invest mobilised_signed'!$D$4:$D$10</c:f>
              <c:numCache>
                <c:formatCode>0%;;"-"</c:formatCode>
                <c:ptCount val="7"/>
                <c:pt idx="0">
                  <c:v>0.23723432074597975</c:v>
                </c:pt>
                <c:pt idx="1">
                  <c:v>0.20755009777744626</c:v>
                </c:pt>
                <c:pt idx="2">
                  <c:v>7.5839922280863906E-2</c:v>
                </c:pt>
                <c:pt idx="3">
                  <c:v>0.29697270494689054</c:v>
                </c:pt>
                <c:pt idx="4">
                  <c:v>9.6017585215156187E-2</c:v>
                </c:pt>
                <c:pt idx="5">
                  <c:v>4.1858482499071467E-2</c:v>
                </c:pt>
                <c:pt idx="6">
                  <c:v>4.4526886534591817E-2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60684224816726"/>
          <c:y val="6.9779161325764519E-2"/>
          <c:w val="0.36726501141380319"/>
          <c:h val="0.9302206536326777"/>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6AE42F-5CFF-4445-BBC7-9FDAE4E6D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5220</TotalTime>
  <Pages>14</Pages>
  <Words>4058</Words>
  <Characters>22447</Characters>
  <Application>Microsoft Office Word</Application>
  <DocSecurity>0</DocSecurity>
  <Lines>408</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136</cp:revision>
  <cp:lastPrinted>2018-05-15T12:42:00Z</cp:lastPrinted>
  <dcterms:created xsi:type="dcterms:W3CDTF">2018-06-04T13:59:00Z</dcterms:created>
  <dcterms:modified xsi:type="dcterms:W3CDTF">2018-06-27T05:48:00Z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