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93AAC9E2-F6E8-4DA9-B551-DA4B0E5A1096" style="width:450.5pt;height:379.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>
      <w:pPr>
        <w:pStyle w:val="ManualHeading1"/>
        <w:rPr>
          <w:rFonts w:eastAsia="Arial Unicode MS"/>
          <w:noProof/>
        </w:rPr>
      </w:pPr>
      <w:r>
        <w:t>1.</w:t>
      </w:r>
      <w:r>
        <w:tab/>
      </w:r>
      <w:r>
        <w:rPr>
          <w:noProof/>
        </w:rPr>
        <w:t>Przedmiot wniosku</w:t>
      </w:r>
    </w:p>
    <w:p>
      <w:pPr>
        <w:rPr>
          <w:rFonts w:eastAsia="Arial Unicode MS"/>
          <w:noProof/>
        </w:rPr>
      </w:pPr>
      <w:r>
        <w:rPr>
          <w:noProof/>
        </w:rPr>
        <w:t xml:space="preserve">Niniejszy wniosek dotyczy decyzji ustanawiającej stanowisko, jakie ma zostać zajęte w imieniu Unii na 13. sesji Zgromadzenia Ogólnego Międzyrządowej Organizacji Międzynarodowych Przewozów Kolejami (OTIF), które ma się odbyć w dniach 25 i 26 września 2018 r., w odniesieniu do pewnych zmian Konwencji o międzynarodowym przewozie kolejami (COTIF) oraz jej załączników. Dokumenty dotyczące posiedzenia dostępne na stronie internetowej OTIF pod następującym adresem: </w:t>
      </w:r>
      <w:hyperlink r:id="rId16">
        <w:r>
          <w:rPr>
            <w:rStyle w:val="Hyperlink"/>
            <w:noProof/>
          </w:rPr>
          <w:t>http://extranet.otif.org/en/?page_id=1071</w:t>
        </w:r>
      </w:hyperlink>
      <w:r>
        <w:rPr>
          <w:noProof/>
        </w:rPr>
        <w:t>.</w:t>
      </w:r>
    </w:p>
    <w:p>
      <w:pPr>
        <w:pStyle w:val="ManualHeading1"/>
        <w:rPr>
          <w:noProof/>
        </w:rPr>
      </w:pPr>
      <w:r>
        <w:t>2.</w:t>
      </w:r>
      <w:r>
        <w:tab/>
      </w:r>
      <w:r>
        <w:rPr>
          <w:noProof/>
        </w:rPr>
        <w:t>Kontekst wniosku</w:t>
      </w:r>
    </w:p>
    <w:p>
      <w:pPr>
        <w:pStyle w:val="ManualHeading2"/>
        <w:rPr>
          <w:noProof/>
        </w:rPr>
      </w:pPr>
      <w:r>
        <w:t>2.1.</w:t>
      </w:r>
      <w:r>
        <w:tab/>
      </w:r>
      <w:r>
        <w:rPr>
          <w:noProof/>
        </w:rPr>
        <w:t>Konwencja o międzynarodowym przewozie kolejami (COTIF)</w:t>
      </w:r>
    </w:p>
    <w:p>
      <w:pPr>
        <w:rPr>
          <w:rFonts w:eastAsia="Arial Unicode MS"/>
          <w:noProof/>
        </w:rPr>
      </w:pPr>
      <w:r>
        <w:rPr>
          <w:noProof/>
        </w:rPr>
        <w:t>Konwencja COTIF reguluje funkcjonowanie organizacji OTIF, jej cele, zadania, stosunki z państwami członkowskimi i ogólne działania. Stronami Konwencji COTIF jest 46 państw, w tym 26 państw członkowskich UE, tj. wszystkie poza Maltą i Cyprem. Od 1 lipca 2011 r. Unia Europejska jest również umawiającą się stroną Konwencji COTIF.</w:t>
      </w:r>
    </w:p>
    <w:p>
      <w:pPr>
        <w:rPr>
          <w:rFonts w:eastAsia="Arial Unicode MS"/>
          <w:noProof/>
        </w:rPr>
      </w:pPr>
      <w:r>
        <w:rPr>
          <w:noProof/>
        </w:rPr>
        <w:t>Konwencja składa się z dwóch części: z samej konwencji oraz z siedmiu załączników ustanawiających jednolite prawo kolejowe, tj. techniczne wymogi funkcjonalne oraz wzory umów przewozu osób i towarów (załącznik A: Umowa międzynarodowego przewozu osób kolejami – CIV; załącznik B: Umowa międzynarodowego przewozu towarów kolejami – CIM; załącznik C: Międzynarodowy przewóz kolejami towarów niebezpiecznych – RID; załącznik D: Umowa użytkowania pojazdów w międzynarodowej komunikacji kolejowej – CUV; załącznik E: Umowa użytkowania infrastruktury w międzynarodowej komunikacji kolejowej – CUI; załącznik F: Zatwierdzanie norm technicznych oraz przyjmowanie ujednoliconych przepisów technicznych stosowanych do urządzeń kolejowych przeznaczonych do międzynarodowego przewozu – APTU; załącznik G: Dopuszczenie techniczne urządzeń kolejowych przeznaczonych do międzynarodowego przewozu – ATMF.</w:t>
      </w:r>
    </w:p>
    <w:p>
      <w:pPr>
        <w:pStyle w:val="ManualHeading2"/>
        <w:rPr>
          <w:noProof/>
        </w:rPr>
      </w:pPr>
      <w:r>
        <w:t>2.2.</w:t>
      </w:r>
      <w:r>
        <w:tab/>
      </w:r>
      <w:r>
        <w:rPr>
          <w:noProof/>
        </w:rPr>
        <w:t>Umowa między Unią Europejską a Międzyrządową Organizacją Międzynarodowych Przewozów Kolejami (OTIF)</w:t>
      </w:r>
    </w:p>
    <w:p>
      <w:pPr>
        <w:rPr>
          <w:rFonts w:eastAsia="Arial Unicode MS"/>
          <w:noProof/>
        </w:rPr>
      </w:pPr>
      <w:r>
        <w:rPr>
          <w:noProof/>
        </w:rPr>
        <w:t>W dniu 16 czerwca 2011 r. Rada przyjęła decyzję Rady 2013/103/UE w sprawie podpisania i zawarcia umowy między Unią Europejską a Międzyrządową Organizacją Międzynarodowych Przewozów Kolejami w sprawie przystąpienia Unii Europejskiej do Konwencji o międzynarodowym przewozie kolejami (COTIF) z dnia 9 maja 1980 r., zmienionej protokołem wileńskim z dnia 3 czerwca 1999 r. Umowa ta weszła w życie dnia 1 lipca 2011 r. Decyzja Rady 2013/103/UE stanowi, że Komisja reprezentuje Unię na posiedzeniach OTIF. Zawiera ona również oświadczenie Unii Europejskiej dotyczące wykonywania kompetencji (załącznik I) i ustalenia wewnętrzne dla Rady, państw członkowskich i Komisji dotyczące procedur w ramach OTIF (załącznik III).</w:t>
      </w:r>
    </w:p>
    <w:p>
      <w:pPr>
        <w:pStyle w:val="ManualHeading2"/>
        <w:rPr>
          <w:noProof/>
        </w:rPr>
      </w:pPr>
      <w:r>
        <w:t>2.3.</w:t>
      </w:r>
      <w:r>
        <w:tab/>
      </w:r>
      <w:r>
        <w:rPr>
          <w:noProof/>
        </w:rPr>
        <w:t>Zgromadzenie Ogólne OTIF</w:t>
      </w:r>
    </w:p>
    <w:p>
      <w:pPr>
        <w:rPr>
          <w:rFonts w:eastAsia="Arial Unicode MS"/>
          <w:noProof/>
        </w:rPr>
      </w:pPr>
      <w:r>
        <w:rPr>
          <w:noProof/>
        </w:rPr>
        <w:t>Zgromadzenie Ogólne jest najwyższym organem decyzyjnym OTIF. Odbywa ono sesję zwykłą co trzy lata. Może również zwołać sesje nadzwyczajne. Zgromadzenie Ogólne podejmuje decyzje w sprawie wniosków dotyczących zmiany konwencji. W zależności od przypadku, dwie trzecie lub połowa państw członkowskich musi zatwierdzić przyjęte zmiany. Ostatnia sesja Zgromadzenia Ogólnego odbyła się we wrześniu 2015 r.</w:t>
      </w:r>
    </w:p>
    <w:p>
      <w:pPr>
        <w:rPr>
          <w:rFonts w:eastAsia="Arial Unicode MS"/>
          <w:noProof/>
        </w:rPr>
      </w:pPr>
      <w:r>
        <w:rPr>
          <w:noProof/>
        </w:rPr>
        <w:t>Unia lub jej państwa członkowskie uczestniczą w tym procesie zgodnie z ustaleniami proceduralnymi w ramach OTIF, regulaminem wewnętrznym Zgromadzenia Ogólnego oraz postanowieniami umowy w sprawie przystąpienia Unii Europejskiej do Konwencji COTIF.</w:t>
      </w:r>
    </w:p>
    <w:p>
      <w:pPr>
        <w:rPr>
          <w:rFonts w:eastAsia="Arial Unicode MS"/>
          <w:noProof/>
        </w:rPr>
      </w:pPr>
      <w:r>
        <w:rPr>
          <w:noProof/>
        </w:rPr>
        <w:t>Kworum w Zgromadzeniu Ogólnym istnieje w przypadku, gdy większość lub dwie trzecie państw członkowskich OTIF, którym przysługuje prawo głosu, jest w nim reprezentowana podczas głosowania.</w:t>
      </w:r>
    </w:p>
    <w:p>
      <w:pPr>
        <w:pStyle w:val="ManualHeading2"/>
        <w:rPr>
          <w:noProof/>
        </w:rPr>
      </w:pPr>
      <w:r>
        <w:t>2.4.</w:t>
      </w:r>
      <w:r>
        <w:tab/>
      </w:r>
      <w:r>
        <w:rPr>
          <w:noProof/>
        </w:rPr>
        <w:t>Planowany akt</w:t>
      </w:r>
      <w:r>
        <w:t xml:space="preserve"> </w:t>
      </w:r>
      <w:r>
        <w:rPr>
          <w:noProof/>
        </w:rPr>
        <w:t>Zgromadzenia Ogólnego OTIF</w:t>
      </w:r>
    </w:p>
    <w:p>
      <w:pPr>
        <w:rPr>
          <w:rFonts w:eastAsia="Arial Unicode MS"/>
          <w:noProof/>
        </w:rPr>
      </w:pPr>
      <w:r>
        <w:rPr>
          <w:noProof/>
        </w:rPr>
        <w:t>Oczekuje się, że w dniach 25 i 26 września 2018 r., na swojej 13. sesji, Zgromadzenie Ogólne OTIF</w:t>
      </w:r>
      <w:r>
        <w:t xml:space="preserve"> </w:t>
      </w:r>
      <w:r>
        <w:rPr>
          <w:noProof/>
        </w:rPr>
        <w:t>przyjmie pewne zmiany Konwencji COTIF oraz jej załączników E (Umowa użytkowania infrastruktury w międzynarodowej komunikacji kolejowej – CUI), G (Dopuszczenie techniczne urządzeń kolejowych przeznaczonych do międzynarodowego przewozu – ATMF), a także decyzję w sprawie przyjęcia nowego załącznika H do Konwencji COTIF dotyczącego bezpiecznej eksploatacji pociągów w ruchu międzynarodowym.</w:t>
      </w:r>
    </w:p>
    <w:p>
      <w:pPr>
        <w:rPr>
          <w:rFonts w:eastAsia="Arial Unicode MS"/>
          <w:noProof/>
        </w:rPr>
      </w:pPr>
      <w:r>
        <w:rPr>
          <w:noProof/>
        </w:rPr>
        <w:t>Planowany akt stanie się wiążący dla stron zgodnie z art. 33 i 34 Konwencji COTIF, który stanowi (art. 34), że:</w:t>
      </w:r>
    </w:p>
    <w:p>
      <w:pPr>
        <w:rPr>
          <w:rFonts w:eastAsia="Arial Unicode MS"/>
          <w:i/>
          <w:noProof/>
        </w:rPr>
      </w:pPr>
      <w:r>
        <w:rPr>
          <w:i/>
          <w:noProof/>
        </w:rPr>
        <w:t>§ 1 Sekretarz Generalny powiadamia państwa członkowskie o zmianach Konwencji przyjętych przez Zgromadzenie Ogólne.</w:t>
      </w:r>
    </w:p>
    <w:p>
      <w:pPr>
        <w:rPr>
          <w:rFonts w:eastAsia="Arial Unicode MS"/>
          <w:i/>
          <w:noProof/>
        </w:rPr>
      </w:pPr>
      <w:r>
        <w:rPr>
          <w:i/>
          <w:noProof/>
        </w:rPr>
        <w:t>§ 2 Zmiany dotyczące postanowień samej Konwencji, przyjęte przez Zgromadzenie Ogólne, wchodzą w życie po upływie dwunastu miesięcy od dnia ich zatwierdzenia przez dwie trzecie Państw Członkowskich. Zmiany wchodzą w życie dla wszystkich Państw Członkowskich, z wyjątkiem tych państw, które przed ich wejściem w życie złożyły oświadczenie zgodnie, z którym nie zatwierdzają tych zmian.</w:t>
      </w:r>
    </w:p>
    <w:p>
      <w:pPr>
        <w:rPr>
          <w:rFonts w:eastAsia="Arial Unicode MS"/>
          <w:i/>
          <w:noProof/>
        </w:rPr>
      </w:pPr>
      <w:r>
        <w:rPr>
          <w:i/>
          <w:noProof/>
        </w:rPr>
        <w:t>§ 3 Zmiany dotyczące postanowień załączników do Konwencji, przyjęte przez Zgromadzenie Ogólne, wchodzą w życie po upływie dwunastu miesięcy od dnia ich zatwierdzenia przez połowę państw członkowskich, które nie złożyły oświadczenia, o którym mowa w art. 42 § 1, pierwsze zdanie. Zmiany wchodzą w życie dla wszystkich państw członkowskich, z wyjątkiem tych państw, które przed ich wejściem w życie złożyły oświadczenie zgodnie, z którym nie zatwierdzają tych zmian, oraz z wyjątkiem tych państw, które złożyły oświadczenie, o którym mowa w art. 42 § 1, zdanie pierwsze.</w:t>
      </w:r>
    </w:p>
    <w:p>
      <w:pPr>
        <w:rPr>
          <w:rFonts w:eastAsia="Arial Unicode MS"/>
          <w:noProof/>
        </w:rPr>
      </w:pPr>
      <w:r>
        <w:rPr>
          <w:noProof/>
        </w:rPr>
        <w:t>Na swojej 13. sesji Zgromadzenie Ogólne podejmie również decyzję w sprawie pewnych dodatkowych kwestii, takich jak zmiana regulaminu wewnętrznego, wybór Sekretarza Generalnego OTIF, wybór członków Komitetu Administracyjnego.</w:t>
      </w:r>
    </w:p>
    <w:p>
      <w:pPr>
        <w:pStyle w:val="ManualHeading1"/>
        <w:rPr>
          <w:rFonts w:eastAsia="Arial Unicode MS"/>
          <w:noProof/>
        </w:rPr>
      </w:pPr>
      <w:r>
        <w:t>3.</w:t>
      </w:r>
      <w:r>
        <w:tab/>
      </w:r>
      <w:r>
        <w:rPr>
          <w:noProof/>
        </w:rPr>
        <w:t>Stanowisko, jakie ma być zajęte w imieniu Unii</w:t>
      </w:r>
    </w:p>
    <w:p>
      <w:pPr>
        <w:rPr>
          <w:noProof/>
        </w:rPr>
      </w:pPr>
      <w:r>
        <w:rPr>
          <w:noProof/>
        </w:rPr>
        <w:t>Wszystkie istotne kwestie, którymi należy się zająć na 13. sesji Zgromadzenia Ogólnego OTIF, były przedmiotem wcześniejszych rozmów lub zatwierdzenia na 26. sesji Komisji Rewizyjnej w lutym 2018 r. Dotyczy to w szczególności pozycji 10, 12, 13 i 14. W związku z tym, w stosownych przypadkach, stanowisko, jakie ma zostać zajęte w imieniu Unii, oraz określenie zasad wykonywania prawa głosu w imieniu Unii opiera się na decyzji Rady (UE) 2018/319</w:t>
      </w:r>
      <w:r>
        <w:rPr>
          <w:rStyle w:val="FootnoteReference"/>
          <w:noProof/>
        </w:rPr>
        <w:footnoteReference w:id="1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Poniżej zebrano wyjaśnienia i uzasadnienie dotyczące stanowiska:</w:t>
      </w:r>
    </w:p>
    <w:p>
      <w:pPr>
        <w:rPr>
          <w:noProof/>
          <w:u w:val="single"/>
        </w:rPr>
      </w:pPr>
      <w:r>
        <w:rPr>
          <w:noProof/>
          <w:u w:val="single"/>
        </w:rPr>
        <w:t>Punkt 5 porządku obrad – Zmiana regulaminu wewnętrznego</w:t>
      </w:r>
    </w:p>
    <w:p>
      <w:pPr>
        <w:rPr>
          <w:noProof/>
        </w:rPr>
      </w:pPr>
      <w:r>
        <w:rPr>
          <w:noProof/>
        </w:rPr>
        <w:t>Proponowany projekt zmian regulaminu wewnętrznego Zgromadzenia Ogólnego OTIF odnosi się do terminów składania i wysyłki dokumentów, udziału niezależnych ekspertów oraz wyjaśnienia postanowień dotyczących wykonywania praw przez organizacje regionalne. Obecna wersja regulaminu wewnętrznego pochodzi sprzed przystąpienia Unii do Konwencji COTIF; należy zatem zaktualizować niektóre postanowienia, w szczególności postanowienia ustanawiające kworum i regulujące prawa Unii do głosowania (art. 20 i 21), które muszą zostać zmienione w celu zapewnienia zgodności z art. 38 Konwencji COTIF i umową UE-OTIF. Pozostałe proponowane zmiany mają na celu zapewnienie prawidłowego funkcjonowania Zgromadzenia Ogólnego na podstawie najlepszych dostępnych praktyk międzynarodowych i praktyk OTIF; powinny one również zostać poparte.</w:t>
      </w:r>
    </w:p>
    <w:p>
      <w:pPr>
        <w:rPr>
          <w:noProof/>
          <w:u w:val="single"/>
        </w:rPr>
      </w:pPr>
      <w:r>
        <w:rPr>
          <w:noProof/>
          <w:u w:val="single"/>
        </w:rPr>
        <w:t>Punkt 8 porządku obrad – Współpraca z organizacjami i stowarzyszeniami międzynarodowymi</w:t>
      </w:r>
    </w:p>
    <w:p>
      <w:pPr>
        <w:rPr>
          <w:noProof/>
        </w:rPr>
      </w:pPr>
      <w:r>
        <w:rPr>
          <w:noProof/>
        </w:rPr>
        <w:t>Wniosek Sekretariatu OTIF obejmuje decyzję Zgromadzenia Ogólnego upoważniającą Komitet Administracyjny do ustanawiania i rozwiązywania kontaktowych grup konsultacyjnych z innymi organizacjami i stowarzyszeniami międzynarodowymi oraz do nadzoru nad funkcjonowaniem takich grup. Na tym etapie Unia dąży do realizacji celu, jakim jest zapewnienie pewnego stopnia elastyczności w przedmiotowych kwestiach. Unia nie może jednak przyjąć wniosku jako takiego, ponieważ przewiduje on powierzenie Komitetowi Administracyjnemu nowego zadania wykraczającego poza zadania określone w art. 15 § 2 Konwencji COTIF, bez jej formalnej zmiany zgodnie z obowiązującymi procedurami.</w:t>
      </w:r>
    </w:p>
    <w:p>
      <w:pPr>
        <w:rPr>
          <w:noProof/>
          <w:szCs w:val="24"/>
        </w:rPr>
      </w:pPr>
      <w:r>
        <w:rPr>
          <w:noProof/>
        </w:rPr>
        <w:t>Unia powinna zatem sprzeciwić się wnioskowi Sekretariatu OTIF i w zamian zaproponować, aby Zgromadzenie Ogólne tymczasowo ustanowiło komitet doraźny, zgodnie z art. 13 § 2 konwencji, którego zadaniem byłoby ustanawianie i rozwiązywanie kontaktowych grup konsultacyjnych z innymi organizacjami i stowarzyszeniami międzynarodowymi oraz nadzór nad funkcjonowaniem takich grup. Działania komitetu powinny być realizowane w ramach i na podstawie programu prac OTIF. W tym względzie należy pamiętać, że takie zadania mają praktyczne implikacje dla opracowywania polityk na poziomie OTIF we wszystkich obszarach. Konieczne jest zatem zagwarantowanie, aby Unia w pełni uczestniczyła w tych działaniach, zgodnie z art. 5 ust. 1 umowy o przystąpieniu.</w:t>
      </w:r>
    </w:p>
    <w:p>
      <w:pPr>
        <w:rPr>
          <w:noProof/>
          <w:szCs w:val="24"/>
        </w:rPr>
      </w:pPr>
      <w:r>
        <w:rPr>
          <w:noProof/>
        </w:rPr>
        <w:t xml:space="preserve">Okres czterech lat powinien być odpowiedni, aby stwierdzić przed jego upływem, czy zdobyte doświadczenie jest zadowalające. W przypadku zadowalającego doświadczenia oraz w następstwie należytego przygotowania można rozważyć zmianę konwencji w odniesieniu do rozwiązania strukturalnego, zgodnie z gwarancjami dla Unii ustanowionymi w art. 5 ust. 1 umowy o przystąpieniu. </w:t>
      </w:r>
    </w:p>
    <w:p>
      <w:pPr>
        <w:rPr>
          <w:noProof/>
          <w:u w:val="single"/>
        </w:rPr>
      </w:pPr>
      <w:r>
        <w:rPr>
          <w:noProof/>
          <w:u w:val="single"/>
        </w:rPr>
        <w:t>Punkt 10 porządku obrad – Częściowa zmiana konwencji podstawowej: zmiana procedury przeglądu COTIF</w:t>
      </w:r>
    </w:p>
    <w:p>
      <w:pPr>
        <w:rPr>
          <w:noProof/>
        </w:rPr>
      </w:pPr>
      <w:r>
        <w:rPr>
          <w:noProof/>
        </w:rPr>
        <w:t>Zgodnie z wynikiem rozmów na ten temat na 26. sesji Komisji Rewizyjnej w lutym 2018 r. konieczne i wskazane jest poparcie proponowanej zmiany Konwencji COTIF, w celu wprowadzenia ustalonego okresu (36 miesięcy) na wejście w życie zmian w załącznikach przyjętych przez Zgromadzenie Ogólne, w tym klauzuli elastyczności pozwalającej na przedłużenie tego terminu w poszczególnych przypadkach, jeżeli tak postanowi Zgromadzenie Ogólne większością głosów przewidzianą na podstawie art. 14 § 6 Konwencji COTIF. Propozycja ma na celu udoskonalenie i uproszczenie procedury przeglądu Konwencji COTIF w celu spójnego i szybkiego wprowadzenia zmian Konwencji COTIF i jej załączników oraz w celu zapobieżenia niekorzystnemu wpływowi obecnej długotrwałej procedury wprowadzania zmian, w tym także ryzyku wystąpienia wewnętrznych rozbieżności między zmianami przyjętymi przez Komisję Rewizyjną i przez Zgromadzenie Ogólne, jak również ryzyku wystąpienia rozbieżności zewnętrznych, w szczególności z prawem Unii.</w:t>
      </w:r>
    </w:p>
    <w:p>
      <w:pPr>
        <w:rPr>
          <w:noProof/>
          <w:u w:val="single"/>
        </w:rPr>
      </w:pPr>
      <w:r>
        <w:rPr>
          <w:noProof/>
          <w:u w:val="single"/>
        </w:rPr>
        <w:t>Punkt 12 porządku obrad – Częściowa zmiana PU CUI</w:t>
      </w:r>
    </w:p>
    <w:p>
      <w:pPr>
        <w:rPr>
          <w:noProof/>
        </w:rPr>
      </w:pPr>
      <w:r>
        <w:rPr>
          <w:noProof/>
        </w:rPr>
        <w:t>Zgodnie ze zmianami zatwierdzonymi na 26. sesji Komisji Rewizyjnej w lutym 2018 r. należy poprzeć zmiany w PU CUI, których zasadniczym celem jest doprecyzowanie zakresu PU CUI poprzez wprowadzenie w art. 3 definicji międzynarodowego ruchu kolejowego oznaczającego ruch wymagający zastosowania międzynarodowej trasy pociągu lub kilku kolejnych krajowych tras pociągu zlokalizowanych w co najmniej dwóch państwach i koordynowanych przez odpowiednich zarządców infrastruktury, a także poprzez odpowiednią zmianę art. 1 (Zakres), przy zachowaniu powiązania z PU CIV i CIM. Celem jest zapewnienie, aby PU CUI były bardziej systematycznie stosowane zgodnie z ich przeznaczeniem, tj. w międzynarodowym ruchu kolejowym. Projekty zmian są zgodne z definicjami i przepisami dorobku prawnego Unii w zakresie zarządzania infrastrukturą kolejową i koordynacji między zarządcami infrastruktury (np. art. 40, 43 i 46 dyrektywy 2012/34/UE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(wersja przekształcona)). Jeżeli chodzi o projekt zmiany art. 8 (Odpowiedzialność zarządzającego), jest to zasadniczo poprawka redakcyjna i nie ma żadnego wpływu na zakres lub treść postanowienia. Projekty zmian art. 9 oraz art. 3, 5, 5bis, 7 i 10 są ściśle redakcyjne.</w:t>
      </w:r>
    </w:p>
    <w:p>
      <w:pPr>
        <w:rPr>
          <w:noProof/>
          <w:u w:val="single"/>
        </w:rPr>
      </w:pPr>
      <w:r>
        <w:rPr>
          <w:noProof/>
          <w:u w:val="single"/>
        </w:rPr>
        <w:t>Punkt 13 porządku obrad – Częściowa zmiana PU ATMF</w:t>
      </w:r>
    </w:p>
    <w:p>
      <w:pPr>
        <w:rPr>
          <w:noProof/>
        </w:rPr>
      </w:pPr>
      <w:r>
        <w:rPr>
          <w:noProof/>
        </w:rPr>
        <w:t>Częściowa zmiana PU ATMF została przyjęta na 26. sesji Komisji Rewizyjnej. Zmiana ta wiązała się jednak również z pewnymi niewielkimi zmianami redakcyjnymi lub językowymi w art. 1, 3 i 9 PU ATMF, które nie wchodzą w zakres kompetencji Komisji Rewizyjnej. Powinny one zatem zostać przyjęte przez Zgromadzenie Ogólne. PU ATMF są zgodne z przepisami unijnej dyrektywy 2008/57/WE w sprawie interoperacyjności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i z częścią dyrektywy 2004/49/WE w sprawie bezpieczeństwa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. Wraz z przyjęciem w 2016 r. czwartego pakietu kolejowego Unia zmieniła niektóre przepisy dorobku prawnego. Na podstawie analizy Komisji Sekretariat OTIF i odpowiednia grupa robocza przygotowali zmiany dotyczące art. 2, 3a, 5, 6, 7, 10, 10b, 11 i 13 PU ATMF. Zmiany te są konieczne, aby zharmonizować niektóre terminy z nowymi przepisami UE oraz aby uwzględnić pewne zmiany proceduralne w UE, w szczególności fakt, że Agencja Kolejowa Unii Europejskiej będzie organem właściwym do wydawania zezwoleń dla pojazdów. Proponowane zmiany nie mają wpływu na podstawową koncepcję ATMF. </w:t>
      </w:r>
    </w:p>
    <w:p>
      <w:pPr>
        <w:rPr>
          <w:noProof/>
          <w:u w:val="single"/>
        </w:rPr>
      </w:pPr>
      <w:r>
        <w:rPr>
          <w:noProof/>
          <w:u w:val="single"/>
        </w:rPr>
        <w:t>Punkt 14 porządku obrad – Nowy załącznik H dotyczący bezpiecznej eksploatacji pociągów w ruchu międzynarodowym</w:t>
      </w:r>
    </w:p>
    <w:p>
      <w:pPr>
        <w:rPr>
          <w:noProof/>
        </w:rPr>
      </w:pPr>
      <w:r>
        <w:rPr>
          <w:noProof/>
        </w:rPr>
        <w:t>W projekcie nowego załącznika H określono przepisy regulujące bezpieczną eksploatację pociągów w ruchu międzynarodowym w celu harmonizacji Konwencji COTIF z dorobkiem prawnym Unii oraz wsparcia interoperacyjności poza granicami Unii Europejskiej. Proponowany tekst jest zgodny z przepisami nowej dyrektywy (UE) 2016/798 w sprawie bezpieczeństwa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i powiązanego prawa wtórnego. Wniosek o włączenie tego nowego załącznika H powinien zostać poparty. W tym celu konieczna jest również zmiana niektórych postanowień Konwencji COTIF.</w:t>
      </w:r>
    </w:p>
    <w:p>
      <w:pPr>
        <w:rPr>
          <w:noProof/>
        </w:rPr>
      </w:pPr>
      <w:r>
        <w:rPr>
          <w:noProof/>
        </w:rPr>
        <w:t>Proponowane teksty przedkłada się Zgromadzeniu Ogólnemu na podstawie decyzji z 26. sesji Komisji Rewizyjnej i są one w pełni zgodne ze stanowiskiem Unii, które zostało określone przed posiedzeniem Komisji Rewizyjnej.</w:t>
      </w:r>
    </w:p>
    <w:p>
      <w:pPr>
        <w:pStyle w:val="ManualHeading1"/>
        <w:rPr>
          <w:noProof/>
        </w:rPr>
      </w:pPr>
      <w:r>
        <w:t>4.</w:t>
      </w:r>
      <w:r>
        <w:tab/>
      </w:r>
      <w:r>
        <w:rPr>
          <w:noProof/>
        </w:rPr>
        <w:t>Podstawa prawna</w:t>
      </w:r>
    </w:p>
    <w:p>
      <w:pPr>
        <w:pStyle w:val="ManualHeading2"/>
        <w:rPr>
          <w:noProof/>
        </w:rPr>
      </w:pPr>
      <w:r>
        <w:t>4.1.</w:t>
      </w:r>
      <w:r>
        <w:tab/>
      </w:r>
      <w:r>
        <w:rPr>
          <w:noProof/>
        </w:rPr>
        <w:t>Proceduralna podstawa prawna</w:t>
      </w:r>
    </w:p>
    <w:p>
      <w:pPr>
        <w:rPr>
          <w:noProof/>
        </w:rPr>
      </w:pPr>
      <w:r>
        <w:rPr>
          <w:noProof/>
        </w:rPr>
        <w:t xml:space="preserve">Art. 218 ust. 9 Traktatu o funkcjonowaniu Unii Europejskiej (TFUE) określa tryb przyjmowania decyzji ustalających </w:t>
      </w:r>
      <w:r>
        <w:rPr>
          <w:i/>
          <w:noProof/>
        </w:rPr>
        <w:t>stanowiska, które mają być zajęte w imieniu Unii w ramach organu utworzonego przez umowę, gdy organ ten ma przyjąć akty mające skutki prawne, z wyjątkiem aktów uzupełniających lub zmieniających ramy instytucjonalne umowy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 xml:space="preserve">Pojęcie </w:t>
      </w:r>
      <w:r>
        <w:rPr>
          <w:i/>
          <w:noProof/>
        </w:rPr>
        <w:t>akty mające skutki prawne</w:t>
      </w:r>
      <w:r>
        <w:rPr>
          <w:noProof/>
        </w:rPr>
        <w:t xml:space="preserve"> obejmuje akty, które mają skutki prawne na mocy przepisów prawa międzynarodowego dotyczących danego organu. Obejmuje ono ponadto instrumenty, które nie są wiążące na mocy prawa międzynarodowego, ale mogą „</w:t>
      </w:r>
      <w:r>
        <w:rPr>
          <w:i/>
          <w:noProof/>
        </w:rPr>
        <w:t>w sposób decydujący wywrzeć wpływ na treść przepisów przyjętych przez prawodawcę Unii</w:t>
      </w:r>
      <w:r>
        <w:rPr>
          <w:noProof/>
        </w:rPr>
        <w:t>”</w:t>
      </w:r>
      <w:r>
        <w:rPr>
          <w:rStyle w:val="FootnoteReference"/>
          <w:noProof/>
        </w:rPr>
        <w:footnoteReference w:id="6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 xml:space="preserve">Zgromadzenie Ogólne OTIF jest organem utworzonym na mocy umowy, a mianowicie Konwencji o międzynarodowym przewozie kolejami (COTIF). Akty, które mają zostać przyjęte przez Zgromadzenie Ogólne OTIF, stanowią akty mające skutki prawne. Planowane akty mogą w sposób decydujący wywrzeć wpływ na treść przepisów UE w dziedzinie transportu kolejowego. </w:t>
      </w:r>
    </w:p>
    <w:p>
      <w:pPr>
        <w:rPr>
          <w:noProof/>
        </w:rPr>
      </w:pPr>
      <w:r>
        <w:rPr>
          <w:noProof/>
        </w:rPr>
        <w:t>Planowane akty nie uzupełniają ani nie zmieniają ram instytucjonalnych umowy.</w:t>
      </w:r>
    </w:p>
    <w:p>
      <w:pPr>
        <w:rPr>
          <w:noProof/>
        </w:rPr>
      </w:pPr>
      <w:r>
        <w:rPr>
          <w:noProof/>
        </w:rPr>
        <w:t>W związku z tym proceduralną podstawę prawną wnioskowanej decyzji stanowi art. 218 ust. 9 TFUE.</w:t>
      </w:r>
    </w:p>
    <w:p>
      <w:pPr>
        <w:pStyle w:val="ManualHeading2"/>
        <w:rPr>
          <w:noProof/>
        </w:rPr>
      </w:pPr>
      <w:r>
        <w:t>4.2.</w:t>
      </w:r>
      <w:r>
        <w:tab/>
      </w:r>
      <w:r>
        <w:rPr>
          <w:noProof/>
        </w:rPr>
        <w:t>Materialna podstawa prawna</w:t>
      </w:r>
    </w:p>
    <w:p>
      <w:pPr>
        <w:rPr>
          <w:noProof/>
        </w:rPr>
      </w:pPr>
      <w:r>
        <w:rPr>
          <w:noProof/>
        </w:rPr>
        <w:t>Materialna podstawa prawna decyzji na podstawie art. 218 ust. 9 TFUE zależy przede wszystkim od celu i treści planowanego aktu, w którego kwestii ma zostać zajęte stanowisko w imieniu Unii. Jeżeli planowany akt ma dwojaki cel lub dwa elementy składowe, a jeden z tych celów lub elementów da się określić jako główny, zaś drugi ma jedynie pomocniczy charakter, decyzja przyjęta na podstawie art. 218 ust. 9 TFUE musi mieć jedną materialną podstawę prawną, tj. podstawę, której wymaga główny lub dominujący cel lub element składowy.</w:t>
      </w:r>
    </w:p>
    <w:p>
      <w:pPr>
        <w:rPr>
          <w:noProof/>
        </w:rPr>
      </w:pPr>
      <w:r>
        <w:rPr>
          <w:noProof/>
        </w:rPr>
        <w:t xml:space="preserve">Główny cel i treść planowanego aktu prawnego odnoszą się do transportu kolejowego. </w:t>
      </w:r>
    </w:p>
    <w:p>
      <w:pPr>
        <w:rPr>
          <w:i/>
          <w:noProof/>
        </w:rPr>
      </w:pPr>
      <w:r>
        <w:rPr>
          <w:noProof/>
        </w:rPr>
        <w:t>Materialną podstawą prawną proponowanej decyzji jest zatem art. 91 TFUE.</w:t>
      </w:r>
    </w:p>
    <w:p>
      <w:pPr>
        <w:pStyle w:val="ManualHeading2"/>
        <w:rPr>
          <w:noProof/>
        </w:rPr>
      </w:pPr>
      <w:r>
        <w:t>4.3.</w:t>
      </w:r>
      <w:r>
        <w:tab/>
      </w:r>
      <w:r>
        <w:rPr>
          <w:noProof/>
        </w:rPr>
        <w:t>Wniosek</w:t>
      </w:r>
    </w:p>
    <w:p>
      <w:pPr>
        <w:rPr>
          <w:noProof/>
        </w:rPr>
      </w:pPr>
      <w:r>
        <w:rPr>
          <w:noProof/>
        </w:rPr>
        <w:t>Podstawą prawną proponowanej decyzji powinien być art. 91 TFUE w związku z art. 218 ust. 9 TFUE.</w:t>
      </w:r>
    </w:p>
    <w:p>
      <w:pPr>
        <w:pStyle w:val="ManualHeading1"/>
        <w:rPr>
          <w:noProof/>
        </w:rPr>
      </w:pPr>
      <w:r>
        <w:t>5.</w:t>
      </w:r>
      <w:r>
        <w:tab/>
      </w:r>
      <w:r>
        <w:rPr>
          <w:noProof/>
        </w:rPr>
        <w:t>Publikacja planowanego aktu</w:t>
      </w:r>
    </w:p>
    <w:p>
      <w:pPr>
        <w:rPr>
          <w:noProof/>
        </w:rPr>
      </w:pPr>
      <w:r>
        <w:rPr>
          <w:noProof/>
        </w:rPr>
        <w:t>Ponieważ akt Zgromadzenia Ogólnego OTIF zmieni Konwencję COTIF i jej niektóre załączniki,</w:t>
      </w:r>
      <w:r>
        <w:t xml:space="preserve"> </w:t>
      </w:r>
      <w:r>
        <w:rPr>
          <w:noProof/>
        </w:rPr>
        <w:t>należy opublikować go w </w:t>
      </w:r>
      <w:r>
        <w:rPr>
          <w:i/>
          <w:noProof/>
        </w:rPr>
        <w:t>Dzienniku Urzędowym Unii Europejskiej</w:t>
      </w:r>
      <w:r>
        <w:rPr>
          <w:noProof/>
        </w:rPr>
        <w:t xml:space="preserve"> po jego przyjęciu.</w:t>
      </w:r>
    </w:p>
    <w:p>
      <w:pPr>
        <w:rPr>
          <w:noProof/>
        </w:rPr>
        <w:sectPr>
          <w:footerReference w:type="default" r:id="rId17"/>
          <w:footerReference w:type="first" r:id="rId18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2018/0295 (NLE)</w:t>
      </w:r>
    </w:p>
    <w:p>
      <w:pPr>
        <w:pStyle w:val="Statut"/>
        <w:rPr>
          <w:noProof/>
        </w:rPr>
      </w:pPr>
      <w:r>
        <w:rPr>
          <w:noProof/>
        </w:rPr>
        <w:t>Wniosek</w:t>
      </w:r>
    </w:p>
    <w:p>
      <w:pPr>
        <w:pStyle w:val="Typedudocument"/>
        <w:rPr>
          <w:noProof/>
        </w:rPr>
      </w:pPr>
      <w:r>
        <w:rPr>
          <w:noProof/>
        </w:rPr>
        <w:t>DECYZJA RADY</w:t>
      </w:r>
    </w:p>
    <w:p>
      <w:pPr>
        <w:pStyle w:val="Titreobjet"/>
        <w:rPr>
          <w:noProof/>
        </w:rPr>
      </w:pPr>
      <w:r>
        <w:rPr>
          <w:noProof/>
        </w:rPr>
        <w:t>w sprawie stanowiska, jakie ma zostać zajęte w imieniu Unii Europejskiej na 13. sesji Zgromadzenia Ogólnego Międzyrządowej Organizacji Międzynarodowych Przewozów Kolejami (OTIF) w odniesieniu do pewnych zmian Konwencji o międzynarodowym przewozie kolejami (COTIF) oraz jej załączników</w:t>
      </w:r>
    </w:p>
    <w:p>
      <w:pPr>
        <w:pStyle w:val="Institutionquiagit"/>
        <w:rPr>
          <w:b/>
          <w:noProof/>
        </w:rPr>
      </w:pPr>
      <w:r>
        <w:rPr>
          <w:b/>
          <w:noProof/>
        </w:rPr>
        <w:t>RADA UNII EUROPEJSKIEJ,</w:t>
      </w:r>
    </w:p>
    <w:p>
      <w:pPr>
        <w:rPr>
          <w:noProof/>
        </w:rPr>
      </w:pPr>
      <w:r>
        <w:rPr>
          <w:noProof/>
        </w:rPr>
        <w:t>uwzględniając Traktat o funkcjonowaniu Unii Europejskiej, w szczególności jego art. 91 w związku z art. 218 ust. 9,</w:t>
      </w:r>
    </w:p>
    <w:p>
      <w:pPr>
        <w:rPr>
          <w:noProof/>
        </w:rPr>
      </w:pPr>
      <w:r>
        <w:rPr>
          <w:noProof/>
        </w:rPr>
        <w:t>uwzględniając wniosek Komisji Europejskiej,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Unia przystąpiła do Konwencji o międzynarodowym przewozie kolejami z dnia 9 maja 1980 r., zmienionej protokołem wileńskim z dnia 3 czerwca 1999 r. (zwanej dalej „Konwencją COTIF”), na mocy decyzji Rady 2013/103/UE</w:t>
      </w:r>
      <w:r>
        <w:rPr>
          <w:rStyle w:val="FootnoteReference"/>
          <w:noProof/>
        </w:rPr>
        <w:footnoteReference w:id="7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Decyzja Rady 2013/103/UE stanowi, że Komisja reprezentuje Unię na posiedzeniach Międzyrządowej Organizacji Międzynarodowych Przewozów Kolejami (OTIF).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Wszystkie państwa członkowskie, z wyjątkiem Cypru i Malty, są umawiającymi się stronami Konwencji COTIF i stosują ją.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Zgromadzenie Ogólne OTIF powołano zgodnie z art. 13 ust. 1 lit. a) Konwencji COTIF („Zgromadzenie Ogólne”). Oczekuje się, że na swojej 13. sesji, która odbędzie się w dniach 25 i 26 września 2018 r., Zgromadzenie Ogólne zdecyduje o wprowadzeniu pewnych zmian Konwencji COTIF, jak również w załącznikach E (Umowa użytkowania infrastruktury w międzynarodowej komunikacji kolejowej – CUI) oraz G (Dopuszczenie techniczne urządzeń kolejowych przeznaczonych do międzynarodowego przewozu – ATMF). Podczas tej sesji Zgromadzenie Ogólne ma również podjąć decyzję w sprawie przyjęcia nowego załącznika H do Konwencji COTIF dotyczącego bezpiecznej eksploatacji pociągów w ruchu międzynarodowym.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Należy ustalić stanowisko, jakie ma zostać zajęte w imieniu Unii na 13. sesji Zgromadzenia Ogólnego OTIF, ponieważ planowane zmiany Konwencji COTIF i jej załączników będą wiążące dla Unii i mogą mieć decydujący wpływ na treść prawa unijnego, a mianowicie na dyrektywę Parlamentu Europejskiego i Rady (UE) 2016/797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oraz dyrektywę Parlamentu Europejskiego i Rady (UE) 2016/798</w:t>
      </w:r>
      <w:r>
        <w:rPr>
          <w:rStyle w:val="FootnoteReference"/>
          <w:noProof/>
        </w:rPr>
        <w:footnoteReference w:id="9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Zmiany regulaminu wewnętrznego Zgromadzenia Ogólnego OTIF mają na celu aktualizację niektórych postanowień w wyniku przystąpienia Unii do Konwencji COTIF w 2011 r., w szczególności w odniesieniu do postanowień regulujących prawo głosu organizacji regionalnej oraz ustalenie kworum.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Zmiany Konwencji COTIF mają na celu udoskonalenie i uproszczenie procedury przeglądu Konwencji COTIF w celu spójnego i szybkiego wprowadzenia zmian do jej załączników oraz w celu zapobieżenia niekorzystnemu wpływowi obecnej długotrwałej procedury wprowadzania zmian, w tym także ryzyku wystąpienia wewnętrznych rozbieżności między zmianami przyjętymi przez Komisję Rewizyjną i przez Zgromadzenie Ogólne OTIF, jak również ryzyku wystąpienia rozbieżności zewnętrznych, w szczególności z prawem Unii.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Zmiany w załączniku E (CUI) mają na celu wyjaśnienie zakresu stosowania ujednoliconych przepisów CUI w celu zapewnienia ich bardziej systematycznego stosowania zgodnie z przeznaczeniem, tj. w międzynarodowym ruchu kolejowym, takim jak korytarze towarowe lub w międzynarodowych pociągach pasażerskich.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Zmiany w załączniku G (ATMF) mają na celu harmonizację postanowień OTIF z przepisami UE, w szczególności po przyjęciu przez Unię w 2016 r. czwartego pakietu kolejowego.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Większość proponowanych zmian jest zgodna z prawem oraz celami strategicznymi Unii i w związku z tym powinna zostać poparta przez Unię.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 xml:space="preserve">Stanowisko Unii na 13. sesji Zgromadzenia Ogólnego OTIF powinno zatem opierać się na załączniku do niniejszej decyzji, </w:t>
      </w:r>
    </w:p>
    <w:p>
      <w:pPr>
        <w:pStyle w:val="Formuledadoption"/>
        <w:rPr>
          <w:noProof/>
        </w:rPr>
      </w:pPr>
      <w:r>
        <w:rPr>
          <w:noProof/>
        </w:rPr>
        <w:t>PRZYJMUJE NINIEJSZĄ DECYZJĘ:</w:t>
      </w:r>
    </w:p>
    <w:p>
      <w:pPr>
        <w:pStyle w:val="Titrearticle"/>
        <w:rPr>
          <w:noProof/>
        </w:rPr>
      </w:pPr>
      <w:r>
        <w:rPr>
          <w:noProof/>
        </w:rPr>
        <w:t>Artykuł 1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Stanowisko, jakie ma zostać zajęte w imieniu Unii na 13. sesji Zgromadzenia Ogólnego Międzyrządowej Organizacji Międzynarodowych Przewozów Kolejami (OTIF) jest określone w załączniku.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Nieznaczne zmiany dotyczące stanowiska wyrażonego w załączniku do niniejszej decyzji, mogą zostać uzgodnione przez przedstawicieli Unii na Zgromadzeniu Ogólnym, bez konieczności podejmowania kolejnej decyzji przez Radę.</w:t>
      </w:r>
    </w:p>
    <w:p>
      <w:pPr>
        <w:pStyle w:val="Titrearticle"/>
        <w:rPr>
          <w:noProof/>
        </w:rPr>
      </w:pPr>
      <w:r>
        <w:rPr>
          <w:noProof/>
        </w:rPr>
        <w:t>Artykuł 2</w:t>
      </w:r>
    </w:p>
    <w:p>
      <w:pPr>
        <w:pStyle w:val="Text1"/>
        <w:ind w:left="0"/>
        <w:rPr>
          <w:noProof/>
        </w:rPr>
      </w:pPr>
      <w:r>
        <w:rPr>
          <w:noProof/>
        </w:rPr>
        <w:t>Decyzje 13. sesji Zgromadzenia Ogólnego, po ich przyjęciu, zostaną opublikowane w </w:t>
      </w:r>
      <w:r>
        <w:rPr>
          <w:i/>
          <w:noProof/>
        </w:rPr>
        <w:t>Dzienniku Urzędowym Unii Europejskiej</w:t>
      </w:r>
      <w:r>
        <w:rPr>
          <w:noProof/>
        </w:rPr>
        <w:t>.</w:t>
      </w:r>
    </w:p>
    <w:p>
      <w:pPr>
        <w:pStyle w:val="Titrearticle"/>
        <w:rPr>
          <w:noProof/>
        </w:rPr>
      </w:pPr>
      <w:r>
        <w:rPr>
          <w:noProof/>
        </w:rPr>
        <w:t>Artykuł 3</w:t>
      </w:r>
    </w:p>
    <w:p>
      <w:pPr>
        <w:keepNext/>
        <w:keepLines/>
        <w:rPr>
          <w:noProof/>
        </w:rPr>
      </w:pPr>
      <w:r>
        <w:rPr>
          <w:noProof/>
        </w:rPr>
        <w:t>Niniejsza decyzja skierowana jest do Komisji i państw członkowskich.</w:t>
      </w:r>
    </w:p>
    <w:p>
      <w:pPr>
        <w:pStyle w:val="Fait"/>
        <w:rPr>
          <w:noProof/>
        </w:rPr>
      </w:pPr>
      <w:r>
        <w:t xml:space="preserve">Sporządzono w Brukseli dnia </w:t>
      </w:r>
      <w:r>
        <w:rPr>
          <w:rStyle w:val="Marker"/>
        </w:rPr>
        <w:t>[…]</w:t>
      </w:r>
      <w:r>
        <w:t xml:space="preserve">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Rady</w:t>
      </w:r>
    </w:p>
    <w:p>
      <w:pPr>
        <w:pStyle w:val="Personnequisigne"/>
        <w:rPr>
          <w:noProof/>
        </w:rPr>
      </w:pPr>
      <w:r>
        <w:rPr>
          <w:noProof/>
        </w:rPr>
        <w:tab/>
        <w:t>Przewodniczący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Dz.U. L 62 z 5.3.2018, s. 10.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Dyrektywa Parlamentu Europejskiego i Rady 2012/34/UE z dnia 21 listopada 2012 r. w sprawie utworzenia jednolitego europejskiego obszaru kolejowego (przekształcenie) (Dz.U. L 343 z 14.12.2012, s. 32).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Dyrektywa Parlamentu Europejskiego i Rady 2008/57/WE z dnia 17 czerwca 2008 r. w sprawie interoperacyjności systemu kolei we Wspólnocie (przekształcenie), Dz.U. L 191 z 18.7.2008, s. 1.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Dyrektywa 2004/49/WE Parlamentu Europejskiego i Rady z dnia 29 kwietnia 2004 r. w sprawie bezpieczeństwa kolei wspólnotowych (Dz.U. L 164 z 30.4.2004, s. 44).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Dyrektywa Parlamentu Europejskiego i Rady (UE) 2016/798 z dnia 11 maja 2016 r. w sprawie bezpieczeństwa kolei (wersja przekształcona), Dz.U. L 138 z 26.5.2016, s. 102.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 xml:space="preserve">Wyrok Trybunału Sprawiedliwości z dnia 7 października 2014 r. w sprawie C-399/12 Niemcy przeciwko Radzie, ECLI:EU:C 2014, 2258, pkt 61-64. 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ab/>
        <w:t>Decyzja Rady 2013/103/UE z dnia 16 czerwca 2011 r. w sprawie podpisania i zawarcia Umowy między Unią Europejską a Międzyrządową Organizacją Międzynarodowych Przewozów Kolejami w sprawie przystąpienia Unii Europejskiej do Konwencji o międzynarodowym przewozie kolejami (COTIF) z dnia 9 maja 1980 r. zmienionej protokołem wileńskim z dnia 3 czerwca 1999 r. (Dz.U. L 51 z 23.2.2013, s. 1).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Dyrektywa Parlamentu Europejskiego i Rady (UE) 2016/797 z dnia 11 maja 2016 r. w sprawie interoperacyjności systemu kolei w Unii Europejskiej (Dz.U. L 138 z 26.5.2016, s. 44).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  <w:t>Dyrektywa Parlamentu Europejskiego i Rady (UE) 2016/798 z dnia 11 maja 2016 r. w sprawie bezpieczeństwa kolei (Dz.U. L 138 z 26.5.2016, s. 102).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43072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226DC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4726E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BDDEA2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78488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478B5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27ED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7A64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2"/>
  </w:num>
  <w:num w:numId="14">
    <w:abstractNumId w:val="20"/>
  </w:num>
  <w:num w:numId="15">
    <w:abstractNumId w:val="11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  <w:num w:numId="24">
    <w:abstractNumId w:val="15"/>
  </w:num>
  <w:num w:numId="25">
    <w:abstractNumId w:val="21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LLIGNON Bertrand (MOVE)">
    <w15:presenceInfo w15:providerId="None" w15:userId="COLLIGNON Bertrand (MOV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7-27 12:52:58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93AAC9E2-F6E8-4DA9-B551-DA4B0E5A1096"/>
    <w:docVar w:name="LW_COVERPAGE_TYPE" w:val="1"/>
    <w:docVar w:name="LW_CROSSREFERENCE" w:val="&lt;UNUSED&gt;"/>
    <w:docVar w:name="LW_DocType" w:val="COM"/>
    <w:docVar w:name="LW_EMISSION" w:val="27.7.2018"/>
    <w:docVar w:name="LW_EMISSION_ISODATE" w:val="2018-07-27"/>
    <w:docVar w:name="LW_EMISSION_LOCATION" w:val="BRX"/>
    <w:docVar w:name="LW_EMISSION_PREFIX" w:val="Bruksela, dnia "/>
    <w:docVar w:name="LW_EMISSION_SUFFIX" w:val="&lt;EMPTY&gt;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295"/>
    <w:docVar w:name="LW_REF.II.NEW.CP_YEAR" w:val="2018"/>
    <w:docVar w:name="LW_REF.INST.NEW" w:val="COM"/>
    <w:docVar w:name="LW_REF.INST.NEW_ADOPTED" w:val="final"/>
    <w:docVar w:name="LW_REF.INST.NEW_TEXT" w:val="(2018) 55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w sprawie stanowiska, jakie ma zosta\u263? zaj\u281?te w imieniu Unii Europejskiej na 13. sesji Zgromadzenia Ogólnego Mi\u281?dzyrz\u261?dowej Organizacji Mi\u281?dzynarodowych Przewozów Kolejami (OTIF) w odniesieniu do pewnych zmian Konwencji o mi\u281?dzynarodowym przewozie kolejami (COTIF) oraz jej za\u322?\u261?czników"/>
    <w:docVar w:name="LW_TYPE.DOC.CP" w:val="DECYZJA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extranet.otif.org/en/?page_id=107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CC68-5294-48F2-9FAB-452568D9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9</Pages>
  <Words>2684</Words>
  <Characters>17077</Characters>
  <Application>Microsoft Office Word</Application>
  <DocSecurity>0</DocSecurity>
  <Lines>284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18</cp:revision>
  <dcterms:created xsi:type="dcterms:W3CDTF">2018-07-24T08:09:00Z</dcterms:created>
  <dcterms:modified xsi:type="dcterms:W3CDTF">2018-07-27T10:52:00Z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DQCStatus">
    <vt:lpwstr>Green (DQC version 03)</vt:lpwstr>
  </property>
</Properties>
</file>