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1CDC916-D398-4796-95C8-9CF26F1BBF7E" style="width:450.45pt;height:347.9pt">
            <v:imagedata r:id="rId7" o:title=""/>
          </v:shape>
        </w:pict>
      </w:r>
    </w:p>
    <w:bookmarkEnd w:id="0"/>
    <w:p>
      <w:pPr>
        <w:rPr>
          <w:noProof/>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pPr>
        <w:jc w:val="center"/>
        <w:rPr>
          <w:rFonts w:ascii="Times New Roman Bold" w:hAnsi="Times New Roman Bold" w:cs="Times New Roman"/>
          <w:b/>
          <w:smallCaps/>
          <w:noProof/>
          <w:sz w:val="24"/>
        </w:rPr>
      </w:pPr>
      <w:bookmarkStart w:id="1" w:name="_GoBack"/>
      <w:bookmarkEnd w:id="1"/>
      <w:r>
        <w:rPr>
          <w:rFonts w:ascii="Times New Roman Bold" w:hAnsi="Times New Roman Bold"/>
          <w:b/>
          <w:smallCaps/>
          <w:noProof/>
          <w:sz w:val="24"/>
        </w:rPr>
        <w:lastRenderedPageBreak/>
        <w:t>Доклад на Комисията до Европейския парламент и Съвета</w:t>
      </w:r>
    </w:p>
    <w:p>
      <w:pPr>
        <w:spacing w:after="240" w:line="240" w:lineRule="auto"/>
        <w:jc w:val="center"/>
        <w:rPr>
          <w:rFonts w:ascii="Times New Roman" w:eastAsia="Times New Roman" w:hAnsi="Times New Roman" w:cs="Times New Roman"/>
          <w:b/>
          <w:noProof/>
          <w:sz w:val="24"/>
          <w:szCs w:val="24"/>
        </w:rPr>
      </w:pPr>
      <w:r>
        <w:rPr>
          <w:rFonts w:ascii="Times New Roman" w:hAnsi="Times New Roman"/>
          <w:b/>
          <w:noProof/>
          <w:sz w:val="24"/>
        </w:rPr>
        <w:t>относно упражняването на правомощието да приема делегирани актове, предоставено на Комисията съгласно Регламент (ЕС) № 649/2012 на Европейския парламент и на Съвета от 4 юли 2012 г. относно износа и вноса на опасни химикали</w:t>
      </w:r>
    </w:p>
    <w:p>
      <w:pPr>
        <w:spacing w:after="240" w:line="240" w:lineRule="auto"/>
        <w:jc w:val="center"/>
        <w:rPr>
          <w:rFonts w:ascii="Times New Roman" w:eastAsia="Times New Roman" w:hAnsi="Times New Roman" w:cs="Times New Roman"/>
          <w:b/>
          <w:noProof/>
          <w:sz w:val="24"/>
          <w:szCs w:val="24"/>
        </w:rPr>
      </w:pPr>
    </w:p>
    <w:p>
      <w:pPr>
        <w:keepNext/>
        <w:tabs>
          <w:tab w:val="num" w:pos="480"/>
        </w:tabs>
        <w:spacing w:before="300" w:after="180" w:line="240" w:lineRule="auto"/>
        <w:ind w:left="480" w:hanging="480"/>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rPr>
        <w:t>1. Въведение и правно основание</w:t>
      </w: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С Регламент (ЕС) № 649/2012</w:t>
      </w:r>
      <w:r>
        <w:rPr>
          <w:rFonts w:ascii="Times New Roman" w:hAnsi="Times New Roman"/>
          <w:noProof/>
          <w:sz w:val="24"/>
          <w:vertAlign w:val="superscript"/>
        </w:rPr>
        <w:footnoteReference w:id="1"/>
      </w:r>
      <w:r>
        <w:rPr>
          <w:rFonts w:ascii="Times New Roman" w:hAnsi="Times New Roman"/>
          <w:noProof/>
          <w:sz w:val="24"/>
        </w:rPr>
        <w:t xml:space="preserve"> („Регламентът за предварително обоснованото съгласие“) се прилага Ротердамската конвенция относно процедурата по предварително обосновано съгласие при международната търговия с определени опасни химикали и пестициди („Ротердамска конвенция“), подписана на 11 септември 1998 г. и одобрена от името на Европейската общност с Решение 2003/106/ЕО на Съвета</w:t>
      </w:r>
      <w:r>
        <w:rPr>
          <w:rFonts w:ascii="Times New Roman" w:hAnsi="Times New Roman"/>
          <w:noProof/>
          <w:sz w:val="24"/>
          <w:vertAlign w:val="superscript"/>
        </w:rPr>
        <w:footnoteReference w:id="2"/>
      </w:r>
      <w:r>
        <w:rPr>
          <w:rFonts w:ascii="Times New Roman" w:hAnsi="Times New Roman"/>
          <w:noProof/>
          <w:sz w:val="24"/>
        </w:rPr>
        <w:t xml:space="preserve">. Изискванията и процедурите за износ и внос на определени опасни химикали, по-специално на онези, които са обект на процедура за предварително обосновано съгласие съгласно Ротердамската конвенция, са определени в Регламента за предварително обоснованото съгласие. </w:t>
      </w:r>
    </w:p>
    <w:p>
      <w:pPr>
        <w:pStyle w:val="CM4"/>
        <w:spacing w:after="120"/>
        <w:jc w:val="both"/>
        <w:rPr>
          <w:rFonts w:eastAsia="Times New Roman"/>
          <w:noProof/>
          <w:szCs w:val="20"/>
        </w:rPr>
      </w:pPr>
      <w:r>
        <w:rPr>
          <w:noProof/>
        </w:rPr>
        <w:t>С член 23, параграф 4 от Регламента за предварително обоснованото съгласие Комисията се оправомощава да приема делегирани актове при спазване на предвидените в член 26 условия с цел:</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включване на химикал в приложение I, част 1 или 2 по силата на параграф 2 от член 23 след приемане на окончателен нормативен акт на равнището на Съюза и други изменения на приложение I, включително промени на вписана вече информация [член 23, параграф 4, буква a)];</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включване на химикал, който е предмет на Регламент (ЕО) № 850/2004 на Европейския парламент и на Съвета от 29 април 2004 г. относно устойчивите органични замърсители</w:t>
      </w:r>
      <w:r>
        <w:rPr>
          <w:noProof/>
          <w:vertAlign w:val="superscript"/>
        </w:rPr>
        <w:footnoteReference w:id="3"/>
      </w:r>
      <w:r>
        <w:rPr>
          <w:rFonts w:ascii="Times New Roman" w:hAnsi="Times New Roman"/>
          <w:noProof/>
          <w:sz w:val="24"/>
        </w:rPr>
        <w:t>, в приложение V, част 1 [член 23, параграф 4, буква б)];</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включване на химикал, за който вече има забрана за износ на равнището на Съюза, в приложение V, част 2 [член 23, параграф 4, буква в)];</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промяна на вписана вече информация в приложение V [член 23, параграф 4, буква г)];</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изменение на приложения II, III, IV и VI [член 23, параграф 4, буква д)].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Настоящият доклад е в изпълнение на задължението, възложено на Комисията по силата на член 26, параграф 2 от Регламента за предварително обоснованото съгласие. Съгласно член 26, параграф 2 от Комисията се изисква да представи на Европейския парламент и на Съвета доклад относно упражняването на делегираните правомощия, предоставени ѝ по силата на Регламента за предварително обоснованото съгласие. Докладът се </w:t>
      </w:r>
      <w:r>
        <w:rPr>
          <w:rFonts w:ascii="Times New Roman" w:hAnsi="Times New Roman"/>
          <w:noProof/>
          <w:color w:val="000000"/>
          <w:sz w:val="24"/>
        </w:rPr>
        <w:t>изготвя не по-късно от девет месеца преди края на петгодишния срок на делегирането, започнал на 1 март 2014 г. Делегирането на правомощия се продължава мълчаливо за срокове с еднаква продължителност, освен ако Европейският парламент или Съветът не възразят срещу подобно продължаване не по-късно от три месеца преди изтичането на всеки срок.</w:t>
      </w:r>
    </w:p>
    <w:p>
      <w:pPr>
        <w:keepNext/>
        <w:tabs>
          <w:tab w:val="num" w:pos="480"/>
        </w:tabs>
        <w:spacing w:before="300" w:after="180" w:line="240" w:lineRule="auto"/>
        <w:ind w:left="480" w:hanging="480"/>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rPr>
        <w:t>2. Упражняване на делегираните правомощия</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периода, обхванат от настоящия доклад, Комисията прие три делегирани акта с цел изменение на някои несъществени елементи на Регламента за предварително обоснованото съгласие. Тези делегирани актове бяха приети въз основа на член 23, параграф 4, буква а) от Регламента за предварително обоснованото съгласие, където е посочено: „</w:t>
      </w:r>
      <w:r>
        <w:rPr>
          <w:rFonts w:ascii="Times New Roman" w:hAnsi="Times New Roman"/>
          <w:i/>
          <w:noProof/>
          <w:sz w:val="24"/>
        </w:rPr>
        <w:t>С цел адаптиране на настоящия регламент към техническия напредък Комисията разполага с пълномощия да приема делегирани актове в съответствие с член 26 във връзка с включване на химикал в приложение I, част 1 или 2 по силата на параграф 2 от член 23 след приемане на окончателен нормативен акт на равнището на Съюза и други изменения на приложение I, включително промени на вписана вече информация</w:t>
      </w:r>
      <w:r>
        <w:rPr>
          <w:rFonts w:ascii="Times New Roman" w:hAnsi="Times New Roman"/>
          <w:noProof/>
          <w:sz w:val="24"/>
        </w:rPr>
        <w:t>“ и въз основа на член 23, параграф 4, буква б), където е посочено: „</w:t>
      </w:r>
      <w:r>
        <w:rPr>
          <w:rFonts w:ascii="Times New Roman" w:hAnsi="Times New Roman"/>
          <w:i/>
          <w:noProof/>
          <w:sz w:val="24"/>
        </w:rPr>
        <w:t>С цел адаптиране на настоящия регламент към техническия напредък Комисията разполага с пълномощия да приема делегирани актове в съответствие с член 26 във връзка с включване на химикал, който е предмет на Регламент (ЕО) № 850/2004 на Европейския парламент и на Съвета от 29 април 2004 г. относно устойчивите органични замърсители, в приложение V, част 1</w:t>
      </w:r>
      <w:r>
        <w:rPr>
          <w:rFonts w:ascii="Times New Roman" w:hAnsi="Times New Roman"/>
          <w:noProof/>
          <w:sz w:val="24"/>
        </w:rPr>
        <w:t>“.</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Бяха приети следните актове:</w:t>
      </w:r>
    </w:p>
    <w:p>
      <w:pPr>
        <w:keepNext/>
        <w:numPr>
          <w:ilvl w:val="1"/>
          <w:numId w:val="0"/>
        </w:numPr>
        <w:tabs>
          <w:tab w:val="num" w:pos="1200"/>
        </w:tabs>
        <w:spacing w:before="300" w:after="180" w:line="240" w:lineRule="auto"/>
        <w:ind w:left="1200" w:hanging="720"/>
        <w:jc w:val="both"/>
        <w:outlineLvl w:val="1"/>
        <w:rPr>
          <w:rFonts w:ascii="Times New Roman" w:eastAsia="Times New Roman" w:hAnsi="Times New Roman" w:cs="Times New Roman"/>
          <w:b/>
          <w:noProof/>
          <w:sz w:val="24"/>
          <w:szCs w:val="20"/>
        </w:rPr>
      </w:pPr>
      <w:r>
        <w:rPr>
          <w:rFonts w:ascii="Times New Roman" w:hAnsi="Times New Roman"/>
          <w:b/>
          <w:noProof/>
          <w:sz w:val="24"/>
        </w:rPr>
        <w:t>2.1. Делегиран регламент (ЕС) № 1078/2014 на Комисията</w:t>
      </w:r>
      <w:r>
        <w:rPr>
          <w:rStyle w:val="FootnoteReference"/>
          <w:rFonts w:ascii="Times New Roman" w:hAnsi="Times New Roman"/>
          <w:b/>
          <w:noProof/>
          <w:sz w:val="24"/>
        </w:rPr>
        <w:footnoteReference w:id="4"/>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Този правен акт беше приет въз основа на член 23, параграф 4, буква а) от Регламента за предварително обоснованото съгласие. Подходът, който се следва в делегирания акт, за да се определи кои химикали да бъдат включени в приложение I и в коя част те да бъдат включени, беше предмет на обсъждане и консултации в рамките на експертната група, състояща се от представители на националните органи на държавите членки, определени за целите на Регламента за предварително обоснованото съгласие, на Европейската агенция по химикали, на промишлеността и на гражданското общество (по-долу „експертна група за PIC DNA“), на заседанията ѝ от 11 октомври 2013 г. и 7 април 2014 г. Беше проведена консултация с експертната група за PIC DNA по проекта за делегиран регламент на Комисията, който беше предоставен на разположение преди тези заседания. На 7 август 2014 г. Комисията прие делегирания акт и нотифицира Европейския парламент и Съвета. Нито една от двете институции не възрази срещу делегирания акт в двумесечния срок, предвиден в член 26, параграф 5 от Регламента за предварително обоснованото съгласие. Делегиран регламент (ЕС) № 178/2014 на Комисията беше публикуван на 15 октомври 2014 г. и се прилага от 1 декември 2014 г. </w:t>
      </w:r>
    </w:p>
    <w:p>
      <w:pPr>
        <w:keepNext/>
        <w:numPr>
          <w:ilvl w:val="1"/>
          <w:numId w:val="0"/>
        </w:numPr>
        <w:tabs>
          <w:tab w:val="num" w:pos="1200"/>
        </w:tabs>
        <w:spacing w:before="300" w:after="180" w:line="240" w:lineRule="auto"/>
        <w:ind w:left="1200" w:hanging="720"/>
        <w:jc w:val="both"/>
        <w:outlineLvl w:val="1"/>
        <w:rPr>
          <w:rFonts w:ascii="Times New Roman" w:eastAsia="Times New Roman" w:hAnsi="Times New Roman" w:cs="Times New Roman"/>
          <w:b/>
          <w:noProof/>
          <w:sz w:val="24"/>
          <w:szCs w:val="20"/>
        </w:rPr>
      </w:pPr>
      <w:r>
        <w:rPr>
          <w:rFonts w:ascii="Times New Roman" w:hAnsi="Times New Roman"/>
          <w:b/>
          <w:noProof/>
          <w:sz w:val="24"/>
        </w:rPr>
        <w:t>2.2. Делегиран регламент (ЕС) 2015/2229 на Комисията</w:t>
      </w:r>
      <w:r>
        <w:rPr>
          <w:rStyle w:val="FootnoteReference"/>
          <w:rFonts w:ascii="Times New Roman" w:hAnsi="Times New Roman"/>
          <w:b/>
          <w:noProof/>
          <w:sz w:val="24"/>
        </w:rPr>
        <w:footnoteReference w:id="5"/>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Този правен акт беше приет въз основа на член 23, параграф 4, буква а) от Регламента за предварително обоснованото съгласие. Подходът, който се следва в делегирания акт, за да се определи кои химикали да бъдат включени в приложение I и в коя част те да бъдат включени, беше предмет на обсъждане и консултации в рамките на експертната група за PIC DNA на заседанията ѝ от 1 октомври 2014 г. и 21 април 2015 г. Беше проведена консултация с експертната група за PIC DNA по проекта за делегиран регламент на Комисията, който беше предоставен на разположение преди тези заседания. На 29 септември 2015 г. Комисията прие делегирания акт и нотифицира Европейския парламент и Съвета. Нито една от двете институции не възрази срещу делегирания акт в двумесечния срок, предвиден в член 26, параграф 5 от Регламента за предварително обоснованото съгласие. Делегиран регламент (ЕС) 2015/2229 на Комисията беше публикуван на 3 декември 2015 г. и се прилага от 1 февруари 2016 г.  </w:t>
      </w:r>
    </w:p>
    <w:p>
      <w:pPr>
        <w:keepNext/>
        <w:numPr>
          <w:ilvl w:val="1"/>
          <w:numId w:val="0"/>
        </w:numPr>
        <w:tabs>
          <w:tab w:val="num" w:pos="1200"/>
        </w:tabs>
        <w:spacing w:before="300" w:after="180" w:line="240" w:lineRule="auto"/>
        <w:ind w:left="1200" w:hanging="720"/>
        <w:jc w:val="both"/>
        <w:outlineLvl w:val="1"/>
        <w:rPr>
          <w:rFonts w:ascii="Times New Roman" w:eastAsia="Times New Roman" w:hAnsi="Times New Roman" w:cs="Times New Roman"/>
          <w:b/>
          <w:noProof/>
          <w:sz w:val="24"/>
          <w:szCs w:val="20"/>
        </w:rPr>
      </w:pPr>
      <w:r>
        <w:rPr>
          <w:rFonts w:ascii="Times New Roman" w:hAnsi="Times New Roman"/>
          <w:b/>
          <w:noProof/>
          <w:sz w:val="24"/>
        </w:rPr>
        <w:t>2.3. Делегиран регламент (ЕС) 2018/172 на Комисията</w:t>
      </w:r>
      <w:r>
        <w:rPr>
          <w:rStyle w:val="FootnoteReference"/>
          <w:rFonts w:ascii="Times New Roman" w:hAnsi="Times New Roman"/>
          <w:b/>
          <w:noProof/>
          <w:sz w:val="24"/>
        </w:rPr>
        <w:footnoteReference w:id="6"/>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Този правен акт беше приет въз основа на член 23, параграф 4, буква а) и член 23, параграф 4, буква б) от Регламента за предварително обоснованото съгласие. Подходът, който се следва в делегирания акт, за да се определи кои химикали да бъдат включени в приложение I и в коя част те да бъдат включени, беше предмет на обсъждане и консултации в рамките на експертната група за PIC DNA на заседанието ѝ от 26 април 2016 г. На същото заседание на експертната група беше обсъдено и включването на определени химични вещества в приложение V, част 1. Беше проведена консултация с експертната група за PIC DNA по проекта за делегиран регламент на Комисията, който беше предоставен на разположение преди заседанието. Освен това след заседанието бяха проведени писмени консултации с експертната група за PIC DNA. На 28 ноември 2017 г. Комисията прие делегирания акт и нотифицира Европейския парламент и Съвета. Нито една от двете институции не възрази срещу делегирания акт в двумесечния срок, предвиден в член 26, параграф 5 от Регламента за предварително обоснованото съгласие. Делегиран регламент (ЕС) 2018/172 на Комисията беше публикуван на 6 февруари 2018 г. и се прилага от 1 април 2018 г.</w:t>
      </w:r>
    </w:p>
    <w:p>
      <w:pPr>
        <w:keepNext/>
        <w:numPr>
          <w:ilvl w:val="1"/>
          <w:numId w:val="0"/>
        </w:numPr>
        <w:tabs>
          <w:tab w:val="num" w:pos="1200"/>
        </w:tabs>
        <w:spacing w:before="300" w:after="180" w:line="240" w:lineRule="auto"/>
        <w:ind w:left="1200" w:hanging="720"/>
        <w:jc w:val="both"/>
        <w:outlineLvl w:val="1"/>
        <w:rPr>
          <w:rFonts w:ascii="Times New Roman" w:eastAsia="Times New Roman" w:hAnsi="Times New Roman" w:cs="Times New Roman"/>
          <w:b/>
          <w:noProof/>
          <w:sz w:val="24"/>
          <w:szCs w:val="20"/>
        </w:rPr>
      </w:pPr>
      <w:r>
        <w:rPr>
          <w:rFonts w:ascii="Times New Roman" w:hAnsi="Times New Roman"/>
          <w:b/>
          <w:noProof/>
          <w:sz w:val="24"/>
        </w:rPr>
        <w:t>2.4. Делегирани правомощия, които не са били използвани по време на отчетния период</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Делегираните правомощия по Регламента за предварително обоснованото съгласие съгласно член 23, параграф 4, буква в), член 23, параграф 4, буква г) и член 23, параграф 4, буква д) не бяха упражнени през отчетния период, тъй като това не беше обосновано от промени в правото на Съюза или Конвенцията. Тъй като посочените промени могат да настъпят по всяко време, от значение е фактът, че Комисията е оправомощена да приема делегирани актове за адаптиране на Регламента за предварително обоснованото съгласие към техническия напредък в съответствие със същите промени. В този контекст следва да се отбележи, че понастоящем е в процес на подготовка нов делегиран акт, правното основание за който са член 23, параграф 4, буква в) и член 23, параграф 4), буква г). </w:t>
      </w:r>
    </w:p>
    <w:p>
      <w:pPr>
        <w:keepNext/>
        <w:tabs>
          <w:tab w:val="num" w:pos="480"/>
        </w:tabs>
        <w:spacing w:before="300" w:after="180" w:line="240" w:lineRule="auto"/>
        <w:ind w:left="480" w:hanging="480"/>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rPr>
        <w:t>3. Заключение</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Към днешна дата Комисията е упражнила три пъти делегираните правомощия, предвидени в Регламента за предварително обоснованото съгласие, по двете правни основания, посочени по-горе. Комисията е на мнение, че делегираните правомощия, предоставени ѝ по силата на член 23, параграф 4, следва да бъдат продължени мълчаливо, включително тези, които все още не са упражнявани, тъй като по всяко време може да възникне необходимост от адаптиране на Регламента за предварително обоснованото съгласие към техническия напредък в съответствие с член 23, параграф 4, буква в), член 23, параграф 4, буква г) и член 23, параграф 4, буква д). Продължава прилагането на Регламента за предварително обоснованото съгласие, като същевременно е налице и научно-технически напредък. Необходимо е да бъдат отразени промените в законодателството на Съюза и в Конвенцията, а това изисква адаптиране на приложенията към Регламента за предварително обоснованото съгласие. Поради това е необходимо Комисията да приема допълнителни делегирани актове в бъдеще, за да се актуализира правната уредба.</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Комисията изпълнява задължението за докладване съгласно член 26, параграф 2 от Регламента за предварително обоснованото съгласие и приканва Европейския парламент и Съвета да вземат под внимание настоящия доклад. </w:t>
      </w:r>
    </w:p>
    <w:p>
      <w:pPr>
        <w:rPr>
          <w:noProof/>
        </w:rPr>
      </w:pPr>
    </w:p>
    <w:sectPr>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846647" w15:done="0"/>
  <w15:commentEx w15:paraId="1A0E95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54949"/>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Регламент (ЕС) № 649/2012 на Европейския парламент и на Съвета от 4 юли 2012 г. относно износа и вноса на опасни химикали (ОВ L 201, 27.7.2012 г., стр. 60).</w:t>
      </w:r>
    </w:p>
  </w:footnote>
  <w:footnote w:id="2">
    <w:p>
      <w:pPr>
        <w:pStyle w:val="FootnoteText"/>
        <w:rPr>
          <w:rFonts w:ascii="Times New Roman" w:hAnsi="Times New Roman" w:cs="Times New Roman"/>
        </w:rPr>
      </w:pPr>
      <w:r>
        <w:rPr>
          <w:rStyle w:val="FootnoteReference"/>
        </w:rPr>
        <w:footnoteRef/>
      </w:r>
      <w:r>
        <w:t xml:space="preserve"> </w:t>
      </w:r>
      <w:r>
        <w:rPr>
          <w:rFonts w:ascii="Times New Roman" w:hAnsi="Times New Roman"/>
        </w:rPr>
        <w:t>Решение 2003/106/ЕО на Съвета от 19 декември 2002 г. относно одобрението от името на Европейската общност на Ротердамската конвенция относно процедурата за „предварително обосновано съгласие“ (PIC процедура) за определени опасни химични вещества и пестициди в международната търговия ( ОВ L 63, 6.3.2003 г., стр. 27).</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Регламент (ЕО) № 850/2004 на Европейския парламент и на Съвета от 29 април 2004 г. относно устойчивите органични замърсители и за изменение на Директива 79/117/ЕИО (ОВ L 158, 30.4.2004 г., стр. 7).</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Делегиран регламент (ЕС) № 1078/2014 на Комисията от 7 август 2014 г. за изменение на приложение I към Регламент (ЕС) № 649/2012 на Европейския парламент и на Съвета относно износа и вноса на опасни химикали (OВ L 297, 15.10.2014 г., стр. 1).</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Делегиран регламент (ЕС) 2015/2229 на Комисията от 29 септември 2015 г. за изменение на приложение I към Регламент (ЕС) № 649/2012 на Европейския парламент и на Съвета относно износа и вноса на опасни химикали (OВ L 317, 3.12.2015 г., стр. 13).</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Делегиран регламент (ЕС) 2018/172 на Комисията от 28 ноември 2017 г. за изменение на приложения I и V към Регламент (ЕС) № 649/2012 на Европейския парламент и на Съвета относно износа и вноса на опасни химикали (OВ L 32, 6.2.2018 г., стр.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ENTHAL Robert (SJ)">
    <w15:presenceInfo w15:providerId="None" w15:userId="LINDENTHAL Robert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1CDC916-D398-4796-95C8-9CF26F1BBF7E"/>
    <w:docVar w:name="LW_COVERPAGE_TYPE" w:val="1"/>
    <w:docVar w:name="LW_CROSSREFERENCE" w:val="&lt;UNUSED&gt;"/>
    <w:docVar w:name="LW_DocType" w:val="NORMAL"/>
    <w:docVar w:name="LW_EMISSION" w:val="17.8.2018"/>
    <w:docVar w:name="LW_EMISSION_ISODATE" w:val="2018-08-17"/>
    <w:docVar w:name="LW_EMISSION_LOCATION" w:val="BRX"/>
    <w:docVar w:name="LW_EMISSION_PREFIX" w:val="Брюксел, "/>
    <w:docVar w:name="LW_EMISSION_SUFFIX" w:val="\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5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u1086?\u1090?\u1085?\u1086?\u1089?\u1085?\u1086? \u1091?\u1087?\u1088?\u1072?\u1078?\u1085?\u1103?\u1074?\u1072?\u1085?\u1077?\u1090?\u1086? \u1085?\u1072? \u1087?\u1088?\u1072?\u1074?\u1086?\u1084?\u1086?\u1097?\u1080?\u1077?\u1090?\u1086? \u1076?\u1072? \u1087?\u1088?\u1080?\u1077?\u1084?\u1072? \u1076?\u1077?\u1083?\u1077?\u1075?\u1080?\u1088?\u1072?\u1085?\u1080? \u1072?\u1082?\u1090?\u1086?\u1074?\u1077?, \u1087?\u1088?\u1077?\u1076?\u1086?\u1089?\u1090?\u1072?\u1074?\u1077?\u1085?\u1086? \u1085?\u1072? \u1050?\u1086?\u1084?\u1080?\u1089?\u1080?\u1103?\u1090?\u1072? \u1089?\u1098?\u1075?\u1083?\u1072?\u1089?\u1085?\u1086? \u1056?\u1077?\u1075?\u1083?\u1072?\u1084?\u1077?\u1085?\u1090? (\u1045?\u1057?) \u8470? 649/2012 \u1085?\u1072? \u1045?\u1074?\u1088?\u1086?\u1087?\u1077?\u1081?\u1089?\u1082?\u1080?\u1103? \u1087?\u1072?\u1088?\u1083?\u1072?\u1084?\u1077?\u1085?\u1090? \u1080? \u1085?\u1072? \u1057?\u1098?\u1074?\u1077?\u1090?\u1072? \u1086?\u1090? 4 \u1102?\u1083?\u1080? 2012 \u1075?. \u1086?\u1090?\u1085?\u1086?\u1089?\u1085?\u1086? \u1080?\u1079?\u1085?\u1086?\u1089?\u1072? \u1080? \u1074?\u1085?\u1086?\u1089?\u1072? \u1085?\u1072? \u1086?\u1087?\u1072?\u1089?\u1085?\u1080? \u1093?\u1080?\u1084?\u1080?\u1082?\u1072?\u1083?\u1080?&lt;/FMT&gt;_x000b_"/>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customStyle="1" w:styleId="CM4">
    <w:name w:val="CM4"/>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Do">
    <w:name w:val="Do"/>
    <w:basedOn w:val="Normal"/>
    <w:pPr>
      <w:keepNext/>
      <w:spacing w:after="480" w:line="240" w:lineRule="auto"/>
      <w:jc w:val="center"/>
    </w:pPr>
    <w:rPr>
      <w:rFonts w:ascii="Times New Roman" w:eastAsia="Times New Roman" w:hAnsi="Times New Roman" w:cs="Times New Roman"/>
      <w:b/>
      <w:smallCaps/>
      <w:sz w:val="28"/>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customStyle="1" w:styleId="CM4">
    <w:name w:val="CM4"/>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Do">
    <w:name w:val="Do"/>
    <w:basedOn w:val="Normal"/>
    <w:pPr>
      <w:keepNext/>
      <w:spacing w:after="480" w:line="240" w:lineRule="auto"/>
      <w:jc w:val="center"/>
    </w:pPr>
    <w:rPr>
      <w:rFonts w:ascii="Times New Roman" w:eastAsia="Times New Roman" w:hAnsi="Times New Roman" w:cs="Times New Roman"/>
      <w:b/>
      <w:smallCaps/>
      <w:sz w:val="28"/>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1481</Words>
  <Characters>8120</Characters>
  <Application>Microsoft Office Word</Application>
  <DocSecurity>0</DocSecurity>
  <Lines>135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30</cp:revision>
  <dcterms:created xsi:type="dcterms:W3CDTF">2018-05-22T14:26:00Z</dcterms:created>
  <dcterms:modified xsi:type="dcterms:W3CDTF">2018-08-07T11:42:00Z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